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77777777" w:rsidR="00BD321A" w:rsidRDefault="00BD321A" w:rsidP="00BD321A">
      <w:pPr>
        <w:spacing w:before="120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10077966" w14:textId="77777777" w:rsidR="00BD321A" w:rsidRDefault="00BD321A" w:rsidP="00BD321A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9C90338" w14:textId="77777777" w:rsidR="00BD321A" w:rsidRDefault="00BD321A" w:rsidP="00BD321A">
      <w:pPr>
        <w:spacing w:before="120"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7F8D218E" w14:textId="77777777" w:rsidR="00BD321A" w:rsidRDefault="00BD321A" w:rsidP="00BD321A">
      <w:pPr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</w:p>
    <w:p w14:paraId="644D36DA" w14:textId="49F32607" w:rsidR="00BD321A" w:rsidRDefault="00BD321A" w:rsidP="00BD321A">
      <w:pPr>
        <w:rPr>
          <w:b/>
        </w:rPr>
      </w:pP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2B9">
        <w:rPr>
          <w:b/>
        </w:rPr>
        <w:t>12</w:t>
      </w:r>
      <w:r>
        <w:rPr>
          <w:b/>
        </w:rPr>
        <w:t xml:space="preserve">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2022</w:t>
      </w:r>
    </w:p>
    <w:p w14:paraId="013E2330" w14:textId="77777777" w:rsidR="00BD321A" w:rsidRDefault="00BD321A" w:rsidP="00BD321A">
      <w:r>
        <w:t xml:space="preserve">Geneva, 12-16 </w:t>
      </w:r>
      <w:proofErr w:type="spellStart"/>
      <w:r>
        <w:t>September</w:t>
      </w:r>
      <w:proofErr w:type="spellEnd"/>
      <w:r>
        <w:t xml:space="preserve"> 2022</w:t>
      </w:r>
    </w:p>
    <w:p w14:paraId="47D8A1AF" w14:textId="784902A0" w:rsidR="00BD321A" w:rsidRDefault="00BD321A" w:rsidP="00BD321A">
      <w:pPr>
        <w:rPr>
          <w:lang w:eastAsia="fr-FR"/>
        </w:rPr>
      </w:pPr>
      <w:r>
        <w:t xml:space="preserve">Item </w:t>
      </w:r>
      <w:r w:rsidR="004E382A">
        <w:t>5</w:t>
      </w:r>
      <w:r w:rsidR="00572CDA">
        <w:t>(b)</w:t>
      </w:r>
      <w:r>
        <w:t xml:space="preserve"> of the </w:t>
      </w:r>
      <w:proofErr w:type="spellStart"/>
      <w:r>
        <w:t>provisional</w:t>
      </w:r>
      <w:proofErr w:type="spellEnd"/>
      <w:r>
        <w:t xml:space="preserve"> agenda</w:t>
      </w:r>
    </w:p>
    <w:p w14:paraId="2AC8D044" w14:textId="77777777" w:rsidR="004E382A" w:rsidRDefault="004E382A" w:rsidP="00BD321A">
      <w:pPr>
        <w:rPr>
          <w:b/>
          <w:bCs/>
        </w:rPr>
      </w:pPr>
      <w:proofErr w:type="spellStart"/>
      <w:r w:rsidRPr="004E382A">
        <w:rPr>
          <w:b/>
          <w:bCs/>
        </w:rPr>
        <w:t>Proposals</w:t>
      </w:r>
      <w:proofErr w:type="spellEnd"/>
      <w:r w:rsidRPr="004E382A">
        <w:rPr>
          <w:b/>
          <w:bCs/>
        </w:rPr>
        <w:t xml:space="preserve"> for </w:t>
      </w:r>
      <w:proofErr w:type="spellStart"/>
      <w:r w:rsidRPr="004E382A">
        <w:rPr>
          <w:b/>
          <w:bCs/>
        </w:rPr>
        <w:t>amendments</w:t>
      </w:r>
      <w:proofErr w:type="spellEnd"/>
      <w:r w:rsidRPr="004E382A">
        <w:rPr>
          <w:b/>
          <w:bCs/>
        </w:rPr>
        <w:t xml:space="preserve"> to RID/ADR/ADN</w:t>
      </w:r>
      <w:r>
        <w:rPr>
          <w:b/>
          <w:bCs/>
        </w:rPr>
        <w:t> :</w:t>
      </w:r>
    </w:p>
    <w:p w14:paraId="34063FA6" w14:textId="5FC9781B" w:rsidR="00EC38AB" w:rsidRPr="00142CA4" w:rsidRDefault="004E382A" w:rsidP="00BD321A">
      <w:pPr>
        <w:rPr>
          <w:b/>
          <w:bCs/>
          <w:lang w:val="en-US"/>
        </w:rPr>
      </w:pPr>
      <w:r>
        <w:rPr>
          <w:b/>
          <w:bCs/>
          <w:lang w:val="en-US"/>
        </w:rPr>
        <w:t>new proposals</w:t>
      </w:r>
    </w:p>
    <w:p w14:paraId="704E39CE" w14:textId="77777777" w:rsidR="00AE2133" w:rsidRDefault="001F002F" w:rsidP="001F002F">
      <w:pPr>
        <w:pStyle w:val="HChG"/>
        <w:jc w:val="both"/>
      </w:pPr>
      <w:r>
        <w:tab/>
      </w:r>
      <w:r>
        <w:tab/>
        <w:t xml:space="preserve">Exemptions of direct </w:t>
      </w:r>
      <w:proofErr w:type="spellStart"/>
      <w:r>
        <w:t>deliveries</w:t>
      </w:r>
      <w:proofErr w:type="spellEnd"/>
    </w:p>
    <w:p w14:paraId="0D381F3C" w14:textId="23F69BAE" w:rsidR="001F002F" w:rsidRPr="00AE2133" w:rsidRDefault="00AE2133" w:rsidP="001F002F">
      <w:pPr>
        <w:pStyle w:val="HChG"/>
        <w:jc w:val="both"/>
        <w:rPr>
          <w:sz w:val="24"/>
          <w:szCs w:val="24"/>
        </w:rPr>
      </w:pPr>
      <w:r>
        <w:tab/>
      </w:r>
      <w:r w:rsidRPr="00AE2133">
        <w:rPr>
          <w:sz w:val="24"/>
          <w:szCs w:val="24"/>
        </w:rPr>
        <w:tab/>
      </w:r>
      <w:proofErr w:type="spellStart"/>
      <w:r w:rsidR="001F002F" w:rsidRPr="00AE2133">
        <w:rPr>
          <w:sz w:val="24"/>
          <w:szCs w:val="24"/>
        </w:rPr>
        <w:t>Submitted</w:t>
      </w:r>
      <w:proofErr w:type="spellEnd"/>
      <w:r w:rsidR="001F002F" w:rsidRPr="00AE2133">
        <w:rPr>
          <w:sz w:val="24"/>
          <w:szCs w:val="24"/>
        </w:rPr>
        <w:t xml:space="preserve"> by RECHARGE the Advanced Rechargeable and Lithium Batteries Association</w:t>
      </w:r>
    </w:p>
    <w:p w14:paraId="3D12EC7B" w14:textId="77777777" w:rsidR="001F002F" w:rsidRPr="00AE2133" w:rsidRDefault="001F002F" w:rsidP="00142CA4">
      <w:pPr>
        <w:pStyle w:val="HChG"/>
        <w:rPr>
          <w:sz w:val="24"/>
          <w:szCs w:val="24"/>
        </w:rPr>
      </w:pPr>
      <w:r w:rsidRPr="00AE2133">
        <w:rPr>
          <w:sz w:val="24"/>
          <w:szCs w:val="24"/>
        </w:rPr>
        <w:tab/>
      </w:r>
      <w:r w:rsidRPr="00AE2133">
        <w:rPr>
          <w:sz w:val="24"/>
          <w:szCs w:val="24"/>
        </w:rPr>
        <w:tab/>
      </w:r>
      <w:bookmarkStart w:id="0" w:name="_Hlk81222287"/>
      <w:r w:rsidRPr="00AE2133">
        <w:rPr>
          <w:sz w:val="24"/>
          <w:szCs w:val="24"/>
        </w:rPr>
        <w:t>Introduction</w:t>
      </w:r>
      <w:bookmarkEnd w:id="0"/>
    </w:p>
    <w:p w14:paraId="1A07008E" w14:textId="45D4C8C1" w:rsidR="001F002F" w:rsidRDefault="001F002F" w:rsidP="001F002F">
      <w:pPr>
        <w:pStyle w:val="SingleTxtG"/>
      </w:pPr>
      <w:r>
        <w:tab/>
        <w:t>1.</w:t>
      </w:r>
      <w:r>
        <w:tab/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sixtieth</w:t>
      </w:r>
      <w:proofErr w:type="spellEnd"/>
      <w:r>
        <w:t xml:space="preserve"> session of the </w:t>
      </w:r>
      <w:proofErr w:type="spellStart"/>
      <w:r w:rsidRPr="00E90820">
        <w:t>Sub-Committee</w:t>
      </w:r>
      <w:proofErr w:type="spellEnd"/>
      <w:r w:rsidRPr="00E90820">
        <w:t xml:space="preserve"> of Experts on the Transport of Dangerous </w:t>
      </w:r>
      <w:proofErr w:type="spellStart"/>
      <w:r w:rsidRPr="00E90820">
        <w:t>Goods</w:t>
      </w:r>
      <w:proofErr w:type="spellEnd"/>
      <w:r>
        <w:t xml:space="preserve">, </w:t>
      </w:r>
      <w:r w:rsidR="00DE3EF4">
        <w:t xml:space="preserve">the </w:t>
      </w:r>
      <w:r w:rsidR="00DE3EF4" w:rsidRPr="00DB762A">
        <w:t xml:space="preserve">Council on Safe Transportation of </w:t>
      </w:r>
      <w:proofErr w:type="spellStart"/>
      <w:r w:rsidR="00DE3EF4" w:rsidRPr="00DB762A">
        <w:t>Hazardous</w:t>
      </w:r>
      <w:proofErr w:type="spellEnd"/>
      <w:r w:rsidR="00DE3EF4" w:rsidRPr="00DB762A">
        <w:t xml:space="preserve"> Articles </w:t>
      </w:r>
      <w:r w:rsidR="0040181E">
        <w:t>(</w:t>
      </w:r>
      <w:r>
        <w:t>COSTHA</w:t>
      </w:r>
      <w:r w:rsidR="0040181E">
        <w:t>)</w:t>
      </w:r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working</w:t>
      </w:r>
      <w:proofErr w:type="spellEnd"/>
      <w:r w:rsidR="00B16781">
        <w:t xml:space="preserve"> (TDG)</w:t>
      </w:r>
      <w:r>
        <w:t xml:space="preserve"> documents </w:t>
      </w:r>
      <w:r w:rsidRPr="00E90820">
        <w:t>ST/SG/AC.10/C.3/2022/27</w:t>
      </w:r>
      <w:r>
        <w:t xml:space="preserve"> and </w:t>
      </w:r>
      <w:r w:rsidRPr="00E90820">
        <w:t xml:space="preserve">ST/SG/AC.10/C.3/2022/28 </w:t>
      </w:r>
      <w:r>
        <w:t xml:space="preserve">to </w:t>
      </w:r>
      <w:proofErr w:type="spellStart"/>
      <w:r>
        <w:t>clarify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packaging for </w:t>
      </w:r>
      <w:proofErr w:type="spellStart"/>
      <w:r>
        <w:t>deliveries</w:t>
      </w:r>
      <w:proofErr w:type="spellEnd"/>
      <w:r>
        <w:t xml:space="preserve"> </w:t>
      </w:r>
      <w:proofErr w:type="spellStart"/>
      <w:r w:rsidRPr="00294EFB">
        <w:t>stemming</w:t>
      </w:r>
      <w:proofErr w:type="spellEnd"/>
      <w:r w:rsidRPr="00294EFB">
        <w:t xml:space="preserve"> </w:t>
      </w:r>
      <w:proofErr w:type="spellStart"/>
      <w:r w:rsidRPr="00294EFB">
        <w:t>from</w:t>
      </w:r>
      <w:proofErr w:type="spellEnd"/>
      <w:r w:rsidRPr="00294EFB">
        <w:t xml:space="preserve"> a </w:t>
      </w:r>
      <w:proofErr w:type="spellStart"/>
      <w:r w:rsidRPr="00294EFB">
        <w:t>retail</w:t>
      </w:r>
      <w:proofErr w:type="spellEnd"/>
      <w:r w:rsidRPr="00294EFB">
        <w:t xml:space="preserve"> location</w:t>
      </w:r>
      <w:r>
        <w:t xml:space="preserve">, distribution centre to the end </w:t>
      </w:r>
      <w:proofErr w:type="spellStart"/>
      <w:r>
        <w:t>customer</w:t>
      </w:r>
      <w:proofErr w:type="spellEnd"/>
      <w:r>
        <w:t xml:space="preserve">. COSTHA </w:t>
      </w:r>
      <w:proofErr w:type="spellStart"/>
      <w:r>
        <w:t>questioned</w:t>
      </w:r>
      <w:proofErr w:type="spellEnd"/>
      <w:r>
        <w:t xml:space="preserve"> the</w:t>
      </w:r>
      <w:r w:rsidRPr="00294EFB">
        <w:t xml:space="preserve"> </w:t>
      </w:r>
      <w:proofErr w:type="spellStart"/>
      <w:r w:rsidRPr="00294EFB">
        <w:t>added</w:t>
      </w:r>
      <w:proofErr w:type="spellEnd"/>
      <w:r w:rsidRPr="00294EFB">
        <w:t xml:space="preserve"> </w:t>
      </w:r>
      <w:proofErr w:type="spellStart"/>
      <w:r w:rsidRPr="00294EFB">
        <w:t>safety</w:t>
      </w:r>
      <w:proofErr w:type="spellEnd"/>
      <w:r w:rsidRPr="00294EFB">
        <w:t xml:space="preserve"> </w:t>
      </w:r>
      <w:proofErr w:type="spellStart"/>
      <w:r w:rsidRPr="00294EFB">
        <w:t>benefit</w:t>
      </w:r>
      <w:proofErr w:type="spellEnd"/>
      <w:r w:rsidRPr="00294EFB">
        <w:t xml:space="preserve"> of </w:t>
      </w:r>
      <w:proofErr w:type="spellStart"/>
      <w:r w:rsidRPr="00294EFB">
        <w:t>further</w:t>
      </w:r>
      <w:proofErr w:type="spellEnd"/>
      <w:r w:rsidRPr="00294EFB">
        <w:t xml:space="preserve"> packaging </w:t>
      </w:r>
      <w:r>
        <w:t xml:space="preserve">of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 w:rsidRPr="00294EFB">
        <w:t xml:space="preserve"> </w:t>
      </w:r>
      <w:r>
        <w:t xml:space="preserve">for last mile transportation </w:t>
      </w:r>
      <w:proofErr w:type="spellStart"/>
      <w:r w:rsidRPr="00294EFB">
        <w:t>when</w:t>
      </w:r>
      <w:proofErr w:type="spellEnd"/>
      <w:r w:rsidRPr="00294EFB">
        <w:t xml:space="preserve"> the </w:t>
      </w:r>
      <w:proofErr w:type="spellStart"/>
      <w:r w:rsidRPr="00294EFB">
        <w:t>retail</w:t>
      </w:r>
      <w:proofErr w:type="spellEnd"/>
      <w:r w:rsidRPr="00294EFB">
        <w:t xml:space="preserve"> packaging </w:t>
      </w:r>
      <w:proofErr w:type="spellStart"/>
      <w:r w:rsidRPr="00294EFB">
        <w:t>is</w:t>
      </w:r>
      <w:proofErr w:type="spellEnd"/>
      <w:r w:rsidRPr="00294EFB">
        <w:t xml:space="preserve"> </w:t>
      </w:r>
      <w:proofErr w:type="spellStart"/>
      <w:r w:rsidRPr="00294EFB">
        <w:t>intended</w:t>
      </w:r>
      <w:proofErr w:type="spellEnd"/>
      <w:r w:rsidRPr="00294EFB">
        <w:t xml:space="preserve"> to </w:t>
      </w:r>
      <w:proofErr w:type="spellStart"/>
      <w:r w:rsidRPr="00294EFB">
        <w:t>provide</w:t>
      </w:r>
      <w:proofErr w:type="spellEnd"/>
      <w:r w:rsidRPr="00294EFB">
        <w:t xml:space="preserve"> </w:t>
      </w:r>
      <w:proofErr w:type="spellStart"/>
      <w:r w:rsidRPr="00294EFB">
        <w:t>sufficient</w:t>
      </w:r>
      <w:proofErr w:type="spellEnd"/>
      <w:r w:rsidRPr="00294EFB">
        <w:t xml:space="preserve"> </w:t>
      </w:r>
      <w:proofErr w:type="spellStart"/>
      <w:r w:rsidRPr="00294EFB">
        <w:t>containment</w:t>
      </w:r>
      <w:proofErr w:type="spellEnd"/>
      <w:r>
        <w:t xml:space="preserve"> </w:t>
      </w:r>
      <w:r w:rsidRPr="00294EFB">
        <w:t xml:space="preserve">or </w:t>
      </w:r>
      <w:proofErr w:type="spellStart"/>
      <w:r w:rsidRPr="00294EFB">
        <w:t>marking</w:t>
      </w:r>
      <w:proofErr w:type="spellEnd"/>
      <w:r w:rsidRPr="00294EFB">
        <w:t xml:space="preserve"> </w:t>
      </w:r>
      <w:r>
        <w:t xml:space="preserve">handling </w:t>
      </w:r>
      <w:proofErr w:type="spellStart"/>
      <w:r>
        <w:t>devices</w:t>
      </w:r>
      <w:proofErr w:type="spellEnd"/>
      <w:r>
        <w:t xml:space="preserve"> as </w:t>
      </w:r>
      <w:proofErr w:type="spellStart"/>
      <w:r>
        <w:t>overpacks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by the carrier. The documents </w:t>
      </w:r>
      <w:proofErr w:type="spellStart"/>
      <w:r>
        <w:t>highlighted</w:t>
      </w:r>
      <w:proofErr w:type="spellEnd"/>
      <w:r>
        <w:t xml:space="preserve"> ADR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e-commerce last mile </w:t>
      </w:r>
      <w:proofErr w:type="spellStart"/>
      <w:r>
        <w:t>deliveries</w:t>
      </w:r>
      <w:proofErr w:type="spellEnd"/>
      <w:r>
        <w:t xml:space="preserve"> to the end </w:t>
      </w:r>
      <w:proofErr w:type="spellStart"/>
      <w:r>
        <w:t>customers</w:t>
      </w:r>
      <w:proofErr w:type="spellEnd"/>
      <w:r>
        <w:t xml:space="preserve"> and the challenge for the </w:t>
      </w:r>
      <w:proofErr w:type="spellStart"/>
      <w:r>
        <w:t>industry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marking</w:t>
      </w:r>
      <w:proofErr w:type="spellEnd"/>
      <w:r>
        <w:t xml:space="preserve"> and labelling </w:t>
      </w:r>
      <w:proofErr w:type="spellStart"/>
      <w:r>
        <w:t>delivery</w:t>
      </w:r>
      <w:proofErr w:type="spellEnd"/>
      <w:r>
        <w:t xml:space="preserve"> containers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aid</w:t>
      </w:r>
      <w:proofErr w:type="spellEnd"/>
      <w:r>
        <w:t xml:space="preserve"> carrier </w:t>
      </w:r>
      <w:proofErr w:type="spellStart"/>
      <w:r>
        <w:t>operations</w:t>
      </w:r>
      <w:proofErr w:type="spellEnd"/>
      <w:r>
        <w:t xml:space="preserve"> as </w:t>
      </w:r>
      <w:proofErr w:type="spellStart"/>
      <w:r>
        <w:t>Overpacks</w:t>
      </w:r>
      <w:proofErr w:type="spellEnd"/>
      <w:r>
        <w:t xml:space="preserve">. This </w:t>
      </w:r>
      <w:proofErr w:type="spellStart"/>
      <w:r>
        <w:t>informal</w:t>
      </w:r>
      <w:proofErr w:type="spellEnd"/>
      <w:r>
        <w:t xml:space="preserve"> document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the Joint </w:t>
      </w:r>
      <w:proofErr w:type="spellStart"/>
      <w:r>
        <w:t>Committee</w:t>
      </w:r>
      <w:proofErr w:type="spellEnd"/>
      <w:r>
        <w:t xml:space="preserve"> more </w:t>
      </w:r>
      <w:proofErr w:type="spellStart"/>
      <w:r>
        <w:t>context</w:t>
      </w:r>
      <w:proofErr w:type="spellEnd"/>
      <w:r>
        <w:t xml:space="preserve"> and support of RECHARGE to the </w:t>
      </w:r>
      <w:proofErr w:type="spellStart"/>
      <w:r>
        <w:t>working</w:t>
      </w:r>
      <w:proofErr w:type="spellEnd"/>
      <w:r>
        <w:t xml:space="preserve"> documents </w:t>
      </w:r>
      <w:r w:rsidRPr="00294EFB">
        <w:t xml:space="preserve">ECE/TRANS/WP.15/AC.1/2022/27 - Online </w:t>
      </w:r>
      <w:proofErr w:type="spellStart"/>
      <w:r w:rsidRPr="00294EFB">
        <w:t>grocery</w:t>
      </w:r>
      <w:proofErr w:type="spellEnd"/>
      <w:r w:rsidRPr="00294EFB">
        <w:t xml:space="preserve"> </w:t>
      </w:r>
      <w:proofErr w:type="spellStart"/>
      <w:r w:rsidRPr="00294EFB">
        <w:t>delivery</w:t>
      </w:r>
      <w:proofErr w:type="spellEnd"/>
      <w:r w:rsidRPr="00294EFB">
        <w:t xml:space="preserve"> services (COSTHA)</w:t>
      </w:r>
      <w:r>
        <w:t xml:space="preserve"> and </w:t>
      </w:r>
      <w:r w:rsidRPr="00294EFB">
        <w:t xml:space="preserve">ECE/TRANS/WP.15/AC.1/2022/28 - Direct </w:t>
      </w:r>
      <w:proofErr w:type="spellStart"/>
      <w:r w:rsidRPr="00294EFB">
        <w:t>delivery</w:t>
      </w:r>
      <w:proofErr w:type="spellEnd"/>
      <w:r w:rsidRPr="00294EFB">
        <w:t xml:space="preserve"> of </w:t>
      </w:r>
      <w:proofErr w:type="spellStart"/>
      <w:r w:rsidRPr="00294EFB">
        <w:t>dangerous</w:t>
      </w:r>
      <w:proofErr w:type="spellEnd"/>
      <w:r w:rsidRPr="00294EFB">
        <w:t xml:space="preserve"> </w:t>
      </w:r>
      <w:proofErr w:type="spellStart"/>
      <w:r w:rsidRPr="00294EFB">
        <w:t>goods</w:t>
      </w:r>
      <w:proofErr w:type="spellEnd"/>
      <w:r w:rsidRPr="00294EFB">
        <w:t xml:space="preserve"> to end </w:t>
      </w:r>
      <w:proofErr w:type="spellStart"/>
      <w:r w:rsidRPr="00294EFB">
        <w:t>customers</w:t>
      </w:r>
      <w:proofErr w:type="spellEnd"/>
      <w:r w:rsidRPr="00294EFB">
        <w:t xml:space="preserve"> (</w:t>
      </w:r>
      <w:proofErr w:type="spellStart"/>
      <w:r w:rsidRPr="00294EFB">
        <w:t>overpacks</w:t>
      </w:r>
      <w:proofErr w:type="spellEnd"/>
      <w:r w:rsidRPr="00294EFB">
        <w:t>) (COSTHA)</w:t>
      </w:r>
      <w:r>
        <w:t>.</w:t>
      </w:r>
    </w:p>
    <w:p w14:paraId="19AD0135" w14:textId="77777777" w:rsidR="001F002F" w:rsidRPr="00AE2133" w:rsidRDefault="001F002F" w:rsidP="001F002F">
      <w:pPr>
        <w:pStyle w:val="HChG"/>
        <w:jc w:val="both"/>
        <w:rPr>
          <w:sz w:val="24"/>
          <w:szCs w:val="24"/>
        </w:rPr>
      </w:pPr>
      <w:r w:rsidRPr="00AE2133">
        <w:rPr>
          <w:sz w:val="24"/>
          <w:szCs w:val="24"/>
        </w:rPr>
        <w:tab/>
      </w:r>
      <w:r w:rsidRPr="00AE2133">
        <w:rPr>
          <w:sz w:val="24"/>
          <w:szCs w:val="24"/>
        </w:rPr>
        <w:tab/>
        <w:t>Discussion</w:t>
      </w:r>
    </w:p>
    <w:p w14:paraId="1D141BE2" w14:textId="05972D7F" w:rsidR="001F002F" w:rsidRDefault="001F002F" w:rsidP="00142CA4">
      <w:pPr>
        <w:pStyle w:val="SingleTxtG"/>
      </w:pPr>
      <w:r>
        <w:t>2.</w:t>
      </w:r>
      <w:r>
        <w:tab/>
      </w:r>
      <w:r w:rsidR="00123D4A" w:rsidRPr="00123D4A">
        <w:t xml:space="preserve">RECHARGE </w:t>
      </w:r>
      <w:proofErr w:type="spellStart"/>
      <w:r>
        <w:t>believe</w:t>
      </w:r>
      <w:r w:rsidR="009209C5">
        <w:t>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issues </w:t>
      </w:r>
      <w:proofErr w:type="spellStart"/>
      <w:r>
        <w:t>raised</w:t>
      </w:r>
      <w:proofErr w:type="spellEnd"/>
      <w:r>
        <w:t xml:space="preserve"> by COSTHA are </w:t>
      </w:r>
      <w:proofErr w:type="spellStart"/>
      <w:r>
        <w:t>valid</w:t>
      </w:r>
      <w:proofErr w:type="spellEnd"/>
      <w:r>
        <w:t xml:space="preserve"> and important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regulations</w:t>
      </w:r>
      <w:proofErr w:type="spellEnd"/>
      <w:r>
        <w:t xml:space="preserve">, UN Model </w:t>
      </w:r>
      <w:proofErr w:type="spellStart"/>
      <w:r>
        <w:t>Regulations</w:t>
      </w:r>
      <w:proofErr w:type="spellEnd"/>
      <w:r>
        <w:t xml:space="preserve"> or ADR, as </w:t>
      </w:r>
      <w:proofErr w:type="spellStart"/>
      <w:r>
        <w:t>necessary</w:t>
      </w:r>
      <w:proofErr w:type="spellEnd"/>
      <w:r>
        <w:t xml:space="preserve">. </w:t>
      </w:r>
      <w:r w:rsidR="0040181E" w:rsidRPr="00123D4A">
        <w:t xml:space="preserve">RECHARGE </w:t>
      </w:r>
      <w:r>
        <w:t>note</w:t>
      </w:r>
      <w:r w:rsidR="0040181E">
        <w:t>s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</w:t>
      </w:r>
      <w:r w:rsidRPr="005548A1">
        <w:t>pon</w:t>
      </w:r>
      <w:proofErr w:type="spellEnd"/>
      <w:r w:rsidRPr="005548A1">
        <w:t xml:space="preserve"> the </w:t>
      </w:r>
      <w:proofErr w:type="spellStart"/>
      <w:r w:rsidRPr="005548A1">
        <w:t>inquiry</w:t>
      </w:r>
      <w:proofErr w:type="spellEnd"/>
      <w:r w:rsidRPr="005548A1">
        <w:t xml:space="preserve"> of COSTHA on how national </w:t>
      </w:r>
      <w:proofErr w:type="spellStart"/>
      <w:r w:rsidRPr="005548A1">
        <w:t>delivery</w:t>
      </w:r>
      <w:proofErr w:type="spellEnd"/>
      <w:r w:rsidRPr="005548A1">
        <w:t xml:space="preserve"> </w:t>
      </w:r>
      <w:proofErr w:type="spellStart"/>
      <w:r w:rsidRPr="005548A1">
        <w:t>companies</w:t>
      </w:r>
      <w:proofErr w:type="spellEnd"/>
      <w:r w:rsidRPr="005548A1">
        <w:t xml:space="preserve"> and services </w:t>
      </w:r>
      <w:proofErr w:type="spellStart"/>
      <w:r w:rsidRPr="005548A1">
        <w:t>apply</w:t>
      </w:r>
      <w:proofErr w:type="spellEnd"/>
      <w:r w:rsidRPr="005548A1">
        <w:t xml:space="preserve"> the national </w:t>
      </w:r>
      <w:proofErr w:type="spellStart"/>
      <w:r w:rsidRPr="005548A1">
        <w:t>regulations</w:t>
      </w:r>
      <w:proofErr w:type="spellEnd"/>
      <w:r w:rsidRPr="005548A1">
        <w:t xml:space="preserve"> for </w:t>
      </w:r>
      <w:proofErr w:type="spellStart"/>
      <w:r w:rsidRPr="005548A1">
        <w:t>retail</w:t>
      </w:r>
      <w:proofErr w:type="spellEnd"/>
      <w:r w:rsidRPr="005548A1">
        <w:t xml:space="preserve"> </w:t>
      </w:r>
      <w:proofErr w:type="spellStart"/>
      <w:r>
        <w:t>deliveries</w:t>
      </w:r>
      <w:proofErr w:type="spellEnd"/>
      <w:r w:rsidRPr="005548A1">
        <w:t xml:space="preserve"> (e.g. in </w:t>
      </w:r>
      <w:proofErr w:type="spellStart"/>
      <w:r w:rsidRPr="005548A1">
        <w:t>paper</w:t>
      </w:r>
      <w:proofErr w:type="spellEnd"/>
      <w:r w:rsidRPr="005548A1">
        <w:t xml:space="preserve"> or plastics </w:t>
      </w:r>
      <w:proofErr w:type="spellStart"/>
      <w:r w:rsidRPr="005548A1">
        <w:t>bags</w:t>
      </w:r>
      <w:proofErr w:type="spellEnd"/>
      <w:r w:rsidRPr="005548A1">
        <w:t xml:space="preserve"> </w:t>
      </w:r>
      <w:proofErr w:type="spellStart"/>
      <w:r w:rsidRPr="005548A1">
        <w:t>regardless</w:t>
      </w:r>
      <w:proofErr w:type="spellEnd"/>
      <w:r w:rsidRPr="005548A1">
        <w:t xml:space="preserve"> of </w:t>
      </w:r>
      <w:proofErr w:type="spellStart"/>
      <w:r w:rsidRPr="005548A1">
        <w:t>whether</w:t>
      </w:r>
      <w:proofErr w:type="spellEnd"/>
      <w:r w:rsidRPr="005548A1">
        <w:t xml:space="preserve"> </w:t>
      </w:r>
      <w:proofErr w:type="spellStart"/>
      <w:r w:rsidRPr="005548A1">
        <w:t>they</w:t>
      </w:r>
      <w:proofErr w:type="spellEnd"/>
      <w:r w:rsidRPr="005548A1">
        <w:t xml:space="preserve"> are </w:t>
      </w:r>
      <w:proofErr w:type="spellStart"/>
      <w:r w:rsidRPr="005548A1">
        <w:t>considered</w:t>
      </w:r>
      <w:proofErr w:type="spellEnd"/>
      <w:r w:rsidRPr="005548A1">
        <w:t xml:space="preserve"> as a “</w:t>
      </w:r>
      <w:proofErr w:type="spellStart"/>
      <w:r w:rsidRPr="005548A1">
        <w:t>suitable</w:t>
      </w:r>
      <w:proofErr w:type="spellEnd"/>
      <w:r w:rsidRPr="005548A1">
        <w:t xml:space="preserve"> </w:t>
      </w:r>
      <w:proofErr w:type="spellStart"/>
      <w:r w:rsidRPr="005548A1">
        <w:t>outer</w:t>
      </w:r>
      <w:proofErr w:type="spellEnd"/>
      <w:r w:rsidRPr="005548A1">
        <w:t xml:space="preserve"> packaging” or “</w:t>
      </w:r>
      <w:proofErr w:type="spellStart"/>
      <w:r w:rsidRPr="005548A1">
        <w:t>overpack</w:t>
      </w:r>
      <w:proofErr w:type="spellEnd"/>
      <w:r w:rsidRPr="005548A1">
        <w:t xml:space="preserve">”, in </w:t>
      </w:r>
      <w:proofErr w:type="spellStart"/>
      <w:r w:rsidRPr="005548A1">
        <w:t>particular</w:t>
      </w:r>
      <w:proofErr w:type="spellEnd"/>
      <w:r w:rsidRPr="005548A1">
        <w:t xml:space="preserve"> </w:t>
      </w:r>
      <w:proofErr w:type="spellStart"/>
      <w:r w:rsidRPr="005548A1">
        <w:t>regarding</w:t>
      </w:r>
      <w:proofErr w:type="spellEnd"/>
      <w:r w:rsidRPr="005548A1">
        <w:t xml:space="preserve"> the </w:t>
      </w:r>
      <w:proofErr w:type="spellStart"/>
      <w:r w:rsidRPr="005548A1">
        <w:t>marking</w:t>
      </w:r>
      <w:proofErr w:type="spellEnd"/>
      <w:r w:rsidRPr="005548A1">
        <w:t xml:space="preserve">), </w:t>
      </w:r>
      <w:proofErr w:type="spellStart"/>
      <w:r w:rsidRPr="005548A1">
        <w:t>some</w:t>
      </w:r>
      <w:proofErr w:type="spellEnd"/>
      <w:r w:rsidRPr="005548A1">
        <w:t xml:space="preserve"> experts </w:t>
      </w:r>
      <w:proofErr w:type="spellStart"/>
      <w:r w:rsidRPr="005548A1">
        <w:t>reported</w:t>
      </w:r>
      <w:proofErr w:type="spellEnd"/>
      <w:r w:rsidRPr="005548A1">
        <w:t xml:space="preserve"> on </w:t>
      </w:r>
      <w:proofErr w:type="spellStart"/>
      <w:r w:rsidRPr="005548A1">
        <w:t>their</w:t>
      </w:r>
      <w:proofErr w:type="spellEnd"/>
      <w:r w:rsidRPr="005548A1">
        <w:t xml:space="preserve"> </w:t>
      </w:r>
      <w:proofErr w:type="spellStart"/>
      <w:r w:rsidRPr="005548A1">
        <w:t>experiences</w:t>
      </w:r>
      <w:proofErr w:type="spellEnd"/>
      <w:r w:rsidRPr="005548A1">
        <w:t xml:space="preserve"> and solutions </w:t>
      </w:r>
      <w:proofErr w:type="spellStart"/>
      <w:r w:rsidRPr="005548A1">
        <w:t>implemented</w:t>
      </w:r>
      <w:proofErr w:type="spellEnd"/>
      <w:r w:rsidRPr="005548A1">
        <w:t xml:space="preserve"> at national </w:t>
      </w:r>
      <w:proofErr w:type="spellStart"/>
      <w:r w:rsidRPr="005548A1">
        <w:t>level</w:t>
      </w:r>
      <w:proofErr w:type="spellEnd"/>
      <w:r w:rsidRPr="005548A1">
        <w:t xml:space="preserve"> </w:t>
      </w:r>
      <w:proofErr w:type="spellStart"/>
      <w:r w:rsidRPr="005548A1">
        <w:t>through</w:t>
      </w:r>
      <w:proofErr w:type="spellEnd"/>
      <w:r w:rsidRPr="005548A1">
        <w:t xml:space="preserve"> guidelines for </w:t>
      </w:r>
      <w:proofErr w:type="spellStart"/>
      <w:r w:rsidRPr="005548A1">
        <w:t>domestic</w:t>
      </w:r>
      <w:proofErr w:type="spellEnd"/>
      <w:r w:rsidRPr="005548A1">
        <w:t xml:space="preserve"> </w:t>
      </w:r>
      <w:proofErr w:type="spellStart"/>
      <w:r w:rsidRPr="005548A1">
        <w:t>deliveries</w:t>
      </w:r>
      <w:proofErr w:type="spellEnd"/>
      <w:r w:rsidRPr="005548A1">
        <w:t xml:space="preserve"> or </w:t>
      </w:r>
      <w:proofErr w:type="spellStart"/>
      <w:r w:rsidRPr="005548A1">
        <w:t>derogations</w:t>
      </w:r>
      <w:proofErr w:type="spellEnd"/>
      <w:r w:rsidRPr="005548A1">
        <w:t xml:space="preserve"> on </w:t>
      </w:r>
      <w:proofErr w:type="spellStart"/>
      <w:r w:rsidRPr="005548A1">
        <w:t>limited</w:t>
      </w:r>
      <w:proofErr w:type="spellEnd"/>
      <w:r w:rsidRPr="005548A1">
        <w:t xml:space="preserve"> </w:t>
      </w:r>
      <w:proofErr w:type="spellStart"/>
      <w:r w:rsidRPr="005548A1">
        <w:t>quantities</w:t>
      </w:r>
      <w:proofErr w:type="spellEnd"/>
      <w:r w:rsidRPr="005548A1">
        <w:t xml:space="preserve"> and packing provisions </w:t>
      </w:r>
      <w:proofErr w:type="spellStart"/>
      <w:r w:rsidRPr="005548A1">
        <w:t>according</w:t>
      </w:r>
      <w:proofErr w:type="spellEnd"/>
      <w:r w:rsidRPr="005548A1">
        <w:t xml:space="preserve"> to </w:t>
      </w:r>
      <w:proofErr w:type="spellStart"/>
      <w:r w:rsidRPr="005548A1">
        <w:t>chapters</w:t>
      </w:r>
      <w:proofErr w:type="spellEnd"/>
      <w:r w:rsidRPr="005548A1">
        <w:t xml:space="preserve"> 3.4 and 4.1 of the Model </w:t>
      </w:r>
      <w:proofErr w:type="spellStart"/>
      <w:r w:rsidRPr="005548A1">
        <w:t>Regulations</w:t>
      </w:r>
      <w:proofErr w:type="spellEnd"/>
      <w:r w:rsidRPr="005548A1">
        <w:t xml:space="preserve">. The </w:t>
      </w:r>
      <w:proofErr w:type="spellStart"/>
      <w:r w:rsidRPr="005548A1">
        <w:t>Sub-Committee</w:t>
      </w:r>
      <w:proofErr w:type="spellEnd"/>
      <w:r w:rsidRPr="005548A1"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 w:rsidRPr="005548A1">
        <w:t>noted</w:t>
      </w:r>
      <w:proofErr w:type="spellEnd"/>
      <w:r w:rsidRPr="005548A1">
        <w:t xml:space="preserve"> </w:t>
      </w:r>
      <w:proofErr w:type="spellStart"/>
      <w:r w:rsidRPr="005548A1">
        <w:t>differences</w:t>
      </w:r>
      <w:proofErr w:type="spellEnd"/>
      <w:r w:rsidRPr="005548A1">
        <w:t xml:space="preserve"> in the </w:t>
      </w:r>
      <w:proofErr w:type="spellStart"/>
      <w:r w:rsidRPr="005548A1">
        <w:t>definition</w:t>
      </w:r>
      <w:proofErr w:type="spellEnd"/>
      <w:r w:rsidRPr="005548A1">
        <w:t xml:space="preserve"> of “</w:t>
      </w:r>
      <w:proofErr w:type="spellStart"/>
      <w:r w:rsidRPr="005548A1">
        <w:t>overpack</w:t>
      </w:r>
      <w:proofErr w:type="spellEnd"/>
      <w:r w:rsidRPr="005548A1">
        <w:t xml:space="preserve">” </w:t>
      </w:r>
      <w:proofErr w:type="spellStart"/>
      <w:r w:rsidRPr="005548A1">
        <w:t>between</w:t>
      </w:r>
      <w:proofErr w:type="spellEnd"/>
      <w:r w:rsidRPr="005548A1">
        <w:t xml:space="preserve"> the Model </w:t>
      </w:r>
      <w:proofErr w:type="spellStart"/>
      <w:r w:rsidRPr="005548A1">
        <w:t>Regulations</w:t>
      </w:r>
      <w:proofErr w:type="spellEnd"/>
      <w:r w:rsidRPr="005548A1">
        <w:t xml:space="preserve"> and the ADR, and </w:t>
      </w:r>
      <w:proofErr w:type="spellStart"/>
      <w:r w:rsidRPr="005548A1">
        <w:t>also</w:t>
      </w:r>
      <w:proofErr w:type="spellEnd"/>
      <w:r w:rsidRPr="005548A1">
        <w:t xml:space="preserve"> in the </w:t>
      </w:r>
      <w:proofErr w:type="spellStart"/>
      <w:r w:rsidRPr="005548A1">
        <w:t>interpretations</w:t>
      </w:r>
      <w:proofErr w:type="spellEnd"/>
      <w:r w:rsidRPr="005548A1">
        <w:t xml:space="preserve"> of and </w:t>
      </w:r>
      <w:proofErr w:type="spellStart"/>
      <w:r w:rsidRPr="005548A1">
        <w:t>implementation</w:t>
      </w:r>
      <w:proofErr w:type="spellEnd"/>
      <w:r w:rsidRPr="005548A1">
        <w:t xml:space="preserve"> by countries. </w:t>
      </w:r>
    </w:p>
    <w:p w14:paraId="3754538A" w14:textId="5026D7B1" w:rsidR="001F002F" w:rsidRDefault="001F002F" w:rsidP="00142CA4">
      <w:pPr>
        <w:pStyle w:val="SingleTxtG"/>
      </w:pPr>
      <w:r>
        <w:t>3.</w:t>
      </w:r>
      <w:r>
        <w:tab/>
      </w:r>
      <w:proofErr w:type="spellStart"/>
      <w:r>
        <w:t>With</w:t>
      </w:r>
      <w:proofErr w:type="spellEnd"/>
      <w:r>
        <w:t xml:space="preserve"> respect to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, the </w:t>
      </w:r>
      <w:proofErr w:type="spellStart"/>
      <w:r>
        <w:t>current</w:t>
      </w:r>
      <w:proofErr w:type="spellEnd"/>
      <w:r>
        <w:t xml:space="preserve"> exception in </w:t>
      </w:r>
      <w:proofErr w:type="spellStart"/>
      <w:r>
        <w:t>paragraph</w:t>
      </w:r>
      <w:proofErr w:type="spellEnd"/>
      <w:r>
        <w:t xml:space="preserve"> 1.1.3.1 (a) </w:t>
      </w:r>
      <w:proofErr w:type="spellStart"/>
      <w:r>
        <w:t>provides</w:t>
      </w:r>
      <w:proofErr w:type="spellEnd"/>
      <w:r>
        <w:t xml:space="preserve"> the </w:t>
      </w:r>
      <w:proofErr w:type="spellStart"/>
      <w:r>
        <w:t>framework</w:t>
      </w:r>
      <w:proofErr w:type="spellEnd"/>
      <w:r>
        <w:t xml:space="preserve"> and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rationale</w:t>
      </w:r>
      <w:proofErr w:type="spellEnd"/>
      <w:r>
        <w:t xml:space="preserve"> for </w:t>
      </w:r>
      <w:proofErr w:type="spellStart"/>
      <w:r>
        <w:t>addressing</w:t>
      </w:r>
      <w:proofErr w:type="spellEnd"/>
      <w:r>
        <w:t xml:space="preserve"> the issue of </w:t>
      </w:r>
      <w:proofErr w:type="spellStart"/>
      <w:r>
        <w:t>deliveries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or distribution locations to the end consumer. The </w:t>
      </w:r>
      <w:proofErr w:type="spellStart"/>
      <w:r>
        <w:t>current</w:t>
      </w:r>
      <w:proofErr w:type="spellEnd"/>
      <w:r>
        <w:t xml:space="preserve"> exception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“</w:t>
      </w:r>
      <w:proofErr w:type="spellStart"/>
      <w:r>
        <w:t>carriage</w:t>
      </w:r>
      <w:proofErr w:type="spellEnd"/>
      <w:r>
        <w:t xml:space="preserve"> of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by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”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“</w:t>
      </w:r>
      <w:proofErr w:type="spellStart"/>
      <w:r>
        <w:t>personal</w:t>
      </w:r>
      <w:proofErr w:type="spellEnd"/>
      <w:r>
        <w:t xml:space="preserve"> or </w:t>
      </w:r>
      <w:proofErr w:type="spellStart"/>
      <w:r>
        <w:t>domestic</w:t>
      </w:r>
      <w:proofErr w:type="spellEnd"/>
      <w:r>
        <w:t xml:space="preserve"> use or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or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”.</w:t>
      </w:r>
    </w:p>
    <w:p w14:paraId="10819126" w14:textId="07C44DEB" w:rsidR="001F002F" w:rsidRDefault="001F002F" w:rsidP="00142CA4">
      <w:pPr>
        <w:pStyle w:val="SingleTxtG"/>
      </w:pPr>
      <w:r>
        <w:lastRenderedPageBreak/>
        <w:t>4.</w:t>
      </w:r>
      <w:r>
        <w:tab/>
        <w:t xml:space="preserve">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exception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the issue </w:t>
      </w:r>
      <w:proofErr w:type="spellStart"/>
      <w:r>
        <w:t>raised</w:t>
      </w:r>
      <w:proofErr w:type="spellEnd"/>
      <w:r>
        <w:t xml:space="preserve"> by COSTHA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times,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to </w:t>
      </w:r>
      <w:proofErr w:type="spellStart"/>
      <w:r>
        <w:t>pick</w:t>
      </w:r>
      <w:proofErr w:type="spellEnd"/>
      <w:r>
        <w:t xml:space="preserve"> up </w:t>
      </w:r>
      <w:proofErr w:type="spellStart"/>
      <w:r>
        <w:t>groceries</w:t>
      </w:r>
      <w:proofErr w:type="spellEnd"/>
      <w:r>
        <w:t xml:space="preserve"> for a </w:t>
      </w:r>
      <w:proofErr w:type="spellStart"/>
      <w:r>
        <w:t>sick</w:t>
      </w:r>
      <w:proofErr w:type="spellEnd"/>
      <w:r>
        <w:t xml:space="preserve"> or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the exception,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excepted</w:t>
      </w:r>
      <w:proofErr w:type="spellEnd"/>
      <w:r>
        <w:t xml:space="preserve"> as the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for </w:t>
      </w:r>
      <w:proofErr w:type="spellStart"/>
      <w:r>
        <w:rPr>
          <w:i/>
          <w:u w:val="single"/>
        </w:rP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use. </w:t>
      </w:r>
      <w:proofErr w:type="spellStart"/>
      <w:r>
        <w:t>However</w:t>
      </w:r>
      <w:proofErr w:type="spellEnd"/>
      <w:r>
        <w:t xml:space="preserve">, the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dangerous</w:t>
      </w:r>
      <w:proofErr w:type="spellEnd"/>
      <w:r>
        <w:t xml:space="preserve"> good, and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have an extensive and effective </w:t>
      </w:r>
      <w:proofErr w:type="spellStart"/>
      <w:r>
        <w:t>history</w:t>
      </w:r>
      <w:proofErr w:type="spellEnd"/>
      <w:r>
        <w:t xml:space="preserve">. This point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of the </w:t>
      </w:r>
      <w:proofErr w:type="spellStart"/>
      <w:r>
        <w:t>newer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services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are </w:t>
      </w:r>
      <w:proofErr w:type="spellStart"/>
      <w:r>
        <w:t>conducted</w:t>
      </w:r>
      <w:proofErr w:type="spellEnd"/>
      <w:r>
        <w:t xml:space="preserve"> by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cars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individuals</w:t>
      </w:r>
      <w:proofErr w:type="spellEnd"/>
      <w:r>
        <w:t xml:space="preserve"> and/or businesses. In </w:t>
      </w:r>
      <w:proofErr w:type="spellStart"/>
      <w:r>
        <w:t>each</w:t>
      </w:r>
      <w:proofErr w:type="spellEnd"/>
      <w:r>
        <w:t xml:space="preserve"> case,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 are to the end consumer/user of the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>.</w:t>
      </w:r>
    </w:p>
    <w:p w14:paraId="79A01969" w14:textId="1FADAB8F" w:rsidR="001F002F" w:rsidRPr="00C510D5" w:rsidRDefault="001F002F" w:rsidP="00142CA4">
      <w:pPr>
        <w:pStyle w:val="SingleTxtG"/>
      </w:pPr>
      <w:r>
        <w:t>5.</w:t>
      </w:r>
      <w:r>
        <w:tab/>
      </w:r>
      <w:proofErr w:type="spellStart"/>
      <w:r>
        <w:t>Additionally</w:t>
      </w:r>
      <w:proofErr w:type="spellEnd"/>
      <w:r>
        <w:t xml:space="preserve">, as </w:t>
      </w:r>
      <w:proofErr w:type="spellStart"/>
      <w:r>
        <w:t>highlighted</w:t>
      </w:r>
      <w:proofErr w:type="spellEnd"/>
      <w:r>
        <w:t xml:space="preserve"> by COSTHA, the </w:t>
      </w:r>
      <w:proofErr w:type="spellStart"/>
      <w:r>
        <w:t>definition</w:t>
      </w:r>
      <w:proofErr w:type="spellEnd"/>
      <w:r>
        <w:t xml:space="preserve"> of “</w:t>
      </w:r>
      <w:proofErr w:type="spellStart"/>
      <w:r>
        <w:t>Overpack</w:t>
      </w:r>
      <w:proofErr w:type="spellEnd"/>
      <w:r>
        <w:t xml:space="preserve">” </w:t>
      </w:r>
      <w:proofErr w:type="spellStart"/>
      <w:r>
        <w:t>within</w:t>
      </w:r>
      <w:proofErr w:type="spellEnd"/>
      <w:r>
        <w:t xml:space="preserve"> ADR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at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the UN Model </w:t>
      </w:r>
      <w:proofErr w:type="spellStart"/>
      <w:r>
        <w:t>Regulations</w:t>
      </w:r>
      <w:proofErr w:type="spellEnd"/>
      <w:r>
        <w:t xml:space="preserve">. </w:t>
      </w:r>
      <w:r w:rsidR="000408A1" w:rsidRPr="00123D4A">
        <w:t xml:space="preserve">RECHARGE </w:t>
      </w:r>
      <w:proofErr w:type="spellStart"/>
      <w:r>
        <w:t>believe</w:t>
      </w:r>
      <w:r w:rsidR="000408A1">
        <w:t>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definition</w:t>
      </w:r>
      <w:proofErr w:type="spellEnd"/>
      <w:r>
        <w:t xml:space="preserve"> of “</w:t>
      </w:r>
      <w:proofErr w:type="spellStart"/>
      <w:r>
        <w:t>Overpack</w:t>
      </w:r>
      <w:proofErr w:type="spellEnd"/>
      <w:r>
        <w:t xml:space="preserve">”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ADR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consistency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the ICAO TI and IMDG Code. If, as </w:t>
      </w:r>
      <w:proofErr w:type="spellStart"/>
      <w:r>
        <w:t>described</w:t>
      </w:r>
      <w:proofErr w:type="spellEnd"/>
      <w:r>
        <w:t xml:space="preserve"> at the </w:t>
      </w:r>
      <w:r w:rsidR="00AB0386">
        <w:t>TDG</w:t>
      </w:r>
      <w:r>
        <w:t xml:space="preserve"> </w:t>
      </w:r>
      <w:proofErr w:type="spellStart"/>
      <w:r w:rsidR="00AB0386">
        <w:t>S</w:t>
      </w:r>
      <w:r>
        <w:t>ub-</w:t>
      </w:r>
      <w:r w:rsidR="00AB0386">
        <w:t>C</w:t>
      </w:r>
      <w:r>
        <w:t>ommittee</w:t>
      </w:r>
      <w:proofErr w:type="spellEnd"/>
      <w:r>
        <w:t xml:space="preserve"> </w:t>
      </w:r>
      <w:r w:rsidR="00AB0386">
        <w:t>session</w:t>
      </w:r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carrier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carriers are </w:t>
      </w:r>
      <w:proofErr w:type="spellStart"/>
      <w:r>
        <w:t>utilizing</w:t>
      </w:r>
      <w:proofErr w:type="spellEnd"/>
      <w:r>
        <w:t xml:space="preserve"> a handling </w:t>
      </w:r>
      <w:proofErr w:type="spellStart"/>
      <w:r>
        <w:t>device</w:t>
      </w:r>
      <w:proofErr w:type="spellEnd"/>
      <w:r>
        <w:t xml:space="preserve"> (bag) to more </w:t>
      </w:r>
      <w:proofErr w:type="spellStart"/>
      <w:r>
        <w:t>efficiently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and </w:t>
      </w:r>
      <w:proofErr w:type="spellStart"/>
      <w:r>
        <w:t>segregate</w:t>
      </w:r>
      <w:proofErr w:type="spellEnd"/>
      <w:r>
        <w:t xml:space="preserve"> packages,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are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Parts 7 or 8 as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necessary</w:t>
      </w:r>
      <w:proofErr w:type="spellEnd"/>
      <w:r>
        <w:t>.</w:t>
      </w:r>
    </w:p>
    <w:p w14:paraId="0DFBC4EA" w14:textId="77777777" w:rsidR="001F002F" w:rsidRPr="00AE2133" w:rsidRDefault="001F002F" w:rsidP="001F002F">
      <w:pPr>
        <w:pStyle w:val="HChG"/>
        <w:ind w:left="0" w:firstLine="0"/>
        <w:jc w:val="both"/>
        <w:rPr>
          <w:sz w:val="24"/>
          <w:szCs w:val="24"/>
        </w:rPr>
      </w:pPr>
      <w:r w:rsidRPr="00AE2133">
        <w:rPr>
          <w:sz w:val="24"/>
          <w:szCs w:val="24"/>
        </w:rPr>
        <w:tab/>
      </w:r>
      <w:r w:rsidRPr="00AE2133">
        <w:rPr>
          <w:sz w:val="24"/>
          <w:szCs w:val="24"/>
        </w:rPr>
        <w:tab/>
      </w:r>
      <w:proofErr w:type="spellStart"/>
      <w:r w:rsidRPr="00AE2133">
        <w:rPr>
          <w:sz w:val="24"/>
          <w:szCs w:val="24"/>
        </w:rPr>
        <w:t>Proposal</w:t>
      </w:r>
      <w:proofErr w:type="spellEnd"/>
    </w:p>
    <w:p w14:paraId="633BB222" w14:textId="77777777" w:rsidR="00000990" w:rsidRDefault="001F002F" w:rsidP="009B11F2">
      <w:pPr>
        <w:pStyle w:val="SingleTxtG"/>
      </w:pPr>
      <w:r>
        <w:t>6.</w:t>
      </w:r>
      <w:r>
        <w:tab/>
        <w:t xml:space="preserve">RECHARGE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carriage</w:t>
      </w:r>
      <w:proofErr w:type="spellEnd"/>
      <w:r>
        <w:t xml:space="preserve"> of DG to the end </w:t>
      </w:r>
      <w:proofErr w:type="spellStart"/>
      <w:r>
        <w:t>customer</w:t>
      </w:r>
      <w:proofErr w:type="spellEnd"/>
      <w:r>
        <w:t xml:space="preserve"> feedback about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 ADR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specifically</w:t>
      </w:r>
      <w:proofErr w:type="spellEnd"/>
      <w:r>
        <w:t xml:space="preserve"> last mile </w:t>
      </w:r>
      <w:proofErr w:type="spellStart"/>
      <w:r>
        <w:t>deliveries</w:t>
      </w:r>
      <w:proofErr w:type="spellEnd"/>
      <w:r>
        <w:t xml:space="preserve"> and handling </w:t>
      </w:r>
      <w:proofErr w:type="spellStart"/>
      <w:r>
        <w:t>devices</w:t>
      </w:r>
      <w:proofErr w:type="spellEnd"/>
      <w:r>
        <w:t xml:space="preserve"> (</w:t>
      </w:r>
      <w:proofErr w:type="spellStart"/>
      <w:r>
        <w:t>bags</w:t>
      </w:r>
      <w:proofErr w:type="spellEnd"/>
      <w:r>
        <w:t xml:space="preserve">) </w:t>
      </w:r>
      <w:proofErr w:type="spellStart"/>
      <w:r>
        <w:t>utilized</w:t>
      </w:r>
      <w:proofErr w:type="spellEnd"/>
      <w:r>
        <w:t xml:space="preserve"> by carriers. </w:t>
      </w:r>
      <w:r w:rsidR="00CB63DA">
        <w:t xml:space="preserve">RECHARGE </w:t>
      </w:r>
      <w:proofErr w:type="spellStart"/>
      <w:r>
        <w:t>believe</w:t>
      </w:r>
      <w:r w:rsidR="00CB63DA">
        <w:t>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limitations (i.e. “</w:t>
      </w:r>
      <w:proofErr w:type="spellStart"/>
      <w:r>
        <w:t>packaged</w:t>
      </w:r>
      <w:proofErr w:type="spellEnd"/>
      <w:r>
        <w:t xml:space="preserve"> for </w:t>
      </w:r>
      <w:proofErr w:type="spellStart"/>
      <w:r>
        <w:t>retail</w:t>
      </w:r>
      <w:proofErr w:type="spellEnd"/>
      <w:r>
        <w:t xml:space="preserve"> sale”)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exception </w:t>
      </w:r>
      <w:proofErr w:type="spellStart"/>
      <w:r>
        <w:t>in</w:t>
      </w:r>
      <w:proofErr w:type="spellEnd"/>
      <w:r>
        <w:t xml:space="preserve"> 1.1.3.1 (a)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minor changes (i.e. “</w:t>
      </w:r>
      <w:proofErr w:type="spellStart"/>
      <w:r>
        <w:t>from</w:t>
      </w:r>
      <w:proofErr w:type="spellEnd"/>
      <w:r>
        <w:t xml:space="preserve"> distribution centres and </w:t>
      </w:r>
      <w:proofErr w:type="spellStart"/>
      <w:r>
        <w:t>retail</w:t>
      </w:r>
      <w:proofErr w:type="spellEnd"/>
      <w:r>
        <w:t xml:space="preserve"> locations to end </w:t>
      </w:r>
      <w:proofErr w:type="spellStart"/>
      <w:r>
        <w:t>consumers</w:t>
      </w:r>
      <w:proofErr w:type="spellEnd"/>
      <w:r>
        <w:t xml:space="preserve">”) are </w:t>
      </w:r>
      <w:proofErr w:type="spellStart"/>
      <w:r>
        <w:t>adequate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the </w:t>
      </w:r>
      <w:proofErr w:type="spellStart"/>
      <w:r>
        <w:t>safe</w:t>
      </w:r>
      <w:proofErr w:type="spellEnd"/>
      <w:r>
        <w:t xml:space="preserve"> transportation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final leg of transportation. </w:t>
      </w:r>
      <w:proofErr w:type="spellStart"/>
      <w:r>
        <w:t>Therefore</w:t>
      </w:r>
      <w:proofErr w:type="spellEnd"/>
      <w:r>
        <w:t xml:space="preserve">, the </w:t>
      </w:r>
      <w:proofErr w:type="spellStart"/>
      <w:r>
        <w:t>following</w:t>
      </w:r>
      <w:proofErr w:type="spellEnd"/>
      <w:r>
        <w:t xml:space="preserve"> alternative </w:t>
      </w:r>
      <w:proofErr w:type="spellStart"/>
      <w:r>
        <w:t>amendments</w:t>
      </w:r>
      <w:proofErr w:type="spellEnd"/>
      <w:r>
        <w:t xml:space="preserve"> </w:t>
      </w:r>
      <w:r w:rsidR="004214FD">
        <w:t xml:space="preserve">are </w:t>
      </w:r>
      <w:proofErr w:type="spellStart"/>
      <w:r w:rsidR="004214FD">
        <w:t>proposed</w:t>
      </w:r>
      <w:proofErr w:type="spellEnd"/>
      <w:r w:rsidR="004214FD">
        <w:t xml:space="preserve"> </w:t>
      </w:r>
      <w:r>
        <w:t xml:space="preserve">to </w:t>
      </w:r>
      <w:proofErr w:type="spellStart"/>
      <w:r>
        <w:t>address</w:t>
      </w:r>
      <w:proofErr w:type="spellEnd"/>
      <w:r>
        <w:t xml:space="preserve"> the issues </w:t>
      </w:r>
      <w:proofErr w:type="spellStart"/>
      <w:r>
        <w:t>presented</w:t>
      </w:r>
      <w:proofErr w:type="spellEnd"/>
      <w:r>
        <w:t xml:space="preserve"> and </w:t>
      </w:r>
      <w:proofErr w:type="spellStart"/>
      <w:r>
        <w:t>identified</w:t>
      </w:r>
      <w:proofErr w:type="spellEnd"/>
      <w:r>
        <w:t xml:space="preserve"> by COSTHA</w:t>
      </w:r>
      <w:r w:rsidR="00000990">
        <w:t> :</w:t>
      </w:r>
    </w:p>
    <w:p w14:paraId="5ACB4292" w14:textId="44034980" w:rsidR="001F002F" w:rsidRDefault="008176C0" w:rsidP="009B11F2">
      <w:pPr>
        <w:pStyle w:val="SingleTxtG"/>
      </w:pPr>
      <w:r>
        <w:t>I</w:t>
      </w:r>
      <w:r w:rsidR="009B11F2">
        <w:t>n docum</w:t>
      </w:r>
      <w:r>
        <w:t>e</w:t>
      </w:r>
      <w:r w:rsidR="009B11F2">
        <w:t xml:space="preserve">nt </w:t>
      </w:r>
      <w:r w:rsidR="001F002F" w:rsidRPr="007D5400">
        <w:t>ECE/TRANS/WP.15/AC.1/2022/2</w:t>
      </w:r>
      <w:r w:rsidR="001F002F">
        <w:t>7</w:t>
      </w:r>
      <w:r w:rsidR="009829D4">
        <w:t> :</w:t>
      </w:r>
    </w:p>
    <w:p w14:paraId="5CBB2A8C" w14:textId="4D27913C" w:rsidR="005C41AA" w:rsidRDefault="009420D7" w:rsidP="001F002F">
      <w:pPr>
        <w:pStyle w:val="SingleTxtG"/>
        <w:spacing w:before="240"/>
        <w:ind w:left="1080" w:right="1138"/>
      </w:pPr>
      <w:r>
        <w:t>7.</w:t>
      </w:r>
      <w:r>
        <w:tab/>
      </w:r>
      <w:proofErr w:type="spellStart"/>
      <w:r w:rsidR="001F002F">
        <w:t>Amend</w:t>
      </w:r>
      <w:proofErr w:type="spellEnd"/>
      <w:r w:rsidR="001F002F">
        <w:t xml:space="preserve"> 1.1.3.1 </w:t>
      </w:r>
      <w:proofErr w:type="spellStart"/>
      <w:r w:rsidR="001F002F" w:rsidRPr="00A32F71">
        <w:t>paragraph</w:t>
      </w:r>
      <w:proofErr w:type="spellEnd"/>
      <w:r w:rsidR="001F002F" w:rsidRPr="00A32F71">
        <w:t xml:space="preserve"> (</w:t>
      </w:r>
      <w:r w:rsidR="001F002F">
        <w:t>a</w:t>
      </w:r>
      <w:r w:rsidR="001F002F" w:rsidRPr="00A32F71">
        <w:t>)</w:t>
      </w:r>
      <w:r w:rsidR="009829D4">
        <w:t xml:space="preserve"> to </w:t>
      </w:r>
      <w:proofErr w:type="spellStart"/>
      <w:r w:rsidR="009829D4">
        <w:t>read</w:t>
      </w:r>
      <w:proofErr w:type="spellEnd"/>
      <w:r w:rsidR="009829D4">
        <w:t xml:space="preserve"> as </w:t>
      </w:r>
      <w:proofErr w:type="spellStart"/>
      <w:r w:rsidR="009829D4">
        <w:t>follows</w:t>
      </w:r>
      <w:proofErr w:type="spellEnd"/>
      <w:r w:rsidR="005C41AA">
        <w:t> </w:t>
      </w:r>
      <w:r w:rsidR="00583A2A">
        <w:t>(n</w:t>
      </w:r>
      <w:r w:rsidR="00583A2A">
        <w:rPr>
          <w:bCs/>
          <w:color w:val="0B0C0C"/>
        </w:rPr>
        <w:t xml:space="preserve">ew </w:t>
      </w:r>
      <w:proofErr w:type="spellStart"/>
      <w:r w:rsidR="00583A2A">
        <w:rPr>
          <w:bCs/>
          <w:color w:val="0B0C0C"/>
        </w:rPr>
        <w:t>text</w:t>
      </w:r>
      <w:proofErr w:type="spellEnd"/>
      <w:r w:rsidR="00583A2A">
        <w:rPr>
          <w:bCs/>
          <w:color w:val="0B0C0C"/>
        </w:rPr>
        <w:t xml:space="preserve"> </w:t>
      </w:r>
      <w:proofErr w:type="spellStart"/>
      <w:r w:rsidR="00583A2A">
        <w:rPr>
          <w:bCs/>
          <w:color w:val="0B0C0C"/>
        </w:rPr>
        <w:t>added</w:t>
      </w:r>
      <w:proofErr w:type="spellEnd"/>
      <w:r w:rsidR="00583A2A">
        <w:rPr>
          <w:bCs/>
          <w:color w:val="0B0C0C"/>
        </w:rPr>
        <w:t xml:space="preserve"> </w:t>
      </w:r>
      <w:proofErr w:type="spellStart"/>
      <w:r w:rsidR="00583A2A">
        <w:rPr>
          <w:bCs/>
          <w:color w:val="0B0C0C"/>
        </w:rPr>
        <w:t>is</w:t>
      </w:r>
      <w:proofErr w:type="spellEnd"/>
      <w:r w:rsidR="00583A2A">
        <w:rPr>
          <w:bCs/>
          <w:color w:val="0B0C0C"/>
        </w:rPr>
        <w:t xml:space="preserve"> </w:t>
      </w:r>
      <w:proofErr w:type="spellStart"/>
      <w:r w:rsidR="00583A2A" w:rsidRPr="00E655DC">
        <w:rPr>
          <w:bCs/>
          <w:color w:val="0B0C0C"/>
          <w:u w:val="single"/>
        </w:rPr>
        <w:t>underlined</w:t>
      </w:r>
      <w:proofErr w:type="spellEnd"/>
      <w:r w:rsidR="00583A2A" w:rsidRPr="00D25D4E">
        <w:rPr>
          <w:bCs/>
          <w:color w:val="0B0C0C"/>
        </w:rPr>
        <w:t xml:space="preserve">, </w:t>
      </w:r>
      <w:proofErr w:type="spellStart"/>
      <w:r w:rsidR="00D25D4E">
        <w:rPr>
          <w:bCs/>
          <w:color w:val="0B0C0C"/>
        </w:rPr>
        <w:t>delet</w:t>
      </w:r>
      <w:r w:rsidR="00583A2A" w:rsidRPr="00E655DC">
        <w:rPr>
          <w:bCs/>
          <w:color w:val="0B0C0C"/>
        </w:rPr>
        <w:t>ed</w:t>
      </w:r>
      <w:proofErr w:type="spellEnd"/>
      <w:r w:rsidR="00583A2A" w:rsidRPr="00E655DC">
        <w:rPr>
          <w:bCs/>
          <w:color w:val="0B0C0C"/>
        </w:rPr>
        <w:t xml:space="preserve"> </w:t>
      </w:r>
      <w:proofErr w:type="spellStart"/>
      <w:r w:rsidR="00583A2A" w:rsidRPr="00E655DC">
        <w:rPr>
          <w:bCs/>
          <w:color w:val="0B0C0C"/>
        </w:rPr>
        <w:t>text</w:t>
      </w:r>
      <w:proofErr w:type="spellEnd"/>
      <w:r w:rsidR="00583A2A" w:rsidRPr="00E655DC">
        <w:rPr>
          <w:bCs/>
          <w:color w:val="0B0C0C"/>
        </w:rPr>
        <w:t xml:space="preserve"> </w:t>
      </w:r>
      <w:proofErr w:type="spellStart"/>
      <w:r w:rsidR="00583A2A" w:rsidRPr="00E655DC">
        <w:rPr>
          <w:bCs/>
          <w:color w:val="0B0C0C"/>
        </w:rPr>
        <w:t>is</w:t>
      </w:r>
      <w:proofErr w:type="spellEnd"/>
      <w:r w:rsidR="00583A2A" w:rsidRPr="00E655DC">
        <w:rPr>
          <w:bCs/>
          <w:color w:val="0B0C0C"/>
        </w:rPr>
        <w:t xml:space="preserve"> </w:t>
      </w:r>
      <w:proofErr w:type="spellStart"/>
      <w:r w:rsidR="00583A2A" w:rsidRPr="00E655DC">
        <w:rPr>
          <w:bCs/>
          <w:color w:val="0B0C0C"/>
        </w:rPr>
        <w:t>stricken</w:t>
      </w:r>
      <w:proofErr w:type="spellEnd"/>
      <w:r w:rsidR="00583A2A" w:rsidRPr="00E655DC">
        <w:rPr>
          <w:bCs/>
          <w:color w:val="0B0C0C"/>
        </w:rPr>
        <w:t xml:space="preserve"> </w:t>
      </w:r>
      <w:proofErr w:type="spellStart"/>
      <w:r w:rsidR="00583A2A" w:rsidRPr="00E655DC">
        <w:rPr>
          <w:bCs/>
          <w:strike/>
          <w:color w:val="0B0C0C"/>
        </w:rPr>
        <w:t>through</w:t>
      </w:r>
      <w:proofErr w:type="spellEnd"/>
      <w:r w:rsidR="00D25D4E">
        <w:rPr>
          <w:bCs/>
          <w:color w:val="0B0C0C"/>
        </w:rPr>
        <w:t>)</w:t>
      </w:r>
      <w:r w:rsidR="005C41AA">
        <w:t>:</w:t>
      </w:r>
    </w:p>
    <w:p w14:paraId="42C5B04F" w14:textId="349D1BF9" w:rsidR="001F002F" w:rsidRPr="00A32F71" w:rsidRDefault="001F002F" w:rsidP="001F002F">
      <w:pPr>
        <w:pStyle w:val="SingleTxtG"/>
        <w:spacing w:before="240"/>
        <w:ind w:left="1080" w:right="1138"/>
        <w:rPr>
          <w:bCs/>
          <w:color w:val="0B0C0C"/>
        </w:rPr>
      </w:pPr>
      <w:r w:rsidRPr="001650E8">
        <w:rPr>
          <w:b/>
          <w:bCs/>
          <w:color w:val="0B0C0C"/>
        </w:rPr>
        <w:t>“1.1.3.1</w:t>
      </w:r>
      <w:r w:rsidRPr="001650E8">
        <w:rPr>
          <w:b/>
          <w:bCs/>
          <w:color w:val="0B0C0C"/>
        </w:rPr>
        <w:tab/>
        <w:t xml:space="preserve">Exemption </w:t>
      </w:r>
      <w:proofErr w:type="spellStart"/>
      <w:r w:rsidRPr="001650E8">
        <w:rPr>
          <w:b/>
          <w:bCs/>
          <w:color w:val="0B0C0C"/>
        </w:rPr>
        <w:t>related</w:t>
      </w:r>
      <w:proofErr w:type="spellEnd"/>
      <w:r w:rsidRPr="001650E8">
        <w:rPr>
          <w:b/>
          <w:bCs/>
          <w:color w:val="0B0C0C"/>
        </w:rPr>
        <w:t xml:space="preserve"> to </w:t>
      </w:r>
      <w:r>
        <w:rPr>
          <w:b/>
          <w:bCs/>
          <w:color w:val="0B0C0C"/>
        </w:rPr>
        <w:t xml:space="preserve">the nature of the transport </w:t>
      </w:r>
      <w:proofErr w:type="spellStart"/>
      <w:r>
        <w:rPr>
          <w:b/>
          <w:bCs/>
          <w:color w:val="0B0C0C"/>
        </w:rPr>
        <w:t>operation</w:t>
      </w:r>
      <w:proofErr w:type="spellEnd"/>
    </w:p>
    <w:p w14:paraId="3509954D" w14:textId="77777777" w:rsidR="001F002F" w:rsidRDefault="001F002F" w:rsidP="001F002F">
      <w:pPr>
        <w:pStyle w:val="SingleTxtG"/>
        <w:spacing w:before="240"/>
        <w:ind w:left="1080" w:right="1138"/>
        <w:rPr>
          <w:color w:val="0B0C0C"/>
        </w:rPr>
      </w:pPr>
      <w:r>
        <w:rPr>
          <w:color w:val="0B0C0C"/>
        </w:rPr>
        <w:t xml:space="preserve">The provisions laid down in ADR do not </w:t>
      </w:r>
      <w:proofErr w:type="spellStart"/>
      <w:r>
        <w:rPr>
          <w:color w:val="0B0C0C"/>
        </w:rPr>
        <w:t>apply</w:t>
      </w:r>
      <w:proofErr w:type="spellEnd"/>
      <w:r>
        <w:rPr>
          <w:color w:val="0B0C0C"/>
        </w:rPr>
        <w:t xml:space="preserve"> to:</w:t>
      </w:r>
    </w:p>
    <w:p w14:paraId="4BB17334" w14:textId="05E43281" w:rsidR="001F002F" w:rsidRPr="00A32F71" w:rsidRDefault="001F002F" w:rsidP="001F002F">
      <w:pPr>
        <w:pStyle w:val="SingleTxtG"/>
        <w:spacing w:before="120"/>
        <w:ind w:left="1800" w:right="1138" w:hanging="360"/>
        <w:rPr>
          <w:color w:val="0B0C0C"/>
        </w:rPr>
      </w:pPr>
      <w:r w:rsidRPr="00A32F71">
        <w:rPr>
          <w:color w:val="0B0C0C"/>
        </w:rPr>
        <w:t>(</w:t>
      </w:r>
      <w:r>
        <w:rPr>
          <w:color w:val="0B0C0C"/>
        </w:rPr>
        <w:t>a</w:t>
      </w:r>
      <w:r w:rsidRPr="00A32F71">
        <w:rPr>
          <w:color w:val="0B0C0C"/>
        </w:rPr>
        <w:t>)</w:t>
      </w:r>
      <w:r w:rsidRPr="00A32F71">
        <w:rPr>
          <w:color w:val="0B0C0C"/>
        </w:rPr>
        <w:tab/>
        <w:t xml:space="preserve">The </w:t>
      </w:r>
      <w:proofErr w:type="spellStart"/>
      <w:r w:rsidRPr="00A32F71">
        <w:rPr>
          <w:color w:val="0B0C0C"/>
        </w:rPr>
        <w:t>carriage</w:t>
      </w:r>
      <w:proofErr w:type="spellEnd"/>
      <w:r w:rsidRPr="00A32F71">
        <w:rPr>
          <w:color w:val="0B0C0C"/>
        </w:rPr>
        <w:t xml:space="preserve"> of </w:t>
      </w:r>
      <w:proofErr w:type="spellStart"/>
      <w:r w:rsidRPr="00A32F71">
        <w:rPr>
          <w:color w:val="0B0C0C"/>
        </w:rPr>
        <w:t>dangerous</w:t>
      </w:r>
      <w:proofErr w:type="spellEnd"/>
      <w:r w:rsidRPr="00A32F71">
        <w:rPr>
          <w:color w:val="0B0C0C"/>
        </w:rPr>
        <w:t xml:space="preserve"> </w:t>
      </w:r>
      <w:proofErr w:type="spellStart"/>
      <w:r w:rsidRPr="00A32F71">
        <w:rPr>
          <w:color w:val="0B0C0C"/>
        </w:rPr>
        <w:t>goods</w:t>
      </w:r>
      <w:proofErr w:type="spellEnd"/>
      <w:r w:rsidRPr="00A32F71">
        <w:rPr>
          <w:color w:val="0B0C0C"/>
        </w:rPr>
        <w:t xml:space="preserve"> by </w:t>
      </w:r>
      <w:proofErr w:type="spellStart"/>
      <w:r>
        <w:rPr>
          <w:color w:val="0B0C0C"/>
        </w:rPr>
        <w:t>private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individuals</w:t>
      </w:r>
      <w:proofErr w:type="spellEnd"/>
      <w:r>
        <w:rPr>
          <w:color w:val="0B0C0C"/>
        </w:rPr>
        <w:t xml:space="preserve"> </w:t>
      </w:r>
      <w:r>
        <w:rPr>
          <w:color w:val="0B0C0C"/>
          <w:u w:val="single"/>
        </w:rPr>
        <w:t xml:space="preserve">or last mile </w:t>
      </w:r>
      <w:proofErr w:type="spellStart"/>
      <w:r>
        <w:rPr>
          <w:color w:val="0B0C0C"/>
          <w:u w:val="single"/>
        </w:rPr>
        <w:t>delivery</w:t>
      </w:r>
      <w:proofErr w:type="spellEnd"/>
      <w:r>
        <w:rPr>
          <w:color w:val="0B0C0C"/>
          <w:u w:val="single"/>
        </w:rPr>
        <w:t xml:space="preserve"> services </w:t>
      </w:r>
      <w:proofErr w:type="spellStart"/>
      <w:r>
        <w:rPr>
          <w:color w:val="0B0C0C"/>
          <w:u w:val="single"/>
        </w:rPr>
        <w:t>from</w:t>
      </w:r>
      <w:proofErr w:type="spellEnd"/>
      <w:r>
        <w:rPr>
          <w:color w:val="0B0C0C"/>
          <w:u w:val="single"/>
        </w:rPr>
        <w:t xml:space="preserve"> </w:t>
      </w:r>
      <w:proofErr w:type="spellStart"/>
      <w:r>
        <w:rPr>
          <w:color w:val="0B0C0C"/>
          <w:u w:val="single"/>
        </w:rPr>
        <w:t>retail</w:t>
      </w:r>
      <w:proofErr w:type="spellEnd"/>
      <w:r>
        <w:rPr>
          <w:color w:val="0B0C0C"/>
          <w:u w:val="single"/>
        </w:rPr>
        <w:t xml:space="preserve"> locations or distribution centres </w:t>
      </w:r>
      <w:proofErr w:type="spellStart"/>
      <w:r>
        <w:rPr>
          <w:color w:val="0B0C0C"/>
        </w:rPr>
        <w:t>where</w:t>
      </w:r>
      <w:proofErr w:type="spellEnd"/>
      <w:r>
        <w:rPr>
          <w:color w:val="0B0C0C"/>
        </w:rPr>
        <w:t xml:space="preserve"> the </w:t>
      </w:r>
      <w:proofErr w:type="spellStart"/>
      <w:r>
        <w:rPr>
          <w:color w:val="0B0C0C"/>
        </w:rPr>
        <w:t>goods</w:t>
      </w:r>
      <w:proofErr w:type="spellEnd"/>
      <w:r>
        <w:rPr>
          <w:color w:val="0B0C0C"/>
        </w:rPr>
        <w:t xml:space="preserve"> in question are </w:t>
      </w:r>
      <w:proofErr w:type="spellStart"/>
      <w:r>
        <w:rPr>
          <w:color w:val="0B0C0C"/>
        </w:rPr>
        <w:t>packaged</w:t>
      </w:r>
      <w:proofErr w:type="spellEnd"/>
      <w:r>
        <w:rPr>
          <w:color w:val="0B0C0C"/>
        </w:rPr>
        <w:t xml:space="preserve"> for </w:t>
      </w:r>
      <w:proofErr w:type="spellStart"/>
      <w:r>
        <w:rPr>
          <w:color w:val="0B0C0C"/>
        </w:rPr>
        <w:t>retail</w:t>
      </w:r>
      <w:proofErr w:type="spellEnd"/>
      <w:r>
        <w:rPr>
          <w:color w:val="0B0C0C"/>
        </w:rPr>
        <w:t xml:space="preserve"> sale and are </w:t>
      </w:r>
      <w:proofErr w:type="spellStart"/>
      <w:r>
        <w:rPr>
          <w:color w:val="0B0C0C"/>
        </w:rPr>
        <w:t>intended</w:t>
      </w:r>
      <w:proofErr w:type="spellEnd"/>
      <w:r>
        <w:rPr>
          <w:color w:val="0B0C0C"/>
        </w:rPr>
        <w:t xml:space="preserve"> for </w:t>
      </w:r>
      <w:proofErr w:type="spellStart"/>
      <w:r w:rsidRPr="00A37139">
        <w:rPr>
          <w:strike/>
          <w:color w:val="0B0C0C"/>
        </w:rPr>
        <w:t>their</w:t>
      </w:r>
      <w:r>
        <w:rPr>
          <w:color w:val="0B0C0C"/>
          <w:u w:val="single"/>
        </w:rPr>
        <w:t>the</w:t>
      </w:r>
      <w:proofErr w:type="spellEnd"/>
      <w:r>
        <w:rPr>
          <w:color w:val="0B0C0C"/>
          <w:u w:val="single"/>
        </w:rPr>
        <w:t xml:space="preserve"> </w:t>
      </w:r>
      <w:proofErr w:type="spellStart"/>
      <w:r>
        <w:rPr>
          <w:color w:val="0B0C0C"/>
          <w:u w:val="single"/>
        </w:rPr>
        <w:t>recipient’s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p</w:t>
      </w:r>
      <w:r w:rsidRPr="00C81A46">
        <w:rPr>
          <w:color w:val="0B0C0C"/>
        </w:rPr>
        <w:t>ersonal</w:t>
      </w:r>
      <w:proofErr w:type="spellEnd"/>
      <w:r w:rsidRPr="00C81A46">
        <w:rPr>
          <w:color w:val="0B0C0C"/>
        </w:rPr>
        <w:t xml:space="preserve"> or </w:t>
      </w:r>
      <w:proofErr w:type="spellStart"/>
      <w:r w:rsidRPr="00C81A46">
        <w:rPr>
          <w:color w:val="0B0C0C"/>
        </w:rPr>
        <w:t>domestic</w:t>
      </w:r>
      <w:proofErr w:type="spellEnd"/>
      <w:r>
        <w:rPr>
          <w:color w:val="0B0C0C"/>
        </w:rPr>
        <w:t xml:space="preserve"> use </w:t>
      </w:r>
      <w:r>
        <w:rPr>
          <w:color w:val="0B0C0C"/>
          <w:u w:val="single"/>
        </w:rPr>
        <w:t xml:space="preserve">or </w:t>
      </w:r>
      <w:proofErr w:type="spellStart"/>
      <w:r>
        <w:rPr>
          <w:color w:val="0B0C0C"/>
          <w:u w:val="single"/>
        </w:rPr>
        <w:t>consumption</w:t>
      </w:r>
      <w:proofErr w:type="spellEnd"/>
      <w:r w:rsidRPr="00A37139">
        <w:rPr>
          <w:strike/>
          <w:color w:val="0B0C0C"/>
        </w:rPr>
        <w:t xml:space="preserve"> or for </w:t>
      </w:r>
      <w:proofErr w:type="spellStart"/>
      <w:r w:rsidRPr="00A37139">
        <w:rPr>
          <w:strike/>
          <w:color w:val="0B0C0C"/>
        </w:rPr>
        <w:t>their</w:t>
      </w:r>
      <w:proofErr w:type="spellEnd"/>
      <w:r w:rsidRPr="00A37139">
        <w:rPr>
          <w:strike/>
          <w:color w:val="0B0C0C"/>
        </w:rPr>
        <w:t xml:space="preserve"> </w:t>
      </w:r>
      <w:proofErr w:type="spellStart"/>
      <w:r w:rsidRPr="00A37139">
        <w:rPr>
          <w:strike/>
          <w:color w:val="0B0C0C"/>
        </w:rPr>
        <w:t>leisure</w:t>
      </w:r>
      <w:proofErr w:type="spellEnd"/>
      <w:r w:rsidRPr="00A37139">
        <w:rPr>
          <w:strike/>
          <w:color w:val="0B0C0C"/>
        </w:rPr>
        <w:t xml:space="preserve"> or </w:t>
      </w:r>
      <w:proofErr w:type="spellStart"/>
      <w:r w:rsidRPr="00A37139">
        <w:rPr>
          <w:strike/>
          <w:color w:val="0B0C0C"/>
        </w:rPr>
        <w:t>sporting</w:t>
      </w:r>
      <w:proofErr w:type="spellEnd"/>
      <w:r w:rsidRPr="00A37139">
        <w:rPr>
          <w:strike/>
          <w:color w:val="0B0C0C"/>
        </w:rPr>
        <w:t xml:space="preserve"> </w:t>
      </w:r>
      <w:proofErr w:type="spellStart"/>
      <w:r w:rsidRPr="00A37139">
        <w:rPr>
          <w:strike/>
          <w:color w:val="0B0C0C"/>
        </w:rPr>
        <w:t>activities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provided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that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measures</w:t>
      </w:r>
      <w:proofErr w:type="spellEnd"/>
      <w:r>
        <w:rPr>
          <w:color w:val="0B0C0C"/>
        </w:rPr>
        <w:t xml:space="preserve"> have been </w:t>
      </w:r>
      <w:proofErr w:type="spellStart"/>
      <w:r>
        <w:rPr>
          <w:color w:val="0B0C0C"/>
        </w:rPr>
        <w:t>taken</w:t>
      </w:r>
      <w:proofErr w:type="spellEnd"/>
      <w:r>
        <w:rPr>
          <w:color w:val="0B0C0C"/>
        </w:rPr>
        <w:t xml:space="preserve"> to </w:t>
      </w:r>
      <w:proofErr w:type="spellStart"/>
      <w:r>
        <w:rPr>
          <w:color w:val="0B0C0C"/>
        </w:rPr>
        <w:t>prevent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any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leakage</w:t>
      </w:r>
      <w:proofErr w:type="spellEnd"/>
      <w:r>
        <w:rPr>
          <w:color w:val="0B0C0C"/>
        </w:rPr>
        <w:t xml:space="preserve"> of contents in normal conditions of </w:t>
      </w:r>
      <w:proofErr w:type="spellStart"/>
      <w:r>
        <w:rPr>
          <w:color w:val="0B0C0C"/>
        </w:rPr>
        <w:t>carriage</w:t>
      </w:r>
      <w:proofErr w:type="spellEnd"/>
      <w:r>
        <w:rPr>
          <w:color w:val="0B0C0C"/>
        </w:rPr>
        <w:t xml:space="preserve">. </w:t>
      </w:r>
      <w:proofErr w:type="spellStart"/>
      <w:r>
        <w:rPr>
          <w:color w:val="0B0C0C"/>
        </w:rPr>
        <w:t>When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these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goods</w:t>
      </w:r>
      <w:proofErr w:type="spellEnd"/>
      <w:r>
        <w:rPr>
          <w:color w:val="0B0C0C"/>
        </w:rPr>
        <w:t xml:space="preserve"> are </w:t>
      </w:r>
      <w:proofErr w:type="spellStart"/>
      <w:r>
        <w:rPr>
          <w:color w:val="0B0C0C"/>
        </w:rPr>
        <w:t>flammable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liquids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carried</w:t>
      </w:r>
      <w:proofErr w:type="spellEnd"/>
      <w:r>
        <w:rPr>
          <w:color w:val="0B0C0C"/>
        </w:rPr>
        <w:t xml:space="preserve"> in </w:t>
      </w:r>
      <w:proofErr w:type="spellStart"/>
      <w:r>
        <w:rPr>
          <w:color w:val="0B0C0C"/>
        </w:rPr>
        <w:t>refillable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receptacles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filled</w:t>
      </w:r>
      <w:proofErr w:type="spellEnd"/>
      <w:r>
        <w:rPr>
          <w:color w:val="0B0C0C"/>
        </w:rPr>
        <w:t xml:space="preserve"> by, or for, a </w:t>
      </w:r>
      <w:proofErr w:type="spellStart"/>
      <w:r>
        <w:rPr>
          <w:color w:val="0B0C0C"/>
        </w:rPr>
        <w:t>private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individual</w:t>
      </w:r>
      <w:proofErr w:type="spellEnd"/>
      <w:r>
        <w:rPr>
          <w:color w:val="0B0C0C"/>
        </w:rPr>
        <w:t xml:space="preserve">, the total </w:t>
      </w:r>
      <w:proofErr w:type="spellStart"/>
      <w:r>
        <w:rPr>
          <w:color w:val="0B0C0C"/>
        </w:rPr>
        <w:t>quantity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shall</w:t>
      </w:r>
      <w:proofErr w:type="spellEnd"/>
      <w:r>
        <w:rPr>
          <w:color w:val="0B0C0C"/>
        </w:rPr>
        <w:t xml:space="preserve"> not </w:t>
      </w:r>
      <w:proofErr w:type="spellStart"/>
      <w:r>
        <w:rPr>
          <w:color w:val="0B0C0C"/>
        </w:rPr>
        <w:t>exceed</w:t>
      </w:r>
      <w:proofErr w:type="spellEnd"/>
      <w:r>
        <w:rPr>
          <w:color w:val="0B0C0C"/>
        </w:rPr>
        <w:t xml:space="preserve"> 60 litres per </w:t>
      </w:r>
      <w:proofErr w:type="spellStart"/>
      <w:r>
        <w:rPr>
          <w:color w:val="0B0C0C"/>
        </w:rPr>
        <w:t>receptacle</w:t>
      </w:r>
      <w:proofErr w:type="spellEnd"/>
      <w:r>
        <w:rPr>
          <w:color w:val="0B0C0C"/>
        </w:rPr>
        <w:t xml:space="preserve"> and 240 litres per transport unit. Dangerous </w:t>
      </w:r>
      <w:proofErr w:type="spellStart"/>
      <w:r>
        <w:rPr>
          <w:color w:val="0B0C0C"/>
        </w:rPr>
        <w:t>goods</w:t>
      </w:r>
      <w:proofErr w:type="spellEnd"/>
      <w:r>
        <w:rPr>
          <w:color w:val="0B0C0C"/>
        </w:rPr>
        <w:t xml:space="preserve"> in </w:t>
      </w:r>
      <w:proofErr w:type="spellStart"/>
      <w:r>
        <w:rPr>
          <w:color w:val="0B0C0C"/>
        </w:rPr>
        <w:t>IBCs</w:t>
      </w:r>
      <w:proofErr w:type="spellEnd"/>
      <w:r>
        <w:rPr>
          <w:color w:val="0B0C0C"/>
        </w:rPr>
        <w:t xml:space="preserve">, large packagings or tanks are not </w:t>
      </w:r>
      <w:proofErr w:type="spellStart"/>
      <w:r>
        <w:rPr>
          <w:color w:val="0B0C0C"/>
        </w:rPr>
        <w:t>considered</w:t>
      </w:r>
      <w:proofErr w:type="spellEnd"/>
      <w:r>
        <w:rPr>
          <w:color w:val="0B0C0C"/>
        </w:rPr>
        <w:t xml:space="preserve"> to </w:t>
      </w:r>
      <w:proofErr w:type="spellStart"/>
      <w:r>
        <w:rPr>
          <w:color w:val="0B0C0C"/>
        </w:rPr>
        <w:t>be</w:t>
      </w:r>
      <w:proofErr w:type="spellEnd"/>
      <w:r>
        <w:rPr>
          <w:color w:val="0B0C0C"/>
        </w:rPr>
        <w:t xml:space="preserve"> </w:t>
      </w:r>
      <w:proofErr w:type="spellStart"/>
      <w:r>
        <w:rPr>
          <w:color w:val="0B0C0C"/>
        </w:rPr>
        <w:t>packaged</w:t>
      </w:r>
      <w:proofErr w:type="spellEnd"/>
      <w:r>
        <w:rPr>
          <w:color w:val="0B0C0C"/>
        </w:rPr>
        <w:t xml:space="preserve"> for </w:t>
      </w:r>
      <w:proofErr w:type="spellStart"/>
      <w:r>
        <w:rPr>
          <w:color w:val="0B0C0C"/>
        </w:rPr>
        <w:t>retail</w:t>
      </w:r>
      <w:proofErr w:type="spellEnd"/>
      <w:r>
        <w:rPr>
          <w:color w:val="0B0C0C"/>
        </w:rPr>
        <w:t xml:space="preserve"> sale;</w:t>
      </w:r>
      <w:r w:rsidR="006A7D72">
        <w:t>”</w:t>
      </w:r>
    </w:p>
    <w:p w14:paraId="3FD02FE1" w14:textId="64528A11" w:rsidR="001F002F" w:rsidRDefault="006A59E9" w:rsidP="001F002F">
      <w:pPr>
        <w:ind w:firstLine="1080"/>
      </w:pPr>
      <w:r>
        <w:t xml:space="preserve">In document </w:t>
      </w:r>
      <w:r w:rsidR="001F002F" w:rsidRPr="007D5400">
        <w:t>ECE/TRANS/WP.15/AC.1/2022/28</w:t>
      </w:r>
      <w:r>
        <w:t> :</w:t>
      </w:r>
    </w:p>
    <w:p w14:paraId="4511788A" w14:textId="7138CF01" w:rsidR="001F002F" w:rsidRPr="00A32F71" w:rsidRDefault="009420D7" w:rsidP="001A020C">
      <w:pPr>
        <w:pStyle w:val="SingleTxtG"/>
        <w:spacing w:before="240"/>
        <w:ind w:left="1080" w:right="1138"/>
      </w:pPr>
      <w:r>
        <w:t>8.</w:t>
      </w:r>
      <w:r>
        <w:tab/>
      </w:r>
      <w:r w:rsidR="001F002F">
        <w:t xml:space="preserve">RECHARGE supports the </w:t>
      </w:r>
      <w:proofErr w:type="spellStart"/>
      <w:r w:rsidR="001F002F">
        <w:t>proposal</w:t>
      </w:r>
      <w:proofErr w:type="spellEnd"/>
      <w:r w:rsidR="001F002F">
        <w:t xml:space="preserve"> to </w:t>
      </w:r>
      <w:proofErr w:type="spellStart"/>
      <w:r w:rsidR="001F002F" w:rsidRPr="007D5400">
        <w:t>amend</w:t>
      </w:r>
      <w:proofErr w:type="spellEnd"/>
      <w:r w:rsidR="001F002F" w:rsidRPr="007D5400">
        <w:t xml:space="preserve"> the </w:t>
      </w:r>
      <w:proofErr w:type="spellStart"/>
      <w:r w:rsidR="001F002F" w:rsidRPr="007D5400">
        <w:t>definition</w:t>
      </w:r>
      <w:proofErr w:type="spellEnd"/>
      <w:r w:rsidR="001F002F" w:rsidRPr="007D5400">
        <w:t xml:space="preserve"> of </w:t>
      </w:r>
      <w:r w:rsidR="001F002F">
        <w:t>“</w:t>
      </w:r>
      <w:proofErr w:type="spellStart"/>
      <w:r w:rsidR="001F002F">
        <w:t>O</w:t>
      </w:r>
      <w:r w:rsidR="001F002F" w:rsidRPr="007D5400">
        <w:t>verpack</w:t>
      </w:r>
      <w:proofErr w:type="spellEnd"/>
      <w:r w:rsidR="001F002F">
        <w:t>”</w:t>
      </w:r>
      <w:r w:rsidR="001F002F" w:rsidRPr="007D5400">
        <w:t xml:space="preserve"> </w:t>
      </w:r>
      <w:proofErr w:type="spellStart"/>
      <w:r w:rsidR="001F002F">
        <w:t>i</w:t>
      </w:r>
      <w:r w:rsidR="001F002F" w:rsidRPr="007D5400">
        <w:t>n</w:t>
      </w:r>
      <w:proofErr w:type="spellEnd"/>
      <w:r w:rsidR="001F002F" w:rsidRPr="007D5400">
        <w:t xml:space="preserve"> 1.2.1 of RID/ADR/ADN to </w:t>
      </w:r>
      <w:proofErr w:type="spellStart"/>
      <w:r w:rsidR="001F002F" w:rsidRPr="007D5400">
        <w:t>harmonize</w:t>
      </w:r>
      <w:proofErr w:type="spellEnd"/>
      <w:r w:rsidR="001F002F" w:rsidRPr="007D5400">
        <w:t xml:space="preserve"> </w:t>
      </w:r>
      <w:proofErr w:type="spellStart"/>
      <w:r w:rsidR="001F002F" w:rsidRPr="007D5400">
        <w:t>with</w:t>
      </w:r>
      <w:proofErr w:type="spellEnd"/>
      <w:r w:rsidR="001F002F" w:rsidRPr="007D5400">
        <w:t xml:space="preserve"> the one in the Model </w:t>
      </w:r>
      <w:proofErr w:type="spellStart"/>
      <w:r w:rsidR="001F002F" w:rsidRPr="007D5400">
        <w:t>Regulations</w:t>
      </w:r>
      <w:proofErr w:type="spellEnd"/>
      <w:r w:rsidR="001F002F">
        <w:t>.</w:t>
      </w:r>
    </w:p>
    <w:p w14:paraId="7D94ACB3" w14:textId="1DAE23FD" w:rsidR="000866D0" w:rsidRPr="00142CA4" w:rsidRDefault="00142CA4" w:rsidP="00142CA4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866D0" w:rsidRPr="00142CA4" w:rsidSect="00AE2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161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5C54" w14:textId="77777777" w:rsidR="00843115" w:rsidRDefault="00843115"/>
  </w:endnote>
  <w:endnote w:type="continuationSeparator" w:id="0">
    <w:p w14:paraId="7875A33E" w14:textId="77777777" w:rsidR="00843115" w:rsidRDefault="00843115"/>
  </w:endnote>
  <w:endnote w:type="continuationNotice" w:id="1">
    <w:p w14:paraId="4C282BEF" w14:textId="77777777" w:rsidR="00843115" w:rsidRDefault="0084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79FEC654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19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43668F0C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5E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7A8F" w14:textId="77777777" w:rsidR="00843115" w:rsidRPr="000B175B" w:rsidRDefault="008431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8851D2" w14:textId="77777777" w:rsidR="00843115" w:rsidRPr="00FC68B7" w:rsidRDefault="008431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779157" w14:textId="77777777" w:rsidR="00843115" w:rsidRDefault="00843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7BC19B99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1E6BC6">
      <w:rPr>
        <w:sz w:val="24"/>
        <w:szCs w:val="24"/>
      </w:rPr>
      <w:t>2</w:t>
    </w:r>
    <w:r w:rsidR="00142CA4">
      <w:rPr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60945E8F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1E6BC6">
      <w:rPr>
        <w:sz w:val="24"/>
        <w:szCs w:val="24"/>
      </w:rPr>
      <w:t>2</w:t>
    </w:r>
    <w:r w:rsidR="001F002F">
      <w:rPr>
        <w:sz w:val="24"/>
        <w:szCs w:val="24"/>
      </w:rPr>
      <w:t>9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0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1"/>
  </w:num>
  <w:num w:numId="13">
    <w:abstractNumId w:val="12"/>
  </w:num>
  <w:num w:numId="14">
    <w:abstractNumId w:val="19"/>
  </w:num>
  <w:num w:numId="15">
    <w:abstractNumId w:val="27"/>
  </w:num>
  <w:num w:numId="16">
    <w:abstractNumId w:val="20"/>
  </w:num>
  <w:num w:numId="17">
    <w:abstractNumId w:val="34"/>
  </w:num>
  <w:num w:numId="18">
    <w:abstractNumId w:val="37"/>
  </w:num>
  <w:num w:numId="19">
    <w:abstractNumId w:val="15"/>
  </w:num>
  <w:num w:numId="20">
    <w:abstractNumId w:val="14"/>
  </w:num>
  <w:num w:numId="21">
    <w:abstractNumId w:val="29"/>
  </w:num>
  <w:num w:numId="22">
    <w:abstractNumId w:val="23"/>
  </w:num>
  <w:num w:numId="23">
    <w:abstractNumId w:val="16"/>
  </w:num>
  <w:num w:numId="24">
    <w:abstractNumId w:val="30"/>
  </w:num>
  <w:num w:numId="25">
    <w:abstractNumId w:val="10"/>
  </w:num>
  <w:num w:numId="26">
    <w:abstractNumId w:val="11"/>
  </w:num>
  <w:num w:numId="27">
    <w:abstractNumId w:val="35"/>
  </w:num>
  <w:num w:numId="28">
    <w:abstractNumId w:val="28"/>
  </w:num>
  <w:num w:numId="29">
    <w:abstractNumId w:val="25"/>
  </w:num>
  <w:num w:numId="30">
    <w:abstractNumId w:val="32"/>
  </w:num>
  <w:num w:numId="31">
    <w:abstractNumId w:val="36"/>
  </w:num>
  <w:num w:numId="32">
    <w:abstractNumId w:val="13"/>
  </w:num>
  <w:num w:numId="33">
    <w:abstractNumId w:val="38"/>
  </w:num>
  <w:num w:numId="34">
    <w:abstractNumId w:val="17"/>
  </w:num>
  <w:num w:numId="35">
    <w:abstractNumId w:val="33"/>
  </w:num>
  <w:num w:numId="36">
    <w:abstractNumId w:val="31"/>
  </w:num>
  <w:num w:numId="37">
    <w:abstractNumId w:val="24"/>
  </w:num>
  <w:num w:numId="38">
    <w:abstractNumId w:val="22"/>
  </w:num>
  <w:num w:numId="39">
    <w:abstractNumId w:val="39"/>
  </w:num>
  <w:num w:numId="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0990"/>
    <w:rsid w:val="000022C8"/>
    <w:rsid w:val="00002A7D"/>
    <w:rsid w:val="000038A8"/>
    <w:rsid w:val="00004CB4"/>
    <w:rsid w:val="00006790"/>
    <w:rsid w:val="00022EA1"/>
    <w:rsid w:val="00027624"/>
    <w:rsid w:val="000338EC"/>
    <w:rsid w:val="000408A1"/>
    <w:rsid w:val="00050F6B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6D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468C"/>
    <w:rsid w:val="000F4CB4"/>
    <w:rsid w:val="000F7715"/>
    <w:rsid w:val="00103410"/>
    <w:rsid w:val="00103E99"/>
    <w:rsid w:val="001105AE"/>
    <w:rsid w:val="00112A5B"/>
    <w:rsid w:val="00113720"/>
    <w:rsid w:val="001213C0"/>
    <w:rsid w:val="00123D4A"/>
    <w:rsid w:val="001335C5"/>
    <w:rsid w:val="0014164A"/>
    <w:rsid w:val="00142CA4"/>
    <w:rsid w:val="00146493"/>
    <w:rsid w:val="00153897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20C"/>
    <w:rsid w:val="001A0452"/>
    <w:rsid w:val="001A2442"/>
    <w:rsid w:val="001A3481"/>
    <w:rsid w:val="001A7E63"/>
    <w:rsid w:val="001B4B04"/>
    <w:rsid w:val="001B5875"/>
    <w:rsid w:val="001C4B9C"/>
    <w:rsid w:val="001C60E2"/>
    <w:rsid w:val="001C6663"/>
    <w:rsid w:val="001C7895"/>
    <w:rsid w:val="001D15C4"/>
    <w:rsid w:val="001D26DF"/>
    <w:rsid w:val="001D312D"/>
    <w:rsid w:val="001E6BC6"/>
    <w:rsid w:val="001F002F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76AA0"/>
    <w:rsid w:val="0028647A"/>
    <w:rsid w:val="0029686E"/>
    <w:rsid w:val="00296D65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C7291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181E"/>
    <w:rsid w:val="004032CF"/>
    <w:rsid w:val="00413520"/>
    <w:rsid w:val="00414F7A"/>
    <w:rsid w:val="00416E53"/>
    <w:rsid w:val="004214FD"/>
    <w:rsid w:val="00427B1B"/>
    <w:rsid w:val="00431D4D"/>
    <w:rsid w:val="004325CB"/>
    <w:rsid w:val="00436982"/>
    <w:rsid w:val="00437BB5"/>
    <w:rsid w:val="00440A07"/>
    <w:rsid w:val="0044240B"/>
    <w:rsid w:val="00443E03"/>
    <w:rsid w:val="00447C96"/>
    <w:rsid w:val="00451E02"/>
    <w:rsid w:val="00452166"/>
    <w:rsid w:val="00453E23"/>
    <w:rsid w:val="00456A02"/>
    <w:rsid w:val="0046243B"/>
    <w:rsid w:val="00462880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B56A1"/>
    <w:rsid w:val="004C19FC"/>
    <w:rsid w:val="004C55B0"/>
    <w:rsid w:val="004E382A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609C3"/>
    <w:rsid w:val="00561410"/>
    <w:rsid w:val="0056483A"/>
    <w:rsid w:val="00564BF4"/>
    <w:rsid w:val="005711D3"/>
    <w:rsid w:val="0057224A"/>
    <w:rsid w:val="00572CDA"/>
    <w:rsid w:val="00577096"/>
    <w:rsid w:val="00583A2A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3DB3"/>
    <w:rsid w:val="005C41AA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59E9"/>
    <w:rsid w:val="006A7392"/>
    <w:rsid w:val="006A7D72"/>
    <w:rsid w:val="006B03A1"/>
    <w:rsid w:val="006B67D9"/>
    <w:rsid w:val="006B6CC5"/>
    <w:rsid w:val="006C328C"/>
    <w:rsid w:val="006C43F0"/>
    <w:rsid w:val="006C5535"/>
    <w:rsid w:val="006D0589"/>
    <w:rsid w:val="006D1B06"/>
    <w:rsid w:val="006D1D09"/>
    <w:rsid w:val="006D25E9"/>
    <w:rsid w:val="006D2658"/>
    <w:rsid w:val="006D5317"/>
    <w:rsid w:val="006D75E5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295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6E95"/>
    <w:rsid w:val="007E76B1"/>
    <w:rsid w:val="007F5CE2"/>
    <w:rsid w:val="007F6611"/>
    <w:rsid w:val="00810BAC"/>
    <w:rsid w:val="00814B0C"/>
    <w:rsid w:val="008175E9"/>
    <w:rsid w:val="008176C0"/>
    <w:rsid w:val="008242BE"/>
    <w:rsid w:val="008242D7"/>
    <w:rsid w:val="00825578"/>
    <w:rsid w:val="0082577B"/>
    <w:rsid w:val="00827E7E"/>
    <w:rsid w:val="00835C30"/>
    <w:rsid w:val="0084056F"/>
    <w:rsid w:val="00843115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AB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28C5"/>
    <w:rsid w:val="00914DC3"/>
    <w:rsid w:val="00915463"/>
    <w:rsid w:val="009209C5"/>
    <w:rsid w:val="00926E47"/>
    <w:rsid w:val="00931BFA"/>
    <w:rsid w:val="009329BB"/>
    <w:rsid w:val="009420D7"/>
    <w:rsid w:val="00945B59"/>
    <w:rsid w:val="00947162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62E6"/>
    <w:rsid w:val="0097095E"/>
    <w:rsid w:val="009722B9"/>
    <w:rsid w:val="0097751F"/>
    <w:rsid w:val="00980D03"/>
    <w:rsid w:val="00980F57"/>
    <w:rsid w:val="009829D4"/>
    <w:rsid w:val="0098592B"/>
    <w:rsid w:val="00985FC4"/>
    <w:rsid w:val="00987C0E"/>
    <w:rsid w:val="00990766"/>
    <w:rsid w:val="00991261"/>
    <w:rsid w:val="00992C68"/>
    <w:rsid w:val="009964C4"/>
    <w:rsid w:val="009A402A"/>
    <w:rsid w:val="009A7B81"/>
    <w:rsid w:val="009B11F2"/>
    <w:rsid w:val="009C14A2"/>
    <w:rsid w:val="009D01C0"/>
    <w:rsid w:val="009D6A08"/>
    <w:rsid w:val="009E0A16"/>
    <w:rsid w:val="009E7207"/>
    <w:rsid w:val="009E796E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0393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6696"/>
    <w:rsid w:val="00AA0FF8"/>
    <w:rsid w:val="00AB0386"/>
    <w:rsid w:val="00AC0F2C"/>
    <w:rsid w:val="00AC14F5"/>
    <w:rsid w:val="00AC16F3"/>
    <w:rsid w:val="00AC502A"/>
    <w:rsid w:val="00AC5B31"/>
    <w:rsid w:val="00AC648E"/>
    <w:rsid w:val="00AD21EB"/>
    <w:rsid w:val="00AD2623"/>
    <w:rsid w:val="00AE2133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6781"/>
    <w:rsid w:val="00B17FC5"/>
    <w:rsid w:val="00B30179"/>
    <w:rsid w:val="00B31982"/>
    <w:rsid w:val="00B37B15"/>
    <w:rsid w:val="00B42094"/>
    <w:rsid w:val="00B4482F"/>
    <w:rsid w:val="00B45C02"/>
    <w:rsid w:val="00B5617C"/>
    <w:rsid w:val="00B61EAA"/>
    <w:rsid w:val="00B720E7"/>
    <w:rsid w:val="00B72A1E"/>
    <w:rsid w:val="00B81E12"/>
    <w:rsid w:val="00B840CD"/>
    <w:rsid w:val="00B91466"/>
    <w:rsid w:val="00B9282B"/>
    <w:rsid w:val="00B959E3"/>
    <w:rsid w:val="00BA2494"/>
    <w:rsid w:val="00BA339B"/>
    <w:rsid w:val="00BB3ED2"/>
    <w:rsid w:val="00BC1E7E"/>
    <w:rsid w:val="00BC2E45"/>
    <w:rsid w:val="00BC74E9"/>
    <w:rsid w:val="00BD195F"/>
    <w:rsid w:val="00BD321A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0AFD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7892"/>
    <w:rsid w:val="00C62ABF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388C"/>
    <w:rsid w:val="00CA520D"/>
    <w:rsid w:val="00CB2A92"/>
    <w:rsid w:val="00CB348D"/>
    <w:rsid w:val="00CB34BE"/>
    <w:rsid w:val="00CB63DA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D4E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3EF4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32B3B"/>
    <w:rsid w:val="00E423C0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6630"/>
    <w:rsid w:val="00EA08A3"/>
    <w:rsid w:val="00EC22B0"/>
    <w:rsid w:val="00EC38AB"/>
    <w:rsid w:val="00EC50C2"/>
    <w:rsid w:val="00EC7076"/>
    <w:rsid w:val="00ED18DC"/>
    <w:rsid w:val="00ED6201"/>
    <w:rsid w:val="00ED66EF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2654"/>
    <w:rsid w:val="00F867EC"/>
    <w:rsid w:val="00F91B2B"/>
    <w:rsid w:val="00F9573D"/>
    <w:rsid w:val="00FC03CD"/>
    <w:rsid w:val="00FC0646"/>
    <w:rsid w:val="00FC0826"/>
    <w:rsid w:val="00FC67EE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A0ED6-1094-4C95-AAE3-A80536AC3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35</cp:revision>
  <cp:lastPrinted>2022-09-02T12:04:00Z</cp:lastPrinted>
  <dcterms:created xsi:type="dcterms:W3CDTF">2022-09-10T09:52:00Z</dcterms:created>
  <dcterms:modified xsi:type="dcterms:W3CDTF">2022-09-10T12:29:00Z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