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5C4D0F2" w14:textId="77777777" w:rsidTr="000D1B89">
        <w:trPr>
          <w:cantSplit/>
          <w:trHeight w:hRule="exact" w:val="851"/>
        </w:trPr>
        <w:tc>
          <w:tcPr>
            <w:tcW w:w="1276" w:type="dxa"/>
            <w:tcBorders>
              <w:bottom w:val="single" w:sz="4" w:space="0" w:color="auto"/>
            </w:tcBorders>
            <w:vAlign w:val="bottom"/>
          </w:tcPr>
          <w:p w14:paraId="6C2B9E80" w14:textId="5A9048A7" w:rsidR="00717266" w:rsidRDefault="00717266" w:rsidP="000D1B89">
            <w:pPr>
              <w:spacing w:after="80"/>
            </w:pPr>
          </w:p>
        </w:tc>
        <w:tc>
          <w:tcPr>
            <w:tcW w:w="2268" w:type="dxa"/>
            <w:tcBorders>
              <w:bottom w:val="single" w:sz="4" w:space="0" w:color="auto"/>
            </w:tcBorders>
            <w:vAlign w:val="bottom"/>
          </w:tcPr>
          <w:p w14:paraId="606C8A8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0AA0BA" w14:textId="77777777" w:rsidR="00717266" w:rsidRPr="00D47EEA" w:rsidRDefault="008D31AB" w:rsidP="008D31AB">
            <w:pPr>
              <w:suppressAutoHyphens w:val="0"/>
              <w:spacing w:after="20"/>
              <w:jc w:val="right"/>
            </w:pPr>
            <w:r w:rsidRPr="008D31AB">
              <w:rPr>
                <w:sz w:val="40"/>
              </w:rPr>
              <w:t>ECE</w:t>
            </w:r>
            <w:r>
              <w:t>/TRANS/WP.15/2022/10</w:t>
            </w:r>
          </w:p>
        </w:tc>
      </w:tr>
      <w:tr w:rsidR="00717266" w14:paraId="45C215B5" w14:textId="77777777" w:rsidTr="000D1B89">
        <w:trPr>
          <w:cantSplit/>
          <w:trHeight w:hRule="exact" w:val="2835"/>
        </w:trPr>
        <w:tc>
          <w:tcPr>
            <w:tcW w:w="1276" w:type="dxa"/>
            <w:tcBorders>
              <w:top w:val="single" w:sz="4" w:space="0" w:color="auto"/>
              <w:bottom w:val="single" w:sz="12" w:space="0" w:color="auto"/>
            </w:tcBorders>
          </w:tcPr>
          <w:p w14:paraId="3A90916E" w14:textId="77777777" w:rsidR="00717266" w:rsidRDefault="00717266" w:rsidP="000D1B89">
            <w:pPr>
              <w:spacing w:before="120"/>
            </w:pPr>
            <w:r>
              <w:rPr>
                <w:noProof/>
                <w:lang w:val="fr-CH" w:eastAsia="fr-CH"/>
              </w:rPr>
              <w:drawing>
                <wp:inline distT="0" distB="0" distL="0" distR="0" wp14:anchorId="3F76A165" wp14:editId="451A678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2807A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5BB1BBD" w14:textId="77777777" w:rsidR="00717266" w:rsidRDefault="008D31AB" w:rsidP="008D31AB">
            <w:pPr>
              <w:spacing w:before="240"/>
            </w:pPr>
            <w:r>
              <w:t>Distr.: General</w:t>
            </w:r>
          </w:p>
          <w:p w14:paraId="6623FBB9" w14:textId="1B3F44BC" w:rsidR="008D31AB" w:rsidRDefault="00423AF2" w:rsidP="008D31AB">
            <w:pPr>
              <w:suppressAutoHyphens w:val="0"/>
            </w:pPr>
            <w:r>
              <w:t>29</w:t>
            </w:r>
            <w:r w:rsidR="008D31AB">
              <w:t xml:space="preserve"> August 2022</w:t>
            </w:r>
          </w:p>
          <w:p w14:paraId="0D7CCECA" w14:textId="021E31BE" w:rsidR="008D31AB" w:rsidRDefault="00423AF2" w:rsidP="008D31AB">
            <w:pPr>
              <w:suppressAutoHyphens w:val="0"/>
            </w:pPr>
            <w:r>
              <w:t>English</w:t>
            </w:r>
          </w:p>
          <w:p w14:paraId="0815C20D" w14:textId="6B25254D" w:rsidR="008D31AB" w:rsidRDefault="008D31AB" w:rsidP="008D31AB">
            <w:pPr>
              <w:suppressAutoHyphens w:val="0"/>
            </w:pPr>
            <w:r>
              <w:t xml:space="preserve">Original: </w:t>
            </w:r>
            <w:r w:rsidR="00423AF2">
              <w:t>French</w:t>
            </w:r>
          </w:p>
        </w:tc>
      </w:tr>
    </w:tbl>
    <w:p w14:paraId="644E6E20" w14:textId="77777777" w:rsidR="00423AF2" w:rsidRDefault="00423AF2">
      <w:pPr>
        <w:spacing w:before="120"/>
        <w:rPr>
          <w:b/>
          <w:sz w:val="28"/>
          <w:szCs w:val="28"/>
        </w:rPr>
      </w:pPr>
      <w:r>
        <w:rPr>
          <w:b/>
          <w:sz w:val="28"/>
          <w:szCs w:val="28"/>
        </w:rPr>
        <w:t>Economic Commission for Europe</w:t>
      </w:r>
    </w:p>
    <w:p w14:paraId="2FE39D0A" w14:textId="77777777" w:rsidR="00423AF2" w:rsidRDefault="00423AF2">
      <w:pPr>
        <w:spacing w:before="120"/>
        <w:rPr>
          <w:sz w:val="28"/>
          <w:szCs w:val="28"/>
        </w:rPr>
      </w:pPr>
      <w:r>
        <w:rPr>
          <w:sz w:val="28"/>
          <w:szCs w:val="28"/>
        </w:rPr>
        <w:t>Inland Transport Committee</w:t>
      </w:r>
    </w:p>
    <w:p w14:paraId="4A0C5330" w14:textId="77F0F80A" w:rsidR="00423AF2" w:rsidRDefault="00423AF2">
      <w:pPr>
        <w:spacing w:before="120"/>
        <w:rPr>
          <w:b/>
          <w:sz w:val="24"/>
          <w:szCs w:val="24"/>
        </w:rPr>
      </w:pPr>
      <w:r>
        <w:rPr>
          <w:b/>
          <w:sz w:val="24"/>
          <w:szCs w:val="24"/>
        </w:rPr>
        <w:t>Working Party on the Transport of Dangerous Goods</w:t>
      </w:r>
    </w:p>
    <w:p w14:paraId="39D89636" w14:textId="77777777" w:rsidR="00423AF2" w:rsidRPr="00990CE8" w:rsidRDefault="00423AF2" w:rsidP="00423AF2">
      <w:pPr>
        <w:spacing w:before="120"/>
        <w:rPr>
          <w:rFonts w:eastAsia="SimSun"/>
          <w:b/>
        </w:rPr>
      </w:pPr>
      <w:r>
        <w:rPr>
          <w:b/>
          <w:bCs/>
        </w:rPr>
        <w:t>112th session</w:t>
      </w:r>
    </w:p>
    <w:p w14:paraId="4507650B" w14:textId="77777777" w:rsidR="00423AF2" w:rsidRPr="00990CE8" w:rsidRDefault="00423AF2" w:rsidP="00423AF2">
      <w:pPr>
        <w:rPr>
          <w:rFonts w:eastAsia="SimSun"/>
        </w:rPr>
      </w:pPr>
      <w:r>
        <w:t>Geneva, 8–11 November 2022</w:t>
      </w:r>
    </w:p>
    <w:p w14:paraId="47BC1F27" w14:textId="77777777" w:rsidR="00423AF2" w:rsidRPr="00990CE8" w:rsidRDefault="00423AF2" w:rsidP="00423AF2">
      <w:r>
        <w:t>Item 5 (b) of the provisional agenda</w:t>
      </w:r>
    </w:p>
    <w:p w14:paraId="1703F1F0" w14:textId="19C762FF" w:rsidR="00423AF2" w:rsidRDefault="00423AF2" w:rsidP="00423AF2">
      <w:pPr>
        <w:rPr>
          <w:b/>
          <w:bCs/>
        </w:rPr>
      </w:pPr>
      <w:r>
        <w:rPr>
          <w:b/>
          <w:bCs/>
        </w:rPr>
        <w:t>Proposals for amendments to annexes A and B of ADR:</w:t>
      </w:r>
      <w:r w:rsidR="009028A4">
        <w:rPr>
          <w:b/>
          <w:bCs/>
        </w:rPr>
        <w:br/>
      </w:r>
      <w:r>
        <w:rPr>
          <w:b/>
          <w:bCs/>
        </w:rPr>
        <w:t>Miscellaneous proposals</w:t>
      </w:r>
    </w:p>
    <w:p w14:paraId="1C1AD359" w14:textId="02CF24EE" w:rsidR="002E1718" w:rsidRPr="00B32A05" w:rsidRDefault="002E1718" w:rsidP="002E1718">
      <w:pPr>
        <w:pStyle w:val="HChG"/>
        <w:rPr>
          <w:rFonts w:eastAsiaTheme="minorHAnsi"/>
        </w:rPr>
      </w:pPr>
      <w:r w:rsidRPr="00B32A05">
        <w:tab/>
      </w:r>
      <w:r w:rsidRPr="00B32A05">
        <w:tab/>
        <w:t xml:space="preserve">New provisions for fibre-reinforced plastic tanks </w:t>
      </w:r>
      <w:r w:rsidR="001F2991">
        <w:t>–</w:t>
      </w:r>
      <w:r w:rsidRPr="00B32A05">
        <w:t xml:space="preserve"> Consequential amendment</w:t>
      </w:r>
    </w:p>
    <w:p w14:paraId="4C2ABD05" w14:textId="77777777" w:rsidR="002E1718" w:rsidRPr="00B32A05" w:rsidRDefault="002E1718" w:rsidP="00524A30">
      <w:pPr>
        <w:pStyle w:val="H23G"/>
        <w:rPr>
          <w:rFonts w:eastAsiaTheme="minorHAnsi"/>
        </w:rPr>
      </w:pPr>
      <w:r w:rsidRPr="00B32A05">
        <w:tab/>
      </w:r>
      <w:r w:rsidRPr="00B32A05">
        <w:tab/>
        <w:t>Note by the secretariat</w:t>
      </w:r>
      <w:r w:rsidRPr="00524A30">
        <w:rPr>
          <w:rFonts w:eastAsiaTheme="minorHAnsi"/>
          <w:b w:val="0"/>
          <w:bCs/>
        </w:rPr>
        <w:footnoteReference w:customMarkFollows="1" w:id="1"/>
        <w:t>*</w:t>
      </w:r>
    </w:p>
    <w:p w14:paraId="1EA251CB" w14:textId="77777777" w:rsidR="002E1718" w:rsidRPr="00B32A05" w:rsidRDefault="002E1718" w:rsidP="002E1718">
      <w:pPr>
        <w:pStyle w:val="HChG"/>
      </w:pPr>
      <w:r w:rsidRPr="00B32A05">
        <w:tab/>
      </w:r>
      <w:r w:rsidRPr="00B32A05">
        <w:tab/>
        <w:t>Introduction</w:t>
      </w:r>
    </w:p>
    <w:p w14:paraId="54289E94" w14:textId="530F4316" w:rsidR="002E1718" w:rsidRPr="00B32A05" w:rsidRDefault="002E1718" w:rsidP="002E1718">
      <w:pPr>
        <w:pStyle w:val="SingleTxtG"/>
      </w:pPr>
      <w:r w:rsidRPr="00B32A05">
        <w:t>1.</w:t>
      </w:r>
      <w:r w:rsidRPr="00B32A05">
        <w:tab/>
        <w:t>The title of Chapter 4.4 refers to fixed tanks (tank-vehicles), demountable tanks, tank-containers and tank swap bodies made of fibre-reinforced plastics.</w:t>
      </w:r>
    </w:p>
    <w:p w14:paraId="355878B2" w14:textId="77777777" w:rsidR="002E1718" w:rsidRPr="00B32A05" w:rsidRDefault="002E1718" w:rsidP="002E1718">
      <w:pPr>
        <w:pStyle w:val="SingleTxtG"/>
      </w:pPr>
      <w:r w:rsidRPr="00B32A05">
        <w:t>2.</w:t>
      </w:r>
      <w:r w:rsidRPr="00B32A05">
        <w:tab/>
        <w:t xml:space="preserve">In ADR 2023, new provisions have been introduced in Chapter 6.9 for portable tanks made of fibre-reinforced plastics. The existing provisions of Chapter 6.9 have been transferred to a new Chapter 6.13, whose scope is limited to fixed tanks (tank-vehicles) and demountable tanks made of fibre-reinforced plastics. </w:t>
      </w:r>
    </w:p>
    <w:p w14:paraId="1E1B11D8" w14:textId="77777777" w:rsidR="002E1718" w:rsidRPr="00B32A05" w:rsidRDefault="002E1718" w:rsidP="002E1718">
      <w:pPr>
        <w:pStyle w:val="SingleTxtG"/>
      </w:pPr>
      <w:r w:rsidRPr="00B32A05">
        <w:t>3.</w:t>
      </w:r>
      <w:r w:rsidRPr="00B32A05">
        <w:tab/>
        <w:t>The new Chapter 6.13 does not apply to tank-containers and tank swap bodies made of fibre-reinforced plastics, and transitional measure 1.6.4.59 was adopted to allow the continued use of tank-containers constructed before 1 July 2033, in accordance with the requirements of Chapter 6.9, applicable until 31 December 2022.</w:t>
      </w:r>
    </w:p>
    <w:p w14:paraId="0F884265" w14:textId="0B8D775D" w:rsidR="002E1718" w:rsidRPr="00B32A05" w:rsidRDefault="002E1718" w:rsidP="002E1718">
      <w:pPr>
        <w:pStyle w:val="SingleTxtG"/>
      </w:pPr>
      <w:r w:rsidRPr="00B32A05">
        <w:t>4.</w:t>
      </w:r>
      <w:r w:rsidRPr="00B32A05">
        <w:tab/>
        <w:t>Section 4.4.1 has been amended to refer to tanks that comply with the provisions of Chapter 6.13. This means that Chapter 4.4 no longer applies to tank-containers and tank swap bodies made of fibre-reinforced plastics. The title of Chapter 4.4 should be amended accordingly.</w:t>
      </w:r>
    </w:p>
    <w:p w14:paraId="7967D5A2" w14:textId="4D28F27E" w:rsidR="002E1718" w:rsidRPr="00B32A05" w:rsidRDefault="002E1718" w:rsidP="002E1718">
      <w:pPr>
        <w:pStyle w:val="SingleTxtG"/>
      </w:pPr>
      <w:r w:rsidRPr="00B32A05">
        <w:t>5.</w:t>
      </w:r>
      <w:r w:rsidRPr="00B32A05">
        <w:tab/>
        <w:t>It is also questionable whether the provisions of Chapter 4.4 remain applicable to fibre-reinforced plastic tank-containers that will continue to be used in accordance with transitional measure 1.6.4.59. If the Working Party deems it necessary, it may adopt this interpretation and amend 1.6.4.59 accordingly, for future editions.</w:t>
      </w:r>
    </w:p>
    <w:p w14:paraId="1F7BA9DB" w14:textId="77777777" w:rsidR="002E1718" w:rsidRPr="00B32A05" w:rsidRDefault="002E1718" w:rsidP="00524A30">
      <w:pPr>
        <w:pStyle w:val="HChG"/>
      </w:pPr>
      <w:r w:rsidRPr="00B32A05">
        <w:lastRenderedPageBreak/>
        <w:tab/>
      </w:r>
      <w:r w:rsidRPr="00B32A05">
        <w:tab/>
        <w:t>Proposal 1:</w:t>
      </w:r>
    </w:p>
    <w:p w14:paraId="662FEFBA" w14:textId="183620EE" w:rsidR="002E1718" w:rsidRPr="00B32A05" w:rsidRDefault="002E1718" w:rsidP="002E1718">
      <w:pPr>
        <w:pStyle w:val="SingleTxtG"/>
      </w:pPr>
      <w:r w:rsidRPr="00B32A05">
        <w:t>6.</w:t>
      </w:r>
      <w:r w:rsidRPr="00B32A05">
        <w:tab/>
        <w:t xml:space="preserve">Amend the title of Chapter 4.4 to read, </w:t>
      </w:r>
      <w:r w:rsidR="001F2991">
        <w:t>“</w:t>
      </w:r>
      <w:r w:rsidRPr="00B32A05">
        <w:t>USE OF FIBRE-REINFORCED PLASTIC FIXED TANKS (TANK-VEHICLES) AND DEMOUNTABLE TANKS</w:t>
      </w:r>
      <w:r w:rsidR="001F2991">
        <w:t>”</w:t>
      </w:r>
      <w:r w:rsidRPr="00B32A05">
        <w:t>.</w:t>
      </w:r>
    </w:p>
    <w:p w14:paraId="580CA31D" w14:textId="77777777" w:rsidR="002E1718" w:rsidRPr="00B32A05" w:rsidRDefault="002E1718" w:rsidP="00524A30">
      <w:pPr>
        <w:pStyle w:val="HChG"/>
      </w:pPr>
      <w:r w:rsidRPr="00B32A05">
        <w:tab/>
      </w:r>
      <w:r w:rsidRPr="00B32A05">
        <w:tab/>
        <w:t>Proposal 2:</w:t>
      </w:r>
    </w:p>
    <w:p w14:paraId="77DA62A1" w14:textId="1A92CC22" w:rsidR="002E1718" w:rsidRPr="00B32A05" w:rsidRDefault="002E1718" w:rsidP="002E1718">
      <w:pPr>
        <w:pStyle w:val="SingleTxtG"/>
      </w:pPr>
      <w:r w:rsidRPr="00B32A05">
        <w:t>7.</w:t>
      </w:r>
      <w:r w:rsidRPr="00B32A05">
        <w:tab/>
        <w:t xml:space="preserve">At the end of transitional measure 1.6.4.59, add </w:t>
      </w:r>
      <w:r w:rsidR="001F2991">
        <w:t>“</w:t>
      </w:r>
      <w:r w:rsidRPr="00B32A05">
        <w:t>in accordance with the applicable provisions of Chapter 4.4</w:t>
      </w:r>
      <w:r w:rsidR="001F2991">
        <w:t>”</w:t>
      </w:r>
      <w:r w:rsidRPr="00B32A05">
        <w:t>.</w:t>
      </w:r>
    </w:p>
    <w:p w14:paraId="1006A530" w14:textId="77777777" w:rsidR="002E1718" w:rsidRPr="00B32A05" w:rsidRDefault="002E1718" w:rsidP="002E1718">
      <w:pPr>
        <w:pStyle w:val="SingleTxtG"/>
      </w:pPr>
      <w:r w:rsidRPr="00B32A05">
        <w:t>8.</w:t>
      </w:r>
      <w:r w:rsidRPr="00B32A05">
        <w:tab/>
        <w:t>The transitional measure would read:</w:t>
      </w:r>
    </w:p>
    <w:p w14:paraId="69FBEF16" w14:textId="134FC3FF" w:rsidR="002E1718" w:rsidRDefault="001F2991" w:rsidP="002E1718">
      <w:pPr>
        <w:pStyle w:val="SingleTxtG"/>
      </w:pPr>
      <w:r>
        <w:t>“</w:t>
      </w:r>
      <w:r w:rsidR="002E1718" w:rsidRPr="00B32A05">
        <w:t>1.6.4.59</w:t>
      </w:r>
      <w:r w:rsidR="002E1718" w:rsidRPr="00B32A05">
        <w:tab/>
        <w:t xml:space="preserve">Tank-containers constructed before 1 July 2033 in accordance with the requirements of Chapter 6.9 in force up to 31 December 2022, may still be used, </w:t>
      </w:r>
      <w:r w:rsidR="002E1718" w:rsidRPr="00442522">
        <w:rPr>
          <w:u w:val="single"/>
        </w:rPr>
        <w:t>in accordance with the applicable provisions of Chapter 4.4</w:t>
      </w:r>
      <w:r w:rsidR="002E1718" w:rsidRPr="00B32A05">
        <w:t>.</w:t>
      </w:r>
      <w:r>
        <w:t>”</w:t>
      </w:r>
    </w:p>
    <w:p w14:paraId="25495F34" w14:textId="1BC1D74F" w:rsidR="00442522" w:rsidRPr="00B32A05" w:rsidRDefault="00442522" w:rsidP="00442522">
      <w:pPr>
        <w:spacing w:before="240"/>
        <w:jc w:val="center"/>
      </w:pPr>
      <w:r w:rsidRPr="003E5C6C">
        <w:rPr>
          <w:u w:val="single"/>
          <w:lang w:val="fr-CH"/>
        </w:rPr>
        <w:tab/>
      </w:r>
      <w:r w:rsidRPr="003E5C6C">
        <w:rPr>
          <w:u w:val="single"/>
          <w:lang w:val="fr-CH"/>
        </w:rPr>
        <w:tab/>
      </w:r>
      <w:r w:rsidRPr="003E5C6C">
        <w:rPr>
          <w:u w:val="single"/>
          <w:lang w:val="fr-CH"/>
        </w:rPr>
        <w:tab/>
      </w:r>
    </w:p>
    <w:sectPr w:rsidR="00442522" w:rsidRPr="00B32A0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360B" w14:textId="77777777" w:rsidR="004D24EE" w:rsidRPr="00FB1744" w:rsidRDefault="004D24EE" w:rsidP="00FB1744">
      <w:pPr>
        <w:pStyle w:val="Footer"/>
      </w:pPr>
    </w:p>
  </w:endnote>
  <w:endnote w:type="continuationSeparator" w:id="0">
    <w:p w14:paraId="669091A8" w14:textId="77777777" w:rsidR="004D24EE" w:rsidRPr="00FB1744" w:rsidRDefault="004D24E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201C" w14:textId="77777777" w:rsidR="008D31AB" w:rsidRDefault="008D31AB" w:rsidP="008D31AB">
    <w:pPr>
      <w:pStyle w:val="Footer"/>
      <w:tabs>
        <w:tab w:val="right" w:pos="9638"/>
      </w:tabs>
    </w:pPr>
    <w:r w:rsidRPr="008D31AB">
      <w:rPr>
        <w:b/>
        <w:bCs/>
        <w:sz w:val="18"/>
      </w:rPr>
      <w:fldChar w:fldCharType="begin"/>
    </w:r>
    <w:r w:rsidRPr="008D31AB">
      <w:rPr>
        <w:b/>
        <w:bCs/>
        <w:sz w:val="18"/>
      </w:rPr>
      <w:instrText xml:space="preserve"> PAGE  \* MERGEFORMAT </w:instrText>
    </w:r>
    <w:r w:rsidRPr="008D31AB">
      <w:rPr>
        <w:b/>
        <w:bCs/>
        <w:sz w:val="18"/>
      </w:rPr>
      <w:fldChar w:fldCharType="separate"/>
    </w:r>
    <w:r w:rsidRPr="008D31AB">
      <w:rPr>
        <w:b/>
        <w:bCs/>
        <w:noProof/>
        <w:sz w:val="18"/>
      </w:rPr>
      <w:t>2</w:t>
    </w:r>
    <w:r w:rsidRPr="008D31AB">
      <w:rPr>
        <w:b/>
        <w:bCs/>
        <w:sz w:val="18"/>
      </w:rPr>
      <w:fldChar w:fldCharType="end"/>
    </w:r>
    <w:r>
      <w:tab/>
      <w:t>GE.22-13435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ED40" w14:textId="77777777" w:rsidR="008D31AB" w:rsidRDefault="008D31AB" w:rsidP="008D31AB">
    <w:pPr>
      <w:pStyle w:val="Footer"/>
      <w:tabs>
        <w:tab w:val="right" w:pos="9638"/>
      </w:tabs>
    </w:pPr>
    <w:r>
      <w:t>GE.22-13435</w:t>
    </w:r>
    <w:r>
      <w:tab/>
    </w:r>
    <w:r w:rsidRPr="008D31AB">
      <w:rPr>
        <w:b/>
        <w:bCs/>
        <w:sz w:val="18"/>
      </w:rPr>
      <w:fldChar w:fldCharType="begin"/>
    </w:r>
    <w:r w:rsidRPr="008D31AB">
      <w:rPr>
        <w:b/>
        <w:bCs/>
        <w:sz w:val="18"/>
      </w:rPr>
      <w:instrText xml:space="preserve"> PAGE  \* MERGEFORMAT </w:instrText>
    </w:r>
    <w:r w:rsidRPr="008D31AB">
      <w:rPr>
        <w:b/>
        <w:bCs/>
        <w:sz w:val="18"/>
      </w:rPr>
      <w:fldChar w:fldCharType="separate"/>
    </w:r>
    <w:r w:rsidRPr="008D31AB">
      <w:rPr>
        <w:b/>
        <w:bCs/>
        <w:noProof/>
        <w:sz w:val="18"/>
      </w:rPr>
      <w:t>3</w:t>
    </w:r>
    <w:r w:rsidRPr="008D31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8B37" w14:textId="39EB6FED" w:rsidR="008D31AB" w:rsidRPr="008D31AB" w:rsidRDefault="008D31AB" w:rsidP="00524A30">
    <w:pPr>
      <w:pStyle w:val="Footer"/>
      <w:rPr>
        <w:sz w:val="20"/>
      </w:rPr>
    </w:pPr>
    <w:r w:rsidRPr="0027112F">
      <w:rPr>
        <w:noProof/>
        <w:lang w:val="en-US"/>
      </w:rPr>
      <w:drawing>
        <wp:anchor distT="0" distB="0" distL="114300" distR="114300" simplePos="0" relativeHeight="251659264" behindDoc="0" locked="1" layoutInCell="1" allowOverlap="1" wp14:anchorId="4B82E4B8" wp14:editId="778D3B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GE.22-13435  (E)</w:t>
    </w:r>
    <w:r>
      <w:rPr>
        <w:noProof/>
        <w:sz w:val="20"/>
      </w:rPr>
      <w:drawing>
        <wp:anchor distT="0" distB="0" distL="114300" distR="114300" simplePos="0" relativeHeight="251660288" behindDoc="0" locked="0" layoutInCell="1" allowOverlap="1" wp14:anchorId="003C73A8" wp14:editId="2A2DA67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A30">
      <w:rPr>
        <w:sz w:val="20"/>
      </w:rPr>
      <w:t xml:space="preserve">    070922    070922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F502" w14:textId="77777777" w:rsidR="004D24EE" w:rsidRPr="00FB1744" w:rsidRDefault="004D24EE" w:rsidP="00FB1744">
      <w:pPr>
        <w:tabs>
          <w:tab w:val="right" w:pos="2155"/>
        </w:tabs>
        <w:spacing w:after="80" w:line="240" w:lineRule="auto"/>
        <w:ind w:left="680"/>
      </w:pPr>
      <w:r>
        <w:rPr>
          <w:u w:val="single"/>
        </w:rPr>
        <w:tab/>
      </w:r>
    </w:p>
  </w:footnote>
  <w:footnote w:type="continuationSeparator" w:id="0">
    <w:p w14:paraId="0F651AE6" w14:textId="77777777" w:rsidR="004D24EE" w:rsidRPr="00FB1744" w:rsidRDefault="004D24EE" w:rsidP="00FB1744">
      <w:pPr>
        <w:tabs>
          <w:tab w:val="right" w:pos="2155"/>
        </w:tabs>
        <w:spacing w:after="80" w:line="240" w:lineRule="auto"/>
        <w:ind w:left="680"/>
      </w:pPr>
      <w:r>
        <w:rPr>
          <w:u w:val="single"/>
        </w:rPr>
        <w:tab/>
      </w:r>
    </w:p>
  </w:footnote>
  <w:footnote w:id="1">
    <w:p w14:paraId="433E7D4D" w14:textId="3EEF00C4" w:rsidR="002E1718" w:rsidRPr="00764400" w:rsidRDefault="002E1718" w:rsidP="002E1718">
      <w:pPr>
        <w:pStyle w:val="FootnoteText"/>
      </w:pPr>
      <w:r>
        <w:tab/>
      </w:r>
      <w:r w:rsidRPr="00524A30">
        <w:rPr>
          <w:sz w:val="20"/>
        </w:rPr>
        <w:t>*</w:t>
      </w:r>
      <w:r w:rsidRPr="00524A30">
        <w:rPr>
          <w:sz w:val="20"/>
        </w:rPr>
        <w:tab/>
      </w:r>
      <w:r w:rsidR="005A0B94" w:rsidRPr="008F0B03">
        <w:t>A/76/6 (Sect. 20)</w:t>
      </w:r>
      <w:r w:rsidR="004F0669">
        <w:t>,</w:t>
      </w:r>
      <w:r>
        <w:t xml:space="preserve">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C663" w14:textId="77777777" w:rsidR="008D31AB" w:rsidRDefault="008D31AB" w:rsidP="008D31AB">
    <w:pPr>
      <w:pStyle w:val="Header"/>
    </w:pPr>
    <w:r>
      <w:t>ECE/TRANS/WP.15/2022/10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7711" w14:textId="77777777" w:rsidR="008D31AB" w:rsidRDefault="008D31AB" w:rsidP="008D31AB">
    <w:pPr>
      <w:pStyle w:val="Header"/>
      <w:jc w:val="right"/>
    </w:pPr>
    <w:r>
      <w:t>ECE/TRANS/WP.15/2022/10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D24EE"/>
    <w:rsid w:val="00046E92"/>
    <w:rsid w:val="000D1B89"/>
    <w:rsid w:val="000F6E29"/>
    <w:rsid w:val="001170DC"/>
    <w:rsid w:val="001F2991"/>
    <w:rsid w:val="00247E2C"/>
    <w:rsid w:val="002D6C53"/>
    <w:rsid w:val="002E1718"/>
    <w:rsid w:val="002F5595"/>
    <w:rsid w:val="002F7495"/>
    <w:rsid w:val="00334F6A"/>
    <w:rsid w:val="00342AC8"/>
    <w:rsid w:val="003B4550"/>
    <w:rsid w:val="00423AF2"/>
    <w:rsid w:val="0043448D"/>
    <w:rsid w:val="00442522"/>
    <w:rsid w:val="004463F6"/>
    <w:rsid w:val="00461253"/>
    <w:rsid w:val="004D24EE"/>
    <w:rsid w:val="004F0669"/>
    <w:rsid w:val="005042C2"/>
    <w:rsid w:val="00506C12"/>
    <w:rsid w:val="00524A30"/>
    <w:rsid w:val="0056599A"/>
    <w:rsid w:val="00585AE1"/>
    <w:rsid w:val="00587690"/>
    <w:rsid w:val="005A0B94"/>
    <w:rsid w:val="00671529"/>
    <w:rsid w:val="006A09B8"/>
    <w:rsid w:val="006A5598"/>
    <w:rsid w:val="00717266"/>
    <w:rsid w:val="007268F9"/>
    <w:rsid w:val="007C52B0"/>
    <w:rsid w:val="0083296B"/>
    <w:rsid w:val="008D31AB"/>
    <w:rsid w:val="008F0B03"/>
    <w:rsid w:val="009028A4"/>
    <w:rsid w:val="009411B4"/>
    <w:rsid w:val="009D0139"/>
    <w:rsid w:val="009F5CDC"/>
    <w:rsid w:val="00A429CD"/>
    <w:rsid w:val="00A775CF"/>
    <w:rsid w:val="00AB3C7E"/>
    <w:rsid w:val="00B06045"/>
    <w:rsid w:val="00BA2B81"/>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4FDD"/>
  <w15:docId w15:val="{0095ACDC-E1B5-4E98-ABBE-F3EAE1F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6A09B8"/>
    <w:rPr>
      <w:color w:val="0000FF" w:themeColor="hyperlink"/>
      <w:u w:val="single"/>
    </w:rPr>
  </w:style>
  <w:style w:type="character" w:styleId="UnresolvedMention">
    <w:name w:val="Unresolved Mention"/>
    <w:basedOn w:val="DefaultParagraphFont"/>
    <w:uiPriority w:val="99"/>
    <w:semiHidden/>
    <w:unhideWhenUsed/>
    <w:rsid w:val="006A09B8"/>
    <w:rPr>
      <w:color w:val="605E5C"/>
      <w:shd w:val="clear" w:color="auto" w:fill="E1DFDD"/>
    </w:rPr>
  </w:style>
  <w:style w:type="character" w:styleId="FollowedHyperlink">
    <w:name w:val="FollowedHyperlink"/>
    <w:basedOn w:val="DefaultParagraphFont"/>
    <w:uiPriority w:val="99"/>
    <w:semiHidden/>
    <w:unhideWhenUsed/>
    <w:rsid w:val="005A0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ECE/TRANS/WP.15/2022/10</vt:lpstr>
    </vt:vector>
  </TitlesOfParts>
  <Company>DCM</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ECE/TRANS/WP.15/2022/10</dc:title>
  <dc:subject>2213435</dc:subject>
  <dc:creator>Giltsoff</dc:creator>
  <cp:keywords/>
  <dc:description/>
  <cp:lastModifiedBy>Laurence Berthet</cp:lastModifiedBy>
  <cp:revision>2</cp:revision>
  <dcterms:created xsi:type="dcterms:W3CDTF">2022-09-28T07:40:00Z</dcterms:created>
  <dcterms:modified xsi:type="dcterms:W3CDTF">2022-09-28T07:40:00Z</dcterms:modified>
</cp:coreProperties>
</file>