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B808F7" w14:paraId="31B5F13C" w14:textId="77777777" w:rsidTr="00B20551">
        <w:trPr>
          <w:cantSplit/>
          <w:trHeight w:hRule="exact" w:val="851"/>
        </w:trPr>
        <w:tc>
          <w:tcPr>
            <w:tcW w:w="1276" w:type="dxa"/>
            <w:tcBorders>
              <w:bottom w:val="single" w:sz="4" w:space="0" w:color="auto"/>
            </w:tcBorders>
            <w:vAlign w:val="bottom"/>
          </w:tcPr>
          <w:p w14:paraId="423C5B8A" w14:textId="77777777" w:rsidR="009E6CB7" w:rsidRPr="00B808F7" w:rsidRDefault="009E6CB7" w:rsidP="00B20551">
            <w:pPr>
              <w:spacing w:after="80"/>
            </w:pPr>
          </w:p>
        </w:tc>
        <w:tc>
          <w:tcPr>
            <w:tcW w:w="2268" w:type="dxa"/>
            <w:tcBorders>
              <w:bottom w:val="single" w:sz="4" w:space="0" w:color="auto"/>
            </w:tcBorders>
            <w:vAlign w:val="bottom"/>
          </w:tcPr>
          <w:p w14:paraId="20908C1C" w14:textId="77777777" w:rsidR="009E6CB7" w:rsidRPr="00B808F7" w:rsidRDefault="009E6CB7" w:rsidP="00B20551">
            <w:pPr>
              <w:spacing w:after="80" w:line="300" w:lineRule="exact"/>
              <w:rPr>
                <w:b/>
                <w:sz w:val="24"/>
                <w:szCs w:val="24"/>
              </w:rPr>
            </w:pPr>
            <w:r w:rsidRPr="00B808F7">
              <w:rPr>
                <w:sz w:val="28"/>
                <w:szCs w:val="28"/>
              </w:rPr>
              <w:t>United Nations</w:t>
            </w:r>
          </w:p>
        </w:tc>
        <w:tc>
          <w:tcPr>
            <w:tcW w:w="6095" w:type="dxa"/>
            <w:gridSpan w:val="2"/>
            <w:tcBorders>
              <w:bottom w:val="single" w:sz="4" w:space="0" w:color="auto"/>
            </w:tcBorders>
            <w:vAlign w:val="bottom"/>
          </w:tcPr>
          <w:p w14:paraId="645BD2E1" w14:textId="5F9A23E5" w:rsidR="009E6CB7" w:rsidRPr="00B808F7" w:rsidRDefault="00F81DCF" w:rsidP="00F81DCF">
            <w:pPr>
              <w:jc w:val="right"/>
            </w:pPr>
            <w:r w:rsidRPr="00B808F7">
              <w:rPr>
                <w:sz w:val="40"/>
              </w:rPr>
              <w:t>ECE</w:t>
            </w:r>
            <w:r w:rsidRPr="00B808F7">
              <w:t>/TRANS/WP.29/GRSP/2022/15</w:t>
            </w:r>
          </w:p>
        </w:tc>
      </w:tr>
      <w:tr w:rsidR="009E6CB7" w:rsidRPr="00B808F7" w14:paraId="7938402A" w14:textId="77777777" w:rsidTr="00B20551">
        <w:trPr>
          <w:cantSplit/>
          <w:trHeight w:hRule="exact" w:val="2835"/>
        </w:trPr>
        <w:tc>
          <w:tcPr>
            <w:tcW w:w="1276" w:type="dxa"/>
            <w:tcBorders>
              <w:top w:val="single" w:sz="4" w:space="0" w:color="auto"/>
              <w:bottom w:val="single" w:sz="12" w:space="0" w:color="auto"/>
            </w:tcBorders>
          </w:tcPr>
          <w:p w14:paraId="2BF44910" w14:textId="77777777" w:rsidR="009E6CB7" w:rsidRPr="00B808F7" w:rsidRDefault="00686A48" w:rsidP="00B20551">
            <w:pPr>
              <w:spacing w:before="120"/>
            </w:pPr>
            <w:r w:rsidRPr="00711E8A">
              <w:rPr>
                <w:noProof/>
                <w:lang w:eastAsia="fr-CH"/>
              </w:rPr>
              <w:drawing>
                <wp:inline distT="0" distB="0" distL="0" distR="0" wp14:anchorId="3F4EA669" wp14:editId="4752F3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A3C27A" w14:textId="77777777" w:rsidR="009E6CB7" w:rsidRPr="00AB5247" w:rsidRDefault="009E6CB7" w:rsidP="00B20551">
            <w:pPr>
              <w:spacing w:before="120" w:line="420" w:lineRule="exact"/>
              <w:rPr>
                <w:sz w:val="40"/>
                <w:szCs w:val="40"/>
              </w:rPr>
            </w:pPr>
            <w:r w:rsidRPr="00AB5247">
              <w:rPr>
                <w:b/>
                <w:sz w:val="40"/>
                <w:szCs w:val="40"/>
              </w:rPr>
              <w:t>Economic and Social Council</w:t>
            </w:r>
          </w:p>
        </w:tc>
        <w:tc>
          <w:tcPr>
            <w:tcW w:w="2835" w:type="dxa"/>
            <w:tcBorders>
              <w:top w:val="single" w:sz="4" w:space="0" w:color="auto"/>
              <w:bottom w:val="single" w:sz="12" w:space="0" w:color="auto"/>
            </w:tcBorders>
          </w:tcPr>
          <w:p w14:paraId="0D40EDFC" w14:textId="77777777" w:rsidR="009E6CB7" w:rsidRPr="00B808F7" w:rsidRDefault="00F81DCF" w:rsidP="00F81DCF">
            <w:pPr>
              <w:spacing w:before="240" w:line="240" w:lineRule="exact"/>
            </w:pPr>
            <w:r w:rsidRPr="00B808F7">
              <w:t>Distr.: General</w:t>
            </w:r>
          </w:p>
          <w:p w14:paraId="7F5789CF" w14:textId="40E8F9BB" w:rsidR="00F81DCF" w:rsidRPr="00B808F7" w:rsidRDefault="00394EC4" w:rsidP="00F81DCF">
            <w:pPr>
              <w:spacing w:line="240" w:lineRule="exact"/>
            </w:pPr>
            <w:r>
              <w:t>20</w:t>
            </w:r>
            <w:r w:rsidR="00F81DCF" w:rsidRPr="00B808F7">
              <w:t xml:space="preserve"> September 2022</w:t>
            </w:r>
          </w:p>
          <w:p w14:paraId="5516AA68" w14:textId="77777777" w:rsidR="00F81DCF" w:rsidRPr="00B808F7" w:rsidRDefault="00F81DCF" w:rsidP="00F81DCF">
            <w:pPr>
              <w:spacing w:line="240" w:lineRule="exact"/>
            </w:pPr>
          </w:p>
          <w:p w14:paraId="0668B018" w14:textId="619438BD" w:rsidR="00F81DCF" w:rsidRPr="00B808F7" w:rsidRDefault="00F81DCF" w:rsidP="00F81DCF">
            <w:pPr>
              <w:spacing w:line="240" w:lineRule="exact"/>
            </w:pPr>
            <w:r w:rsidRPr="00B808F7">
              <w:t>Original: English</w:t>
            </w:r>
          </w:p>
        </w:tc>
      </w:tr>
    </w:tbl>
    <w:p w14:paraId="52E21E4A" w14:textId="77777777" w:rsidR="00F81DCF" w:rsidRPr="00B808F7" w:rsidRDefault="00F81DCF" w:rsidP="00F81DCF">
      <w:pPr>
        <w:spacing w:before="120"/>
        <w:rPr>
          <w:rFonts w:asciiTheme="majorBidi" w:hAnsiTheme="majorBidi" w:cstheme="majorBidi"/>
          <w:b/>
          <w:sz w:val="28"/>
          <w:szCs w:val="28"/>
        </w:rPr>
      </w:pPr>
      <w:r w:rsidRPr="00B808F7">
        <w:rPr>
          <w:rFonts w:asciiTheme="majorBidi" w:hAnsiTheme="majorBidi" w:cstheme="majorBidi"/>
          <w:b/>
          <w:sz w:val="28"/>
          <w:szCs w:val="28"/>
        </w:rPr>
        <w:t>Economic Commission for Europe</w:t>
      </w:r>
    </w:p>
    <w:p w14:paraId="47B0F1D9" w14:textId="77777777" w:rsidR="00F81DCF" w:rsidRPr="00B808F7" w:rsidRDefault="00F81DCF" w:rsidP="00F81DCF">
      <w:pPr>
        <w:spacing w:before="120"/>
        <w:rPr>
          <w:rFonts w:asciiTheme="majorBidi" w:hAnsiTheme="majorBidi" w:cstheme="majorBidi"/>
          <w:sz w:val="28"/>
          <w:szCs w:val="28"/>
        </w:rPr>
      </w:pPr>
      <w:r w:rsidRPr="00B808F7">
        <w:rPr>
          <w:rFonts w:asciiTheme="majorBidi" w:hAnsiTheme="majorBidi" w:cstheme="majorBidi"/>
          <w:sz w:val="28"/>
          <w:szCs w:val="28"/>
        </w:rPr>
        <w:t>Inland Transport Committee</w:t>
      </w:r>
    </w:p>
    <w:p w14:paraId="6A3ADA10" w14:textId="77777777" w:rsidR="00F81DCF" w:rsidRPr="00B808F7" w:rsidRDefault="00F81DCF" w:rsidP="00F81DCF">
      <w:pPr>
        <w:spacing w:before="120"/>
        <w:rPr>
          <w:rFonts w:asciiTheme="majorBidi" w:hAnsiTheme="majorBidi" w:cstheme="majorBidi"/>
          <w:b/>
          <w:sz w:val="24"/>
          <w:szCs w:val="24"/>
        </w:rPr>
      </w:pPr>
      <w:r w:rsidRPr="00B808F7">
        <w:rPr>
          <w:rFonts w:asciiTheme="majorBidi" w:hAnsiTheme="majorBidi" w:cstheme="majorBidi"/>
          <w:b/>
          <w:sz w:val="24"/>
          <w:szCs w:val="24"/>
        </w:rPr>
        <w:t>World Forum for Harmonization of Vehicle Regulations</w:t>
      </w:r>
    </w:p>
    <w:p w14:paraId="6ECC758C" w14:textId="77777777" w:rsidR="00F81DCF" w:rsidRPr="00B808F7" w:rsidRDefault="00F81DCF" w:rsidP="00F81DCF">
      <w:pPr>
        <w:spacing w:before="120"/>
        <w:rPr>
          <w:rFonts w:asciiTheme="majorBidi" w:hAnsiTheme="majorBidi" w:cstheme="majorBidi"/>
          <w:b/>
        </w:rPr>
      </w:pPr>
      <w:r w:rsidRPr="00B808F7">
        <w:rPr>
          <w:rFonts w:asciiTheme="majorBidi" w:hAnsiTheme="majorBidi" w:cstheme="majorBidi"/>
          <w:b/>
        </w:rPr>
        <w:t>Working Party on Passive Safety</w:t>
      </w:r>
    </w:p>
    <w:p w14:paraId="34C65E9E" w14:textId="750872A5" w:rsidR="00F81DCF" w:rsidRPr="00AB5247" w:rsidRDefault="00F81DCF" w:rsidP="00F81DCF">
      <w:pPr>
        <w:spacing w:before="120"/>
        <w:rPr>
          <w:rFonts w:asciiTheme="majorBidi" w:hAnsiTheme="majorBidi" w:cstheme="majorBidi"/>
          <w:b/>
        </w:rPr>
      </w:pPr>
      <w:r w:rsidRPr="00B808F7">
        <w:rPr>
          <w:rFonts w:asciiTheme="majorBidi" w:hAnsiTheme="majorBidi" w:cstheme="majorBidi"/>
          <w:b/>
        </w:rPr>
        <w:t>Seventy</w:t>
      </w:r>
      <w:r w:rsidR="0063694B">
        <w:rPr>
          <w:rFonts w:asciiTheme="majorBidi" w:hAnsiTheme="majorBidi" w:cstheme="majorBidi"/>
          <w:b/>
        </w:rPr>
        <w:t>-</w:t>
      </w:r>
      <w:r w:rsidRPr="0063694B">
        <w:rPr>
          <w:rFonts w:asciiTheme="majorBidi" w:hAnsiTheme="majorBidi" w:cstheme="majorBidi"/>
          <w:b/>
        </w:rPr>
        <w:t>second</w:t>
      </w:r>
      <w:r w:rsidRPr="00C75999">
        <w:rPr>
          <w:rFonts w:asciiTheme="majorBidi" w:hAnsiTheme="majorBidi" w:cstheme="majorBidi"/>
          <w:b/>
        </w:rPr>
        <w:t xml:space="preserve"> session</w:t>
      </w:r>
    </w:p>
    <w:p w14:paraId="39289676" w14:textId="77777777" w:rsidR="00F81DCF" w:rsidRPr="00197476" w:rsidRDefault="00F81DCF" w:rsidP="00F81DCF">
      <w:pPr>
        <w:rPr>
          <w:rFonts w:asciiTheme="majorBidi" w:hAnsiTheme="majorBidi" w:cstheme="majorBidi"/>
        </w:rPr>
      </w:pPr>
      <w:r w:rsidRPr="00AB5247">
        <w:rPr>
          <w:rFonts w:asciiTheme="majorBidi" w:hAnsiTheme="majorBidi" w:cstheme="majorBidi"/>
        </w:rPr>
        <w:t>Geneva, 5</w:t>
      </w:r>
      <w:r w:rsidRPr="00197476">
        <w:rPr>
          <w:rFonts w:asciiTheme="majorBidi" w:hAnsiTheme="majorBidi" w:cstheme="majorBidi"/>
        </w:rPr>
        <w:t>–9 December 2022</w:t>
      </w:r>
    </w:p>
    <w:p w14:paraId="6520F625" w14:textId="21FE569A" w:rsidR="00F81DCF" w:rsidRPr="00B808F7" w:rsidRDefault="00F81DCF" w:rsidP="00F81DCF">
      <w:pPr>
        <w:rPr>
          <w:rFonts w:asciiTheme="majorBidi" w:hAnsiTheme="majorBidi" w:cstheme="majorBidi"/>
        </w:rPr>
      </w:pPr>
      <w:r w:rsidRPr="00B808F7">
        <w:rPr>
          <w:rFonts w:asciiTheme="majorBidi" w:hAnsiTheme="majorBidi" w:cstheme="majorBidi"/>
        </w:rPr>
        <w:t>Item 11 of the provisional agenda</w:t>
      </w:r>
    </w:p>
    <w:p w14:paraId="3C8FDC02" w14:textId="0C88C3A1" w:rsidR="00F81DCF" w:rsidRPr="00711E8A" w:rsidRDefault="00F81DCF" w:rsidP="00F81DCF">
      <w:r w:rsidRPr="00B808F7">
        <w:rPr>
          <w:b/>
        </w:rPr>
        <w:t>UN Regulation No. 134 (Hydrogen and Fuel Cells Vehicles</w:t>
      </w:r>
      <w:r w:rsidRPr="00711E8A">
        <w:rPr>
          <w:b/>
        </w:rPr>
        <w:t>)</w:t>
      </w:r>
    </w:p>
    <w:p w14:paraId="75F80826" w14:textId="5095F660" w:rsidR="00F81DCF" w:rsidRPr="00B808F7" w:rsidRDefault="00F81DCF" w:rsidP="00F81DCF">
      <w:pPr>
        <w:pStyle w:val="HChG"/>
        <w:jc w:val="both"/>
      </w:pPr>
      <w:r w:rsidRPr="00711E8A">
        <w:tab/>
      </w:r>
      <w:r w:rsidRPr="00711E8A">
        <w:tab/>
      </w:r>
      <w:r w:rsidRPr="00711E8A">
        <w:tab/>
      </w:r>
      <w:r w:rsidRPr="00B808F7">
        <w:t>Proposal for Supplement 5</w:t>
      </w:r>
      <w:r w:rsidRPr="0083142D">
        <w:t xml:space="preserve"> to the </w:t>
      </w:r>
      <w:r w:rsidR="0083142D" w:rsidRPr="00C75999">
        <w:t xml:space="preserve">Original Version </w:t>
      </w:r>
      <w:r w:rsidRPr="00AB5247">
        <w:t xml:space="preserve">and Supplement 2 to </w:t>
      </w:r>
      <w:r w:rsidRPr="00197476">
        <w:t xml:space="preserve">the 01 </w:t>
      </w:r>
      <w:r w:rsidR="0083142D" w:rsidRPr="00197476">
        <w:t xml:space="preserve">Series </w:t>
      </w:r>
      <w:r w:rsidRPr="00197476">
        <w:t xml:space="preserve">of </w:t>
      </w:r>
      <w:r w:rsidR="0083142D" w:rsidRPr="00197476">
        <w:t>Amendments</w:t>
      </w:r>
      <w:r w:rsidRPr="00197476">
        <w:t xml:space="preserve"> to UN Regulation No. 1</w:t>
      </w:r>
      <w:r w:rsidRPr="00B808F7">
        <w:t>34 (Hydrogen and Fuel Cells</w:t>
      </w:r>
      <w:r w:rsidRPr="00197476">
        <w:t xml:space="preserve"> Vehicles</w:t>
      </w:r>
      <w:r w:rsidRPr="00B808F7">
        <w:t>)</w:t>
      </w:r>
    </w:p>
    <w:p w14:paraId="475D8853" w14:textId="5B78CD84" w:rsidR="00F81DCF" w:rsidRPr="00B808F7" w:rsidRDefault="00F81DCF" w:rsidP="00F81DCF">
      <w:pPr>
        <w:pStyle w:val="H1G"/>
      </w:pPr>
      <w:r w:rsidRPr="00B808F7">
        <w:tab/>
      </w:r>
      <w:r w:rsidRPr="00B808F7">
        <w:tab/>
        <w:t>Submitted by the expert from</w:t>
      </w:r>
      <w:r w:rsidRPr="00711E8A">
        <w:rPr>
          <w:rFonts w:asciiTheme="majorBidi" w:hAnsiTheme="majorBidi" w:cstheme="majorBidi"/>
        </w:rPr>
        <w:t xml:space="preserve"> France</w:t>
      </w:r>
      <w:r w:rsidRPr="00B808F7">
        <w:rPr>
          <w:bCs/>
        </w:rPr>
        <w:footnoteReference w:customMarkFollows="1" w:id="2"/>
        <w:t>*</w:t>
      </w:r>
    </w:p>
    <w:p w14:paraId="040525FD" w14:textId="19960F14" w:rsidR="00F81DCF" w:rsidRPr="00197476" w:rsidRDefault="00F81DCF" w:rsidP="00F81DCF">
      <w:pPr>
        <w:spacing w:after="120"/>
        <w:ind w:left="1134" w:right="1134" w:firstLine="567"/>
        <w:jc w:val="both"/>
      </w:pPr>
      <w:bookmarkStart w:id="0" w:name="_Hlk31700179"/>
      <w:r w:rsidRPr="00B808F7">
        <w:t xml:space="preserve">The </w:t>
      </w:r>
      <w:r w:rsidRPr="00B808F7">
        <w:rPr>
          <w:snapToGrid w:val="0"/>
        </w:rPr>
        <w:t xml:space="preserve">text reproduced below </w:t>
      </w:r>
      <w:r w:rsidRPr="00B808F7">
        <w:t xml:space="preserve">was </w:t>
      </w:r>
      <w:bookmarkStart w:id="1" w:name="_Hlk32495709"/>
      <w:r w:rsidRPr="00B808F7">
        <w:t xml:space="preserve">prepared by the expert from France </w:t>
      </w:r>
      <w:bookmarkEnd w:id="1"/>
      <w:r w:rsidRPr="00B808F7">
        <w:t xml:space="preserve">to clarify the procedure and the characteristics of the measuring device used for the compliance test </w:t>
      </w:r>
      <w:r w:rsidR="00C75999">
        <w:t xml:space="preserve">of </w:t>
      </w:r>
      <w:r w:rsidRPr="00C75999">
        <w:t xml:space="preserve">the vehicle exhaust system. The modifications </w:t>
      </w:r>
      <w:r w:rsidRPr="00AB5247">
        <w:t>to the current text of the UN Regulation are marked in bold for new or strikethrough for deleted characters</w:t>
      </w:r>
      <w:r w:rsidRPr="00197476">
        <w:t xml:space="preserve">. </w:t>
      </w:r>
    </w:p>
    <w:bookmarkEnd w:id="0"/>
    <w:p w14:paraId="2CA8E9C2" w14:textId="76DC3FE6" w:rsidR="00F81DCF" w:rsidRPr="00197476" w:rsidRDefault="00F81DCF">
      <w:pPr>
        <w:suppressAutoHyphens w:val="0"/>
        <w:spacing w:line="240" w:lineRule="auto"/>
      </w:pPr>
      <w:r w:rsidRPr="00197476">
        <w:br w:type="page"/>
      </w:r>
    </w:p>
    <w:p w14:paraId="304615D1" w14:textId="77777777" w:rsidR="00F81DCF" w:rsidRPr="00B808F7" w:rsidRDefault="00F81DCF" w:rsidP="00F81DCF">
      <w:pPr>
        <w:pStyle w:val="HChG"/>
      </w:pPr>
      <w:bookmarkStart w:id="2" w:name="_Hlk534364985"/>
      <w:r w:rsidRPr="00B808F7">
        <w:lastRenderedPageBreak/>
        <w:tab/>
        <w:t>I.</w:t>
      </w:r>
      <w:r w:rsidRPr="00B808F7">
        <w:tab/>
        <w:t>Proposal</w:t>
      </w:r>
    </w:p>
    <w:p w14:paraId="0BBFC128" w14:textId="241F5E27" w:rsidR="00F81DCF" w:rsidRPr="00B808F7" w:rsidRDefault="00F81DCF" w:rsidP="00F81DCF">
      <w:pPr>
        <w:pStyle w:val="SingleTxtG"/>
        <w:ind w:left="2268" w:hanging="1134"/>
        <w:rPr>
          <w:i/>
          <w:color w:val="000000" w:themeColor="text1"/>
          <w:lang w:eastAsia="ja-JP"/>
        </w:rPr>
      </w:pPr>
      <w:r w:rsidRPr="00B808F7">
        <w:rPr>
          <w:i/>
          <w:color w:val="000000" w:themeColor="text1"/>
          <w:lang w:eastAsia="ja-JP"/>
        </w:rPr>
        <w:t>Annex 5,</w:t>
      </w:r>
    </w:p>
    <w:p w14:paraId="5661C0EB" w14:textId="5CE066B1" w:rsidR="00F81DCF" w:rsidRPr="00B808F7" w:rsidRDefault="00F81DCF" w:rsidP="00F81DCF">
      <w:pPr>
        <w:pStyle w:val="SingleTxtG"/>
        <w:ind w:left="2268" w:hanging="1134"/>
        <w:rPr>
          <w:i/>
          <w:color w:val="000000" w:themeColor="text1"/>
          <w:lang w:eastAsia="ja-JP"/>
        </w:rPr>
      </w:pPr>
      <w:r w:rsidRPr="00B808F7">
        <w:rPr>
          <w:i/>
          <w:color w:val="000000" w:themeColor="text1"/>
          <w:lang w:eastAsia="ja-JP"/>
        </w:rPr>
        <w:t xml:space="preserve">Paragraphs 4.4. and 4.5., </w:t>
      </w:r>
      <w:r w:rsidRPr="00B808F7">
        <w:rPr>
          <w:iCs/>
          <w:color w:val="000000" w:themeColor="text1"/>
          <w:lang w:eastAsia="ja-JP"/>
        </w:rPr>
        <w:t>amend to read:</w:t>
      </w:r>
    </w:p>
    <w:p w14:paraId="7F32E9B5" w14:textId="27D08239" w:rsidR="00F81DCF" w:rsidRPr="00B808F7" w:rsidRDefault="00F81DCF" w:rsidP="00F81DCF">
      <w:pPr>
        <w:keepNext/>
        <w:keepLines/>
        <w:tabs>
          <w:tab w:val="right" w:pos="851"/>
        </w:tabs>
        <w:spacing w:before="240" w:after="120" w:line="240" w:lineRule="exact"/>
        <w:ind w:left="2268" w:right="1134" w:hanging="1134"/>
      </w:pPr>
      <w:r w:rsidRPr="00B808F7">
        <w:t>"4.4.</w:t>
      </w:r>
      <w:r w:rsidRPr="00B808F7">
        <w:tab/>
        <w:t>The exhaust hydrogen concentration is continuously measured during the following steps:</w:t>
      </w:r>
    </w:p>
    <w:p w14:paraId="5F3CCBFF" w14:textId="77777777" w:rsidR="00F81DCF" w:rsidRPr="00B808F7" w:rsidRDefault="00F81DCF" w:rsidP="00F81DCF">
      <w:pPr>
        <w:spacing w:after="120"/>
        <w:ind w:left="2835" w:right="1134" w:hanging="567"/>
        <w:jc w:val="both"/>
      </w:pPr>
      <w:r w:rsidRPr="00B808F7">
        <w:t>(a)</w:t>
      </w:r>
      <w:r w:rsidRPr="00B808F7">
        <w:tab/>
        <w:t>The power system is shut down;</w:t>
      </w:r>
    </w:p>
    <w:p w14:paraId="3A6AF098" w14:textId="77777777" w:rsidR="00F81DCF" w:rsidRPr="00B808F7" w:rsidRDefault="00F81DCF" w:rsidP="00F81DCF">
      <w:pPr>
        <w:spacing w:after="120"/>
        <w:ind w:left="2835" w:right="1134" w:hanging="567"/>
        <w:jc w:val="both"/>
      </w:pPr>
      <w:r w:rsidRPr="00B808F7">
        <w:t>(b)</w:t>
      </w:r>
      <w:r w:rsidRPr="00B808F7">
        <w:tab/>
        <w:t>Upon completion of the shut-down process, the power system is immediately started;</w:t>
      </w:r>
    </w:p>
    <w:p w14:paraId="339CD3D5" w14:textId="77777777" w:rsidR="00F81DCF" w:rsidRPr="00B808F7" w:rsidRDefault="00F81DCF" w:rsidP="00F81DCF">
      <w:pPr>
        <w:spacing w:after="120"/>
        <w:ind w:left="2835" w:right="1134" w:hanging="567"/>
        <w:jc w:val="both"/>
      </w:pPr>
      <w:r w:rsidRPr="00B808F7">
        <w:t>(c)</w:t>
      </w:r>
      <w:r w:rsidRPr="00B808F7">
        <w:tab/>
        <w:t xml:space="preserve">After </w:t>
      </w:r>
      <w:r w:rsidRPr="00B808F7">
        <w:rPr>
          <w:rFonts w:eastAsia="MS PGothic"/>
          <w:b/>
          <w:bCs/>
        </w:rPr>
        <w:t>completion of the start-up process as defined by the manufacturer</w:t>
      </w:r>
      <w:r w:rsidRPr="00B808F7">
        <w:rPr>
          <w:strike/>
        </w:rPr>
        <w:t xml:space="preserve"> a lapse of one minute</w:t>
      </w:r>
      <w:r w:rsidRPr="00B808F7">
        <w:t>, the power system is turned off and measurement continues until the power system shut-down procedure is completed.</w:t>
      </w:r>
    </w:p>
    <w:p w14:paraId="22775957" w14:textId="77777777" w:rsidR="00F81DCF" w:rsidRPr="00B808F7" w:rsidRDefault="00F81DCF" w:rsidP="00F81DCF">
      <w:pPr>
        <w:spacing w:after="120"/>
        <w:ind w:left="2268" w:right="1134" w:hanging="1134"/>
        <w:jc w:val="both"/>
        <w:rPr>
          <w:strike/>
        </w:rPr>
      </w:pPr>
      <w:r w:rsidRPr="00B808F7">
        <w:t>4.5.</w:t>
      </w:r>
      <w:r w:rsidRPr="00B808F7">
        <w:tab/>
        <w:t>The measurement device shall</w:t>
      </w:r>
      <w:r w:rsidRPr="00B808F7">
        <w:rPr>
          <w:b/>
          <w:bCs/>
        </w:rPr>
        <w:t>:</w:t>
      </w:r>
      <w:r w:rsidRPr="00B808F7">
        <w:t xml:space="preserve"> </w:t>
      </w:r>
      <w:r w:rsidRPr="00B808F7">
        <w:rPr>
          <w:strike/>
        </w:rPr>
        <w:t>have a measurement response time</w:t>
      </w:r>
      <w:r w:rsidRPr="00B808F7">
        <w:rPr>
          <w:b/>
          <w:bCs/>
          <w:strike/>
        </w:rPr>
        <w:t xml:space="preserve"> </w:t>
      </w:r>
      <w:r w:rsidRPr="00B808F7">
        <w:rPr>
          <w:strike/>
        </w:rPr>
        <w:t>of less than</w:t>
      </w:r>
      <w:r w:rsidRPr="00B808F7">
        <w:rPr>
          <w:b/>
          <w:bCs/>
          <w:strike/>
        </w:rPr>
        <w:t xml:space="preserve"> </w:t>
      </w:r>
      <w:r w:rsidRPr="00B808F7">
        <w:rPr>
          <w:strike/>
        </w:rPr>
        <w:t xml:space="preserve">300 milliseconds </w:t>
      </w:r>
    </w:p>
    <w:p w14:paraId="57AB129B" w14:textId="57DC8668" w:rsidR="00F81DCF" w:rsidRPr="00B808F7" w:rsidRDefault="00F81DCF" w:rsidP="00F81DCF">
      <w:pPr>
        <w:spacing w:after="120"/>
        <w:ind w:left="2835" w:right="1134" w:hanging="567"/>
        <w:jc w:val="both"/>
      </w:pPr>
      <w:r w:rsidRPr="00B808F7">
        <w:rPr>
          <w:b/>
          <w:bCs/>
        </w:rPr>
        <w:t>(a)</w:t>
      </w:r>
      <w:r w:rsidRPr="00B808F7">
        <w:tab/>
      </w:r>
      <w:r w:rsidRPr="00B808F7">
        <w:rPr>
          <w:b/>
        </w:rPr>
        <w:t xml:space="preserve">Have a measurement response-time </w:t>
      </w:r>
      <w:r w:rsidRPr="00B808F7">
        <w:rPr>
          <w:b/>
          <w:bCs/>
        </w:rPr>
        <w:t>(t</w:t>
      </w:r>
      <w:r w:rsidRPr="00B808F7">
        <w:rPr>
          <w:b/>
          <w:bCs/>
          <w:vertAlign w:val="subscript"/>
        </w:rPr>
        <w:t>0</w:t>
      </w:r>
      <w:r w:rsidRPr="00B808F7">
        <w:rPr>
          <w:b/>
          <w:bCs/>
        </w:rPr>
        <w:t xml:space="preserve"> - t</w:t>
      </w:r>
      <w:r w:rsidRPr="00B808F7">
        <w:rPr>
          <w:b/>
          <w:bCs/>
          <w:vertAlign w:val="subscript"/>
        </w:rPr>
        <w:t>90</w:t>
      </w:r>
      <w:r w:rsidRPr="00B808F7">
        <w:rPr>
          <w:b/>
          <w:bCs/>
        </w:rPr>
        <w:t>)</w:t>
      </w:r>
      <w:r w:rsidRPr="00B808F7">
        <w:rPr>
          <w:b/>
        </w:rPr>
        <w:t xml:space="preserve"> of less than </w:t>
      </w:r>
      <w:r w:rsidR="001C0BDE">
        <w:rPr>
          <w:b/>
        </w:rPr>
        <w:t>two</w:t>
      </w:r>
      <w:r w:rsidR="001C0BDE" w:rsidRPr="001C0BDE">
        <w:rPr>
          <w:b/>
        </w:rPr>
        <w:t xml:space="preserve"> </w:t>
      </w:r>
      <w:r w:rsidRPr="001C0BDE">
        <w:rPr>
          <w:b/>
        </w:rPr>
        <w:t xml:space="preserve">seconds, </w:t>
      </w:r>
      <w:r w:rsidRPr="003B2B51">
        <w:rPr>
          <w:b/>
          <w:bCs/>
        </w:rPr>
        <w:t>where t</w:t>
      </w:r>
      <w:r w:rsidRPr="00D91637">
        <w:rPr>
          <w:b/>
          <w:bCs/>
          <w:vertAlign w:val="subscript"/>
        </w:rPr>
        <w:t>0</w:t>
      </w:r>
      <w:r w:rsidRPr="00D67982">
        <w:rPr>
          <w:b/>
          <w:bCs/>
        </w:rPr>
        <w:t xml:space="preserve"> is the moment of hydrogen concentration switching, and t</w:t>
      </w:r>
      <w:r w:rsidRPr="00AB5247">
        <w:rPr>
          <w:b/>
          <w:bCs/>
          <w:vertAlign w:val="subscript"/>
        </w:rPr>
        <w:t>90</w:t>
      </w:r>
      <w:r w:rsidRPr="00AB5247">
        <w:rPr>
          <w:b/>
          <w:bCs/>
        </w:rPr>
        <w:t xml:space="preserve"> is the time when 90</w:t>
      </w:r>
      <w:r w:rsidRPr="00197476">
        <w:rPr>
          <w:b/>
          <w:bCs/>
        </w:rPr>
        <w:t xml:space="preserve"> per cent of the final indication is reached.</w:t>
      </w:r>
    </w:p>
    <w:p w14:paraId="58F5A065" w14:textId="56E70B52" w:rsidR="00F81DCF" w:rsidRPr="00B808F7" w:rsidRDefault="00F81DCF" w:rsidP="00F81DCF">
      <w:pPr>
        <w:spacing w:after="120"/>
        <w:ind w:left="2835" w:right="1134" w:hanging="567"/>
        <w:jc w:val="both"/>
        <w:rPr>
          <w:b/>
          <w:bCs/>
        </w:rPr>
      </w:pPr>
      <w:r w:rsidRPr="00B808F7">
        <w:rPr>
          <w:b/>
          <w:bCs/>
        </w:rPr>
        <w:t>(b)</w:t>
      </w:r>
      <w:r w:rsidRPr="00B808F7">
        <w:rPr>
          <w:b/>
          <w:bCs/>
        </w:rPr>
        <w:tab/>
        <w:t>Have a resolution time of less than 300 milliseconds (sampling rate of &gt;3.33 Hz).</w:t>
      </w:r>
      <w:r w:rsidRPr="00B808F7">
        <w:t>"</w:t>
      </w:r>
    </w:p>
    <w:p w14:paraId="7ACA686C" w14:textId="3A3989E7" w:rsidR="00F81DCF" w:rsidRPr="00711E8A" w:rsidRDefault="00F81DCF" w:rsidP="00F81DCF">
      <w:pPr>
        <w:pStyle w:val="HChG"/>
        <w:spacing w:before="240"/>
      </w:pPr>
      <w:r w:rsidRPr="00711E8A">
        <w:tab/>
        <w:t>II.</w:t>
      </w:r>
      <w:r w:rsidRPr="00711E8A">
        <w:tab/>
        <w:t>Justification</w:t>
      </w:r>
    </w:p>
    <w:p w14:paraId="38B31D74" w14:textId="61E8A07F" w:rsidR="00F81DCF" w:rsidRPr="00721527" w:rsidRDefault="00721527" w:rsidP="00721527">
      <w:pPr>
        <w:spacing w:after="120"/>
        <w:ind w:left="1134" w:right="1134" w:hanging="5"/>
        <w:jc w:val="both"/>
      </w:pPr>
      <w:r w:rsidRPr="00AB5247">
        <w:rPr>
          <w:lang w:eastAsia="en-US"/>
        </w:rPr>
        <w:t>1.</w:t>
      </w:r>
      <w:r w:rsidRPr="00AB5247">
        <w:rPr>
          <w:lang w:eastAsia="en-US"/>
        </w:rPr>
        <w:tab/>
      </w:r>
      <w:r w:rsidR="00F81DCF" w:rsidRPr="00721527">
        <w:rPr>
          <w:rStyle w:val="markedcontent"/>
        </w:rPr>
        <w:t xml:space="preserve">The proposal is meant to </w:t>
      </w:r>
      <w:r w:rsidR="00F81DCF" w:rsidRPr="00721527">
        <w:t>clarify the procedure and the characteristics of the measuring device used for the compliance test for the vehicle exhaust system. It is based on the ongoing work of UN GTR No. 13, Phase 2.</w:t>
      </w:r>
    </w:p>
    <w:p w14:paraId="4A7DBE76" w14:textId="0EBC81B4" w:rsidR="00F81DCF" w:rsidRPr="00721527" w:rsidRDefault="00721527" w:rsidP="00721527">
      <w:pPr>
        <w:spacing w:after="120"/>
        <w:ind w:left="1134" w:right="1134" w:hanging="5"/>
        <w:jc w:val="both"/>
        <w:rPr>
          <w:rStyle w:val="markedcontent"/>
          <w:rFonts w:asciiTheme="majorBidi" w:hAnsiTheme="majorBidi" w:cstheme="majorBidi"/>
        </w:rPr>
      </w:pPr>
      <w:r w:rsidRPr="00B808F7">
        <w:rPr>
          <w:rStyle w:val="markedcontent"/>
          <w:rFonts w:asciiTheme="majorBidi" w:eastAsia="SimSun" w:hAnsiTheme="majorBidi" w:cstheme="majorBidi"/>
          <w:lang w:eastAsia="en-US"/>
        </w:rPr>
        <w:t>2.</w:t>
      </w:r>
      <w:r w:rsidRPr="00B808F7">
        <w:rPr>
          <w:rStyle w:val="markedcontent"/>
          <w:rFonts w:asciiTheme="majorBidi" w:eastAsia="SimSun" w:hAnsiTheme="majorBidi" w:cstheme="majorBidi"/>
          <w:lang w:eastAsia="en-US"/>
        </w:rPr>
        <w:tab/>
      </w:r>
      <w:r w:rsidR="00F81DCF" w:rsidRPr="00721527">
        <w:rPr>
          <w:rStyle w:val="markedcontent"/>
          <w:rFonts w:asciiTheme="majorBidi" w:hAnsiTheme="majorBidi" w:cstheme="majorBidi"/>
        </w:rPr>
        <w:t>Paragraph 4.4.: During the compliance test for the vehicle exhaust system, the exhaust hydrogen concentration is continuously measured during several steps. The power system is shut-down. The power system is immediately started upon completion of the shut-down process. After a lapse of one minute, the power system is turned off and measurement continues until the power system shut-down procedure is completed. However, the start</w:t>
      </w:r>
      <w:r w:rsidR="003B2B51" w:rsidRPr="00721527">
        <w:rPr>
          <w:rStyle w:val="markedcontent"/>
          <w:rFonts w:asciiTheme="majorBidi" w:hAnsiTheme="majorBidi" w:cstheme="majorBidi"/>
        </w:rPr>
        <w:t>-</w:t>
      </w:r>
      <w:r w:rsidR="00F81DCF" w:rsidRPr="00721527">
        <w:rPr>
          <w:rStyle w:val="markedcontent"/>
          <w:rFonts w:asciiTheme="majorBidi" w:hAnsiTheme="majorBidi" w:cstheme="majorBidi"/>
        </w:rPr>
        <w:t xml:space="preserve">up process may last longer than one minute and may allow a “normal shutdown” not before one minute. Therefore, it would be more appropriate to turn off the system after completion of the start-up process. The text is clarified accordingly. </w:t>
      </w:r>
    </w:p>
    <w:p w14:paraId="55008E1B" w14:textId="221BB1EB" w:rsidR="00F81DCF" w:rsidRPr="00721527" w:rsidRDefault="00721527" w:rsidP="00721527">
      <w:pPr>
        <w:spacing w:after="120"/>
        <w:ind w:left="1134" w:right="1134" w:hanging="5"/>
        <w:jc w:val="both"/>
        <w:rPr>
          <w:rStyle w:val="markedcontent"/>
          <w:rFonts w:asciiTheme="majorBidi" w:hAnsiTheme="majorBidi" w:cstheme="majorBidi"/>
        </w:rPr>
      </w:pPr>
      <w:r w:rsidRPr="00AB5247">
        <w:rPr>
          <w:rStyle w:val="markedcontent"/>
          <w:rFonts w:asciiTheme="majorBidi" w:eastAsia="SimSun" w:hAnsiTheme="majorBidi" w:cstheme="majorBidi"/>
          <w:lang w:eastAsia="en-US"/>
        </w:rPr>
        <w:t>3.</w:t>
      </w:r>
      <w:r w:rsidRPr="00AB5247">
        <w:rPr>
          <w:rStyle w:val="markedcontent"/>
          <w:rFonts w:asciiTheme="majorBidi" w:eastAsia="SimSun" w:hAnsiTheme="majorBidi" w:cstheme="majorBidi"/>
          <w:lang w:eastAsia="en-US"/>
        </w:rPr>
        <w:tab/>
      </w:r>
      <w:r w:rsidR="00F81DCF" w:rsidRPr="00721527">
        <w:rPr>
          <w:rStyle w:val="markedcontent"/>
          <w:rFonts w:asciiTheme="majorBidi" w:hAnsiTheme="majorBidi" w:cstheme="majorBidi"/>
        </w:rPr>
        <w:t xml:space="preserve">Paragraph 4.5.: In the compliance test for vehicle exhaust system, the measurement device should have a measurement response time of less than 300 milliseconds. However, no hydrogen analyser </w:t>
      </w:r>
      <w:r w:rsidR="00D91637" w:rsidRPr="00721527">
        <w:rPr>
          <w:rStyle w:val="markedcontent"/>
          <w:rFonts w:asciiTheme="majorBidi" w:hAnsiTheme="majorBidi" w:cstheme="majorBidi"/>
        </w:rPr>
        <w:t>is o</w:t>
      </w:r>
      <w:r w:rsidR="00F81DCF" w:rsidRPr="00721527">
        <w:rPr>
          <w:rStyle w:val="markedcontent"/>
          <w:rFonts w:asciiTheme="majorBidi" w:hAnsiTheme="majorBidi" w:cstheme="majorBidi"/>
        </w:rPr>
        <w:t xml:space="preserve">n the market with </w:t>
      </w:r>
      <w:r w:rsidR="00197476" w:rsidRPr="00721527">
        <w:rPr>
          <w:rStyle w:val="markedcontent"/>
          <w:rFonts w:asciiTheme="majorBidi" w:hAnsiTheme="majorBidi" w:cstheme="majorBidi"/>
        </w:rPr>
        <w:t xml:space="preserve">a </w:t>
      </w:r>
      <w:r w:rsidR="00F81DCF" w:rsidRPr="00721527">
        <w:rPr>
          <w:rStyle w:val="markedcontent"/>
          <w:rFonts w:asciiTheme="majorBidi" w:hAnsiTheme="majorBidi" w:cstheme="majorBidi"/>
        </w:rPr>
        <w:t xml:space="preserve">response time of less than 300 milliseconds. </w:t>
      </w:r>
      <w:r w:rsidR="00D67982" w:rsidRPr="00721527">
        <w:rPr>
          <w:rStyle w:val="markedcontent"/>
          <w:rFonts w:asciiTheme="majorBidi" w:hAnsiTheme="majorBidi" w:cstheme="majorBidi"/>
        </w:rPr>
        <w:t>T</w:t>
      </w:r>
      <w:r w:rsidR="00F81DCF" w:rsidRPr="00721527">
        <w:rPr>
          <w:rStyle w:val="markedcontent"/>
          <w:rFonts w:asciiTheme="majorBidi" w:hAnsiTheme="majorBidi" w:cstheme="majorBidi"/>
        </w:rPr>
        <w:t>he instrument which can be used for observ</w:t>
      </w:r>
      <w:r w:rsidR="00197476" w:rsidRPr="00721527">
        <w:rPr>
          <w:rStyle w:val="markedcontent"/>
          <w:rFonts w:asciiTheme="majorBidi" w:hAnsiTheme="majorBidi" w:cstheme="majorBidi"/>
        </w:rPr>
        <w:t>ing</w:t>
      </w:r>
      <w:r w:rsidR="00F81DCF" w:rsidRPr="00721527">
        <w:rPr>
          <w:rStyle w:val="markedcontent"/>
          <w:rFonts w:asciiTheme="majorBidi" w:hAnsiTheme="majorBidi" w:cstheme="majorBidi"/>
        </w:rPr>
        <w:t xml:space="preserve"> hydrogen emissions with </w:t>
      </w:r>
      <w:r w:rsidR="00197476" w:rsidRPr="00721527">
        <w:rPr>
          <w:rStyle w:val="markedcontent"/>
          <w:rFonts w:asciiTheme="majorBidi" w:hAnsiTheme="majorBidi" w:cstheme="majorBidi"/>
        </w:rPr>
        <w:t xml:space="preserve">an </w:t>
      </w:r>
      <w:r w:rsidR="00F81DCF" w:rsidRPr="00721527">
        <w:rPr>
          <w:rStyle w:val="markedcontent"/>
          <w:rFonts w:asciiTheme="majorBidi" w:hAnsiTheme="majorBidi" w:cstheme="majorBidi"/>
        </w:rPr>
        <w:t xml:space="preserve">appropriate time resolution is a vacuum mass spectrometer. The pressure reduction from atmosphere to an appropriate vacuum level needs a respective length of a thin capillary which results in a travel time which is longer than 300 milliseconds. Therefore, the maximum measurement response time is updated to </w:t>
      </w:r>
      <w:r w:rsidR="0076435A" w:rsidRPr="00721527">
        <w:rPr>
          <w:rStyle w:val="markedcontent"/>
          <w:rFonts w:asciiTheme="majorBidi" w:hAnsiTheme="majorBidi" w:cstheme="majorBidi"/>
        </w:rPr>
        <w:t xml:space="preserve">two </w:t>
      </w:r>
      <w:r w:rsidR="00F81DCF" w:rsidRPr="00721527">
        <w:rPr>
          <w:rStyle w:val="markedcontent"/>
          <w:rFonts w:asciiTheme="majorBidi" w:hAnsiTheme="majorBidi" w:cstheme="majorBidi"/>
        </w:rPr>
        <w:t>seconds. Requirements on the resolution time of the measurement device were also added.</w:t>
      </w:r>
    </w:p>
    <w:p w14:paraId="11588877" w14:textId="47AD8C5F" w:rsidR="00F81DCF" w:rsidRPr="00197476" w:rsidRDefault="00F81DCF" w:rsidP="00F81DCF">
      <w:pPr>
        <w:spacing w:before="240"/>
        <w:jc w:val="center"/>
        <w:rPr>
          <w:rStyle w:val="markedcontent"/>
          <w:rFonts w:asciiTheme="majorBidi" w:eastAsia="SimSun" w:hAnsiTheme="majorBidi" w:cstheme="majorBidi"/>
          <w:u w:val="single"/>
        </w:rPr>
      </w:pPr>
      <w:r w:rsidRPr="00AB5247">
        <w:rPr>
          <w:rStyle w:val="markedcontent"/>
          <w:rFonts w:asciiTheme="majorBidi" w:eastAsia="SimSun" w:hAnsiTheme="majorBidi" w:cstheme="majorBidi"/>
          <w:u w:val="single"/>
        </w:rPr>
        <w:tab/>
      </w:r>
      <w:r w:rsidRPr="00AB5247">
        <w:rPr>
          <w:rStyle w:val="markedcontent"/>
          <w:rFonts w:asciiTheme="majorBidi" w:eastAsia="SimSun" w:hAnsiTheme="majorBidi" w:cstheme="majorBidi"/>
          <w:u w:val="single"/>
        </w:rPr>
        <w:tab/>
      </w:r>
      <w:r w:rsidRPr="00AB5247">
        <w:rPr>
          <w:rStyle w:val="markedcontent"/>
          <w:rFonts w:asciiTheme="majorBidi" w:eastAsia="SimSun" w:hAnsiTheme="majorBidi" w:cstheme="majorBidi"/>
          <w:u w:val="single"/>
        </w:rPr>
        <w:tab/>
      </w:r>
    </w:p>
    <w:bookmarkEnd w:id="2"/>
    <w:p w14:paraId="7A8C4746" w14:textId="77777777" w:rsidR="001C6663" w:rsidRPr="00B808F7" w:rsidRDefault="001C6663" w:rsidP="00F81DCF"/>
    <w:sectPr w:rsidR="001C6663" w:rsidRPr="00B808F7" w:rsidSect="00F81DCF">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21199" w14:textId="77777777" w:rsidR="004504DD" w:rsidRDefault="004504DD"/>
  </w:endnote>
  <w:endnote w:type="continuationSeparator" w:id="0">
    <w:p w14:paraId="2C0A054C" w14:textId="77777777" w:rsidR="004504DD" w:rsidRDefault="004504DD"/>
  </w:endnote>
  <w:endnote w:type="continuationNotice" w:id="1">
    <w:p w14:paraId="3C9550F9" w14:textId="77777777" w:rsidR="004504DD" w:rsidRDefault="00450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BF91" w14:textId="7F756A9A" w:rsidR="00F81DCF" w:rsidRPr="00F81DCF" w:rsidRDefault="00F81DCF" w:rsidP="00F81DCF">
    <w:pPr>
      <w:pStyle w:val="Footer"/>
      <w:tabs>
        <w:tab w:val="right" w:pos="9638"/>
      </w:tabs>
      <w:rPr>
        <w:sz w:val="18"/>
      </w:rPr>
    </w:pPr>
    <w:r w:rsidRPr="00F81DCF">
      <w:rPr>
        <w:b/>
        <w:sz w:val="18"/>
      </w:rPr>
      <w:fldChar w:fldCharType="begin"/>
    </w:r>
    <w:r w:rsidRPr="00F81DCF">
      <w:rPr>
        <w:b/>
        <w:sz w:val="18"/>
      </w:rPr>
      <w:instrText xml:space="preserve"> PAGE  \* MERGEFORMAT </w:instrText>
    </w:r>
    <w:r w:rsidRPr="00F81DCF">
      <w:rPr>
        <w:b/>
        <w:sz w:val="18"/>
      </w:rPr>
      <w:fldChar w:fldCharType="separate"/>
    </w:r>
    <w:r w:rsidRPr="00F81DCF">
      <w:rPr>
        <w:b/>
        <w:noProof/>
        <w:sz w:val="18"/>
      </w:rPr>
      <w:t>2</w:t>
    </w:r>
    <w:r w:rsidRPr="00F81DC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1560" w14:textId="15C77A99" w:rsidR="00F81DCF" w:rsidRPr="00F81DCF" w:rsidRDefault="00F81DCF" w:rsidP="00F81DCF">
    <w:pPr>
      <w:pStyle w:val="Footer"/>
      <w:tabs>
        <w:tab w:val="right" w:pos="9638"/>
      </w:tabs>
      <w:rPr>
        <w:b/>
        <w:sz w:val="18"/>
      </w:rPr>
    </w:pPr>
    <w:r>
      <w:tab/>
    </w:r>
    <w:r w:rsidRPr="00F81DCF">
      <w:rPr>
        <w:b/>
        <w:sz w:val="18"/>
      </w:rPr>
      <w:fldChar w:fldCharType="begin"/>
    </w:r>
    <w:r w:rsidRPr="00F81DCF">
      <w:rPr>
        <w:b/>
        <w:sz w:val="18"/>
      </w:rPr>
      <w:instrText xml:space="preserve"> PAGE  \* MERGEFORMAT </w:instrText>
    </w:r>
    <w:r w:rsidRPr="00F81DCF">
      <w:rPr>
        <w:b/>
        <w:sz w:val="18"/>
      </w:rPr>
      <w:fldChar w:fldCharType="separate"/>
    </w:r>
    <w:r w:rsidRPr="00F81DCF">
      <w:rPr>
        <w:b/>
        <w:noProof/>
        <w:sz w:val="18"/>
      </w:rPr>
      <w:t>3</w:t>
    </w:r>
    <w:r w:rsidRPr="00F81DC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3B18" w14:textId="1E46EFA7" w:rsidR="004978C7" w:rsidRDefault="004978C7" w:rsidP="004978C7">
    <w:pPr>
      <w:pStyle w:val="Footer"/>
    </w:pPr>
    <w:r w:rsidRPr="0027112F">
      <w:rPr>
        <w:noProof/>
        <w:lang w:val="en-US"/>
      </w:rPr>
      <w:drawing>
        <wp:anchor distT="0" distB="0" distL="114300" distR="114300" simplePos="0" relativeHeight="251659264" behindDoc="0" locked="1" layoutInCell="1" allowOverlap="1" wp14:anchorId="2056762E" wp14:editId="3000804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2649FCE" w14:textId="2084AE74" w:rsidR="004978C7" w:rsidRPr="004978C7" w:rsidRDefault="004978C7" w:rsidP="004978C7">
    <w:pPr>
      <w:pStyle w:val="Footer"/>
      <w:ind w:right="1134"/>
      <w:rPr>
        <w:sz w:val="20"/>
      </w:rPr>
    </w:pPr>
    <w:r>
      <w:rPr>
        <w:sz w:val="20"/>
      </w:rPr>
      <w:t>GE.22-14845(E)</w:t>
    </w:r>
    <w:r>
      <w:rPr>
        <w:noProof/>
        <w:sz w:val="20"/>
      </w:rPr>
      <w:drawing>
        <wp:anchor distT="0" distB="0" distL="114300" distR="114300" simplePos="0" relativeHeight="251660288" behindDoc="0" locked="0" layoutInCell="1" allowOverlap="1" wp14:anchorId="37261A1F" wp14:editId="36CCCBD3">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1207" w14:textId="77777777" w:rsidR="004504DD" w:rsidRPr="000B175B" w:rsidRDefault="004504DD" w:rsidP="000B175B">
      <w:pPr>
        <w:tabs>
          <w:tab w:val="right" w:pos="2155"/>
        </w:tabs>
        <w:spacing w:after="80"/>
        <w:ind w:left="680"/>
        <w:rPr>
          <w:u w:val="single"/>
        </w:rPr>
      </w:pPr>
      <w:r>
        <w:rPr>
          <w:u w:val="single"/>
        </w:rPr>
        <w:tab/>
      </w:r>
    </w:p>
  </w:footnote>
  <w:footnote w:type="continuationSeparator" w:id="0">
    <w:p w14:paraId="053B41E3" w14:textId="77777777" w:rsidR="004504DD" w:rsidRPr="00FC68B7" w:rsidRDefault="004504DD" w:rsidP="00FC68B7">
      <w:pPr>
        <w:tabs>
          <w:tab w:val="left" w:pos="2155"/>
        </w:tabs>
        <w:spacing w:after="80"/>
        <w:ind w:left="680"/>
        <w:rPr>
          <w:u w:val="single"/>
        </w:rPr>
      </w:pPr>
      <w:r>
        <w:rPr>
          <w:u w:val="single"/>
        </w:rPr>
        <w:tab/>
      </w:r>
    </w:p>
  </w:footnote>
  <w:footnote w:type="continuationNotice" w:id="1">
    <w:p w14:paraId="450445A5" w14:textId="77777777" w:rsidR="004504DD" w:rsidRDefault="004504DD"/>
  </w:footnote>
  <w:footnote w:id="2">
    <w:p w14:paraId="419D341E" w14:textId="77777777" w:rsidR="00F81DCF" w:rsidRPr="00C10105" w:rsidRDefault="00F81DCF" w:rsidP="00F81DCF">
      <w:pPr>
        <w:pStyle w:val="FootnoteText"/>
        <w:rPr>
          <w:lang w:val="en-US"/>
        </w:rPr>
      </w:pPr>
      <w:r>
        <w:tab/>
      </w:r>
      <w:r w:rsidRPr="002232AF">
        <w:rPr>
          <w:rStyle w:val="FootnoteReference"/>
          <w:lang w:val="en-US"/>
        </w:rPr>
        <w:t>*</w:t>
      </w:r>
      <w:r>
        <w:rPr>
          <w:rStyle w:val="FootnoteReference"/>
          <w:lang w:val="en-US"/>
        </w:rPr>
        <w:tab/>
      </w:r>
      <w:r w:rsidRPr="00C10105">
        <w:rPr>
          <w:rStyle w:val="FootnoteReference"/>
          <w:szCs w:val="18"/>
          <w:vertAlign w:val="baseline"/>
        </w:rPr>
        <w:t>In accordance with the programme of work of the Inland Transport Committee for 2022 as outlined in t</w:t>
      </w:r>
      <w:r w:rsidRPr="00C10105">
        <w:rPr>
          <w:szCs w:val="18"/>
        </w:rPr>
        <w:t xml:space="preserve">he </w:t>
      </w:r>
      <w:r w:rsidRPr="00C10105">
        <w:rPr>
          <w:rStyle w:val="FootnoteReference"/>
          <w:szCs w:val="18"/>
          <w:vertAlign w:val="baseline"/>
        </w:rPr>
        <w:t>proposed programme budget for 2022 (A/76/6, part V</w:t>
      </w:r>
      <w:r w:rsidRPr="00C10105">
        <w:rPr>
          <w:szCs w:val="18"/>
        </w:rPr>
        <w:t>,</w:t>
      </w:r>
      <w:r w:rsidRPr="00C10105">
        <w:rPr>
          <w:rStyle w:val="FootnoteReference"/>
          <w:szCs w:val="18"/>
          <w:vertAlign w:val="baseline"/>
        </w:rPr>
        <w:t xml:space="preserve"> sect. 20, para</w:t>
      </w:r>
      <w:r w:rsidRPr="00C10105">
        <w:rPr>
          <w:szCs w:val="18"/>
        </w:rPr>
        <w:t>.</w:t>
      </w:r>
      <w:r w:rsidRPr="00C10105">
        <w:rPr>
          <w:rStyle w:val="FootnoteReference"/>
          <w:szCs w:val="18"/>
          <w:vertAlign w:val="baseline"/>
        </w:rPr>
        <w:t xml:space="preserve">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8484" w14:textId="166C2FBD" w:rsidR="00F81DCF" w:rsidRPr="00F81DCF" w:rsidRDefault="004504DD">
    <w:pPr>
      <w:pStyle w:val="Header"/>
    </w:pPr>
    <w:fldSimple w:instr=" TITLE  \* MERGEFORMAT ">
      <w:r w:rsidR="00B72AA5">
        <w:t>ECE/TRANS/WP.29/GRSP/2022/15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E98B" w14:textId="1AAF2352" w:rsidR="00F81DCF" w:rsidRPr="00F81DCF" w:rsidRDefault="004504DD" w:rsidP="00F81DCF">
    <w:pPr>
      <w:pStyle w:val="Header"/>
      <w:jc w:val="right"/>
    </w:pPr>
    <w:fldSimple w:instr=" TITLE  \* MERGEFORMAT ">
      <w:r w:rsidR="00B72AA5">
        <w:t>ECE/TRANS/WP.29/GRSP/2022/15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760D1C"/>
    <w:multiLevelType w:val="hybridMultilevel"/>
    <w:tmpl w:val="57C811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CF"/>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97476"/>
    <w:rsid w:val="001A0452"/>
    <w:rsid w:val="001B4B04"/>
    <w:rsid w:val="001B5875"/>
    <w:rsid w:val="001C0BDE"/>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B169C"/>
    <w:rsid w:val="002C6D45"/>
    <w:rsid w:val="002D6E53"/>
    <w:rsid w:val="002F046D"/>
    <w:rsid w:val="002F3023"/>
    <w:rsid w:val="00301764"/>
    <w:rsid w:val="003229D8"/>
    <w:rsid w:val="00336C97"/>
    <w:rsid w:val="00337F88"/>
    <w:rsid w:val="00342432"/>
    <w:rsid w:val="0035223F"/>
    <w:rsid w:val="00352D4B"/>
    <w:rsid w:val="0035638C"/>
    <w:rsid w:val="00394EC4"/>
    <w:rsid w:val="003A46BB"/>
    <w:rsid w:val="003A4EC7"/>
    <w:rsid w:val="003A7295"/>
    <w:rsid w:val="003B1F60"/>
    <w:rsid w:val="003B2B51"/>
    <w:rsid w:val="003C2CC4"/>
    <w:rsid w:val="003D4B23"/>
    <w:rsid w:val="003E278A"/>
    <w:rsid w:val="00413520"/>
    <w:rsid w:val="004325CB"/>
    <w:rsid w:val="00440A07"/>
    <w:rsid w:val="004504DD"/>
    <w:rsid w:val="00462880"/>
    <w:rsid w:val="00476F24"/>
    <w:rsid w:val="004978C7"/>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3694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11E8A"/>
    <w:rsid w:val="00721527"/>
    <w:rsid w:val="0072632A"/>
    <w:rsid w:val="007358E8"/>
    <w:rsid w:val="00736ECE"/>
    <w:rsid w:val="0074533B"/>
    <w:rsid w:val="0076435A"/>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3142D"/>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B5247"/>
    <w:rsid w:val="00AC0F2C"/>
    <w:rsid w:val="00AC502A"/>
    <w:rsid w:val="00AE1E26"/>
    <w:rsid w:val="00AF58C1"/>
    <w:rsid w:val="00B04A3F"/>
    <w:rsid w:val="00B06643"/>
    <w:rsid w:val="00B118F2"/>
    <w:rsid w:val="00B15055"/>
    <w:rsid w:val="00B20551"/>
    <w:rsid w:val="00B30179"/>
    <w:rsid w:val="00B31E0B"/>
    <w:rsid w:val="00B33FC7"/>
    <w:rsid w:val="00B37B15"/>
    <w:rsid w:val="00B4162A"/>
    <w:rsid w:val="00B45C02"/>
    <w:rsid w:val="00B70B63"/>
    <w:rsid w:val="00B72A1E"/>
    <w:rsid w:val="00B72AA5"/>
    <w:rsid w:val="00B808F7"/>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75999"/>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67982"/>
    <w:rsid w:val="00D704E5"/>
    <w:rsid w:val="00D72727"/>
    <w:rsid w:val="00D91637"/>
    <w:rsid w:val="00D978C6"/>
    <w:rsid w:val="00DA0956"/>
    <w:rsid w:val="00DA357F"/>
    <w:rsid w:val="00DA3E12"/>
    <w:rsid w:val="00DC18AD"/>
    <w:rsid w:val="00DE339A"/>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1DCF"/>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BFE44"/>
  <w15:docId w15:val="{2CD6DE0B-D050-44C5-AE9D-8FB43CB2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HChGChar">
    <w:name w:val="_ H _Ch_G Char"/>
    <w:link w:val="HChG"/>
    <w:locked/>
    <w:rsid w:val="00F81DCF"/>
    <w:rPr>
      <w:b/>
      <w:sz w:val="28"/>
      <w:lang w:val="en-GB"/>
    </w:rPr>
  </w:style>
  <w:style w:type="character" w:customStyle="1" w:styleId="H1GChar">
    <w:name w:val="_ H_1_G Char"/>
    <w:link w:val="H1G"/>
    <w:rsid w:val="00F81DCF"/>
    <w:rPr>
      <w:b/>
      <w:sz w:val="24"/>
      <w:lang w:val="en-GB"/>
    </w:rPr>
  </w:style>
  <w:style w:type="paragraph" w:styleId="ListParagraph">
    <w:name w:val="List Paragraph"/>
    <w:basedOn w:val="Normal"/>
    <w:uiPriority w:val="34"/>
    <w:qFormat/>
    <w:rsid w:val="00F81DCF"/>
    <w:pPr>
      <w:suppressAutoHyphens w:val="0"/>
      <w:spacing w:after="200" w:line="276" w:lineRule="auto"/>
      <w:ind w:left="720"/>
      <w:contextualSpacing/>
    </w:pPr>
    <w:rPr>
      <w:rFonts w:asciiTheme="minorHAnsi" w:eastAsia="SimSun" w:hAnsiTheme="minorHAnsi" w:cstheme="minorBidi"/>
      <w:sz w:val="22"/>
      <w:szCs w:val="22"/>
      <w:lang w:eastAsia="en-US"/>
    </w:rPr>
  </w:style>
  <w:style w:type="character" w:customStyle="1" w:styleId="SingleTxtGChar">
    <w:name w:val="_ Single Txt_G Char"/>
    <w:basedOn w:val="DefaultParagraphFont"/>
    <w:link w:val="SingleTxtG"/>
    <w:qFormat/>
    <w:rsid w:val="00F81DCF"/>
    <w:rPr>
      <w:lang w:val="en-GB"/>
    </w:rPr>
  </w:style>
  <w:style w:type="character" w:customStyle="1" w:styleId="markedcontent">
    <w:name w:val="markedcontent"/>
    <w:basedOn w:val="DefaultParagraphFont"/>
    <w:rsid w:val="00F81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6A61C771-D376-4EA6-B793-95CC9F61E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C5905-F562-41B0-9915-DC35C1DE5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2913</Characters>
  <Application>Microsoft Office Word</Application>
  <DocSecurity>0</DocSecurity>
  <Lines>68</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ECE/TRANS/WP.29/GRSP/2022/15</vt:lpstr>
      <vt:lpstr/>
    </vt:vector>
  </TitlesOfParts>
  <Company>CSD</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ECE/TRANS/WP.29/GRSP/2022/15</dc:title>
  <dc:subject>2214845</dc:subject>
  <dc:creator>Edoardo Gianotti</dc:creator>
  <cp:keywords/>
  <dc:description/>
  <cp:lastModifiedBy>Maria Rosario Corazon Gatmaytan</cp:lastModifiedBy>
  <cp:revision>2</cp:revision>
  <cp:lastPrinted>2022-09-19T15:03:00Z</cp:lastPrinted>
  <dcterms:created xsi:type="dcterms:W3CDTF">2022-09-20T06:11:00Z</dcterms:created>
  <dcterms:modified xsi:type="dcterms:W3CDTF">2022-09-20T06:11:00Z</dcterms:modified>
</cp:coreProperties>
</file>