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59" w:type="dxa"/>
        <w:tblLayout w:type="fixed"/>
        <w:tblCellMar>
          <w:left w:w="0" w:type="dxa"/>
          <w:right w:w="0" w:type="dxa"/>
        </w:tblCellMar>
        <w:tblLook w:val="01E0" w:firstRow="1" w:lastRow="1" w:firstColumn="1" w:lastColumn="1" w:noHBand="0" w:noVBand="0"/>
      </w:tblPr>
      <w:tblGrid>
        <w:gridCol w:w="1276"/>
        <w:gridCol w:w="2268"/>
        <w:gridCol w:w="3260"/>
        <w:gridCol w:w="2855"/>
      </w:tblGrid>
      <w:tr w:rsidR="009E6CB7" w14:paraId="5DA629CB" w14:textId="77777777" w:rsidTr="007F01C5">
        <w:trPr>
          <w:cantSplit/>
          <w:trHeight w:hRule="exact" w:val="851"/>
        </w:trPr>
        <w:tc>
          <w:tcPr>
            <w:tcW w:w="1276" w:type="dxa"/>
            <w:tcBorders>
              <w:bottom w:val="single" w:sz="4" w:space="0" w:color="auto"/>
            </w:tcBorders>
            <w:vAlign w:val="bottom"/>
          </w:tcPr>
          <w:p w14:paraId="155C56DD" w14:textId="77777777" w:rsidR="009E6CB7" w:rsidRPr="00A621FF" w:rsidRDefault="009E6CB7" w:rsidP="009E6CB7">
            <w:pPr>
              <w:spacing w:after="80"/>
              <w:rPr>
                <w:lang w:val="fr-CH"/>
              </w:rPr>
            </w:pPr>
          </w:p>
        </w:tc>
        <w:tc>
          <w:tcPr>
            <w:tcW w:w="2268" w:type="dxa"/>
            <w:tcBorders>
              <w:bottom w:val="single" w:sz="4" w:space="0" w:color="auto"/>
            </w:tcBorders>
            <w:vAlign w:val="bottom"/>
          </w:tcPr>
          <w:p w14:paraId="127D1143" w14:textId="77777777" w:rsidR="009E6CB7" w:rsidRPr="00B97172" w:rsidRDefault="009E6CB7" w:rsidP="009E6CB7">
            <w:pPr>
              <w:spacing w:after="80" w:line="300" w:lineRule="exact"/>
              <w:rPr>
                <w:b/>
                <w:sz w:val="24"/>
                <w:szCs w:val="24"/>
              </w:rPr>
            </w:pPr>
            <w:r>
              <w:rPr>
                <w:sz w:val="28"/>
                <w:szCs w:val="28"/>
              </w:rPr>
              <w:t>United Nations</w:t>
            </w:r>
          </w:p>
        </w:tc>
        <w:tc>
          <w:tcPr>
            <w:tcW w:w="6115" w:type="dxa"/>
            <w:gridSpan w:val="2"/>
            <w:tcBorders>
              <w:bottom w:val="single" w:sz="4" w:space="0" w:color="auto"/>
            </w:tcBorders>
            <w:vAlign w:val="bottom"/>
          </w:tcPr>
          <w:p w14:paraId="630BFAEC" w14:textId="40D126B5" w:rsidR="009E6CB7" w:rsidRPr="00D47EEA" w:rsidRDefault="00C54740" w:rsidP="00777F38">
            <w:pPr>
              <w:jc w:val="right"/>
            </w:pPr>
            <w:r>
              <w:t>ECE/ENERGY/</w:t>
            </w:r>
            <w:r w:rsidR="001F24F5">
              <w:t>GE.</w:t>
            </w:r>
            <w:r w:rsidR="002857E7">
              <w:t>5</w:t>
            </w:r>
            <w:r w:rsidR="00F31D72">
              <w:t>/20</w:t>
            </w:r>
            <w:r w:rsidR="00A615D5">
              <w:t>2</w:t>
            </w:r>
            <w:r w:rsidR="003C12B4">
              <w:t>2</w:t>
            </w:r>
            <w:r w:rsidR="003222C2">
              <w:t>/</w:t>
            </w:r>
            <w:r w:rsidR="00B03EE5">
              <w:t>INF.2</w:t>
            </w:r>
          </w:p>
        </w:tc>
      </w:tr>
      <w:tr w:rsidR="009E6CB7" w14:paraId="2E57C87A" w14:textId="77777777" w:rsidTr="007F01C5">
        <w:trPr>
          <w:cantSplit/>
          <w:trHeight w:hRule="exact" w:val="2835"/>
        </w:trPr>
        <w:tc>
          <w:tcPr>
            <w:tcW w:w="1276" w:type="dxa"/>
            <w:tcBorders>
              <w:top w:val="single" w:sz="4" w:space="0" w:color="auto"/>
              <w:bottom w:val="single" w:sz="12" w:space="0" w:color="auto"/>
            </w:tcBorders>
          </w:tcPr>
          <w:p w14:paraId="4A9E2677" w14:textId="77777777" w:rsidR="009E6CB7" w:rsidRDefault="00623EC9" w:rsidP="009E6CB7">
            <w:pPr>
              <w:spacing w:before="120"/>
            </w:pPr>
            <w:r>
              <w:rPr>
                <w:noProof/>
                <w:lang w:val="en-US"/>
              </w:rPr>
              <w:drawing>
                <wp:inline distT="0" distB="0" distL="0" distR="0" wp14:anchorId="7C2E7343" wp14:editId="1D08BCF0">
                  <wp:extent cx="715010" cy="589915"/>
                  <wp:effectExtent l="0" t="0" r="889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367547" w14:textId="77777777" w:rsidR="009E6CB7" w:rsidRPr="00D773DF" w:rsidRDefault="009E6CB7" w:rsidP="009E6CB7">
            <w:pPr>
              <w:spacing w:before="120" w:line="420" w:lineRule="exact"/>
              <w:rPr>
                <w:sz w:val="40"/>
                <w:szCs w:val="40"/>
              </w:rPr>
            </w:pPr>
            <w:r>
              <w:rPr>
                <w:b/>
                <w:sz w:val="40"/>
                <w:szCs w:val="40"/>
              </w:rPr>
              <w:t>Economic and Social Council</w:t>
            </w:r>
          </w:p>
        </w:tc>
        <w:tc>
          <w:tcPr>
            <w:tcW w:w="2855" w:type="dxa"/>
            <w:tcBorders>
              <w:top w:val="single" w:sz="4" w:space="0" w:color="auto"/>
              <w:bottom w:val="single" w:sz="12" w:space="0" w:color="auto"/>
            </w:tcBorders>
          </w:tcPr>
          <w:p w14:paraId="343DFAA9" w14:textId="77777777" w:rsidR="00501F93" w:rsidRDefault="00501F93" w:rsidP="0035795A">
            <w:pPr>
              <w:spacing w:before="240" w:line="240" w:lineRule="exact"/>
            </w:pPr>
            <w:r>
              <w:t>Distr.: General</w:t>
            </w:r>
          </w:p>
          <w:p w14:paraId="48C60561" w14:textId="61CC297B" w:rsidR="00501F93" w:rsidRDefault="00D85A41" w:rsidP="00A931A4">
            <w:pPr>
              <w:spacing w:line="240" w:lineRule="exact"/>
            </w:pPr>
            <w:r>
              <w:t>DR</w:t>
            </w:r>
            <w:r w:rsidR="00FB0963">
              <w:t>AFT</w:t>
            </w:r>
            <w:r>
              <w:t xml:space="preserve"> </w:t>
            </w:r>
            <w:r w:rsidR="000D3D47">
              <w:t>1</w:t>
            </w:r>
            <w:r w:rsidR="00E05773">
              <w:t>8</w:t>
            </w:r>
            <w:r w:rsidR="00A615D5">
              <w:t xml:space="preserve"> </w:t>
            </w:r>
            <w:r w:rsidR="00E05773">
              <w:t>September</w:t>
            </w:r>
            <w:r w:rsidR="00B02F52">
              <w:t xml:space="preserve"> 20</w:t>
            </w:r>
            <w:r w:rsidR="00A615D5">
              <w:t>2</w:t>
            </w:r>
            <w:r w:rsidR="00E05773">
              <w:t>2</w:t>
            </w:r>
          </w:p>
          <w:p w14:paraId="6FC927DD" w14:textId="77777777" w:rsidR="00501F93" w:rsidRDefault="00501F93" w:rsidP="00501F93">
            <w:pPr>
              <w:spacing w:line="240" w:lineRule="exact"/>
            </w:pPr>
          </w:p>
          <w:p w14:paraId="130B2A05" w14:textId="77777777" w:rsidR="009E6CB7" w:rsidRDefault="00501F93" w:rsidP="004068FE">
            <w:pPr>
              <w:spacing w:line="240" w:lineRule="exact"/>
            </w:pPr>
            <w:r>
              <w:t>Original: English</w:t>
            </w:r>
          </w:p>
        </w:tc>
      </w:tr>
    </w:tbl>
    <w:p w14:paraId="78B2AECF" w14:textId="77777777" w:rsidR="0075479D" w:rsidRDefault="0075479D" w:rsidP="0075479D">
      <w:pPr>
        <w:tabs>
          <w:tab w:val="left" w:pos="0"/>
          <w:tab w:val="left" w:pos="6644"/>
          <w:tab w:val="left" w:pos="7222"/>
        </w:tabs>
        <w:spacing w:before="120"/>
        <w:ind w:right="578"/>
        <w:rPr>
          <w:b/>
          <w:sz w:val="28"/>
          <w:szCs w:val="28"/>
        </w:rPr>
      </w:pPr>
      <w:r>
        <w:rPr>
          <w:b/>
          <w:sz w:val="28"/>
          <w:szCs w:val="28"/>
        </w:rPr>
        <w:t>E</w:t>
      </w:r>
      <w:r w:rsidRPr="0075479D">
        <w:rPr>
          <w:b/>
          <w:sz w:val="28"/>
          <w:szCs w:val="28"/>
        </w:rPr>
        <w:t xml:space="preserve">conomic </w:t>
      </w:r>
      <w:r>
        <w:rPr>
          <w:b/>
          <w:sz w:val="28"/>
          <w:szCs w:val="28"/>
        </w:rPr>
        <w:t>C</w:t>
      </w:r>
      <w:r w:rsidRPr="0075479D">
        <w:rPr>
          <w:b/>
          <w:sz w:val="28"/>
          <w:szCs w:val="28"/>
        </w:rPr>
        <w:t xml:space="preserve">ommission for </w:t>
      </w:r>
      <w:smartTag w:uri="urn:schemas-microsoft-com:office:smarttags" w:element="place">
        <w:r>
          <w:rPr>
            <w:b/>
            <w:sz w:val="28"/>
            <w:szCs w:val="28"/>
          </w:rPr>
          <w:t>E</w:t>
        </w:r>
        <w:r w:rsidRPr="0075479D">
          <w:rPr>
            <w:b/>
            <w:sz w:val="28"/>
            <w:szCs w:val="28"/>
          </w:rPr>
          <w:t>urope</w:t>
        </w:r>
      </w:smartTag>
    </w:p>
    <w:p w14:paraId="79E927C4" w14:textId="77777777" w:rsidR="0075479D" w:rsidRDefault="0075479D" w:rsidP="0075479D">
      <w:pPr>
        <w:tabs>
          <w:tab w:val="left" w:pos="0"/>
          <w:tab w:val="left" w:pos="6644"/>
          <w:tab w:val="left" w:pos="7222"/>
        </w:tabs>
        <w:spacing w:before="120"/>
        <w:rPr>
          <w:sz w:val="28"/>
          <w:szCs w:val="28"/>
        </w:rPr>
      </w:pPr>
      <w:r>
        <w:rPr>
          <w:sz w:val="28"/>
          <w:szCs w:val="28"/>
        </w:rPr>
        <w:t>C</w:t>
      </w:r>
      <w:r w:rsidRPr="0075479D">
        <w:rPr>
          <w:sz w:val="28"/>
          <w:szCs w:val="28"/>
        </w:rPr>
        <w:t xml:space="preserve">ommittee on </w:t>
      </w:r>
      <w:r>
        <w:rPr>
          <w:sz w:val="28"/>
          <w:szCs w:val="28"/>
        </w:rPr>
        <w:t>S</w:t>
      </w:r>
      <w:r w:rsidRPr="0075479D">
        <w:rPr>
          <w:sz w:val="28"/>
          <w:szCs w:val="28"/>
        </w:rPr>
        <w:t xml:space="preserve">ustainable </w:t>
      </w:r>
      <w:r>
        <w:rPr>
          <w:sz w:val="28"/>
          <w:szCs w:val="28"/>
        </w:rPr>
        <w:t>E</w:t>
      </w:r>
      <w:r w:rsidRPr="0075479D">
        <w:rPr>
          <w:sz w:val="28"/>
          <w:szCs w:val="28"/>
        </w:rPr>
        <w:t>nergy</w:t>
      </w:r>
    </w:p>
    <w:p w14:paraId="00A7920D" w14:textId="333174BE" w:rsidR="0075479D" w:rsidRPr="0075479D" w:rsidRDefault="00BC4C12" w:rsidP="0075479D">
      <w:pPr>
        <w:pStyle w:val="Heading8"/>
        <w:spacing w:before="120"/>
        <w:rPr>
          <w:b/>
          <w:bCs/>
          <w:sz w:val="24"/>
          <w:szCs w:val="24"/>
        </w:rPr>
      </w:pPr>
      <w:r>
        <w:rPr>
          <w:b/>
          <w:bCs/>
          <w:sz w:val="24"/>
          <w:szCs w:val="24"/>
        </w:rPr>
        <w:t xml:space="preserve">Group of Experts on </w:t>
      </w:r>
      <w:r w:rsidR="000D3D47">
        <w:rPr>
          <w:b/>
          <w:bCs/>
          <w:sz w:val="24"/>
          <w:szCs w:val="24"/>
        </w:rPr>
        <w:t>Cleaner Electricity Systems</w:t>
      </w:r>
      <w:r>
        <w:rPr>
          <w:b/>
          <w:bCs/>
          <w:sz w:val="24"/>
          <w:szCs w:val="24"/>
        </w:rPr>
        <w:t xml:space="preserve"> </w:t>
      </w:r>
    </w:p>
    <w:p w14:paraId="379ABC56" w14:textId="47B63043" w:rsidR="0075479D" w:rsidRPr="0075479D" w:rsidRDefault="003C12B4" w:rsidP="0075479D">
      <w:pPr>
        <w:spacing w:before="120"/>
        <w:rPr>
          <w:b/>
          <w:bCs/>
        </w:rPr>
      </w:pPr>
      <w:r>
        <w:rPr>
          <w:b/>
          <w:bCs/>
        </w:rPr>
        <w:t>Eighteenth</w:t>
      </w:r>
      <w:r w:rsidR="0075479D" w:rsidRPr="0075479D">
        <w:rPr>
          <w:b/>
          <w:bCs/>
        </w:rPr>
        <w:t xml:space="preserve"> session</w:t>
      </w:r>
    </w:p>
    <w:p w14:paraId="46381140" w14:textId="334E5FA6" w:rsidR="0075479D" w:rsidRDefault="00A615D5" w:rsidP="0075479D">
      <w:r>
        <w:t xml:space="preserve">Geneva, </w:t>
      </w:r>
      <w:r w:rsidR="003C12B4">
        <w:t>19-20</w:t>
      </w:r>
      <w:r w:rsidR="001C3814">
        <w:t xml:space="preserve"> </w:t>
      </w:r>
      <w:r w:rsidR="003C12B4">
        <w:t>September</w:t>
      </w:r>
      <w:r w:rsidR="00B02F52">
        <w:t xml:space="preserve"> 20</w:t>
      </w:r>
      <w:r>
        <w:t>2</w:t>
      </w:r>
      <w:r w:rsidR="003C12B4">
        <w:t>2</w:t>
      </w:r>
    </w:p>
    <w:p w14:paraId="3B31E523" w14:textId="16313013" w:rsidR="00606BDC" w:rsidRPr="004F2BE9" w:rsidRDefault="00606BDC" w:rsidP="00606BDC">
      <w:pPr>
        <w:spacing w:line="240" w:lineRule="auto"/>
        <w:rPr>
          <w:b/>
          <w:bCs/>
        </w:rPr>
      </w:pPr>
      <w:r w:rsidRPr="004F2BE9">
        <w:t xml:space="preserve">Item </w:t>
      </w:r>
      <w:r w:rsidR="001C3814">
        <w:t>1</w:t>
      </w:r>
      <w:r w:rsidR="003C12B4">
        <w:t>2</w:t>
      </w:r>
      <w:r w:rsidR="001C3814">
        <w:t xml:space="preserve"> </w:t>
      </w:r>
      <w:r w:rsidRPr="004F2BE9">
        <w:t>of the provisional agenda</w:t>
      </w:r>
    </w:p>
    <w:p w14:paraId="04304609" w14:textId="77777777" w:rsidR="00606BDC" w:rsidRPr="004F2BE9" w:rsidRDefault="00606BDC" w:rsidP="00606BDC">
      <w:pPr>
        <w:keepNext/>
        <w:keepLines/>
        <w:tabs>
          <w:tab w:val="right" w:pos="851"/>
        </w:tabs>
        <w:spacing w:line="240" w:lineRule="auto"/>
        <w:rPr>
          <w:b/>
          <w:lang w:val="en-US"/>
        </w:rPr>
      </w:pPr>
      <w:r w:rsidRPr="004F2BE9">
        <w:rPr>
          <w:b/>
          <w:lang w:val="en-US"/>
        </w:rPr>
        <w:t>Report of the meeting</w:t>
      </w:r>
    </w:p>
    <w:p w14:paraId="0745EDE9" w14:textId="1CF31A7E" w:rsidR="003222C2" w:rsidRPr="00215744" w:rsidRDefault="001C5F88" w:rsidP="001C5F88">
      <w:pPr>
        <w:pStyle w:val="HChG"/>
        <w:rPr>
          <w:sz w:val="16"/>
          <w:szCs w:val="16"/>
        </w:rPr>
      </w:pPr>
      <w:r>
        <w:rPr>
          <w:color w:val="FF0000"/>
        </w:rPr>
        <w:tab/>
      </w:r>
      <w:r>
        <w:rPr>
          <w:color w:val="FF0000"/>
        </w:rPr>
        <w:tab/>
      </w:r>
      <w:r w:rsidR="7B7566AE" w:rsidRPr="000B5558">
        <w:rPr>
          <w:color w:val="FF0000"/>
        </w:rPr>
        <w:t>Draft</w:t>
      </w:r>
      <w:r w:rsidR="7B7566AE" w:rsidRPr="00852F60">
        <w:t xml:space="preserve"> </w:t>
      </w:r>
      <w:r w:rsidR="5DB8A7E0">
        <w:t>Report of</w:t>
      </w:r>
      <w:r w:rsidR="341FF3A2" w:rsidRPr="00852F60">
        <w:t xml:space="preserve"> the Group of </w:t>
      </w:r>
      <w:r w:rsidR="7B7566AE" w:rsidRPr="00852F60">
        <w:t xml:space="preserve">Experts on </w:t>
      </w:r>
      <w:r w:rsidR="0B54E2FC">
        <w:t>Cleaner Electricity Systems</w:t>
      </w:r>
      <w:r w:rsidR="7B7566AE" w:rsidRPr="00852F60">
        <w:t xml:space="preserve"> </w:t>
      </w:r>
      <w:r w:rsidR="000B5558">
        <w:t xml:space="preserve">on its </w:t>
      </w:r>
      <w:r w:rsidR="003C12B4">
        <w:t>Eighteenth</w:t>
      </w:r>
      <w:r w:rsidR="7B7566AE" w:rsidRPr="00852F60">
        <w:t xml:space="preserve"> Session</w:t>
      </w:r>
    </w:p>
    <w:p w14:paraId="24214466" w14:textId="5E797717" w:rsidR="001C5F88" w:rsidRPr="00E9212C" w:rsidRDefault="00606BDC" w:rsidP="001C5F88">
      <w:pPr>
        <w:pStyle w:val="H1G"/>
        <w:rPr>
          <w:sz w:val="28"/>
          <w:szCs w:val="28"/>
        </w:rPr>
      </w:pPr>
      <w:r w:rsidRPr="00E9212C">
        <w:rPr>
          <w:sz w:val="28"/>
          <w:szCs w:val="28"/>
          <w:lang w:val="en-US"/>
        </w:rPr>
        <w:tab/>
      </w:r>
      <w:r w:rsidR="001C5F88" w:rsidRPr="00E9212C">
        <w:rPr>
          <w:sz w:val="28"/>
          <w:szCs w:val="28"/>
          <w:lang w:val="en-US"/>
        </w:rPr>
        <w:t>I.</w:t>
      </w:r>
      <w:r w:rsidR="001C5F88" w:rsidRPr="00E9212C">
        <w:rPr>
          <w:sz w:val="28"/>
          <w:szCs w:val="28"/>
        </w:rPr>
        <w:tab/>
      </w:r>
      <w:r w:rsidR="001C5F88">
        <w:rPr>
          <w:sz w:val="28"/>
          <w:szCs w:val="28"/>
        </w:rPr>
        <w:t>Introduction</w:t>
      </w:r>
    </w:p>
    <w:p w14:paraId="0C4C25B5" w14:textId="34B43ADA" w:rsidR="00631EB2" w:rsidRPr="0008742B" w:rsidRDefault="00631EB2" w:rsidP="00631EB2">
      <w:pPr>
        <w:pStyle w:val="SingleTxtG"/>
        <w:numPr>
          <w:ilvl w:val="0"/>
          <w:numId w:val="32"/>
        </w:numPr>
        <w:rPr>
          <w:rFonts w:eastAsia="Times New Roman"/>
        </w:rPr>
      </w:pPr>
      <w:r>
        <w:t xml:space="preserve">The eighteenth session of the Group of Experts </w:t>
      </w:r>
      <w:r w:rsidRPr="00631EB2">
        <w:t>on Cleaner Electricity Systems</w:t>
      </w:r>
      <w:r w:rsidDel="6FF8B1C7">
        <w:t xml:space="preserve"> </w:t>
      </w:r>
      <w:r>
        <w:t>was held on 19-20 September 2022</w:t>
      </w:r>
      <w:r w:rsidR="0008742B">
        <w:t>.</w:t>
      </w:r>
    </w:p>
    <w:p w14:paraId="7154A6D2" w14:textId="5D10CB1B" w:rsidR="0008742B" w:rsidRDefault="0008742B" w:rsidP="00D02391">
      <w:pPr>
        <w:pStyle w:val="SingleTxtG"/>
        <w:numPr>
          <w:ilvl w:val="0"/>
          <w:numId w:val="32"/>
        </w:numPr>
        <w:rPr>
          <w:rFonts w:eastAsia="Times New Roman"/>
        </w:rPr>
      </w:pPr>
      <w:r w:rsidRPr="00285D1B">
        <w:rPr>
          <w:rFonts w:eastAsia="Times New Roman"/>
        </w:rPr>
        <w:t xml:space="preserve">This report summarizes the discussions of the </w:t>
      </w:r>
      <w:r>
        <w:t>Group of Experts at its eighteenth session</w:t>
      </w:r>
      <w:r w:rsidRPr="00285D1B">
        <w:rPr>
          <w:rFonts w:eastAsia="Times New Roman"/>
        </w:rPr>
        <w:t>. All the documents and presentations of the session are available on the</w:t>
      </w:r>
      <w:r w:rsidR="00285D1B">
        <w:rPr>
          <w:rFonts w:eastAsia="Times New Roman"/>
        </w:rPr>
        <w:t xml:space="preserve"> </w:t>
      </w:r>
      <w:r w:rsidRPr="00285D1B">
        <w:rPr>
          <w:rFonts w:eastAsia="Times New Roman"/>
        </w:rPr>
        <w:t>United Nations Economic Commission for Europe (ECE) website.</w:t>
      </w:r>
      <w:r w:rsidR="007E6012">
        <w:rPr>
          <w:rStyle w:val="FootnoteReference"/>
          <w:rFonts w:eastAsia="Times New Roman"/>
        </w:rPr>
        <w:footnoteReference w:id="2"/>
      </w:r>
    </w:p>
    <w:p w14:paraId="2ADAB992" w14:textId="0BB4F27A" w:rsidR="007E6012" w:rsidRDefault="007E6012" w:rsidP="007E6012">
      <w:pPr>
        <w:pStyle w:val="SingleTxtG"/>
        <w:spacing w:before="240"/>
        <w:ind w:left="0" w:firstLine="567"/>
        <w:rPr>
          <w:b/>
          <w:sz w:val="28"/>
        </w:rPr>
      </w:pPr>
      <w:r w:rsidRPr="00FF1A31">
        <w:rPr>
          <w:b/>
          <w:sz w:val="28"/>
        </w:rPr>
        <w:t>II.</w:t>
      </w:r>
      <w:r w:rsidRPr="00FF1A31">
        <w:rPr>
          <w:b/>
          <w:sz w:val="28"/>
        </w:rPr>
        <w:tab/>
      </w:r>
      <w:r>
        <w:rPr>
          <w:b/>
          <w:sz w:val="28"/>
        </w:rPr>
        <w:t>Attendance</w:t>
      </w:r>
    </w:p>
    <w:p w14:paraId="708A057E" w14:textId="0BBE8562" w:rsidR="007E6012" w:rsidRPr="00BA3B13" w:rsidRDefault="007E6012" w:rsidP="003555B3">
      <w:pPr>
        <w:pStyle w:val="SingleTxtG"/>
        <w:numPr>
          <w:ilvl w:val="0"/>
          <w:numId w:val="32"/>
        </w:numPr>
        <w:rPr>
          <w:rFonts w:eastAsia="Times New Roman"/>
        </w:rPr>
      </w:pPr>
      <w:r>
        <w:tab/>
      </w:r>
      <w:r w:rsidR="00BA3B13">
        <w:t xml:space="preserve">The session was attended by more than xx experts from the following ECE member States: </w:t>
      </w:r>
      <w:r w:rsidR="00F854DB">
        <w:t>XX, XX.</w:t>
      </w:r>
    </w:p>
    <w:p w14:paraId="24A9B378" w14:textId="44CEA7E3" w:rsidR="00BA3B13" w:rsidRPr="00B51036" w:rsidRDefault="00BA3B13" w:rsidP="003555B3">
      <w:pPr>
        <w:pStyle w:val="SingleTxtG"/>
        <w:numPr>
          <w:ilvl w:val="0"/>
          <w:numId w:val="32"/>
        </w:numPr>
        <w:rPr>
          <w:rFonts w:eastAsia="Times New Roman"/>
        </w:rPr>
      </w:pPr>
      <w:r>
        <w:t xml:space="preserve">Experts from </w:t>
      </w:r>
      <w:r w:rsidR="00A57B7A">
        <w:t xml:space="preserve">XX, XX </w:t>
      </w:r>
      <w:r w:rsidR="00A57B7A" w:rsidRPr="00A57B7A">
        <w:t>participated under Article 11 of the Commission's Terms of Reference</w:t>
      </w:r>
      <w:r w:rsidR="00A57B7A">
        <w:t>.</w:t>
      </w:r>
    </w:p>
    <w:p w14:paraId="12DA9B8C" w14:textId="77777777" w:rsidR="00F854DB" w:rsidRPr="00F854DB" w:rsidRDefault="00B51036" w:rsidP="003555B3">
      <w:pPr>
        <w:pStyle w:val="SingleTxtG"/>
        <w:numPr>
          <w:ilvl w:val="0"/>
          <w:numId w:val="32"/>
        </w:numPr>
        <w:rPr>
          <w:rFonts w:eastAsia="Times New Roman"/>
        </w:rPr>
      </w:pPr>
      <w:r w:rsidRPr="00B51036">
        <w:t xml:space="preserve">From the United Nations system and Specialized Agencies, representatives of </w:t>
      </w:r>
      <w:r>
        <w:t xml:space="preserve"> XXX also participated. </w:t>
      </w:r>
    </w:p>
    <w:p w14:paraId="4917C0E7" w14:textId="6F189F8E" w:rsidR="00B51036" w:rsidRPr="00F854DB" w:rsidRDefault="00F854DB" w:rsidP="0037213E">
      <w:pPr>
        <w:pStyle w:val="SingleTxtG"/>
        <w:numPr>
          <w:ilvl w:val="0"/>
          <w:numId w:val="32"/>
        </w:numPr>
        <w:rPr>
          <w:rFonts w:eastAsia="Times New Roman"/>
        </w:rPr>
      </w:pPr>
      <w:r>
        <w:t>The meeting also was attended by representatives of non-governmental organizations, academia and the private sector, as well as by independent experts.</w:t>
      </w:r>
    </w:p>
    <w:p w14:paraId="2CFAC3CA" w14:textId="6F1CCAA4" w:rsidR="00AC7317" w:rsidRPr="00E9212C" w:rsidRDefault="001C5F88" w:rsidP="00E369AF">
      <w:pPr>
        <w:pStyle w:val="H1G"/>
        <w:rPr>
          <w:sz w:val="28"/>
          <w:szCs w:val="28"/>
        </w:rPr>
      </w:pPr>
      <w:r>
        <w:rPr>
          <w:sz w:val="28"/>
          <w:szCs w:val="28"/>
          <w:lang w:val="en-US"/>
        </w:rPr>
        <w:tab/>
      </w:r>
      <w:r w:rsidR="00852F60" w:rsidRPr="00E9212C">
        <w:rPr>
          <w:sz w:val="28"/>
          <w:szCs w:val="28"/>
          <w:lang w:val="en-US"/>
        </w:rPr>
        <w:t>I</w:t>
      </w:r>
      <w:r w:rsidR="001E4322">
        <w:rPr>
          <w:sz w:val="28"/>
          <w:szCs w:val="28"/>
          <w:lang w:val="en-US"/>
        </w:rPr>
        <w:t>II</w:t>
      </w:r>
      <w:r w:rsidR="00852F60" w:rsidRPr="00E9212C">
        <w:rPr>
          <w:sz w:val="28"/>
          <w:szCs w:val="28"/>
          <w:lang w:val="en-US"/>
        </w:rPr>
        <w:t>.</w:t>
      </w:r>
      <w:r w:rsidR="00AC7317" w:rsidRPr="00E9212C">
        <w:rPr>
          <w:sz w:val="28"/>
          <w:szCs w:val="28"/>
        </w:rPr>
        <w:tab/>
        <w:t>Adoption of the agenda</w:t>
      </w:r>
    </w:p>
    <w:p w14:paraId="2B35DA46" w14:textId="288278AD" w:rsidR="0071188D" w:rsidRDefault="0071188D" w:rsidP="00234127">
      <w:pPr>
        <w:pStyle w:val="SingleTxtG"/>
      </w:pPr>
      <w:r w:rsidRPr="007007F3">
        <w:rPr>
          <w:i/>
        </w:rPr>
        <w:t>Documentation:</w:t>
      </w:r>
      <w:r w:rsidRPr="007007F3">
        <w:tab/>
        <w:t>ECE/ENERGY/</w:t>
      </w:r>
      <w:r w:rsidR="00553076">
        <w:t>GE.</w:t>
      </w:r>
      <w:r w:rsidR="003075E8">
        <w:t>5</w:t>
      </w:r>
      <w:r>
        <w:t>/20</w:t>
      </w:r>
      <w:r w:rsidR="00A615D5">
        <w:t>2</w:t>
      </w:r>
      <w:r w:rsidR="003C12B4">
        <w:t>2</w:t>
      </w:r>
      <w:r>
        <w:t>/1</w:t>
      </w:r>
      <w:r w:rsidRPr="007007F3">
        <w:t xml:space="preserve"> – Annotated provisional agenda</w:t>
      </w:r>
      <w:r w:rsidR="00B61073">
        <w:t>.</w:t>
      </w:r>
    </w:p>
    <w:p w14:paraId="7872C3C6" w14:textId="5312C79D" w:rsidR="003222C2" w:rsidRDefault="79261EAB" w:rsidP="00BA3B13">
      <w:pPr>
        <w:pStyle w:val="SingleTxtG"/>
        <w:numPr>
          <w:ilvl w:val="0"/>
          <w:numId w:val="32"/>
        </w:numPr>
        <w:rPr>
          <w:rFonts w:eastAsia="Times New Roman"/>
        </w:rPr>
      </w:pPr>
      <w:r>
        <w:lastRenderedPageBreak/>
        <w:t xml:space="preserve">The Group of </w:t>
      </w:r>
      <w:r w:rsidR="7A158278">
        <w:t>E</w:t>
      </w:r>
      <w:r>
        <w:t xml:space="preserve">xperts </w:t>
      </w:r>
      <w:r w:rsidR="09414779">
        <w:t>a</w:t>
      </w:r>
      <w:r w:rsidR="6FF8B1C7">
        <w:t>dopted the Agenda as</w:t>
      </w:r>
      <w:r w:rsidR="49BDDDAB">
        <w:t xml:space="preserve"> contained in ECE/ENERGY/GE.5/2022/1</w:t>
      </w:r>
      <w:r w:rsidR="6FF8B1C7">
        <w:t>.</w:t>
      </w:r>
    </w:p>
    <w:p w14:paraId="32175E40" w14:textId="7904D3D3" w:rsidR="00A615D5" w:rsidRDefault="00FF1A31" w:rsidP="00FF1A31">
      <w:pPr>
        <w:pStyle w:val="SingleTxtG"/>
        <w:ind w:left="0" w:firstLine="567"/>
        <w:rPr>
          <w:b/>
          <w:sz w:val="28"/>
        </w:rPr>
      </w:pPr>
      <w:r w:rsidRPr="00FF1A31">
        <w:rPr>
          <w:b/>
          <w:sz w:val="28"/>
        </w:rPr>
        <w:t>I</w:t>
      </w:r>
      <w:r w:rsidR="001E4322">
        <w:rPr>
          <w:b/>
          <w:sz w:val="28"/>
        </w:rPr>
        <w:t>V</w:t>
      </w:r>
      <w:r w:rsidRPr="00FF1A31">
        <w:rPr>
          <w:b/>
          <w:sz w:val="28"/>
        </w:rPr>
        <w:t>.</w:t>
      </w:r>
      <w:r w:rsidRPr="00FF1A31">
        <w:rPr>
          <w:b/>
          <w:sz w:val="28"/>
        </w:rPr>
        <w:tab/>
      </w:r>
      <w:r>
        <w:rPr>
          <w:b/>
          <w:sz w:val="28"/>
        </w:rPr>
        <w:t>Opening remarks</w:t>
      </w:r>
    </w:p>
    <w:p w14:paraId="23782A75" w14:textId="729591B8" w:rsidR="003C12B4" w:rsidRDefault="008738F6" w:rsidP="003C12B4">
      <w:pPr>
        <w:pStyle w:val="SingleTxtG"/>
      </w:pPr>
      <w:r>
        <w:t>8</w:t>
      </w:r>
      <w:r w:rsidR="498D1786">
        <w:t>.</w:t>
      </w:r>
      <w:r w:rsidR="002769F9">
        <w:tab/>
      </w:r>
      <w:r w:rsidR="70151F22">
        <w:t>In his opening remarks, the Chair</w:t>
      </w:r>
      <w:r w:rsidR="19AA5F30">
        <w:t>, Mr. Jim Robb,</w:t>
      </w:r>
      <w:r w:rsidR="70151F22">
        <w:t xml:space="preserve"> shared his reflections on </w:t>
      </w:r>
      <w:r w:rsidR="62A8ADDD">
        <w:t xml:space="preserve">the challenging situation in the </w:t>
      </w:r>
      <w:r w:rsidR="00141042">
        <w:t xml:space="preserve">United Nations Economic Commission for Europe </w:t>
      </w:r>
      <w:r w:rsidR="00AE5E4C">
        <w:t>(</w:t>
      </w:r>
      <w:r w:rsidR="62A8ADDD">
        <w:t>ECE</w:t>
      </w:r>
      <w:r w:rsidR="00AE5E4C">
        <w:t>)</w:t>
      </w:r>
      <w:r w:rsidR="62A8ADDD">
        <w:t xml:space="preserve"> region resulting from a range of issues, including the COVID-19 pandemic, the current geopolitical crisis, supply chain disruptions</w:t>
      </w:r>
      <w:r w:rsidR="258109F6">
        <w:t>,</w:t>
      </w:r>
      <w:r w:rsidR="62A8ADDD">
        <w:t xml:space="preserve"> and climate change. The Chair noted that this year’s meeting was </w:t>
      </w:r>
      <w:r w:rsidR="7826DE45">
        <w:t>delivered</w:t>
      </w:r>
      <w:r w:rsidR="62A8ADDD">
        <w:t xml:space="preserve"> in cooperation with other </w:t>
      </w:r>
      <w:r w:rsidR="69978686">
        <w:t>G</w:t>
      </w:r>
      <w:r w:rsidR="62A8ADDD">
        <w:t xml:space="preserve">roups of </w:t>
      </w:r>
      <w:r w:rsidR="541C2370" w:rsidRPr="007E43B8">
        <w:t>E</w:t>
      </w:r>
      <w:r w:rsidR="62A8ADDD" w:rsidRPr="007E43B8">
        <w:t>xp</w:t>
      </w:r>
      <w:r w:rsidR="62A8ADDD">
        <w:t xml:space="preserve">erts, in particular with the Group of Experts on Energy Efficiency and the Expert Group on Resource Management. The Chair observed that it would be </w:t>
      </w:r>
      <w:r w:rsidR="00AE5E4C">
        <w:t>beneficial</w:t>
      </w:r>
      <w:r w:rsidR="62A8ADDD">
        <w:t xml:space="preserve"> </w:t>
      </w:r>
      <w:r w:rsidR="674E5F06">
        <w:t xml:space="preserve">to establish </w:t>
      </w:r>
      <w:r w:rsidR="62A8ADDD">
        <w:t>such close cooperation with all the Groups of Experts reporting to the Committee on Sustainable Energy</w:t>
      </w:r>
      <w:r w:rsidR="00C61D1C">
        <w:t xml:space="preserve">. He noted that all have the same goal to help member States </w:t>
      </w:r>
      <w:r w:rsidR="00B51334">
        <w:t xml:space="preserve">attain </w:t>
      </w:r>
      <w:r w:rsidR="57C4D4C3">
        <w:t>the</w:t>
      </w:r>
      <w:r w:rsidR="62A8ADDD">
        <w:t xml:space="preserve"> 2030 </w:t>
      </w:r>
      <w:r w:rsidR="68FAD5B1">
        <w:t xml:space="preserve">Agenda </w:t>
      </w:r>
      <w:r w:rsidR="62A8ADDD">
        <w:t xml:space="preserve">for Sustainable Development and </w:t>
      </w:r>
      <w:r w:rsidR="2EB15B1E">
        <w:t xml:space="preserve">the </w:t>
      </w:r>
      <w:r w:rsidR="62A8ADDD">
        <w:t>Paris Agreement. Th</w:t>
      </w:r>
      <w:r w:rsidR="0C61AA2D">
        <w:t>e Group’s</w:t>
      </w:r>
      <w:r w:rsidR="62A8ADDD">
        <w:t xml:space="preserve"> session preceded</w:t>
      </w:r>
      <w:r w:rsidR="55598D0C">
        <w:t xml:space="preserve"> the</w:t>
      </w:r>
      <w:r w:rsidR="62A8ADDD">
        <w:t xml:space="preserve"> thirty-first session of the Committee on Sustainable Energy (Geneva, 21-23 September 2022) and was part of the ECE Sustainable Energy Week 2022. </w:t>
      </w:r>
    </w:p>
    <w:p w14:paraId="137EA9ED" w14:textId="78BFB00B" w:rsidR="00EE43CE" w:rsidRDefault="00EE43CE" w:rsidP="003D221A">
      <w:pPr>
        <w:pStyle w:val="HChG"/>
      </w:pPr>
      <w:r w:rsidRPr="00D93830">
        <w:tab/>
      </w:r>
      <w:r w:rsidR="001E4322">
        <w:t>V</w:t>
      </w:r>
      <w:r w:rsidR="00852F60">
        <w:t>.</w:t>
      </w:r>
      <w:r w:rsidRPr="00D93830">
        <w:tab/>
      </w:r>
      <w:r w:rsidR="003C12B4">
        <w:t>Election of officers</w:t>
      </w:r>
    </w:p>
    <w:p w14:paraId="0BA207ED" w14:textId="4DED803D" w:rsidR="001273FD" w:rsidRDefault="000D3CE0" w:rsidP="378B0C83">
      <w:pPr>
        <w:spacing w:after="120" w:line="240" w:lineRule="auto"/>
        <w:ind w:left="1134" w:right="1134"/>
        <w:jc w:val="both"/>
        <w:rPr>
          <w:rStyle w:val="SingleTxtGChar"/>
        </w:rPr>
      </w:pPr>
      <w:r>
        <w:t>9</w:t>
      </w:r>
      <w:r w:rsidR="62A8ADDD">
        <w:t>.</w:t>
      </w:r>
      <w:r w:rsidR="00DA3924">
        <w:tab/>
      </w:r>
      <w:r w:rsidR="62A8ADDD" w:rsidRPr="378B0C83">
        <w:rPr>
          <w:rStyle w:val="SingleTxtGChar"/>
        </w:rPr>
        <w:t xml:space="preserve">The Group of Experts </w:t>
      </w:r>
      <w:r w:rsidR="00642A3D">
        <w:rPr>
          <w:rStyle w:val="SingleTxtGChar"/>
        </w:rPr>
        <w:t>elected</w:t>
      </w:r>
      <w:r w:rsidR="2BF39EC0" w:rsidRPr="378B0C83">
        <w:rPr>
          <w:rStyle w:val="SingleTxtGChar"/>
        </w:rPr>
        <w:t xml:space="preserve"> Mr. Jim Robb</w:t>
      </w:r>
      <w:r w:rsidR="001C17E1">
        <w:rPr>
          <w:rStyle w:val="SingleTxtGChar"/>
        </w:rPr>
        <w:t xml:space="preserve"> for Chair</w:t>
      </w:r>
      <w:r w:rsidR="001C17E1" w:rsidRPr="001C17E1">
        <w:rPr>
          <w:rStyle w:val="SingleTxtGChar"/>
        </w:rPr>
        <w:t xml:space="preserve"> </w:t>
      </w:r>
      <w:r w:rsidR="001C17E1" w:rsidRPr="378B0C83">
        <w:rPr>
          <w:rStyle w:val="SingleTxtGChar"/>
        </w:rPr>
        <w:t>with effect from the close of the eighteenth session until the close of the twentieth session</w:t>
      </w:r>
      <w:r w:rsidR="2BF39EC0" w:rsidRPr="378B0C83">
        <w:rPr>
          <w:rStyle w:val="SingleTxtGChar"/>
        </w:rPr>
        <w:t xml:space="preserve">. </w:t>
      </w:r>
      <w:r w:rsidR="2BF39EC0" w:rsidRPr="378B0C83">
        <w:rPr>
          <w:rFonts w:eastAsia="Calibri"/>
        </w:rPr>
        <w:t xml:space="preserve">The Chair </w:t>
      </w:r>
      <w:r w:rsidR="2BF39EC0" w:rsidRPr="378B0C83">
        <w:rPr>
          <w:rStyle w:val="SingleTxtGChar"/>
        </w:rPr>
        <w:t xml:space="preserve">of the Group of Experts is </w:t>
      </w:r>
      <w:r w:rsidR="7A2879FA" w:rsidRPr="001F5FFF">
        <w:rPr>
          <w:rStyle w:val="SingleTxtGChar"/>
          <w:i/>
          <w:iCs/>
        </w:rPr>
        <w:t>ex officio</w:t>
      </w:r>
      <w:r w:rsidR="7A2879FA" w:rsidRPr="007E43B8">
        <w:rPr>
          <w:rStyle w:val="SingleTxtGChar"/>
        </w:rPr>
        <w:t xml:space="preserve"> also </w:t>
      </w:r>
      <w:r w:rsidR="2BF39EC0" w:rsidRPr="007E43B8">
        <w:rPr>
          <w:rStyle w:val="SingleTxtGChar"/>
        </w:rPr>
        <w:t>a Vice-Chair of the Commi</w:t>
      </w:r>
      <w:r w:rsidR="2BF39EC0" w:rsidRPr="378B0C83">
        <w:rPr>
          <w:rStyle w:val="SingleTxtGChar"/>
        </w:rPr>
        <w:t>ttee on Sustainable Energy.</w:t>
      </w:r>
    </w:p>
    <w:p w14:paraId="1B94AC79" w14:textId="6C2B4674" w:rsidR="001273FD" w:rsidRDefault="000D3CE0" w:rsidP="0096392A">
      <w:pPr>
        <w:spacing w:after="120" w:line="240" w:lineRule="auto"/>
        <w:ind w:left="1134" w:right="1134"/>
        <w:jc w:val="both"/>
        <w:rPr>
          <w:rFonts w:eastAsia="Calibri"/>
        </w:rPr>
      </w:pPr>
      <w:r>
        <w:rPr>
          <w:rStyle w:val="SingleTxtGChar"/>
        </w:rPr>
        <w:t>1</w:t>
      </w:r>
      <w:r w:rsidR="00176C71">
        <w:rPr>
          <w:rStyle w:val="SingleTxtGChar"/>
        </w:rPr>
        <w:t>0</w:t>
      </w:r>
      <w:r w:rsidR="2BF39EC0" w:rsidRPr="378B0C83">
        <w:rPr>
          <w:rStyle w:val="SingleTxtGChar"/>
        </w:rPr>
        <w:t>.</w:t>
      </w:r>
      <w:r w:rsidR="00DA3924">
        <w:tab/>
      </w:r>
      <w:r w:rsidR="2BF39EC0" w:rsidRPr="378B0C83">
        <w:rPr>
          <w:rStyle w:val="SingleTxtGChar"/>
        </w:rPr>
        <w:t xml:space="preserve">The Group of Experts </w:t>
      </w:r>
      <w:r w:rsidR="00C63FD0">
        <w:rPr>
          <w:rStyle w:val="SingleTxtGChar"/>
        </w:rPr>
        <w:t xml:space="preserve">elected </w:t>
      </w:r>
      <w:r w:rsidR="00C63FD0" w:rsidRPr="378B0C83">
        <w:rPr>
          <w:rFonts w:eastAsia="Calibri"/>
        </w:rPr>
        <w:t>Mr. Baurzhan Umirzakov (Kazakhstan)</w:t>
      </w:r>
      <w:r w:rsidR="006B3613">
        <w:rPr>
          <w:rFonts w:eastAsia="Calibri"/>
        </w:rPr>
        <w:t xml:space="preserve">, </w:t>
      </w:r>
      <w:r w:rsidR="57AFB827" w:rsidRPr="378B0C83">
        <w:rPr>
          <w:rFonts w:eastAsia="Calibri"/>
        </w:rPr>
        <w:t xml:space="preserve">Mr. </w:t>
      </w:r>
      <w:r w:rsidR="006B3613" w:rsidRPr="378B0C83">
        <w:rPr>
          <w:rFonts w:eastAsia="Calibri"/>
        </w:rPr>
        <w:t>Antoine Herzog (Électricité de France)</w:t>
      </w:r>
      <w:r w:rsidR="006B3613">
        <w:rPr>
          <w:rFonts w:eastAsia="Calibri"/>
        </w:rPr>
        <w:t xml:space="preserve">, </w:t>
      </w:r>
      <w:r w:rsidR="006B3613" w:rsidRPr="378B0C83">
        <w:rPr>
          <w:rStyle w:val="SingleTxtGChar"/>
        </w:rPr>
        <w:t xml:space="preserve">Mr. </w:t>
      </w:r>
      <w:r w:rsidR="006B3613" w:rsidRPr="378B0C83">
        <w:rPr>
          <w:rFonts w:eastAsia="Calibri"/>
        </w:rPr>
        <w:t>Andrew Minchener (The International Centre for Sustainable Carbon)</w:t>
      </w:r>
      <w:r w:rsidR="006B3613">
        <w:rPr>
          <w:rFonts w:eastAsia="Calibri"/>
        </w:rPr>
        <w:t xml:space="preserve"> and</w:t>
      </w:r>
      <w:r w:rsidR="006B3613" w:rsidRPr="378B0C83">
        <w:rPr>
          <w:rFonts w:eastAsia="Calibri"/>
        </w:rPr>
        <w:t xml:space="preserve"> </w:t>
      </w:r>
      <w:r w:rsidR="2BF39EC0" w:rsidRPr="378B0C83">
        <w:rPr>
          <w:rStyle w:val="SingleTxtGChar"/>
        </w:rPr>
        <w:t>Mr. King Lee (World Nuclear Association)</w:t>
      </w:r>
      <w:r w:rsidR="57AFB827" w:rsidRPr="378B0C83">
        <w:rPr>
          <w:rStyle w:val="SingleTxtGChar"/>
        </w:rPr>
        <w:t xml:space="preserve"> </w:t>
      </w:r>
      <w:r w:rsidR="62A8ADDD" w:rsidRPr="378B0C83">
        <w:rPr>
          <w:rStyle w:val="SingleTxtGChar"/>
        </w:rPr>
        <w:t xml:space="preserve">as Vice-Chairs with effect from the close of the </w:t>
      </w:r>
      <w:r w:rsidR="2BF39EC0" w:rsidRPr="378B0C83">
        <w:rPr>
          <w:rStyle w:val="SingleTxtGChar"/>
        </w:rPr>
        <w:t>eighteenth</w:t>
      </w:r>
      <w:r w:rsidR="62A8ADDD" w:rsidRPr="378B0C83">
        <w:rPr>
          <w:rStyle w:val="SingleTxtGChar"/>
        </w:rPr>
        <w:t xml:space="preserve"> session until the close of the </w:t>
      </w:r>
      <w:r w:rsidR="2BF39EC0" w:rsidRPr="378B0C83">
        <w:rPr>
          <w:rStyle w:val="SingleTxtGChar"/>
        </w:rPr>
        <w:t>twentieth</w:t>
      </w:r>
      <w:r w:rsidR="62A8ADDD" w:rsidRPr="378B0C83">
        <w:rPr>
          <w:rStyle w:val="SingleTxtGChar"/>
        </w:rPr>
        <w:t xml:space="preserve"> session</w:t>
      </w:r>
      <w:r w:rsidR="62A8ADDD" w:rsidRPr="378B0C83">
        <w:rPr>
          <w:rFonts w:eastAsia="Calibri"/>
        </w:rPr>
        <w:t xml:space="preserve">. </w:t>
      </w:r>
    </w:p>
    <w:p w14:paraId="53747CB1" w14:textId="3FD18249" w:rsidR="00A8654A" w:rsidRDefault="00176C71" w:rsidP="00A8654A">
      <w:pPr>
        <w:spacing w:after="120" w:line="240" w:lineRule="auto"/>
        <w:ind w:left="1134" w:right="1134"/>
        <w:jc w:val="both"/>
        <w:rPr>
          <w:rFonts w:eastAsia="Calibri"/>
        </w:rPr>
      </w:pPr>
      <w:r>
        <w:rPr>
          <w:rFonts w:eastAsia="Calibri"/>
        </w:rPr>
        <w:t>11</w:t>
      </w:r>
      <w:r w:rsidR="001273FD">
        <w:rPr>
          <w:rFonts w:eastAsia="Calibri"/>
        </w:rPr>
        <w:t>.</w:t>
      </w:r>
      <w:r w:rsidR="001273FD">
        <w:rPr>
          <w:rFonts w:eastAsia="Calibri"/>
        </w:rPr>
        <w:tab/>
      </w:r>
      <w:r w:rsidR="003C12B4">
        <w:rPr>
          <w:rFonts w:eastAsia="Calibri"/>
        </w:rPr>
        <w:t xml:space="preserve">The Group of Experts was informed that </w:t>
      </w:r>
      <w:r w:rsidR="001A780E">
        <w:rPr>
          <w:rFonts w:eastAsia="Calibri"/>
        </w:rPr>
        <w:t xml:space="preserve">the </w:t>
      </w:r>
      <w:r w:rsidR="001273FD">
        <w:rPr>
          <w:rFonts w:eastAsia="Calibri"/>
        </w:rPr>
        <w:t>Vice-Chairs</w:t>
      </w:r>
      <w:r w:rsidR="001273FD">
        <w:rPr>
          <w:rStyle w:val="SingleTxtGChar"/>
        </w:rPr>
        <w:t xml:space="preserve"> </w:t>
      </w:r>
      <w:r w:rsidR="00280C7A">
        <w:rPr>
          <w:rStyle w:val="SingleTxtGChar"/>
        </w:rPr>
        <w:t>Mr. Vladimir Budinsky (Czech</w:t>
      </w:r>
      <w:r w:rsidR="00F1187C">
        <w:rPr>
          <w:rStyle w:val="SingleTxtGChar"/>
        </w:rPr>
        <w:t>ia</w:t>
      </w:r>
      <w:r w:rsidR="00280C7A">
        <w:rPr>
          <w:rStyle w:val="SingleTxtGChar"/>
        </w:rPr>
        <w:t xml:space="preserve">), </w:t>
      </w:r>
      <w:r w:rsidR="001273FD">
        <w:rPr>
          <w:rStyle w:val="SingleTxtGChar"/>
        </w:rPr>
        <w:t xml:space="preserve">Ms. Djamila </w:t>
      </w:r>
      <w:r w:rsidR="001273FD" w:rsidRPr="006C377A">
        <w:rPr>
          <w:rStyle w:val="SingleTxtGChar"/>
        </w:rPr>
        <w:t xml:space="preserve">Aitmatova </w:t>
      </w:r>
      <w:r w:rsidR="001273FD">
        <w:rPr>
          <w:rStyle w:val="SingleTxtGChar"/>
        </w:rPr>
        <w:t>(Kyrgyzstan)</w:t>
      </w:r>
      <w:r w:rsidR="00A8654A">
        <w:rPr>
          <w:rStyle w:val="SingleTxtGChar"/>
        </w:rPr>
        <w:t xml:space="preserve">, </w:t>
      </w:r>
      <w:r w:rsidR="00280C7A">
        <w:rPr>
          <w:rStyle w:val="SingleTxtGChar"/>
        </w:rPr>
        <w:t xml:space="preserve">Mr. Furugzod Usmonov </w:t>
      </w:r>
      <w:r w:rsidR="00280C7A" w:rsidRPr="00A8654A">
        <w:rPr>
          <w:rFonts w:eastAsia="Calibri"/>
        </w:rPr>
        <w:t>(Tajikistan)</w:t>
      </w:r>
      <w:r w:rsidR="00280C7A">
        <w:rPr>
          <w:rFonts w:eastAsia="Calibri"/>
        </w:rPr>
        <w:t xml:space="preserve">, </w:t>
      </w:r>
      <w:r w:rsidR="00A8654A">
        <w:rPr>
          <w:rStyle w:val="SingleTxtGChar"/>
        </w:rPr>
        <w:t>Mr. Jonathan Gibbins (United Kingdom)</w:t>
      </w:r>
      <w:r w:rsidR="00C14211">
        <w:rPr>
          <w:rStyle w:val="SingleTxtGChar"/>
        </w:rPr>
        <w:t xml:space="preserve"> </w:t>
      </w:r>
      <w:r w:rsidR="00280C7A">
        <w:rPr>
          <w:rStyle w:val="SingleTxtGChar"/>
        </w:rPr>
        <w:t>and Mr. Sylvain Clermont (</w:t>
      </w:r>
      <w:r w:rsidR="00280C7A" w:rsidRPr="002565D4">
        <w:rPr>
          <w:rStyle w:val="SingleTxtGChar"/>
        </w:rPr>
        <w:t>Hydro-Québec</w:t>
      </w:r>
      <w:r w:rsidR="00280C7A">
        <w:rPr>
          <w:rStyle w:val="SingleTxtGChar"/>
        </w:rPr>
        <w:t xml:space="preserve"> Canada) </w:t>
      </w:r>
      <w:r w:rsidR="00A8654A">
        <w:rPr>
          <w:rFonts w:eastAsia="Calibri"/>
        </w:rPr>
        <w:t xml:space="preserve">will continue serving in the Bureau until the close of the nineteenth session. </w:t>
      </w:r>
    </w:p>
    <w:p w14:paraId="68DB9865" w14:textId="503A046B" w:rsidR="00A8654A" w:rsidRDefault="00176C71" w:rsidP="378B0C83">
      <w:pPr>
        <w:spacing w:after="120" w:line="240" w:lineRule="auto"/>
        <w:ind w:left="1134" w:right="1134"/>
        <w:jc w:val="both"/>
        <w:rPr>
          <w:rFonts w:eastAsia="Calibri"/>
        </w:rPr>
      </w:pPr>
      <w:r>
        <w:rPr>
          <w:rFonts w:eastAsia="Calibri"/>
        </w:rPr>
        <w:t>12</w:t>
      </w:r>
      <w:r w:rsidR="794393F5" w:rsidRPr="378B0C83">
        <w:rPr>
          <w:rFonts w:eastAsia="Calibri"/>
        </w:rPr>
        <w:t>.</w:t>
      </w:r>
      <w:r w:rsidR="00DA3924">
        <w:tab/>
      </w:r>
      <w:r w:rsidR="30B5D9F4" w:rsidRPr="378B0C83">
        <w:rPr>
          <w:rFonts w:eastAsia="Calibri"/>
        </w:rPr>
        <w:t>For the sake of ensuring continuity of the Bureau, t</w:t>
      </w:r>
      <w:r w:rsidR="794393F5" w:rsidRPr="378B0C83">
        <w:rPr>
          <w:rFonts w:eastAsia="Calibri"/>
        </w:rPr>
        <w:t xml:space="preserve">he Group of Experts </w:t>
      </w:r>
      <w:r w:rsidR="7BCEC769" w:rsidRPr="378B0C83">
        <w:rPr>
          <w:rFonts w:eastAsia="Calibri"/>
        </w:rPr>
        <w:t>decided to continue</w:t>
      </w:r>
      <w:r w:rsidR="1558907A" w:rsidRPr="378B0C83">
        <w:rPr>
          <w:rFonts w:eastAsia="Calibri"/>
        </w:rPr>
        <w:t xml:space="preserve"> with the current practice of </w:t>
      </w:r>
      <w:r w:rsidR="794393F5" w:rsidRPr="378B0C83">
        <w:rPr>
          <w:rFonts w:eastAsia="Calibri"/>
        </w:rPr>
        <w:t xml:space="preserve">not </w:t>
      </w:r>
      <w:r w:rsidR="50BEF939" w:rsidRPr="378B0C83">
        <w:rPr>
          <w:rFonts w:eastAsia="Calibri"/>
        </w:rPr>
        <w:t xml:space="preserve">electing </w:t>
      </w:r>
      <w:r w:rsidR="794393F5" w:rsidRPr="378B0C83">
        <w:rPr>
          <w:rFonts w:eastAsia="Calibri"/>
        </w:rPr>
        <w:t xml:space="preserve">all </w:t>
      </w:r>
      <w:r w:rsidR="4EA35E52" w:rsidRPr="378B0C83">
        <w:rPr>
          <w:rFonts w:eastAsia="Calibri"/>
        </w:rPr>
        <w:t xml:space="preserve">the </w:t>
      </w:r>
      <w:r w:rsidR="794393F5" w:rsidRPr="378B0C83">
        <w:rPr>
          <w:rFonts w:eastAsia="Calibri"/>
        </w:rPr>
        <w:t xml:space="preserve">officers at the same </w:t>
      </w:r>
      <w:r w:rsidR="0A89AB3D" w:rsidRPr="378B0C83">
        <w:rPr>
          <w:rFonts w:eastAsia="Calibri"/>
        </w:rPr>
        <w:t>meeting</w:t>
      </w:r>
      <w:r w:rsidR="794393F5" w:rsidRPr="378B0C83">
        <w:rPr>
          <w:rFonts w:eastAsia="Calibri"/>
        </w:rPr>
        <w:t>.</w:t>
      </w:r>
    </w:p>
    <w:p w14:paraId="426E9514" w14:textId="0E2F7D5B" w:rsidR="003C12B4" w:rsidRDefault="00A8654A" w:rsidP="003C12B4">
      <w:pPr>
        <w:pStyle w:val="HChG"/>
      </w:pPr>
      <w:r>
        <w:tab/>
      </w:r>
      <w:r w:rsidR="001E4322">
        <w:t>V</w:t>
      </w:r>
      <w:r>
        <w:t>I.</w:t>
      </w:r>
      <w:r>
        <w:tab/>
      </w:r>
      <w:r w:rsidRPr="00A8654A">
        <w:t>Activities and priorities of the Committee on Sustainable Energy and matters for consideration by the Group of Experts</w:t>
      </w:r>
    </w:p>
    <w:p w14:paraId="7E91092C" w14:textId="13A21369" w:rsidR="00A8654A" w:rsidRPr="00A8654A" w:rsidRDefault="00A8654A" w:rsidP="378B0C83">
      <w:pPr>
        <w:spacing w:after="120" w:line="240" w:lineRule="auto"/>
        <w:ind w:left="1134" w:right="1134"/>
        <w:jc w:val="both"/>
        <w:rPr>
          <w:rStyle w:val="SingleTxtGChar"/>
        </w:rPr>
      </w:pPr>
      <w:r>
        <w:tab/>
      </w:r>
      <w:r w:rsidR="00176C71">
        <w:t>13</w:t>
      </w:r>
      <w:r w:rsidR="794393F5" w:rsidRPr="00A8654A">
        <w:t>.</w:t>
      </w:r>
      <w:r w:rsidRPr="00A8654A">
        <w:tab/>
      </w:r>
      <w:r w:rsidR="49FA9F9F" w:rsidRPr="007E43B8">
        <w:rPr>
          <w:rStyle w:val="SingleTxtGChar"/>
        </w:rPr>
        <w:t>T</w:t>
      </w:r>
      <w:r w:rsidR="794393F5" w:rsidRPr="007E43B8">
        <w:rPr>
          <w:rStyle w:val="SingleTxtGChar"/>
        </w:rPr>
        <w:t>he</w:t>
      </w:r>
      <w:r w:rsidR="794393F5" w:rsidRPr="00A8654A">
        <w:rPr>
          <w:rStyle w:val="SingleTxtGChar"/>
        </w:rPr>
        <w:t xml:space="preserve"> Secretary of the Committee on Sustainable Energy</w:t>
      </w:r>
      <w:r w:rsidR="005D5E1E">
        <w:rPr>
          <w:rStyle w:val="SingleTxtGChar"/>
        </w:rPr>
        <w:t xml:space="preserve"> </w:t>
      </w:r>
      <w:r w:rsidR="794393F5" w:rsidRPr="00A8654A">
        <w:rPr>
          <w:rStyle w:val="SingleTxtGChar"/>
        </w:rPr>
        <w:t xml:space="preserve">provided an overview of </w:t>
      </w:r>
      <w:r w:rsidR="6B7A59F1" w:rsidRPr="00A8654A">
        <w:rPr>
          <w:rStyle w:val="SingleTxtGChar"/>
        </w:rPr>
        <w:t xml:space="preserve">the </w:t>
      </w:r>
      <w:r w:rsidR="02E01ED2" w:rsidRPr="378B0C83">
        <w:rPr>
          <w:rStyle w:val="SingleTxtGChar"/>
        </w:rPr>
        <w:t>thirtieth session</w:t>
      </w:r>
      <w:r w:rsidR="02E01ED2" w:rsidRPr="00A8654A">
        <w:rPr>
          <w:rStyle w:val="SingleTxtGChar"/>
        </w:rPr>
        <w:t xml:space="preserve"> </w:t>
      </w:r>
      <w:r w:rsidR="794393F5">
        <w:rPr>
          <w:rStyle w:val="SingleTxtGChar"/>
        </w:rPr>
        <w:t>of the Committee on Sustainable</w:t>
      </w:r>
      <w:r w:rsidR="794393F5" w:rsidRPr="00A8654A">
        <w:rPr>
          <w:rStyle w:val="SingleTxtGChar"/>
        </w:rPr>
        <w:t xml:space="preserve"> Energy, 22-24 September 2021, </w:t>
      </w:r>
      <w:r w:rsidR="02C022DB" w:rsidRPr="00A8654A">
        <w:rPr>
          <w:rStyle w:val="SingleTxtGChar"/>
        </w:rPr>
        <w:t>a</w:t>
      </w:r>
      <w:r w:rsidR="02C022DB" w:rsidRPr="378B0C83">
        <w:rPr>
          <w:rStyle w:val="SingleTxtGChar"/>
        </w:rPr>
        <w:t>nd the activities that followed</w:t>
      </w:r>
      <w:r w:rsidR="382ACCB5" w:rsidRPr="00A8654A">
        <w:rPr>
          <w:rStyle w:val="SingleTxtGChar"/>
        </w:rPr>
        <w:t xml:space="preserve">. The Group </w:t>
      </w:r>
      <w:r w:rsidR="67FFDD44" w:rsidRPr="00A8654A">
        <w:rPr>
          <w:rStyle w:val="SingleTxtGChar"/>
        </w:rPr>
        <w:t xml:space="preserve">of Experts </w:t>
      </w:r>
      <w:r w:rsidR="382ACCB5" w:rsidRPr="00A8654A">
        <w:rPr>
          <w:rStyle w:val="SingleTxtGChar"/>
        </w:rPr>
        <w:t>was also</w:t>
      </w:r>
      <w:r w:rsidR="0FC6D65D" w:rsidRPr="00A8654A">
        <w:rPr>
          <w:rStyle w:val="SingleTxtGChar"/>
        </w:rPr>
        <w:t xml:space="preserve"> informed</w:t>
      </w:r>
      <w:r w:rsidR="144F128C" w:rsidRPr="00A8654A">
        <w:rPr>
          <w:rStyle w:val="SingleTxtGChar"/>
        </w:rPr>
        <w:t xml:space="preserve"> </w:t>
      </w:r>
      <w:r w:rsidR="0FC6D65D" w:rsidRPr="00A8654A">
        <w:rPr>
          <w:rStyle w:val="SingleTxtGChar"/>
        </w:rPr>
        <w:t>about</w:t>
      </w:r>
      <w:r w:rsidR="794393F5" w:rsidRPr="00A8654A">
        <w:rPr>
          <w:rStyle w:val="SingleTxtGChar"/>
        </w:rPr>
        <w:t xml:space="preserve"> </w:t>
      </w:r>
      <w:r w:rsidR="34B059C1">
        <w:rPr>
          <w:rStyle w:val="SingleTxtGChar"/>
        </w:rPr>
        <w:t>the</w:t>
      </w:r>
      <w:r w:rsidR="794393F5" w:rsidRPr="00A8654A">
        <w:rPr>
          <w:rStyle w:val="SingleTxtGChar"/>
        </w:rPr>
        <w:t xml:space="preserve"> </w:t>
      </w:r>
      <w:r w:rsidR="00F947DF">
        <w:rPr>
          <w:rStyle w:val="SingleTxtGChar"/>
        </w:rPr>
        <w:t xml:space="preserve">collaborative work on cross-cutting activities </w:t>
      </w:r>
      <w:r w:rsidR="008511E9">
        <w:rPr>
          <w:rStyle w:val="SingleTxtGChar"/>
        </w:rPr>
        <w:t xml:space="preserve">of Groups of Experts </w:t>
      </w:r>
      <w:r w:rsidR="00F947DF">
        <w:rPr>
          <w:rStyle w:val="SingleTxtGChar"/>
        </w:rPr>
        <w:t xml:space="preserve">under the Committee on Sustainable Energy </w:t>
      </w:r>
      <w:r w:rsidR="00B839EF">
        <w:rPr>
          <w:rStyle w:val="SingleTxtGChar"/>
        </w:rPr>
        <w:t xml:space="preserve">that is based on the following pillars: </w:t>
      </w:r>
      <w:r w:rsidR="0080736C">
        <w:rPr>
          <w:rStyle w:val="SingleTxtGChar"/>
        </w:rPr>
        <w:t>i) reducing the environmental footprint of the energy sector, ii) deep transformation of the energy system, and iii) sustainable resource management</w:t>
      </w:r>
      <w:r w:rsidR="794393F5" w:rsidRPr="378B0C83">
        <w:rPr>
          <w:rStyle w:val="SingleTxtGChar"/>
        </w:rPr>
        <w:t>.</w:t>
      </w:r>
    </w:p>
    <w:p w14:paraId="0F9B932E" w14:textId="5F802820" w:rsidR="00A8654A" w:rsidRPr="00A8654A" w:rsidRDefault="00A8654A" w:rsidP="00A8654A">
      <w:pPr>
        <w:pStyle w:val="HChG"/>
      </w:pPr>
      <w:r>
        <w:tab/>
        <w:t>V</w:t>
      </w:r>
      <w:r w:rsidR="001E4322">
        <w:t>II</w:t>
      </w:r>
      <w:r>
        <w:t>.</w:t>
      </w:r>
      <w:r>
        <w:tab/>
      </w:r>
      <w:r w:rsidRPr="00A8654A">
        <w:t>Attaining carbon neutrality in the United Nations Economic Commission for Europe region</w:t>
      </w:r>
    </w:p>
    <w:p w14:paraId="75F7E73A" w14:textId="77777777" w:rsidR="003C12B4" w:rsidRPr="00A8654A" w:rsidRDefault="003C12B4" w:rsidP="003C12B4"/>
    <w:p w14:paraId="04845B3F" w14:textId="77777777" w:rsidR="00A8654A" w:rsidRDefault="00891BC9" w:rsidP="00A8654A">
      <w:pPr>
        <w:pStyle w:val="SingleTxtG"/>
        <w:ind w:left="2835" w:hanging="1701"/>
      </w:pPr>
      <w:r w:rsidRPr="1C023EC7">
        <w:rPr>
          <w:rStyle w:val="SingleTxtGCar"/>
          <w:i/>
          <w:iCs/>
        </w:rPr>
        <w:t>Documentation</w:t>
      </w:r>
      <w:r w:rsidRPr="1C023EC7">
        <w:rPr>
          <w:i/>
          <w:iCs/>
        </w:rPr>
        <w:t>:</w:t>
      </w:r>
      <w:r>
        <w:t xml:space="preserve"> </w:t>
      </w:r>
      <w:r>
        <w:tab/>
      </w:r>
      <w:r w:rsidR="00A8654A" w:rsidRPr="0056572A">
        <w:tab/>
        <w:t xml:space="preserve">ECE/ENERGY/GE.5/2022/3 – </w:t>
      </w:r>
      <w:r w:rsidR="00A8654A" w:rsidRPr="00400492">
        <w:t>Attaining carbon neutrality in the ECE region</w:t>
      </w:r>
      <w:r w:rsidR="00A8654A" w:rsidRPr="00C6696B">
        <w:t xml:space="preserve">: </w:t>
      </w:r>
      <w:r w:rsidR="00A8654A">
        <w:t>p</w:t>
      </w:r>
      <w:r w:rsidR="00A8654A" w:rsidRPr="00C6696B">
        <w:t xml:space="preserve">roject update </w:t>
      </w:r>
    </w:p>
    <w:p w14:paraId="4E97ADA1" w14:textId="5FB18E0D" w:rsidR="00DA3924" w:rsidRDefault="00E004DC" w:rsidP="00DA3924">
      <w:pPr>
        <w:pStyle w:val="SingleTxtG"/>
      </w:pPr>
      <w:r>
        <w:lastRenderedPageBreak/>
        <w:t>14</w:t>
      </w:r>
      <w:r w:rsidR="01542B05">
        <w:t>.</w:t>
      </w:r>
      <w:r w:rsidR="00623C4B">
        <w:tab/>
      </w:r>
      <w:r w:rsidR="70A27487">
        <w:t>Since 202</w:t>
      </w:r>
      <w:r w:rsidR="3500F13F">
        <w:t>0</w:t>
      </w:r>
      <w:r w:rsidR="70A27487">
        <w:t>, t</w:t>
      </w:r>
      <w:r w:rsidR="70A27487" w:rsidRPr="00792E1D">
        <w:t xml:space="preserve">he Group of Experts </w:t>
      </w:r>
      <w:r w:rsidR="70A27487">
        <w:t xml:space="preserve">has been </w:t>
      </w:r>
      <w:r w:rsidR="70A27487" w:rsidRPr="00792E1D">
        <w:t>implement</w:t>
      </w:r>
      <w:r w:rsidR="70A27487">
        <w:t>ing</w:t>
      </w:r>
      <w:r w:rsidR="70A27487" w:rsidRPr="00792E1D">
        <w:t xml:space="preserve"> a project on enhancing the understanding of the implications and opportunities for moving to carbon neutrality in the ECE region across the power and energy intensive industries by 2050 (Carbon Neutrality project</w:t>
      </w:r>
      <w:r w:rsidR="00DA3924">
        <w:rPr>
          <w:rStyle w:val="FootnoteReference"/>
        </w:rPr>
        <w:footnoteReference w:id="3"/>
      </w:r>
      <w:r w:rsidR="70A27487" w:rsidRPr="00792E1D">
        <w:t xml:space="preserve">). This </w:t>
      </w:r>
      <w:r w:rsidR="00AA5FD7">
        <w:t>P</w:t>
      </w:r>
      <w:r w:rsidR="70A27487" w:rsidRPr="00792E1D">
        <w:t>roject</w:t>
      </w:r>
      <w:r w:rsidR="70A27487">
        <w:t>, which</w:t>
      </w:r>
      <w:r w:rsidR="70A27487" w:rsidRPr="00792E1D">
        <w:t xml:space="preserve"> was initiated in May 2020 with a kick-off workshop led by the </w:t>
      </w:r>
      <w:r w:rsidR="70A27487">
        <w:t xml:space="preserve">ECE </w:t>
      </w:r>
      <w:r w:rsidR="70A27487" w:rsidRPr="00792E1D">
        <w:t>Task Force on Carbon Neutrality (Task Force)</w:t>
      </w:r>
      <w:r w:rsidR="70A27487">
        <w:t>, has</w:t>
      </w:r>
      <w:r w:rsidR="70A27487" w:rsidRPr="00792E1D">
        <w:t xml:space="preserve"> follow</w:t>
      </w:r>
      <w:r w:rsidR="70A27487">
        <w:t>ed</w:t>
      </w:r>
      <w:r w:rsidR="70A27487" w:rsidRPr="00792E1D">
        <w:t xml:space="preserve"> the recommendations made by the Group of Experts </w:t>
      </w:r>
      <w:r w:rsidR="70A27487">
        <w:t>at</w:t>
      </w:r>
      <w:r w:rsidR="70A27487" w:rsidRPr="00792E1D">
        <w:t xml:space="preserve"> its fifteenth session. </w:t>
      </w:r>
    </w:p>
    <w:p w14:paraId="3E965A67" w14:textId="741C4CA6" w:rsidR="00A8654A" w:rsidRDefault="00E004DC" w:rsidP="00DA3924">
      <w:pPr>
        <w:pStyle w:val="SingleTxtG"/>
      </w:pPr>
      <w:r>
        <w:t>15</w:t>
      </w:r>
      <w:r w:rsidR="70A27487">
        <w:t>.</w:t>
      </w:r>
      <w:r w:rsidR="00DA3924">
        <w:tab/>
      </w:r>
      <w:r w:rsidR="794393F5">
        <w:t xml:space="preserve">The Group of Experts reported that under the scope of the Carbon Neutrality </w:t>
      </w:r>
      <w:r w:rsidR="00AA5FD7">
        <w:t>P</w:t>
      </w:r>
      <w:r w:rsidR="794393F5">
        <w:t>roject, the Task Force delivered fourteen capacity</w:t>
      </w:r>
      <w:r w:rsidR="00D61614">
        <w:t>-</w:t>
      </w:r>
      <w:r w:rsidR="794393F5">
        <w:t xml:space="preserve">building workshops and multi-stakeholder dialogues to raise awareness about the potential of low- and zero-carbon technologies and their interplay to attain carbon neutral energy systems in the ECE region; three technology briefs on </w:t>
      </w:r>
      <w:r w:rsidR="005F7742" w:rsidRPr="00FC69DD">
        <w:t xml:space="preserve">carbon capture, use and storage </w:t>
      </w:r>
      <w:r w:rsidR="005F7742">
        <w:t>(</w:t>
      </w:r>
      <w:r w:rsidR="794393F5">
        <w:t>CCUS</w:t>
      </w:r>
      <w:r w:rsidR="005F7742">
        <w:t>)</w:t>
      </w:r>
      <w:r w:rsidR="794393F5">
        <w:t>, hydrogen</w:t>
      </w:r>
      <w:r w:rsidR="0740EBEA">
        <w:t>,</w:t>
      </w:r>
      <w:r w:rsidR="794393F5">
        <w:t xml:space="preserve"> and nuclear power, as well as a brief on carbon neutral energy intensive industries; three publications on the Technology Interplay under the Carbon Neutral Concept, the Life Cycle Assessment of Electricity Generation Options, and the Geologic storage </w:t>
      </w:r>
      <w:r w:rsidR="00CB1278">
        <w:t>of CO</w:t>
      </w:r>
      <w:r w:rsidR="00CB1278" w:rsidRPr="378B0C83">
        <w:rPr>
          <w:vertAlign w:val="subscript"/>
        </w:rPr>
        <w:t>2</w:t>
      </w:r>
      <w:r w:rsidR="00CB1278">
        <w:t xml:space="preserve"> </w:t>
      </w:r>
      <w:r w:rsidR="794393F5">
        <w:t xml:space="preserve">in Eastern Europe, the Caucasus and Central Asia. The Group of Experts proactively participated </w:t>
      </w:r>
      <w:r w:rsidR="0BBF7EAA">
        <w:t xml:space="preserve">in developing </w:t>
      </w:r>
      <w:r w:rsidR="794393F5">
        <w:t>and disseminat</w:t>
      </w:r>
      <w:r w:rsidR="0B94E263">
        <w:t>ing</w:t>
      </w:r>
      <w:r w:rsidR="794393F5">
        <w:t xml:space="preserve"> the Carbon Neutrality project</w:t>
      </w:r>
      <w:r w:rsidR="23CC919F">
        <w:t>’s</w:t>
      </w:r>
      <w:r w:rsidR="794393F5">
        <w:t xml:space="preserve"> findings at high level international events, such as the UN High Level Dialogue on Energy in New York, COP26 in Glasgow, the Almaty Energy Forum</w:t>
      </w:r>
      <w:r w:rsidR="09730DF1">
        <w:t>,</w:t>
      </w:r>
      <w:r w:rsidR="794393F5">
        <w:t xml:space="preserve"> etc.</w:t>
      </w:r>
    </w:p>
    <w:p w14:paraId="6ED48C47" w14:textId="6299E6BD" w:rsidR="006B7898" w:rsidRDefault="00A05317" w:rsidP="002975A0">
      <w:pPr>
        <w:pStyle w:val="SingleTxtG"/>
        <w:rPr>
          <w:color w:val="000000" w:themeColor="text1"/>
        </w:rPr>
      </w:pPr>
      <w:r>
        <w:t>1</w:t>
      </w:r>
      <w:r w:rsidR="00E004DC">
        <w:t>6</w:t>
      </w:r>
      <w:r w:rsidR="002975A0">
        <w:t>.</w:t>
      </w:r>
      <w:r w:rsidR="002975A0">
        <w:tab/>
      </w:r>
      <w:r w:rsidR="00C90555" w:rsidRPr="00085CE3">
        <w:rPr>
          <w:color w:val="000000" w:themeColor="text1"/>
        </w:rPr>
        <w:t xml:space="preserve">The </w:t>
      </w:r>
      <w:r w:rsidR="00276393" w:rsidRPr="00085CE3">
        <w:rPr>
          <w:color w:val="000000" w:themeColor="text1"/>
        </w:rPr>
        <w:t>panel</w:t>
      </w:r>
      <w:r w:rsidR="00DA3924" w:rsidRPr="00085CE3">
        <w:rPr>
          <w:color w:val="000000" w:themeColor="text1"/>
        </w:rPr>
        <w:t xml:space="preserve"> on </w:t>
      </w:r>
      <w:r w:rsidR="00085CE3" w:rsidRPr="00085CE3">
        <w:rPr>
          <w:color w:val="000000" w:themeColor="text1"/>
        </w:rPr>
        <w:t>building</w:t>
      </w:r>
      <w:r w:rsidR="00C90555" w:rsidRPr="00085CE3">
        <w:rPr>
          <w:color w:val="000000" w:themeColor="text1"/>
        </w:rPr>
        <w:t xml:space="preserve"> </w:t>
      </w:r>
      <w:r w:rsidR="00085CE3" w:rsidRPr="00085CE3">
        <w:rPr>
          <w:color w:val="000000" w:themeColor="text1"/>
        </w:rPr>
        <w:t xml:space="preserve">a resilient energy system in the ECE region through low- and zero-carbon technology interplay </w:t>
      </w:r>
      <w:r w:rsidR="00C90555" w:rsidRPr="00085CE3">
        <w:rPr>
          <w:color w:val="000000" w:themeColor="text1"/>
        </w:rPr>
        <w:t>d</w:t>
      </w:r>
      <w:r w:rsidR="00DD3D07" w:rsidRPr="00085CE3">
        <w:rPr>
          <w:color w:val="000000" w:themeColor="text1"/>
        </w:rPr>
        <w:t>iscussed</w:t>
      </w:r>
      <w:r w:rsidR="006B7898" w:rsidRPr="00085CE3">
        <w:rPr>
          <w:color w:val="000000" w:themeColor="text1"/>
        </w:rPr>
        <w:t xml:space="preserve"> </w:t>
      </w:r>
      <w:r w:rsidR="00085CE3" w:rsidRPr="00085CE3">
        <w:rPr>
          <w:color w:val="000000" w:themeColor="text1"/>
        </w:rPr>
        <w:t>how the interplay between flexible clean coal, natural gas and renewable energy, CCUS, advanced fossil fuels technologies for power generation, including high-efficiency, low-emissions (HELE) technologies, nuclear power and hydrogen</w:t>
      </w:r>
      <w:r w:rsidR="00085CE3">
        <w:rPr>
          <w:color w:val="000000" w:themeColor="text1"/>
        </w:rPr>
        <w:t xml:space="preserve"> could be improved. The panellists concluded that the region needs to design and implement a resilient energy system that ensures that energy makes an optimal contribution to a country’s social, economic, and environmental development, and that is </w:t>
      </w:r>
      <w:r w:rsidR="00280C7A">
        <w:rPr>
          <w:color w:val="000000" w:themeColor="text1"/>
        </w:rPr>
        <w:t>built</w:t>
      </w:r>
      <w:r w:rsidR="00085CE3">
        <w:rPr>
          <w:color w:val="000000" w:themeColor="text1"/>
        </w:rPr>
        <w:t xml:space="preserve"> on three pillars: </w:t>
      </w:r>
      <w:r w:rsidR="006D017F">
        <w:rPr>
          <w:color w:val="000000" w:themeColor="text1"/>
        </w:rPr>
        <w:t>(a)</w:t>
      </w:r>
      <w:r w:rsidR="00085CE3">
        <w:rPr>
          <w:color w:val="000000" w:themeColor="text1"/>
        </w:rPr>
        <w:t xml:space="preserve"> energy security; </w:t>
      </w:r>
      <w:r w:rsidR="006D017F">
        <w:rPr>
          <w:color w:val="000000" w:themeColor="text1"/>
        </w:rPr>
        <w:t>(b</w:t>
      </w:r>
      <w:r w:rsidR="00085CE3">
        <w:rPr>
          <w:color w:val="000000" w:themeColor="text1"/>
        </w:rPr>
        <w:t xml:space="preserve">) affordability; and </w:t>
      </w:r>
      <w:r w:rsidR="006D017F">
        <w:rPr>
          <w:color w:val="000000" w:themeColor="text1"/>
        </w:rPr>
        <w:t>(c</w:t>
      </w:r>
      <w:r w:rsidR="00085CE3">
        <w:rPr>
          <w:color w:val="000000" w:themeColor="text1"/>
        </w:rPr>
        <w:t>)</w:t>
      </w:r>
      <w:r>
        <w:rPr>
          <w:color w:val="000000" w:themeColor="text1"/>
        </w:rPr>
        <w:t xml:space="preserve"> environmental sustainability. </w:t>
      </w:r>
      <w:r w:rsidR="00085CE3">
        <w:rPr>
          <w:color w:val="000000" w:themeColor="text1"/>
        </w:rPr>
        <w:t xml:space="preserve">  </w:t>
      </w:r>
    </w:p>
    <w:p w14:paraId="1C658E07" w14:textId="3AB0819E" w:rsidR="002975A0" w:rsidRPr="002975A0" w:rsidRDefault="44051307" w:rsidP="002975A0">
      <w:pPr>
        <w:pStyle w:val="SingleTxtG"/>
      </w:pPr>
      <w:r>
        <w:t>1</w:t>
      </w:r>
      <w:r w:rsidR="00E004DC">
        <w:t>7</w:t>
      </w:r>
      <w:r>
        <w:t>.</w:t>
      </w:r>
      <w:r w:rsidR="002975A0">
        <w:tab/>
      </w:r>
      <w:r>
        <w:t xml:space="preserve">The panel on deep electrification of the energy system in the ECE region discussed the implications of the electrification of </w:t>
      </w:r>
      <w:r w:rsidR="0F18CD7E">
        <w:t xml:space="preserve">the </w:t>
      </w:r>
      <w:r>
        <w:t>transport and buildings sectors on the electricity system and the</w:t>
      </w:r>
      <w:r w:rsidRPr="378B0C83">
        <w:rPr>
          <w:lang w:val="en-US"/>
        </w:rPr>
        <w:t xml:space="preserve"> </w:t>
      </w:r>
      <w:r w:rsidR="2EE6AFA6" w:rsidRPr="378B0C83">
        <w:rPr>
          <w:lang w:val="en-US"/>
        </w:rPr>
        <w:t xml:space="preserve">ways how the </w:t>
      </w:r>
      <w:r w:rsidRPr="378B0C83">
        <w:rPr>
          <w:lang w:val="en-US"/>
        </w:rPr>
        <w:t>inter-sectoral cooperation can be improved. The panel</w:t>
      </w:r>
      <w:r w:rsidR="00EC26E1">
        <w:rPr>
          <w:lang w:val="en-US"/>
        </w:rPr>
        <w:t>l</w:t>
      </w:r>
      <w:r w:rsidRPr="378B0C83">
        <w:rPr>
          <w:lang w:val="en-US"/>
        </w:rPr>
        <w:t>ists also discussed the challenges that grid operators will</w:t>
      </w:r>
      <w:r w:rsidR="002975A0" w:rsidRPr="378B0C83" w:rsidDel="44051307">
        <w:rPr>
          <w:lang w:val="en-US"/>
        </w:rPr>
        <w:t xml:space="preserve"> </w:t>
      </w:r>
      <w:r w:rsidRPr="378B0C83">
        <w:rPr>
          <w:lang w:val="en-US"/>
        </w:rPr>
        <w:t>fac</w:t>
      </w:r>
      <w:r w:rsidR="4707D818" w:rsidRPr="007E43B8">
        <w:t>e</w:t>
      </w:r>
      <w:r w:rsidRPr="007E43B8">
        <w:t xml:space="preserve"> a</w:t>
      </w:r>
      <w:r w:rsidRPr="378B0C83">
        <w:rPr>
          <w:lang w:val="en-US"/>
        </w:rPr>
        <w:t>s the deep electrification of the energy system progresses. The experts concluded that the current grid networks are not ready for deep energy system electrification and that policy support and investments are needed to increase the energy storage capacity, deploy distributed energy sources</w:t>
      </w:r>
      <w:r w:rsidR="065B545F" w:rsidRPr="378B0C83">
        <w:rPr>
          <w:lang w:val="en-US"/>
        </w:rPr>
        <w:t>,</w:t>
      </w:r>
      <w:r w:rsidRPr="378B0C83">
        <w:rPr>
          <w:lang w:val="en-US"/>
        </w:rPr>
        <w:t xml:space="preserve"> and scale</w:t>
      </w:r>
      <w:r w:rsidR="00693338">
        <w:rPr>
          <w:lang w:val="en-US"/>
        </w:rPr>
        <w:t xml:space="preserve">-up </w:t>
      </w:r>
      <w:r w:rsidRPr="378B0C83">
        <w:rPr>
          <w:lang w:val="en-US"/>
        </w:rPr>
        <w:t xml:space="preserve">smart grids. They also highlighted that a strategic approach would enable resilient energy systems </w:t>
      </w:r>
      <w:r w:rsidR="2FA71B5E" w:rsidRPr="378B0C83">
        <w:rPr>
          <w:lang w:val="en-US"/>
        </w:rPr>
        <w:t xml:space="preserve">capable </w:t>
      </w:r>
      <w:r w:rsidR="4582659D" w:rsidRPr="378B0C83">
        <w:rPr>
          <w:lang w:val="en-US"/>
        </w:rPr>
        <w:t>of</w:t>
      </w:r>
      <w:r w:rsidRPr="378B0C83">
        <w:rPr>
          <w:lang w:val="en-US"/>
        </w:rPr>
        <w:t xml:space="preserve"> meet</w:t>
      </w:r>
      <w:r w:rsidR="78F10D10" w:rsidRPr="378B0C83">
        <w:rPr>
          <w:lang w:val="en-US"/>
        </w:rPr>
        <w:t>ing</w:t>
      </w:r>
      <w:r w:rsidRPr="378B0C83">
        <w:rPr>
          <w:lang w:val="en-US"/>
        </w:rPr>
        <w:t xml:space="preserve"> the expected electricity demand and </w:t>
      </w:r>
      <w:r w:rsidR="2C3D7600" w:rsidRPr="378B0C83">
        <w:rPr>
          <w:lang w:val="en-US"/>
        </w:rPr>
        <w:t xml:space="preserve">of </w:t>
      </w:r>
      <w:r w:rsidRPr="378B0C83">
        <w:rPr>
          <w:lang w:val="en-US"/>
        </w:rPr>
        <w:t>support</w:t>
      </w:r>
      <w:r w:rsidR="47710451" w:rsidRPr="378B0C83">
        <w:rPr>
          <w:lang w:val="en-US"/>
        </w:rPr>
        <w:t>ing</w:t>
      </w:r>
      <w:r w:rsidRPr="378B0C83">
        <w:rPr>
          <w:lang w:val="en-US"/>
        </w:rPr>
        <w:t xml:space="preserve"> the trend of deep electrification of the transport and buildings sectors. </w:t>
      </w:r>
    </w:p>
    <w:p w14:paraId="63444682" w14:textId="0795FA0F" w:rsidR="00BE6E38" w:rsidRPr="006B7898" w:rsidRDefault="00A63B90" w:rsidP="00FE4D16">
      <w:pPr>
        <w:pStyle w:val="SingleTxtG"/>
      </w:pPr>
      <w:r>
        <w:t>1</w:t>
      </w:r>
      <w:r w:rsidR="00E004DC">
        <w:t>8</w:t>
      </w:r>
      <w:r>
        <w:t>.</w:t>
      </w:r>
      <w:r>
        <w:tab/>
      </w:r>
      <w:r w:rsidR="00BE6E38">
        <w:t xml:space="preserve">The Group of Experts: </w:t>
      </w:r>
    </w:p>
    <w:p w14:paraId="5E50E0C1" w14:textId="49D53D07" w:rsidR="00DA3924" w:rsidRDefault="00BE6E38" w:rsidP="00DA3924">
      <w:pPr>
        <w:pStyle w:val="SingleTxtG"/>
      </w:pPr>
      <w:r>
        <w:tab/>
      </w:r>
      <w:r>
        <w:tab/>
      </w:r>
      <w:r w:rsidR="6DC8BF1C">
        <w:t>(a)</w:t>
      </w:r>
      <w:r w:rsidR="006B7898" w:rsidRPr="006B7898">
        <w:tab/>
      </w:r>
      <w:r w:rsidR="70A27487">
        <w:t xml:space="preserve">Welcomed the work under the scope of the </w:t>
      </w:r>
      <w:r w:rsidR="00CC7602">
        <w:t>P</w:t>
      </w:r>
      <w:r w:rsidR="70A27487">
        <w:t xml:space="preserve">roject on “Enhancing understanding of the implications and opportunities of moving to carbon neutrality in the ECE region across the power and energy intensive industries by 2050” (Carbon Neutrality Project) and expressed gratitude to the Task Force on Carbon Neutrality (“Task Force”) for its comprehensive work in developing the UNECE Carbon Neutrality Toolkit  </w:t>
      </w:r>
      <w:r w:rsidR="168F65CD">
        <w:t>that</w:t>
      </w:r>
      <w:r w:rsidR="70A27487">
        <w:t xml:space="preserve"> support</w:t>
      </w:r>
      <w:r w:rsidR="09217671">
        <w:t>s</w:t>
      </w:r>
      <w:r w:rsidR="70A27487">
        <w:t xml:space="preserve"> policymakers across the ECE region </w:t>
      </w:r>
      <w:r w:rsidR="5E712A74">
        <w:t>in</w:t>
      </w:r>
      <w:r w:rsidR="70A27487">
        <w:t xml:space="preserve"> mak</w:t>
      </w:r>
      <w:r w:rsidR="2B383FDE">
        <w:t>ing</w:t>
      </w:r>
      <w:r w:rsidR="70A27487">
        <w:t xml:space="preserve"> informed decisions towards implementation of the 2030 Agenda and the Paris Agreement.</w:t>
      </w:r>
    </w:p>
    <w:p w14:paraId="5FCB3550" w14:textId="6B3A57D2" w:rsidR="00DA3924" w:rsidRDefault="70A27487" w:rsidP="00DA3924">
      <w:pPr>
        <w:pStyle w:val="SingleTxtG"/>
        <w:ind w:firstLine="567"/>
      </w:pPr>
      <w:r>
        <w:t>(b)</w:t>
      </w:r>
      <w:r w:rsidR="00DA3924">
        <w:tab/>
      </w:r>
      <w:r>
        <w:t xml:space="preserve">Requested the Task Force to </w:t>
      </w:r>
      <w:r w:rsidR="684B003B">
        <w:t>adopt</w:t>
      </w:r>
      <w:r>
        <w:t xml:space="preserve"> a subregional and </w:t>
      </w:r>
      <w:r w:rsidR="19081CF7">
        <w:t xml:space="preserve">a </w:t>
      </w:r>
      <w:r>
        <w:t>national approach in disseminating the findings and recommendations from the Carbon Neutrality Project. The Group of Experts welcomed the preliminary subregional work on exploring what is needed to attain carbon neutral energy systems in Central Asia. The Group of Experts also expressed</w:t>
      </w:r>
      <w:r w:rsidR="09818B5B">
        <w:t xml:space="preserve"> </w:t>
      </w:r>
      <w:r w:rsidR="09818B5B">
        <w:lastRenderedPageBreak/>
        <w:t>its</w:t>
      </w:r>
      <w:r>
        <w:t xml:space="preserve"> interest in helping Ukraine</w:t>
      </w:r>
      <w:r w:rsidR="009C2D59">
        <w:t xml:space="preserve"> to </w:t>
      </w:r>
      <w:r>
        <w:t xml:space="preserve">rebuild its energy system </w:t>
      </w:r>
      <w:r w:rsidR="3877A7D2">
        <w:t xml:space="preserve">in accordance with </w:t>
      </w:r>
      <w:r>
        <w:t>the carbon neutral</w:t>
      </w:r>
      <w:r w:rsidR="43F3C17B">
        <w:t>ity</w:t>
      </w:r>
      <w:r>
        <w:t xml:space="preserve"> concept.</w:t>
      </w:r>
    </w:p>
    <w:p w14:paraId="11C918CE" w14:textId="3DF59ECF" w:rsidR="00DA3924" w:rsidRDefault="70A27487" w:rsidP="00DA3924">
      <w:pPr>
        <w:pStyle w:val="SingleTxtG"/>
        <w:ind w:firstLine="567"/>
      </w:pPr>
      <w:r>
        <w:t>(c)</w:t>
      </w:r>
      <w:r w:rsidR="00DA3924">
        <w:tab/>
      </w:r>
      <w:r>
        <w:t xml:space="preserve">Took note of the Committee on Sustainable Energy’s recommendation to lead on the issue of energy system transformations, in cooperation with the other </w:t>
      </w:r>
      <w:r w:rsidR="6A61A39D">
        <w:t>E</w:t>
      </w:r>
      <w:r>
        <w:t xml:space="preserve">xpert </w:t>
      </w:r>
      <w:r w:rsidR="06881B79">
        <w:t>G</w:t>
      </w:r>
      <w:r>
        <w:t xml:space="preserve">roups reporting to the Committee and to explore technology interplay, including technical and societal nexus areas for the range of technologies </w:t>
      </w:r>
      <w:r w:rsidR="00DA3924" w:rsidDel="70A27487">
        <w:t>including</w:t>
      </w:r>
      <w:r>
        <w:t xml:space="preserve"> low-carbon technologies (coal with CCUS, gas with CCUS), zero-carbon technologies (renewable energy, nuclear power), negative-carbon technologies (bioenergy with carbon capture and storage </w:t>
      </w:r>
      <w:r w:rsidR="00DA3924" w:rsidDel="70A27487">
        <w:t>(</w:t>
      </w:r>
      <w:r>
        <w:t>BECCS</w:t>
      </w:r>
      <w:r w:rsidR="00DA3924" w:rsidDel="70A27487">
        <w:t>)</w:t>
      </w:r>
      <w:r>
        <w:t xml:space="preserve">, direct air capture with carbon storage </w:t>
      </w:r>
      <w:r w:rsidR="00DA3924" w:rsidDel="70A27487">
        <w:t>(</w:t>
      </w:r>
      <w:r>
        <w:t>DACCS</w:t>
      </w:r>
      <w:r w:rsidR="00DA3924" w:rsidDel="70A27487">
        <w:t>)</w:t>
      </w:r>
      <w:r>
        <w:t>)</w:t>
      </w:r>
      <w:r w:rsidR="00DA3924" w:rsidDel="70A27487">
        <w:t>, as well as innovative solutions (hydrogen)</w:t>
      </w:r>
      <w:r>
        <w:t xml:space="preserve">. </w:t>
      </w:r>
    </w:p>
    <w:p w14:paraId="6AC94909" w14:textId="23536475" w:rsidR="00DA3924" w:rsidRDefault="70A27487" w:rsidP="00DA3924">
      <w:pPr>
        <w:pStyle w:val="SingleTxtG"/>
        <w:ind w:firstLine="567"/>
      </w:pPr>
      <w:r>
        <w:t>(d)</w:t>
      </w:r>
      <w:r w:rsidR="00DA3924">
        <w:tab/>
      </w:r>
      <w:r>
        <w:t>Concluded that electricity continues to be a key for transformation of the energy systems. Forecasts indicate that demand for electricity will grow substantially, making it the most important source of energy in the 21</w:t>
      </w:r>
      <w:r w:rsidRPr="378B0C83">
        <w:rPr>
          <w:vertAlign w:val="superscript"/>
        </w:rPr>
        <w:t>st</w:t>
      </w:r>
      <w:r>
        <w:t xml:space="preserve"> </w:t>
      </w:r>
      <w:r w:rsidR="00DA3924" w:rsidDel="70A27487">
        <w:t>C</w:t>
      </w:r>
      <w:r>
        <w:t xml:space="preserve">entury. Electricity demand is projected to triple by 2050 as sectors such as transport and buildings continue to electrify. The round table on “Deep electrification of the energy system in the ECE region. Can grid impede electrification?” discussed the implications of the increasing electrification of the transport and buildings sectors on the electricity system and proposed </w:t>
      </w:r>
      <w:r w:rsidR="26080B98">
        <w:t xml:space="preserve">the </w:t>
      </w:r>
      <w:r>
        <w:t xml:space="preserve">next steps </w:t>
      </w:r>
      <w:r w:rsidR="38B79CA2">
        <w:t>in</w:t>
      </w:r>
      <w:r>
        <w:t xml:space="preserve"> design</w:t>
      </w:r>
      <w:r w:rsidR="42B42E11">
        <w:t>ing</w:t>
      </w:r>
      <w:r>
        <w:t xml:space="preserve"> more resilient electricity systems. The Group of Experts recommended to policymakers to: (a) invest in reliable low- and zero-carbon electricity capacity; (b) promote deployment of distributed energy sources and smart grids; </w:t>
      </w:r>
      <w:r w:rsidR="00482E74">
        <w:t xml:space="preserve">and </w:t>
      </w:r>
      <w:r>
        <w:t xml:space="preserve">(c) develop and deploy energy storage solutions. </w:t>
      </w:r>
    </w:p>
    <w:p w14:paraId="5141A7F5" w14:textId="2BF8E618" w:rsidR="000D4E25" w:rsidRPr="000D4E25" w:rsidRDefault="000D4E25" w:rsidP="00DA3924">
      <w:pPr>
        <w:pStyle w:val="SingleTxtG"/>
        <w:ind w:firstLine="567"/>
        <w:rPr>
          <w:color w:val="FF0000"/>
        </w:rPr>
      </w:pPr>
      <w:r>
        <w:t>(e )</w:t>
      </w:r>
      <w:r>
        <w:tab/>
      </w:r>
      <w:r w:rsidR="001B0991">
        <w:rPr>
          <w:color w:val="FF0000"/>
        </w:rPr>
        <w:t>Welcome</w:t>
      </w:r>
      <w:r w:rsidR="008C4066">
        <w:rPr>
          <w:color w:val="FF0000"/>
        </w:rPr>
        <w:t>d</w:t>
      </w:r>
      <w:r w:rsidR="001B0991">
        <w:rPr>
          <w:color w:val="FF0000"/>
        </w:rPr>
        <w:t xml:space="preserve"> the joint efforts undertaken by the ECE </w:t>
      </w:r>
      <w:r w:rsidR="00F3439C">
        <w:rPr>
          <w:color w:val="FF0000"/>
        </w:rPr>
        <w:t>Sustainable Energy and Sustainable Transport Divisions aimed at taking stock of ne</w:t>
      </w:r>
      <w:r w:rsidR="003D2EE3">
        <w:rPr>
          <w:color w:val="FF0000"/>
        </w:rPr>
        <w:t>w</w:t>
      </w:r>
      <w:r w:rsidR="00F3439C">
        <w:rPr>
          <w:color w:val="FF0000"/>
        </w:rPr>
        <w:t xml:space="preserve"> trends towards electric vehicle charging </w:t>
      </w:r>
      <w:r w:rsidR="0082296B">
        <w:rPr>
          <w:color w:val="FF0000"/>
        </w:rPr>
        <w:t>infrastructure and</w:t>
      </w:r>
      <w:r w:rsidR="008C4066">
        <w:rPr>
          <w:color w:val="FF0000"/>
        </w:rPr>
        <w:t xml:space="preserve"> requested the secretariat to continue cooperation with the ECE Sustainable Transport Division</w:t>
      </w:r>
      <w:r w:rsidR="00326FAF">
        <w:rPr>
          <w:color w:val="FF0000"/>
        </w:rPr>
        <w:t xml:space="preserve"> through a</w:t>
      </w:r>
      <w:r w:rsidR="00326FAF" w:rsidRPr="00326FAF">
        <w:rPr>
          <w:color w:val="FF0000"/>
        </w:rPr>
        <w:t>ctively contributing to a forthcoming transport trends and economics (2022-2023) publication that will further explore these interlinkages between electrical vehicles and their interaction with the grid</w:t>
      </w:r>
      <w:r w:rsidR="00E8561D">
        <w:rPr>
          <w:color w:val="FF0000"/>
        </w:rPr>
        <w:t xml:space="preserve"> and continue cooperation with the </w:t>
      </w:r>
      <w:r w:rsidR="00223CF8" w:rsidRPr="00223CF8">
        <w:rPr>
          <w:color w:val="FF0000"/>
        </w:rPr>
        <w:t>Working Party on Transport Trends and Economics (WP.5)</w:t>
      </w:r>
      <w:r w:rsidR="00223CF8">
        <w:rPr>
          <w:color w:val="FF0000"/>
        </w:rPr>
        <w:t xml:space="preserve">. </w:t>
      </w:r>
    </w:p>
    <w:p w14:paraId="4703D2EF" w14:textId="4619C0EB" w:rsidR="00DA3924" w:rsidRDefault="70A27487" w:rsidP="00DA3924">
      <w:pPr>
        <w:pStyle w:val="SingleTxtG"/>
        <w:ind w:firstLine="567"/>
      </w:pPr>
      <w:r>
        <w:t>(</w:t>
      </w:r>
      <w:r w:rsidR="00214B06">
        <w:t>f</w:t>
      </w:r>
      <w:r>
        <w:t>)</w:t>
      </w:r>
      <w:r w:rsidR="00DA3924">
        <w:tab/>
      </w:r>
      <w:r>
        <w:t xml:space="preserve">Agreed to launch a cross-sector activity and to cooperate with the ECE </w:t>
      </w:r>
      <w:r w:rsidR="00A67B3E">
        <w:t>Group of Experts on Energy Efficiency, the</w:t>
      </w:r>
      <w:r>
        <w:t xml:space="preserve"> ECE Sustainable Transport Division and the ECE Housing and Land Management Division, as well as with analytical institutions such as the Electric Power Research Institute (EPRI), to help countries enhance their understanding o</w:t>
      </w:r>
      <w:r w:rsidR="40E62944">
        <w:t>f</w:t>
      </w:r>
      <w:r>
        <w:t xml:space="preserve"> the implications of the electrification of the transport and buildings sectors on their electricity systems.</w:t>
      </w:r>
    </w:p>
    <w:p w14:paraId="78BFED9E" w14:textId="5D3E8562" w:rsidR="00DA3924" w:rsidRDefault="70A27487" w:rsidP="00DA3924">
      <w:pPr>
        <w:pStyle w:val="SingleTxtG"/>
        <w:ind w:firstLine="567"/>
      </w:pPr>
      <w:r>
        <w:t>(</w:t>
      </w:r>
      <w:r w:rsidR="00214B06">
        <w:t>g</w:t>
      </w:r>
      <w:r>
        <w:t>)</w:t>
      </w:r>
      <w:r w:rsidR="00DA3924">
        <w:tab/>
      </w:r>
      <w:r>
        <w:t xml:space="preserve">Welcomed the proposal to launch the ECE Platform on Resilient Energy Systems (to be considered by the Committee on Sustainable Energy at its thirty-first session (CSE-31/2022/INF.2)). The Group of Experts expressed appreciation to the Bureau of the Group of Experts for joining forces with the Bureaux of the other Groups of Experts </w:t>
      </w:r>
      <w:r w:rsidR="20389BDD">
        <w:t xml:space="preserve">operating </w:t>
      </w:r>
      <w:r>
        <w:t xml:space="preserve">under the Committee to draft the report on Building Resilient Energy Systems: Technical Considerations and Actions for Achieving Greater Energy Security, Affordability and Net-zero in the ECE Region (CSE-31/2022/INF.2). The Group of Experts noted </w:t>
      </w:r>
      <w:r w:rsidR="3162C6DF">
        <w:t xml:space="preserve">with appreciation that </w:t>
      </w:r>
      <w:r>
        <w:t>the technical recommendations on how to design and implement resilient energy systems in the ECE region</w:t>
      </w:r>
      <w:r w:rsidR="5EDD810E">
        <w:t xml:space="preserve"> were provided in the report</w:t>
      </w:r>
      <w:r>
        <w:t xml:space="preserve">. </w:t>
      </w:r>
    </w:p>
    <w:p w14:paraId="760BBB95" w14:textId="2836DF20" w:rsidR="00DA3924" w:rsidRDefault="70A27487" w:rsidP="00DA3924">
      <w:pPr>
        <w:pStyle w:val="SingleTxtG"/>
        <w:ind w:firstLine="567"/>
      </w:pPr>
      <w:r>
        <w:t>(</w:t>
      </w:r>
      <w:r w:rsidR="00214B06">
        <w:t>h</w:t>
      </w:r>
      <w:r>
        <w:t>)</w:t>
      </w:r>
      <w:r w:rsidR="00DA3924">
        <w:tab/>
      </w:r>
      <w:r>
        <w:t xml:space="preserve">Decided to support activities under the proposed ECE Platform on Resilient Energy Systems and collaborate closely with the other Groups of Experts to advance this timely and important topic. </w:t>
      </w:r>
    </w:p>
    <w:p w14:paraId="3FE0BA17" w14:textId="77777777" w:rsidR="00CE7C30" w:rsidRDefault="00CE7C30" w:rsidP="00DA3924">
      <w:pPr>
        <w:pStyle w:val="SingleTxtG"/>
        <w:ind w:firstLine="567"/>
      </w:pPr>
    </w:p>
    <w:p w14:paraId="428B1A97" w14:textId="70CBAB4F" w:rsidR="00FF1A31" w:rsidRPr="002975A0" w:rsidRDefault="003A54F7" w:rsidP="001E4322">
      <w:pPr>
        <w:pStyle w:val="SingleTxtG"/>
        <w:ind w:left="0"/>
        <w:rPr>
          <w:b/>
          <w:sz w:val="28"/>
        </w:rPr>
      </w:pPr>
      <w:r w:rsidRPr="002975A0">
        <w:rPr>
          <w:b/>
          <w:sz w:val="28"/>
        </w:rPr>
        <w:t>V</w:t>
      </w:r>
      <w:r w:rsidR="001E4322">
        <w:rPr>
          <w:b/>
          <w:sz w:val="28"/>
        </w:rPr>
        <w:t>II</w:t>
      </w:r>
      <w:r w:rsidR="00DB1F4F">
        <w:rPr>
          <w:b/>
          <w:sz w:val="28"/>
        </w:rPr>
        <w:t>I</w:t>
      </w:r>
      <w:r w:rsidR="00FE4D16" w:rsidRPr="002975A0">
        <w:rPr>
          <w:b/>
          <w:sz w:val="28"/>
        </w:rPr>
        <w:t>.</w:t>
      </w:r>
      <w:r w:rsidRPr="002975A0">
        <w:rPr>
          <w:b/>
          <w:sz w:val="28"/>
        </w:rPr>
        <w:tab/>
      </w:r>
      <w:r w:rsidR="002975A0" w:rsidRPr="002975A0">
        <w:rPr>
          <w:b/>
          <w:sz w:val="28"/>
        </w:rPr>
        <w:t>Round table on financing clean energy technologies</w:t>
      </w:r>
    </w:p>
    <w:p w14:paraId="73EEB19B" w14:textId="102537DF" w:rsidR="00805E14" w:rsidRDefault="00FF1A31" w:rsidP="00805E14">
      <w:pPr>
        <w:pStyle w:val="H1G"/>
        <w:spacing w:before="120" w:after="120" w:line="240" w:lineRule="auto"/>
        <w:ind w:left="1138" w:right="1138" w:hanging="1138"/>
        <w:rPr>
          <w:b w:val="0"/>
          <w:sz w:val="20"/>
        </w:rPr>
      </w:pPr>
      <w:r>
        <w:rPr>
          <w:b w:val="0"/>
          <w:i/>
          <w:iCs/>
          <w:sz w:val="20"/>
        </w:rPr>
        <w:tab/>
      </w:r>
      <w:r>
        <w:rPr>
          <w:b w:val="0"/>
          <w:i/>
          <w:iCs/>
          <w:sz w:val="20"/>
        </w:rPr>
        <w:tab/>
      </w:r>
      <w:r w:rsidRPr="00D93830">
        <w:rPr>
          <w:b w:val="0"/>
          <w:i/>
          <w:iCs/>
          <w:sz w:val="20"/>
        </w:rPr>
        <w:t>Documentation:</w:t>
      </w:r>
      <w:r w:rsidRPr="00A32468">
        <w:rPr>
          <w:b w:val="0"/>
          <w:sz w:val="20"/>
        </w:rPr>
        <w:tab/>
      </w:r>
      <w:r w:rsidR="002975A0" w:rsidRPr="002975A0">
        <w:rPr>
          <w:b w:val="0"/>
          <w:sz w:val="20"/>
        </w:rPr>
        <w:t>ECE/ENERGY/2022/5 – Financing clean energy infrastructure</w:t>
      </w:r>
    </w:p>
    <w:p w14:paraId="204C6DFB" w14:textId="2F23FD5E" w:rsidR="001B6270" w:rsidRDefault="001B6270" w:rsidP="001B6270"/>
    <w:p w14:paraId="242C2CCF" w14:textId="5B311187" w:rsidR="00DB1F4F" w:rsidRDefault="44051307" w:rsidP="00DB1F4F">
      <w:pPr>
        <w:pStyle w:val="SingleTxtG"/>
      </w:pPr>
      <w:r>
        <w:lastRenderedPageBreak/>
        <w:t>1</w:t>
      </w:r>
      <w:r w:rsidR="00E004DC">
        <w:t>9</w:t>
      </w:r>
      <w:r w:rsidR="35671F3D">
        <w:t>.</w:t>
      </w:r>
      <w:r w:rsidR="001B6270">
        <w:tab/>
      </w:r>
      <w:r w:rsidR="34DCAECE">
        <w:t xml:space="preserve">The </w:t>
      </w:r>
      <w:r w:rsidR="6B8C9464" w:rsidRPr="003B78B7">
        <w:t>f</w:t>
      </w:r>
      <w:r w:rsidR="0DD6C87F" w:rsidRPr="003B78B7">
        <w:t xml:space="preserve">indings from the Carbon Neutrality </w:t>
      </w:r>
      <w:r w:rsidR="00E94E57">
        <w:t>P</w:t>
      </w:r>
      <w:r w:rsidR="0DD6C87F" w:rsidRPr="003B78B7">
        <w:t xml:space="preserve">roject show that all low- and zero-carbon technologies will be needed to attain carbon neutrality by 2050 and </w:t>
      </w:r>
      <w:r w:rsidR="5E3787D3" w:rsidRPr="003B78B7">
        <w:t xml:space="preserve">to </w:t>
      </w:r>
      <w:r w:rsidR="0DD6C87F" w:rsidRPr="003B78B7">
        <w:t>limit global warming to 1.5-2</w:t>
      </w:r>
      <w:r w:rsidR="0DD6C87F">
        <w:t>°C</w:t>
      </w:r>
      <w:r w:rsidR="0DD6C87F" w:rsidRPr="00FC69DD">
        <w:t xml:space="preserve">. The dialogue was launched between the ECE expert community and the global financial community on developing an investment framework to facilitate the development and deployment of all low- and zero-carbon technologies (including fossil fuels with carbon capture, use and storage </w:t>
      </w:r>
      <w:r w:rsidR="002975A0" w:rsidDel="0DD6C87F">
        <w:t>(</w:t>
      </w:r>
      <w:r w:rsidR="0DD6C87F" w:rsidRPr="00FC69DD">
        <w:t>CCUS</w:t>
      </w:r>
      <w:r w:rsidR="002975A0" w:rsidDel="0DD6C87F">
        <w:t>)</w:t>
      </w:r>
      <w:r w:rsidR="0DD6C87F" w:rsidRPr="00FC69DD">
        <w:t>, capture and use or conversion of methane released during fossil fuel extraction, low-carbon and renewable hydrogen production, nuclear power, and renewable energy). Recommendations from th</w:t>
      </w:r>
      <w:r w:rsidR="228ABF33" w:rsidRPr="00FC69DD">
        <w:t>at</w:t>
      </w:r>
      <w:r w:rsidR="0DD6C87F" w:rsidRPr="00FC69DD">
        <w:t xml:space="preserve"> technical dialogue </w:t>
      </w:r>
      <w:r w:rsidR="0DD6C87F">
        <w:t xml:space="preserve">will </w:t>
      </w:r>
      <w:r w:rsidR="0DD6C87F" w:rsidRPr="0010678A">
        <w:t xml:space="preserve">feed into the </w:t>
      </w:r>
      <w:r w:rsidR="0DD6C87F">
        <w:t>ECE</w:t>
      </w:r>
      <w:r w:rsidR="00A104E1">
        <w:t xml:space="preserve"> Regional </w:t>
      </w:r>
      <w:r w:rsidR="0DD6C87F">
        <w:t xml:space="preserve">Forum </w:t>
      </w:r>
      <w:r w:rsidR="0DD6C87F" w:rsidRPr="0010678A">
        <w:t>“Towards COP27:</w:t>
      </w:r>
      <w:r w:rsidR="0DD6C87F" w:rsidRPr="00D2414D">
        <w:t xml:space="preserve"> </w:t>
      </w:r>
      <w:r w:rsidR="00D219BD" w:rsidRPr="00D219BD">
        <w:t>Towards COP27: UNECE Regional Forum on Climate Initiatives to Finance Climate Action and the S</w:t>
      </w:r>
      <w:r w:rsidR="006D77EA">
        <w:t xml:space="preserve">ustainable Development Goals – </w:t>
      </w:r>
      <w:r w:rsidR="0DD6C87F" w:rsidRPr="00D2414D">
        <w:t>Regional cooperation on enhancing sustainable management and financing for the critical raw materials required for low-carbon transitions</w:t>
      </w:r>
      <w:r w:rsidR="00DB1F4F">
        <w:rPr>
          <w:rStyle w:val="FootnoteReference"/>
        </w:rPr>
        <w:footnoteReference w:id="4"/>
      </w:r>
      <w:r w:rsidR="0DD6C87F">
        <w:t xml:space="preserve">￼ that </w:t>
      </w:r>
      <w:r w:rsidR="0054FF15">
        <w:t xml:space="preserve">is to </w:t>
      </w:r>
      <w:r w:rsidR="0DD6C87F">
        <w:t>take place on 17 October.</w:t>
      </w:r>
    </w:p>
    <w:p w14:paraId="63C3957E" w14:textId="77777777" w:rsidR="00DB1F4F" w:rsidRPr="006B7898" w:rsidRDefault="00DB1F4F" w:rsidP="00DB1F4F">
      <w:pPr>
        <w:pStyle w:val="SingleTxtG"/>
      </w:pPr>
      <w:r>
        <w:t xml:space="preserve">The Group of Experts: </w:t>
      </w:r>
    </w:p>
    <w:p w14:paraId="29A0D2BC" w14:textId="3E3A30EC" w:rsidR="00DB1F4F" w:rsidRDefault="00DB1F4F" w:rsidP="00DB1F4F">
      <w:pPr>
        <w:pStyle w:val="SingleTxtG"/>
      </w:pPr>
      <w:r>
        <w:tab/>
      </w:r>
      <w:r>
        <w:tab/>
      </w:r>
      <w:r w:rsidR="0DD6C87F">
        <w:t>(a)</w:t>
      </w:r>
      <w:r w:rsidRPr="006B7898">
        <w:tab/>
      </w:r>
      <w:r w:rsidR="0DD6C87F">
        <w:t xml:space="preserve">Discussed </w:t>
      </w:r>
      <w:r w:rsidR="7A729AD2">
        <w:t xml:space="preserve">the </w:t>
      </w:r>
      <w:r w:rsidR="0DD6C87F">
        <w:t>findings from the activity on technology interplay under the carbon neutral energy system concept and concluded that deployment of all low- and zero-carbon technologies will be needed to attain carbon neutrality by 2050. The Group of Experts and the Task Force highlighted that the energy transition in the ECE region will require both policy support and private and public sector financing for low- and zero-carbon technologies, including CCUS, hydrogen</w:t>
      </w:r>
      <w:r w:rsidR="32B0E9A0">
        <w:t>,</w:t>
      </w:r>
      <w:r w:rsidR="0DD6C87F">
        <w:t xml:space="preserve"> and advanced nuclear power. </w:t>
      </w:r>
    </w:p>
    <w:p w14:paraId="19C132EB" w14:textId="5973A40D" w:rsidR="00DB1F4F" w:rsidRDefault="0DD6C87F" w:rsidP="00DB1F4F">
      <w:pPr>
        <w:pStyle w:val="SingleTxtG"/>
        <w:ind w:firstLine="567"/>
      </w:pPr>
      <w:r>
        <w:t>(b)</w:t>
      </w:r>
      <w:r w:rsidR="00DB1F4F">
        <w:tab/>
      </w:r>
      <w:r>
        <w:t>Concluded that strengthened international cooperation is necessary to facilitate access to clean energy research and technologies, including renewable energy, energy efficiency, nuclear power, and advanced and more environmentally</w:t>
      </w:r>
      <w:r w:rsidR="4C99EDA6">
        <w:t xml:space="preserve"> </w:t>
      </w:r>
      <w:r>
        <w:t xml:space="preserve">friendly fossil fuel technologies, and to promote investments in modernization of energy infrastructure and low- and zero-carbon technologies. Joint and well-balanced national power systems could be enhanced through strategic partnerships and cross-border energy cooperation, which would take into account the specificity of national power sectors. </w:t>
      </w:r>
    </w:p>
    <w:p w14:paraId="23CB12D3" w14:textId="069FFE77" w:rsidR="00DB1F4F" w:rsidRDefault="0DD6C87F" w:rsidP="00DB1F4F">
      <w:pPr>
        <w:pStyle w:val="SingleTxtG"/>
        <w:ind w:firstLine="567"/>
      </w:pPr>
      <w:r>
        <w:t>(c)</w:t>
      </w:r>
      <w:r w:rsidR="00DB1F4F">
        <w:tab/>
      </w:r>
      <w:r>
        <w:t>Encouraged continued cooperation with the Expert Group on Resource Management to facilitate a dialogue with international financial institutions and other relevant stakeholders on financing low- and zero-carbon technologies and the critical raw materials required for low-carbon energy transitions</w:t>
      </w:r>
      <w:r w:rsidR="38B54F53">
        <w:t>. The Group of experts deemed such cooperation necessary</w:t>
      </w:r>
      <w:r>
        <w:t xml:space="preserve"> </w:t>
      </w:r>
      <w:r w:rsidR="00E809E3">
        <w:t>to be</w:t>
      </w:r>
      <w:r>
        <w:t xml:space="preserve"> in a position to </w:t>
      </w:r>
      <w:r w:rsidR="6838ACB9">
        <w:t xml:space="preserve">adequately </w:t>
      </w:r>
      <w:r>
        <w:t xml:space="preserve">advise the Committee on Sustainable Energy on potential future work in this area. </w:t>
      </w:r>
    </w:p>
    <w:p w14:paraId="46758679" w14:textId="14F69784" w:rsidR="006E4A80" w:rsidRDefault="0DD6C87F" w:rsidP="00DB1F4F">
      <w:pPr>
        <w:pStyle w:val="SingleTxtG"/>
        <w:ind w:firstLine="567"/>
      </w:pPr>
      <w:r>
        <w:t>(d)</w:t>
      </w:r>
      <w:r w:rsidR="00DB1F4F">
        <w:tab/>
      </w:r>
      <w:r>
        <w:t>Encouraged multi</w:t>
      </w:r>
      <w:r w:rsidR="009673B4">
        <w:t>-</w:t>
      </w:r>
      <w:r>
        <w:t xml:space="preserve">stakeholder dialogue on the potential role of ECE in setting standards for financing guidelines for low- and zero-carbon technologies and critical raw materials </w:t>
      </w:r>
      <w:r w:rsidR="15DF63C0">
        <w:t xml:space="preserve">aiming </w:t>
      </w:r>
      <w:r>
        <w:t>to help unlock climate financing for all low- and zero-carbon technologies and deliver on the climate targets of the Paris Agreement.</w:t>
      </w:r>
    </w:p>
    <w:p w14:paraId="5709EB2F" w14:textId="178230ED" w:rsidR="00B427B5" w:rsidRPr="008A4F6C" w:rsidRDefault="00FF1A31" w:rsidP="00B427B5">
      <w:pPr>
        <w:pStyle w:val="H1G"/>
        <w:rPr>
          <w:color w:val="000000" w:themeColor="text1"/>
          <w:sz w:val="28"/>
          <w:szCs w:val="28"/>
        </w:rPr>
      </w:pPr>
      <w:r w:rsidRPr="008A4F6C">
        <w:rPr>
          <w:sz w:val="28"/>
          <w:szCs w:val="28"/>
        </w:rPr>
        <w:tab/>
      </w:r>
      <w:r w:rsidR="00DB1F4F" w:rsidRPr="008A4F6C">
        <w:rPr>
          <w:sz w:val="28"/>
          <w:szCs w:val="28"/>
        </w:rPr>
        <w:t>I</w:t>
      </w:r>
      <w:r w:rsidR="001E4322">
        <w:rPr>
          <w:sz w:val="28"/>
          <w:szCs w:val="28"/>
        </w:rPr>
        <w:t>X</w:t>
      </w:r>
      <w:r w:rsidRPr="008A4F6C">
        <w:rPr>
          <w:sz w:val="28"/>
          <w:szCs w:val="28"/>
        </w:rPr>
        <w:t>.</w:t>
      </w:r>
      <w:r w:rsidRPr="008A4F6C">
        <w:rPr>
          <w:sz w:val="28"/>
          <w:szCs w:val="28"/>
        </w:rPr>
        <w:tab/>
      </w:r>
      <w:r w:rsidR="00DB1F4F" w:rsidRPr="008A4F6C">
        <w:rPr>
          <w:sz w:val="28"/>
          <w:szCs w:val="28"/>
        </w:rPr>
        <w:t xml:space="preserve">Round table on digitalizing electricity systems </w:t>
      </w:r>
    </w:p>
    <w:p w14:paraId="28350D7D" w14:textId="65ADF548" w:rsidR="00D3443C" w:rsidRDefault="00D3443C" w:rsidP="00D3443C">
      <w:pPr>
        <w:pStyle w:val="SingleTxtG"/>
        <w:ind w:left="2829" w:hanging="1695"/>
        <w:rPr>
          <w:color w:val="000000" w:themeColor="text1"/>
        </w:rPr>
      </w:pPr>
      <w:r w:rsidRPr="007007F3">
        <w:rPr>
          <w:i/>
        </w:rPr>
        <w:t>Documentation:</w:t>
      </w:r>
      <w:r w:rsidRPr="007007F3">
        <w:tab/>
      </w:r>
      <w:r w:rsidRPr="004D387D">
        <w:rPr>
          <w:rStyle w:val="normaltextrun"/>
          <w:color w:val="000000"/>
          <w:shd w:val="clear" w:color="auto" w:fill="FFFFFF"/>
        </w:rPr>
        <w:t>ECE/ENERGY/GE.6/2022/</w:t>
      </w:r>
      <w:r>
        <w:rPr>
          <w:rStyle w:val="normaltextrun"/>
          <w:color w:val="000000"/>
          <w:shd w:val="clear" w:color="auto" w:fill="FFFFFF"/>
        </w:rPr>
        <w:t>4</w:t>
      </w:r>
      <w:r w:rsidRPr="004D387D">
        <w:rPr>
          <w:rStyle w:val="normaltextrun"/>
          <w:color w:val="000000"/>
          <w:shd w:val="clear" w:color="auto" w:fill="FFFFFF"/>
        </w:rPr>
        <w:t>,</w:t>
      </w:r>
      <w:r w:rsidR="009673B4">
        <w:rPr>
          <w:rStyle w:val="normaltextrun"/>
          <w:color w:val="000000"/>
          <w:shd w:val="clear" w:color="auto" w:fill="FFFFFF"/>
        </w:rPr>
        <w:t xml:space="preserve"> </w:t>
      </w:r>
      <w:r w:rsidRPr="004D387D">
        <w:rPr>
          <w:rStyle w:val="normaltextrun"/>
          <w:color w:val="000000"/>
          <w:shd w:val="clear" w:color="auto" w:fill="FFFFFF"/>
        </w:rPr>
        <w:t>ECE/ENERGY/GE.5/2022/4</w:t>
      </w:r>
      <w:r>
        <w:rPr>
          <w:rStyle w:val="normaltextrun"/>
          <w:color w:val="000000"/>
          <w:shd w:val="clear" w:color="auto" w:fill="FFFFFF"/>
        </w:rPr>
        <w:t xml:space="preserve"> </w:t>
      </w:r>
      <w:r w:rsidRPr="0056572A">
        <w:t>–</w:t>
      </w:r>
      <w:r>
        <w:rPr>
          <w:rStyle w:val="normaltextrun"/>
          <w:color w:val="000000"/>
          <w:shd w:val="clear" w:color="auto" w:fill="FFFFFF"/>
        </w:rPr>
        <w:t xml:space="preserve"> </w:t>
      </w:r>
      <w:r w:rsidRPr="00F22F64">
        <w:rPr>
          <w:rStyle w:val="normaltextrun"/>
          <w:color w:val="000000"/>
          <w:shd w:val="clear" w:color="auto" w:fill="FFFFFF"/>
        </w:rPr>
        <w:t>Digitalization: Accelerating the Electricity System Transformation. Joint Paper by the Task Force on Digitalization in Energy of the Group of Experts on Energy Efficiency and the Group of Experts on Cleaner Electricity Systems</w:t>
      </w:r>
      <w:r w:rsidRPr="00973C11">
        <w:rPr>
          <w:color w:val="000000" w:themeColor="text1"/>
        </w:rPr>
        <w:t xml:space="preserve"> </w:t>
      </w:r>
    </w:p>
    <w:p w14:paraId="03FAD9CF" w14:textId="5EE42651" w:rsidR="00D3443C" w:rsidRDefault="00A60CD8" w:rsidP="00D3443C">
      <w:pPr>
        <w:pStyle w:val="SingleTxtG"/>
      </w:pPr>
      <w:r>
        <w:rPr>
          <w:color w:val="000000" w:themeColor="text1"/>
        </w:rPr>
        <w:t>20</w:t>
      </w:r>
      <w:r w:rsidR="00EF77AA" w:rsidRPr="00973C11">
        <w:rPr>
          <w:color w:val="000000" w:themeColor="text1"/>
        </w:rPr>
        <w:t>.</w:t>
      </w:r>
      <w:r w:rsidR="00D3443C">
        <w:rPr>
          <w:color w:val="000000" w:themeColor="text1"/>
        </w:rPr>
        <w:tab/>
      </w:r>
      <w:r w:rsidR="00D3443C">
        <w:t>D</w:t>
      </w:r>
      <w:r w:rsidR="00D3443C" w:rsidRPr="00572CCD">
        <w:t xml:space="preserve">igital solutions enable advances in connectivity, data, and analytics, </w:t>
      </w:r>
      <w:r w:rsidR="00D3443C">
        <w:t>and offer the</w:t>
      </w:r>
      <w:r w:rsidR="00D3443C" w:rsidRPr="00572CCD">
        <w:t xml:space="preserve"> potential to </w:t>
      </w:r>
      <w:r w:rsidR="00D3443C">
        <w:t>accelerate implementation of the 2030 Agenda</w:t>
      </w:r>
      <w:r w:rsidR="00D3443C" w:rsidRPr="00572CCD">
        <w:t xml:space="preserve">. </w:t>
      </w:r>
      <w:r w:rsidR="00D3443C" w:rsidRPr="00F3034D">
        <w:rPr>
          <w:lang w:val="en-US"/>
        </w:rPr>
        <w:t xml:space="preserve">Digital technologies, as </w:t>
      </w:r>
      <w:r w:rsidR="00D3443C">
        <w:rPr>
          <w:lang w:val="en-US"/>
        </w:rPr>
        <w:t xml:space="preserve">a </w:t>
      </w:r>
      <w:r w:rsidR="00D3443C" w:rsidRPr="00F3034D">
        <w:rPr>
          <w:lang w:val="en-US"/>
        </w:rPr>
        <w:t xml:space="preserve">means to </w:t>
      </w:r>
      <w:r w:rsidR="00D3443C">
        <w:rPr>
          <w:lang w:val="en-US"/>
        </w:rPr>
        <w:t>coordinate</w:t>
      </w:r>
      <w:r w:rsidR="00D3443C" w:rsidRPr="00F3034D">
        <w:rPr>
          <w:lang w:val="en-US"/>
        </w:rPr>
        <w:t xml:space="preserve">, analyze, and interpret increasing quantities of energy system data, </w:t>
      </w:r>
      <w:r w:rsidR="00D3443C">
        <w:rPr>
          <w:lang w:val="en-US"/>
        </w:rPr>
        <w:t>user preferences, and system requirements</w:t>
      </w:r>
      <w:r w:rsidR="00D3443C" w:rsidRPr="00F3034D">
        <w:rPr>
          <w:lang w:val="en-US"/>
        </w:rPr>
        <w:t xml:space="preserve">, </w:t>
      </w:r>
      <w:r w:rsidR="00D3443C">
        <w:rPr>
          <w:lang w:val="en-US"/>
        </w:rPr>
        <w:t xml:space="preserve">may </w:t>
      </w:r>
      <w:r w:rsidR="00D3443C" w:rsidRPr="00F3034D">
        <w:rPr>
          <w:lang w:val="en-US"/>
        </w:rPr>
        <w:t>facilitate the complex system-level optimization of a decentralized energy sector</w:t>
      </w:r>
      <w:r w:rsidR="00D3443C">
        <w:rPr>
          <w:lang w:val="en-US"/>
        </w:rPr>
        <w:t xml:space="preserve">. They </w:t>
      </w:r>
      <w:r w:rsidR="00D3443C">
        <w:t>will be at the core of multi-sector electrification</w:t>
      </w:r>
      <w:r w:rsidR="00D3443C" w:rsidRPr="009B2503">
        <w:t xml:space="preserve"> as </w:t>
      </w:r>
      <w:r w:rsidR="00D3443C">
        <w:t xml:space="preserve">the </w:t>
      </w:r>
      <w:r w:rsidR="00D3443C">
        <w:lastRenderedPageBreak/>
        <w:t>world</w:t>
      </w:r>
      <w:r w:rsidR="00D3443C" w:rsidRPr="009B2503">
        <w:t xml:space="preserve"> move</w:t>
      </w:r>
      <w:r w:rsidR="00D3443C">
        <w:t>s</w:t>
      </w:r>
      <w:r w:rsidR="00D3443C" w:rsidRPr="009B2503">
        <w:t xml:space="preserve"> towards </w:t>
      </w:r>
      <w:r w:rsidR="00D3443C">
        <w:t>electrification of the transport and buildings sectors</w:t>
      </w:r>
      <w:r w:rsidR="00D3443C" w:rsidRPr="009B2503">
        <w:t>, grid edge technology solutions, electrification of industrial processes, etc.</w:t>
      </w:r>
      <w:r w:rsidR="00D3443C">
        <w:t xml:space="preserve">  </w:t>
      </w:r>
    </w:p>
    <w:p w14:paraId="2DE09D7A" w14:textId="17C5E67A" w:rsidR="00DE2015" w:rsidRPr="00D3443C" w:rsidRDefault="00A60CD8" w:rsidP="00D3443C">
      <w:pPr>
        <w:pStyle w:val="SingleTxtG"/>
      </w:pPr>
      <w:r>
        <w:t>21</w:t>
      </w:r>
      <w:r w:rsidR="5C260D8F">
        <w:t>.</w:t>
      </w:r>
      <w:r w:rsidR="00D3443C">
        <w:tab/>
      </w:r>
      <w:r w:rsidR="5C260D8F">
        <w:t xml:space="preserve">The Group of Experts on Energy Efficiency and the Group of Experts on Cleaner Electricity Systems joined forces under the Task Force on Digitalization in Energy </w:t>
      </w:r>
      <w:r w:rsidR="00312997">
        <w:t xml:space="preserve">of the Group of Experts on Energy Efficiency </w:t>
      </w:r>
      <w:r w:rsidR="5C260D8F">
        <w:t>to explore the opportunities and side effects of digitalizing electricity systems, with a focus on increased system efficiency, innovative business models, and effective policymaking. The session discussed the opportunities and benefits of digitalizing</w:t>
      </w:r>
      <w:r w:rsidR="5C260D8F" w:rsidRPr="378B0C83">
        <w:rPr>
          <w:lang w:val="en-US"/>
        </w:rPr>
        <w:t xml:space="preserve"> electricity systems</w:t>
      </w:r>
      <w:r w:rsidR="5C260D8F">
        <w:t>, map</w:t>
      </w:r>
      <w:r w:rsidR="23714005">
        <w:t>ped</w:t>
      </w:r>
      <w:r w:rsidR="5C260D8F">
        <w:t xml:space="preserve"> </w:t>
      </w:r>
      <w:r w:rsidR="0EDD50DB">
        <w:t xml:space="preserve">the </w:t>
      </w:r>
      <w:r w:rsidR="5C260D8F">
        <w:t>stakeholders involved, and outline</w:t>
      </w:r>
      <w:r w:rsidR="63493819">
        <w:t>d</w:t>
      </w:r>
      <w:r w:rsidR="5C260D8F">
        <w:t xml:space="preserve"> challenges for consideration by </w:t>
      </w:r>
      <w:r w:rsidR="1F1F544A">
        <w:t xml:space="preserve">the </w:t>
      </w:r>
      <w:r w:rsidR="5C260D8F">
        <w:t xml:space="preserve">public authorities, private sector actors, and customers. It also </w:t>
      </w:r>
      <w:r w:rsidR="2E942E4D">
        <w:t>offered</w:t>
      </w:r>
      <w:r w:rsidR="5C260D8F">
        <w:t xml:space="preserve"> recommendations on policies </w:t>
      </w:r>
      <w:r w:rsidR="66CD6B96">
        <w:t>for</w:t>
      </w:r>
      <w:r w:rsidR="5C260D8F">
        <w:t xml:space="preserve"> accelerat</w:t>
      </w:r>
      <w:r w:rsidR="07AFDFE0">
        <w:t>ing</w:t>
      </w:r>
      <w:r w:rsidR="5C260D8F">
        <w:t xml:space="preserve"> transformation of the electricity system through digitalization, </w:t>
      </w:r>
      <w:r w:rsidR="512B365B">
        <w:t>indicating that they should a</w:t>
      </w:r>
      <w:r w:rsidR="2D4E3987">
        <w:t xml:space="preserve">im </w:t>
      </w:r>
      <w:r w:rsidR="5C260D8F">
        <w:t xml:space="preserve">to achieve higher levels of efficiency while ensuring security and sustainability of the system.  </w:t>
      </w:r>
    </w:p>
    <w:p w14:paraId="3A9725BE" w14:textId="5E1A98B0" w:rsidR="00C87D4C" w:rsidRPr="00973C11" w:rsidRDefault="00C87D4C" w:rsidP="00C87D4C">
      <w:pPr>
        <w:pStyle w:val="SingleTxtG"/>
        <w:rPr>
          <w:color w:val="000000" w:themeColor="text1"/>
        </w:rPr>
      </w:pPr>
      <w:r w:rsidRPr="00973C11">
        <w:rPr>
          <w:color w:val="000000" w:themeColor="text1"/>
        </w:rPr>
        <w:t>The Group of Experts:</w:t>
      </w:r>
    </w:p>
    <w:p w14:paraId="602CE2EE" w14:textId="20A19D21" w:rsidR="00353347" w:rsidRPr="00353347" w:rsidRDefault="5C0EE87C" w:rsidP="00353347">
      <w:pPr>
        <w:pStyle w:val="SingleTxtG"/>
        <w:ind w:firstLine="555"/>
        <w:rPr>
          <w:color w:val="000000" w:themeColor="text1"/>
        </w:rPr>
      </w:pPr>
      <w:r w:rsidRPr="378B0C83">
        <w:rPr>
          <w:color w:val="000000" w:themeColor="text1"/>
        </w:rPr>
        <w:t xml:space="preserve">(a) </w:t>
      </w:r>
      <w:r w:rsidR="00CC0D66">
        <w:tab/>
      </w:r>
      <w:r w:rsidR="5C260D8F" w:rsidRPr="378B0C83">
        <w:rPr>
          <w:color w:val="000000" w:themeColor="text1"/>
        </w:rPr>
        <w:t>E</w:t>
      </w:r>
      <w:r w:rsidR="64A00F5C" w:rsidRPr="378B0C83">
        <w:rPr>
          <w:color w:val="000000" w:themeColor="text1"/>
        </w:rPr>
        <w:t>xpressed appreciation for the close and fruitful collaboration with the Group of Experts on Energy Efficiency and its Task Force on Digitalization in Energy on advancing the digitalization of electricity systems</w:t>
      </w:r>
      <w:r w:rsidR="5B42D9D5" w:rsidRPr="378B0C83">
        <w:rPr>
          <w:color w:val="000000" w:themeColor="text1"/>
        </w:rPr>
        <w:t>,</w:t>
      </w:r>
      <w:r w:rsidR="64A00F5C" w:rsidRPr="378B0C83">
        <w:rPr>
          <w:color w:val="000000" w:themeColor="text1"/>
        </w:rPr>
        <w:t xml:space="preserve"> and took note of the document  “Digitalization: Accelerating the Electricity System Transformation. Joint Paper by the Task Force on Digitalization in Energy of the Group of Experts on Energy Efficiency and the Group of Experts on Cleaner Electricity Systems” (ECE/ENERGY/GE.6/2022/4, ECE/ENERGY/GE.5/2022/4).  </w:t>
      </w:r>
    </w:p>
    <w:p w14:paraId="350AAF29" w14:textId="25483512" w:rsidR="00353347" w:rsidRPr="00353347" w:rsidRDefault="5C260D8F" w:rsidP="00353347">
      <w:pPr>
        <w:pStyle w:val="SingleTxtG"/>
        <w:ind w:firstLine="555"/>
        <w:rPr>
          <w:color w:val="000000" w:themeColor="text1"/>
        </w:rPr>
      </w:pPr>
      <w:r w:rsidRPr="378B0C83">
        <w:rPr>
          <w:color w:val="000000" w:themeColor="text1"/>
        </w:rPr>
        <w:t>(b)</w:t>
      </w:r>
      <w:r w:rsidR="00D3443C">
        <w:tab/>
      </w:r>
      <w:r w:rsidRPr="378B0C83">
        <w:rPr>
          <w:color w:val="000000" w:themeColor="text1"/>
        </w:rPr>
        <w:t>N</w:t>
      </w:r>
      <w:r w:rsidR="64A00F5C" w:rsidRPr="378B0C83">
        <w:rPr>
          <w:color w:val="000000" w:themeColor="text1"/>
        </w:rPr>
        <w:t>oted the discussions during the round table on digitalizing electricity systems on the opportunities and challenges of digitalizing electricity systems, with a focus on effective policymaking to increase energy system efficiency. The Group of Experts concluded that digitalization is making energy systems more connected, efficient, reliable</w:t>
      </w:r>
      <w:r w:rsidR="1AB3CDAE" w:rsidRPr="378B0C83">
        <w:rPr>
          <w:color w:val="000000" w:themeColor="text1"/>
        </w:rPr>
        <w:t>,</w:t>
      </w:r>
      <w:r w:rsidR="64A00F5C" w:rsidRPr="378B0C83">
        <w:rPr>
          <w:color w:val="000000" w:themeColor="text1"/>
        </w:rPr>
        <w:t xml:space="preserve"> and sustainable, and that the electricity sector </w:t>
      </w:r>
      <w:r w:rsidR="6D39137E" w:rsidRPr="378B0C83">
        <w:rPr>
          <w:color w:val="000000" w:themeColor="text1"/>
        </w:rPr>
        <w:t>being</w:t>
      </w:r>
      <w:r w:rsidR="64A00F5C" w:rsidRPr="378B0C83">
        <w:rPr>
          <w:color w:val="000000" w:themeColor="text1"/>
        </w:rPr>
        <w:t xml:space="preserve"> an early adopter of digital technologies </w:t>
      </w:r>
      <w:r w:rsidR="69A5D14B" w:rsidRPr="378B0C83">
        <w:rPr>
          <w:color w:val="000000" w:themeColor="text1"/>
        </w:rPr>
        <w:t xml:space="preserve">has a </w:t>
      </w:r>
      <w:r w:rsidR="1DDFFC53" w:rsidRPr="378B0C83">
        <w:rPr>
          <w:color w:val="000000" w:themeColor="text1"/>
        </w:rPr>
        <w:t xml:space="preserve">great </w:t>
      </w:r>
      <w:r w:rsidR="69A5D14B" w:rsidRPr="378B0C83">
        <w:rPr>
          <w:color w:val="000000" w:themeColor="text1"/>
        </w:rPr>
        <w:t xml:space="preserve">potential </w:t>
      </w:r>
      <w:r w:rsidR="5958B2DF" w:rsidRPr="378B0C83">
        <w:rPr>
          <w:color w:val="000000" w:themeColor="text1"/>
        </w:rPr>
        <w:t>to</w:t>
      </w:r>
      <w:r w:rsidR="64A00F5C" w:rsidRPr="378B0C83">
        <w:rPr>
          <w:color w:val="000000" w:themeColor="text1"/>
        </w:rPr>
        <w:t xml:space="preserve"> contribute to energy system resiliency by applying a portfolio of available digital solutions. </w:t>
      </w:r>
    </w:p>
    <w:p w14:paraId="75EE848B" w14:textId="4C886044" w:rsidR="00353347" w:rsidRPr="00353347" w:rsidRDefault="5ED8E670" w:rsidP="00353347">
      <w:pPr>
        <w:pStyle w:val="SingleTxtG"/>
        <w:ind w:firstLine="555"/>
        <w:rPr>
          <w:color w:val="000000" w:themeColor="text1"/>
        </w:rPr>
      </w:pPr>
      <w:r w:rsidRPr="378B0C83">
        <w:rPr>
          <w:color w:val="000000" w:themeColor="text1"/>
        </w:rPr>
        <w:t>(c)</w:t>
      </w:r>
      <w:r w:rsidR="008A4F6C">
        <w:tab/>
      </w:r>
      <w:r w:rsidRPr="378B0C83">
        <w:rPr>
          <w:color w:val="000000" w:themeColor="text1"/>
        </w:rPr>
        <w:t>D</w:t>
      </w:r>
      <w:r w:rsidR="64A00F5C" w:rsidRPr="378B0C83">
        <w:rPr>
          <w:color w:val="000000" w:themeColor="text1"/>
        </w:rPr>
        <w:t>iscussed opportunities and challenges for cybersecurity and privacy and concluded that collaboration between governments, energy sector companies, international organizations, civil society</w:t>
      </w:r>
      <w:r w:rsidR="143A4FF8" w:rsidRPr="378B0C83">
        <w:rPr>
          <w:color w:val="000000" w:themeColor="text1"/>
        </w:rPr>
        <w:t>,</w:t>
      </w:r>
      <w:r w:rsidR="64A00F5C" w:rsidRPr="378B0C83">
        <w:rPr>
          <w:color w:val="000000" w:themeColor="text1"/>
        </w:rPr>
        <w:t xml:space="preserve"> and academia is essential. The Group of Experts noted the work of the Task Force on Digitalization in Energy, namely the documents on “Digitalization: enabling the new phase of energy efficiency” (GEEE-7/2020/INF.3) and “Policy discussion – Challenges of big data and analytics-driven demand-side management” (GEEE-9/2022/INF.3). </w:t>
      </w:r>
    </w:p>
    <w:p w14:paraId="5A5FC1BB" w14:textId="3F69033E" w:rsidR="00353347" w:rsidRPr="00353347" w:rsidRDefault="5ED8E670" w:rsidP="00353347">
      <w:pPr>
        <w:pStyle w:val="SingleTxtG"/>
        <w:ind w:firstLine="555"/>
        <w:rPr>
          <w:color w:val="000000" w:themeColor="text1"/>
        </w:rPr>
      </w:pPr>
      <w:r w:rsidRPr="378B0C83">
        <w:rPr>
          <w:color w:val="000000" w:themeColor="text1"/>
        </w:rPr>
        <w:t>(d)</w:t>
      </w:r>
      <w:r w:rsidR="008A4F6C">
        <w:tab/>
      </w:r>
      <w:r w:rsidRPr="378B0C83">
        <w:rPr>
          <w:color w:val="000000" w:themeColor="text1"/>
        </w:rPr>
        <w:t>E</w:t>
      </w:r>
      <w:r w:rsidR="64A00F5C" w:rsidRPr="378B0C83">
        <w:rPr>
          <w:color w:val="000000" w:themeColor="text1"/>
        </w:rPr>
        <w:t xml:space="preserve">ncouraged continued cooperation with the Task Force on Digitalization in Energy and the Group of Experts on Energy Efficiency and proposed to join forces in conducting research on funding models for the areas in greatest need of attention, such as: big data technology advancement (e.g., natural language processing, digital twin modelling, demand/load forecasting, optimized machine learning, progression of artificial intelligence capabilities), grid resiliency, </w:t>
      </w:r>
      <w:r w:rsidR="5A3F936B" w:rsidRPr="378B0C83">
        <w:rPr>
          <w:color w:val="000000" w:themeColor="text1"/>
        </w:rPr>
        <w:t xml:space="preserve">and </w:t>
      </w:r>
      <w:r w:rsidR="64A00F5C" w:rsidRPr="378B0C83">
        <w:rPr>
          <w:color w:val="000000" w:themeColor="text1"/>
        </w:rPr>
        <w:t>infrastructure investment, particularly as it relates to data access, storage, management, and real-time analytics.</w:t>
      </w:r>
    </w:p>
    <w:p w14:paraId="08B28FB4" w14:textId="5E28C9C8" w:rsidR="00353347" w:rsidRDefault="5ED8E670" w:rsidP="008A4F6C">
      <w:pPr>
        <w:pStyle w:val="SingleTxtG"/>
        <w:ind w:firstLine="555"/>
        <w:rPr>
          <w:color w:val="000000" w:themeColor="text1"/>
        </w:rPr>
      </w:pPr>
      <w:r w:rsidRPr="378B0C83">
        <w:rPr>
          <w:color w:val="000000" w:themeColor="text1"/>
        </w:rPr>
        <w:t>(e)</w:t>
      </w:r>
      <w:r w:rsidR="008A4F6C">
        <w:tab/>
      </w:r>
      <w:r w:rsidRPr="378B0C83">
        <w:rPr>
          <w:color w:val="000000" w:themeColor="text1"/>
        </w:rPr>
        <w:t>A</w:t>
      </w:r>
      <w:r w:rsidR="64A00F5C" w:rsidRPr="378B0C83">
        <w:rPr>
          <w:color w:val="000000" w:themeColor="text1"/>
        </w:rPr>
        <w:t>greed, in line with its mandate, to initiate in</w:t>
      </w:r>
      <w:r w:rsidR="77B2B913" w:rsidRPr="378B0C83">
        <w:rPr>
          <w:color w:val="000000" w:themeColor="text1"/>
        </w:rPr>
        <w:t>-</w:t>
      </w:r>
      <w:r w:rsidR="64A00F5C" w:rsidRPr="378B0C83">
        <w:rPr>
          <w:color w:val="000000" w:themeColor="text1"/>
        </w:rPr>
        <w:t>depth work on electricity system resilience and the importance of transmission and distribution grid modernization and digitalization to mitigate the impacts of climate change and adapt to the changing climate. The Group of Experts agreed to also look to identify more large-scale opportunities for load shaping enhancing digitalization.</w:t>
      </w:r>
    </w:p>
    <w:p w14:paraId="4FFF284D" w14:textId="768233AE" w:rsidR="00FF1A31" w:rsidRDefault="001E4322" w:rsidP="008A4F6C">
      <w:pPr>
        <w:pStyle w:val="H1G"/>
      </w:pPr>
      <w:r>
        <w:rPr>
          <w:sz w:val="28"/>
        </w:rPr>
        <w:t>X</w:t>
      </w:r>
      <w:r w:rsidR="008A4F6C" w:rsidRPr="008A4F6C">
        <w:rPr>
          <w:sz w:val="28"/>
        </w:rPr>
        <w:t>.</w:t>
      </w:r>
      <w:r w:rsidR="008A4F6C" w:rsidRPr="008A4F6C">
        <w:rPr>
          <w:sz w:val="28"/>
        </w:rPr>
        <w:tab/>
      </w:r>
      <w:r w:rsidR="008A4F6C">
        <w:rPr>
          <w:sz w:val="28"/>
        </w:rPr>
        <w:tab/>
      </w:r>
      <w:r w:rsidR="008A4F6C" w:rsidRPr="008A4F6C">
        <w:rPr>
          <w:sz w:val="28"/>
        </w:rPr>
        <w:t>Update on work plan 2022-2023 implementation</w:t>
      </w:r>
    </w:p>
    <w:p w14:paraId="0AB9FEC6" w14:textId="38AEF7FD" w:rsidR="00FF1A31" w:rsidRPr="00973C11" w:rsidRDefault="00FF1A31" w:rsidP="00FF1A31">
      <w:pPr>
        <w:pStyle w:val="SingleTxtG"/>
        <w:rPr>
          <w:color w:val="000000" w:themeColor="text1"/>
        </w:rPr>
      </w:pPr>
      <w:r w:rsidRPr="007007F3">
        <w:rPr>
          <w:i/>
        </w:rPr>
        <w:t>Documentation:</w:t>
      </w:r>
      <w:r w:rsidRPr="007007F3">
        <w:tab/>
      </w:r>
      <w:r w:rsidRPr="0004161C">
        <w:t>ECE/ENERGY/20</w:t>
      </w:r>
      <w:r>
        <w:t>21</w:t>
      </w:r>
      <w:r w:rsidRPr="0004161C">
        <w:t>/</w:t>
      </w:r>
      <w:r w:rsidR="00B026AC">
        <w:t>8</w:t>
      </w:r>
      <w:r>
        <w:t xml:space="preserve"> </w:t>
      </w:r>
      <w:r w:rsidRPr="00662457">
        <w:t>–</w:t>
      </w:r>
      <w:r>
        <w:t xml:space="preserve"> </w:t>
      </w:r>
      <w:r w:rsidRPr="00E33366">
        <w:t xml:space="preserve">Work Plan of the Group of Experts on </w:t>
      </w:r>
      <w:r w:rsidR="00B026AC">
        <w:t xml:space="preserve">Cleaner </w:t>
      </w:r>
      <w:r w:rsidR="00B026AC" w:rsidRPr="00973C11">
        <w:rPr>
          <w:color w:val="000000" w:themeColor="text1"/>
        </w:rPr>
        <w:t>Electricity Systems</w:t>
      </w:r>
      <w:r w:rsidRPr="00973C11">
        <w:rPr>
          <w:color w:val="000000" w:themeColor="text1"/>
        </w:rPr>
        <w:t xml:space="preserve"> for 2022-2023.</w:t>
      </w:r>
    </w:p>
    <w:p w14:paraId="34CD094D" w14:textId="6B19CBCA" w:rsidR="00D06690" w:rsidRPr="00973C11" w:rsidRDefault="00A60CD8" w:rsidP="00D06690">
      <w:pPr>
        <w:pStyle w:val="SingleTxtG"/>
        <w:rPr>
          <w:color w:val="000000" w:themeColor="text1"/>
        </w:rPr>
      </w:pPr>
      <w:r>
        <w:rPr>
          <w:color w:val="000000" w:themeColor="text1"/>
        </w:rPr>
        <w:lastRenderedPageBreak/>
        <w:t>22</w:t>
      </w:r>
      <w:r w:rsidR="3C3A0287" w:rsidRPr="378B0C83">
        <w:rPr>
          <w:color w:val="000000" w:themeColor="text1"/>
        </w:rPr>
        <w:t>.</w:t>
      </w:r>
      <w:r w:rsidR="00D06690">
        <w:tab/>
      </w:r>
      <w:r w:rsidR="3C3A0287" w:rsidRPr="378B0C83">
        <w:rPr>
          <w:color w:val="000000" w:themeColor="text1"/>
        </w:rPr>
        <w:t xml:space="preserve">The Chair provided an update on </w:t>
      </w:r>
      <w:r w:rsidR="3F4DDA0D" w:rsidRPr="378B0C83">
        <w:rPr>
          <w:color w:val="000000" w:themeColor="text1"/>
        </w:rPr>
        <w:t xml:space="preserve">the progress in </w:t>
      </w:r>
      <w:r w:rsidR="3C3A0287" w:rsidRPr="378B0C83">
        <w:rPr>
          <w:color w:val="000000" w:themeColor="text1"/>
        </w:rPr>
        <w:t xml:space="preserve">implementation of </w:t>
      </w:r>
      <w:r w:rsidR="7F6D0B3E" w:rsidRPr="378B0C83">
        <w:rPr>
          <w:color w:val="000000" w:themeColor="text1"/>
        </w:rPr>
        <w:t>the</w:t>
      </w:r>
      <w:r w:rsidR="58C654B5" w:rsidRPr="378B0C83">
        <w:rPr>
          <w:color w:val="000000" w:themeColor="text1"/>
        </w:rPr>
        <w:t xml:space="preserve"> </w:t>
      </w:r>
      <w:r w:rsidR="5ED8E670" w:rsidRPr="378B0C83">
        <w:rPr>
          <w:color w:val="000000" w:themeColor="text1"/>
        </w:rPr>
        <w:t>w</w:t>
      </w:r>
      <w:r w:rsidR="55EB74F6" w:rsidRPr="378B0C83">
        <w:rPr>
          <w:color w:val="000000" w:themeColor="text1"/>
        </w:rPr>
        <w:t xml:space="preserve">ork </w:t>
      </w:r>
      <w:r w:rsidR="5ED8E670" w:rsidRPr="378B0C83">
        <w:rPr>
          <w:color w:val="000000" w:themeColor="text1"/>
        </w:rPr>
        <w:t>p</w:t>
      </w:r>
      <w:r w:rsidR="55EB74F6" w:rsidRPr="378B0C83">
        <w:rPr>
          <w:color w:val="000000" w:themeColor="text1"/>
        </w:rPr>
        <w:t xml:space="preserve">lan </w:t>
      </w:r>
      <w:r w:rsidR="6BEDF08F" w:rsidRPr="378B0C83">
        <w:rPr>
          <w:color w:val="000000" w:themeColor="text1"/>
        </w:rPr>
        <w:t xml:space="preserve">for </w:t>
      </w:r>
      <w:r w:rsidR="55EB74F6" w:rsidRPr="378B0C83">
        <w:rPr>
          <w:color w:val="000000" w:themeColor="text1"/>
        </w:rPr>
        <w:t xml:space="preserve">2022-2023. The main </w:t>
      </w:r>
      <w:r w:rsidR="30753A03" w:rsidRPr="378B0C83">
        <w:rPr>
          <w:color w:val="000000" w:themeColor="text1"/>
        </w:rPr>
        <w:t>thematic areas</w:t>
      </w:r>
      <w:r w:rsidR="55EB74F6" w:rsidRPr="378B0C83">
        <w:rPr>
          <w:color w:val="000000" w:themeColor="text1"/>
        </w:rPr>
        <w:t xml:space="preserve"> that form the basis for the Group of Experts</w:t>
      </w:r>
      <w:r w:rsidR="3A7AE7E9" w:rsidRPr="378B0C83">
        <w:rPr>
          <w:color w:val="000000" w:themeColor="text1"/>
        </w:rPr>
        <w:t>’</w:t>
      </w:r>
      <w:r w:rsidR="55EB74F6" w:rsidRPr="378B0C83">
        <w:rPr>
          <w:color w:val="000000" w:themeColor="text1"/>
        </w:rPr>
        <w:t xml:space="preserve"> </w:t>
      </w:r>
      <w:r w:rsidR="7775CF69" w:rsidRPr="378B0C83">
        <w:rPr>
          <w:color w:val="000000" w:themeColor="text1"/>
        </w:rPr>
        <w:t xml:space="preserve">work in the </w:t>
      </w:r>
      <w:r w:rsidR="4F0335C3" w:rsidRPr="378B0C83">
        <w:rPr>
          <w:color w:val="000000" w:themeColor="text1"/>
        </w:rPr>
        <w:t xml:space="preserve">2022-2023 </w:t>
      </w:r>
      <w:r w:rsidR="7775CF69" w:rsidRPr="378B0C83">
        <w:rPr>
          <w:color w:val="000000" w:themeColor="text1"/>
        </w:rPr>
        <w:t>period</w:t>
      </w:r>
      <w:r w:rsidR="00D06690" w:rsidRPr="378B0C83" w:rsidDel="7775CF69">
        <w:rPr>
          <w:color w:val="000000" w:themeColor="text1"/>
        </w:rPr>
        <w:t xml:space="preserve"> </w:t>
      </w:r>
      <w:r w:rsidR="7D4C4FB2" w:rsidRPr="378B0C83">
        <w:rPr>
          <w:color w:val="000000" w:themeColor="text1"/>
        </w:rPr>
        <w:t xml:space="preserve">include: </w:t>
      </w:r>
      <w:r w:rsidR="0038650A">
        <w:rPr>
          <w:color w:val="000000" w:themeColor="text1"/>
        </w:rPr>
        <w:t>(</w:t>
      </w:r>
      <w:r w:rsidR="7D4C4FB2" w:rsidRPr="378B0C83">
        <w:rPr>
          <w:color w:val="000000" w:themeColor="text1"/>
        </w:rPr>
        <w:t xml:space="preserve">a) electricity as a driver for achieving deep transformation of the energy system, </w:t>
      </w:r>
      <w:r w:rsidR="0038650A">
        <w:rPr>
          <w:color w:val="000000" w:themeColor="text1"/>
        </w:rPr>
        <w:t>(</w:t>
      </w:r>
      <w:r w:rsidR="7D4C4FB2" w:rsidRPr="378B0C83">
        <w:rPr>
          <w:color w:val="000000" w:themeColor="text1"/>
        </w:rPr>
        <w:t xml:space="preserve">b) technology interplay under a carbon neutral energy system, </w:t>
      </w:r>
      <w:r w:rsidR="00E369AF">
        <w:rPr>
          <w:color w:val="000000" w:themeColor="text1"/>
        </w:rPr>
        <w:br/>
      </w:r>
      <w:r w:rsidR="0038650A">
        <w:rPr>
          <w:color w:val="000000" w:themeColor="text1"/>
        </w:rPr>
        <w:t>(</w:t>
      </w:r>
      <w:r w:rsidR="7D4C4FB2" w:rsidRPr="378B0C83">
        <w:rPr>
          <w:color w:val="000000" w:themeColor="text1"/>
        </w:rPr>
        <w:t xml:space="preserve">c) modernization and decarbonization of electric power systems in ECE subregions, </w:t>
      </w:r>
      <w:r w:rsidR="037EB1F6" w:rsidRPr="378B0C83">
        <w:rPr>
          <w:color w:val="000000" w:themeColor="text1"/>
        </w:rPr>
        <w:t xml:space="preserve">and </w:t>
      </w:r>
      <w:r w:rsidR="00E369AF">
        <w:rPr>
          <w:color w:val="000000" w:themeColor="text1"/>
        </w:rPr>
        <w:br/>
      </w:r>
      <w:r w:rsidR="0038650A">
        <w:rPr>
          <w:color w:val="000000" w:themeColor="text1"/>
        </w:rPr>
        <w:t>(</w:t>
      </w:r>
      <w:r w:rsidR="7D4C4FB2" w:rsidRPr="378B0C83">
        <w:rPr>
          <w:color w:val="000000" w:themeColor="text1"/>
        </w:rPr>
        <w:t>d) digitalizing electricity systems.</w:t>
      </w:r>
    </w:p>
    <w:p w14:paraId="43A4372B" w14:textId="5A5456AB" w:rsidR="00D7319E" w:rsidRPr="00973C11" w:rsidRDefault="00D7319E" w:rsidP="00D7319E">
      <w:pPr>
        <w:pStyle w:val="SingleTxtG"/>
        <w:rPr>
          <w:color w:val="000000" w:themeColor="text1"/>
          <w:lang w:val="en-US"/>
        </w:rPr>
      </w:pPr>
      <w:r w:rsidRPr="00973C11">
        <w:rPr>
          <w:color w:val="000000" w:themeColor="text1"/>
        </w:rPr>
        <w:t xml:space="preserve">The Group of Experts: </w:t>
      </w:r>
    </w:p>
    <w:p w14:paraId="67DE2E77" w14:textId="5D2A3928" w:rsidR="00840AFD" w:rsidRPr="00973C11" w:rsidRDefault="00462FE2" w:rsidP="00FF1A31">
      <w:pPr>
        <w:pStyle w:val="SingleTxtG"/>
        <w:rPr>
          <w:color w:val="000000" w:themeColor="text1"/>
        </w:rPr>
      </w:pPr>
      <w:r w:rsidRPr="00973C11">
        <w:rPr>
          <w:color w:val="000000" w:themeColor="text1"/>
        </w:rPr>
        <w:tab/>
      </w:r>
      <w:r w:rsidRPr="00973C11">
        <w:rPr>
          <w:color w:val="000000" w:themeColor="text1"/>
        </w:rPr>
        <w:tab/>
      </w:r>
      <w:r w:rsidR="7D4C4FB2" w:rsidRPr="00973C11">
        <w:rPr>
          <w:color w:val="000000" w:themeColor="text1"/>
        </w:rPr>
        <w:t>(a)</w:t>
      </w:r>
      <w:r w:rsidR="00840AFD" w:rsidRPr="00973C11">
        <w:rPr>
          <w:color w:val="000000" w:themeColor="text1"/>
        </w:rPr>
        <w:tab/>
      </w:r>
      <w:r w:rsidR="5707ADD9" w:rsidRPr="00973C11">
        <w:rPr>
          <w:color w:val="000000" w:themeColor="text1"/>
        </w:rPr>
        <w:t xml:space="preserve">Noted </w:t>
      </w:r>
      <w:r w:rsidR="5ED8E670">
        <w:rPr>
          <w:color w:val="000000" w:themeColor="text1"/>
        </w:rPr>
        <w:t xml:space="preserve">with appreciation the progress </w:t>
      </w:r>
      <w:r w:rsidR="00A17E2A">
        <w:rPr>
          <w:color w:val="000000" w:themeColor="text1"/>
        </w:rPr>
        <w:t>made to</w:t>
      </w:r>
      <w:r w:rsidR="5ED8E670">
        <w:rPr>
          <w:color w:val="000000" w:themeColor="text1"/>
        </w:rPr>
        <w:t xml:space="preserve"> implement the work plan </w:t>
      </w:r>
      <w:r w:rsidR="3BC0BB2A">
        <w:rPr>
          <w:color w:val="000000" w:themeColor="text1"/>
        </w:rPr>
        <w:t xml:space="preserve">for </w:t>
      </w:r>
      <w:r w:rsidR="5ED8E670">
        <w:rPr>
          <w:color w:val="000000" w:themeColor="text1"/>
        </w:rPr>
        <w:t>2022-2023</w:t>
      </w:r>
      <w:r w:rsidR="5707ADD9" w:rsidRPr="00973C11">
        <w:rPr>
          <w:color w:val="000000" w:themeColor="text1"/>
        </w:rPr>
        <w:t>.</w:t>
      </w:r>
    </w:p>
    <w:p w14:paraId="712B42EF" w14:textId="5147A80A" w:rsidR="004307A3" w:rsidRDefault="7D4C4FB2" w:rsidP="00462FE2">
      <w:pPr>
        <w:pStyle w:val="SingleTxtG"/>
        <w:ind w:firstLine="567"/>
      </w:pPr>
      <w:r>
        <w:t>(</w:t>
      </w:r>
      <w:r w:rsidR="5ED8E670">
        <w:t>b</w:t>
      </w:r>
      <w:r>
        <w:t>)</w:t>
      </w:r>
      <w:r w:rsidR="00462FE2">
        <w:tab/>
      </w:r>
      <w:r w:rsidR="2D3AD244">
        <w:t xml:space="preserve">Requested the </w:t>
      </w:r>
      <w:r w:rsidR="00007573">
        <w:t>Bureau,</w:t>
      </w:r>
      <w:r w:rsidR="2D3AD244">
        <w:t xml:space="preserve"> </w:t>
      </w:r>
      <w:r w:rsidR="007244FE">
        <w:t xml:space="preserve">in cooperation with the secretariat, </w:t>
      </w:r>
      <w:r w:rsidR="2D3AD244">
        <w:t>to</w:t>
      </w:r>
      <w:r w:rsidR="007244FE">
        <w:t xml:space="preserve"> oversee </w:t>
      </w:r>
      <w:r w:rsidR="2D3AD244">
        <w:t xml:space="preserve">implementation of the </w:t>
      </w:r>
      <w:r w:rsidR="5ED8E670">
        <w:t>w</w:t>
      </w:r>
      <w:r w:rsidR="2D3AD244">
        <w:t xml:space="preserve">ork </w:t>
      </w:r>
      <w:r w:rsidR="5ED8E670">
        <w:t>p</w:t>
      </w:r>
      <w:r w:rsidR="2D3AD244">
        <w:t xml:space="preserve">lan </w:t>
      </w:r>
      <w:r w:rsidR="73C3C634">
        <w:t xml:space="preserve">for </w:t>
      </w:r>
      <w:r w:rsidR="2D3AD244">
        <w:t>2022-2023</w:t>
      </w:r>
      <w:r w:rsidR="00462FE2" w:rsidDel="2D3AD244">
        <w:t xml:space="preserve"> </w:t>
      </w:r>
      <w:r w:rsidR="2D3AD244">
        <w:t xml:space="preserve">and explore </w:t>
      </w:r>
      <w:r w:rsidR="5C0D6FC8">
        <w:t xml:space="preserve">opportunities </w:t>
      </w:r>
      <w:r w:rsidR="0037039E">
        <w:t>to</w:t>
      </w:r>
      <w:r w:rsidR="5C0D6FC8">
        <w:t xml:space="preserve"> obtain extrabudgetary fund</w:t>
      </w:r>
      <w:r w:rsidR="52BA2D06">
        <w:t>s</w:t>
      </w:r>
      <w:r w:rsidR="2D3AD244">
        <w:t xml:space="preserve"> for specific projects, focused on activities related to </w:t>
      </w:r>
      <w:r w:rsidR="00925BB5">
        <w:t>(</w:t>
      </w:r>
      <w:r w:rsidR="2D3AD244">
        <w:t xml:space="preserve">a) electricity as a driver for achieving deep transformation of the energy system, </w:t>
      </w:r>
      <w:r w:rsidR="00925BB5">
        <w:t>(</w:t>
      </w:r>
      <w:r w:rsidR="2D3AD244">
        <w:t xml:space="preserve">b) technology interplay under a carbon neutral energy system, </w:t>
      </w:r>
      <w:r w:rsidR="00925BB5">
        <w:t>(</w:t>
      </w:r>
      <w:r w:rsidR="2D3AD244">
        <w:t xml:space="preserve">c) modernization and decarbonization of electric power systems in ECE subregions, </w:t>
      </w:r>
      <w:r w:rsidR="53720750">
        <w:t xml:space="preserve">and </w:t>
      </w:r>
      <w:r w:rsidR="00925BB5">
        <w:t>(</w:t>
      </w:r>
      <w:r w:rsidR="2D3AD244">
        <w:t>d) digitalizing electricity systems.</w:t>
      </w:r>
      <w:r w:rsidR="00462FE2">
        <w:tab/>
      </w:r>
    </w:p>
    <w:p w14:paraId="4B29C2A2" w14:textId="4D0D2AFA" w:rsidR="00A1795D" w:rsidRDefault="7D4C4FB2" w:rsidP="00462FE2">
      <w:pPr>
        <w:pStyle w:val="SingleTxtG"/>
        <w:ind w:firstLine="567"/>
      </w:pPr>
      <w:r>
        <w:t>(</w:t>
      </w:r>
      <w:r w:rsidR="5ED8E670">
        <w:t>c</w:t>
      </w:r>
      <w:r>
        <w:t>)</w:t>
      </w:r>
      <w:r w:rsidR="00462FE2">
        <w:tab/>
      </w:r>
      <w:r w:rsidR="54037C03">
        <w:t xml:space="preserve">Noted </w:t>
      </w:r>
      <w:r w:rsidR="0FB087F2">
        <w:t>the reques</w:t>
      </w:r>
      <w:r w:rsidR="3F9401B1">
        <w:t xml:space="preserve">t by the Committee </w:t>
      </w:r>
      <w:r w:rsidR="5705D2EF">
        <w:t xml:space="preserve">on Sustainable Energy </w:t>
      </w:r>
      <w:r w:rsidR="3F9401B1">
        <w:t xml:space="preserve">to </w:t>
      </w:r>
      <w:r w:rsidR="53A5F8D7">
        <w:t>explore the opportunities and barriers to reforming energy market design towards greater sustainability, including</w:t>
      </w:r>
      <w:r w:rsidR="6EB3673F">
        <w:t xml:space="preserve"> </w:t>
      </w:r>
      <w:r w:rsidR="1DA80CDE">
        <w:t>by</w:t>
      </w:r>
      <w:r w:rsidR="53A5F8D7">
        <w:t xml:space="preserve"> conduct</w:t>
      </w:r>
      <w:r w:rsidR="2E0D60F6">
        <w:t>ing</w:t>
      </w:r>
      <w:r w:rsidR="53A5F8D7">
        <w:t xml:space="preserve"> research on the full cycle of electricity systems in transportation, industry and building management</w:t>
      </w:r>
      <w:r w:rsidR="623AB7B3">
        <w:t xml:space="preserve">. The Group of Experts concluded that </w:t>
      </w:r>
      <w:r w:rsidR="62C41F5F">
        <w:t xml:space="preserve">it </w:t>
      </w:r>
      <w:r w:rsidR="00A814C5">
        <w:t>would</w:t>
      </w:r>
      <w:r w:rsidR="62C41F5F">
        <w:t xml:space="preserve"> consider looking closely in these activities in the next </w:t>
      </w:r>
      <w:r w:rsidR="00610049">
        <w:t xml:space="preserve">work </w:t>
      </w:r>
      <w:r w:rsidR="62C41F5F">
        <w:t>cycle</w:t>
      </w:r>
      <w:r w:rsidR="00F46074">
        <w:t xml:space="preserve"> subject to identification of extrabudgetary resources</w:t>
      </w:r>
      <w:r w:rsidR="62C41F5F">
        <w:t xml:space="preserve">. </w:t>
      </w:r>
    </w:p>
    <w:p w14:paraId="096BBD40" w14:textId="023C6A17" w:rsidR="00FF1A31" w:rsidRPr="003A54F7" w:rsidRDefault="00553141" w:rsidP="00007573">
      <w:pPr>
        <w:pStyle w:val="H1G"/>
        <w:rPr>
          <w:sz w:val="28"/>
        </w:rPr>
      </w:pPr>
      <w:r>
        <w:rPr>
          <w:sz w:val="28"/>
        </w:rPr>
        <w:tab/>
      </w:r>
      <w:r w:rsidR="003A54F7" w:rsidRPr="003A54F7">
        <w:rPr>
          <w:sz w:val="28"/>
        </w:rPr>
        <w:t>X</w:t>
      </w:r>
      <w:r w:rsidR="001E4322">
        <w:rPr>
          <w:sz w:val="28"/>
        </w:rPr>
        <w:t>I</w:t>
      </w:r>
      <w:r w:rsidR="00FF1A31" w:rsidRPr="003A54F7">
        <w:rPr>
          <w:sz w:val="28"/>
        </w:rPr>
        <w:t>.</w:t>
      </w:r>
      <w:r w:rsidR="00FF1A31" w:rsidRPr="003A54F7">
        <w:rPr>
          <w:sz w:val="28"/>
        </w:rPr>
        <w:tab/>
      </w:r>
      <w:r w:rsidR="00975E15" w:rsidRPr="00975E15">
        <w:rPr>
          <w:sz w:val="28"/>
        </w:rPr>
        <w:t>Preparations for the eighteenth session of the Group of Experts</w:t>
      </w:r>
    </w:p>
    <w:p w14:paraId="665DD629" w14:textId="72D8EC4D" w:rsidR="008A4F6C" w:rsidRDefault="00A60CD8" w:rsidP="008A4F6C">
      <w:pPr>
        <w:pStyle w:val="SingleTxtG"/>
        <w:rPr>
          <w:lang w:val="en-US"/>
        </w:rPr>
      </w:pPr>
      <w:r>
        <w:rPr>
          <w:lang w:val="en-US"/>
        </w:rPr>
        <w:t>23</w:t>
      </w:r>
      <w:r w:rsidR="00401160">
        <w:rPr>
          <w:lang w:val="en-US"/>
        </w:rPr>
        <w:t>.</w:t>
      </w:r>
      <w:r w:rsidR="00401160">
        <w:rPr>
          <w:lang w:val="en-US"/>
        </w:rPr>
        <w:tab/>
      </w:r>
      <w:r w:rsidR="00E47613" w:rsidRPr="00E47613">
        <w:rPr>
          <w:lang w:val="en-US"/>
        </w:rPr>
        <w:t xml:space="preserve">The eighteenth session of the Group of Experts will be held on </w:t>
      </w:r>
      <w:r w:rsidR="008A4F6C" w:rsidRPr="008A4F6C">
        <w:rPr>
          <w:lang w:val="en-US"/>
        </w:rPr>
        <w:t>held on 3-4 October 2023 in Geneva, unless the Group of Experts decides otherwise.</w:t>
      </w:r>
    </w:p>
    <w:p w14:paraId="32F3C88A" w14:textId="31E675BA" w:rsidR="00FF1A31" w:rsidRPr="008A4F6C" w:rsidRDefault="00FF1A31" w:rsidP="008A4F6C">
      <w:pPr>
        <w:pStyle w:val="H1G"/>
        <w:rPr>
          <w:sz w:val="28"/>
        </w:rPr>
      </w:pPr>
      <w:r w:rsidRPr="008A4F6C">
        <w:rPr>
          <w:sz w:val="28"/>
        </w:rPr>
        <w:tab/>
      </w:r>
      <w:r w:rsidR="003A54F7" w:rsidRPr="003A54F7">
        <w:rPr>
          <w:sz w:val="28"/>
        </w:rPr>
        <w:t>X</w:t>
      </w:r>
      <w:r w:rsidR="001E4322">
        <w:rPr>
          <w:sz w:val="28"/>
        </w:rPr>
        <w:t>II</w:t>
      </w:r>
      <w:r w:rsidRPr="003A54F7">
        <w:rPr>
          <w:sz w:val="28"/>
        </w:rPr>
        <w:t>.</w:t>
      </w:r>
      <w:r w:rsidRPr="003A54F7">
        <w:rPr>
          <w:sz w:val="28"/>
        </w:rPr>
        <w:tab/>
        <w:t>Other business</w:t>
      </w:r>
    </w:p>
    <w:p w14:paraId="4D611DB0" w14:textId="138E9DEC" w:rsidR="00FF1A31" w:rsidRDefault="00A60CD8" w:rsidP="00FF1A31">
      <w:pPr>
        <w:pStyle w:val="SingleTxtG"/>
      </w:pPr>
      <w:r>
        <w:t>24</w:t>
      </w:r>
      <w:r w:rsidR="64688A2A">
        <w:t>.</w:t>
      </w:r>
      <w:r w:rsidR="008A4F6C">
        <w:tab/>
      </w:r>
      <w:r w:rsidR="7135B6F2">
        <w:t xml:space="preserve">[To be filled at the meeting. </w:t>
      </w:r>
      <w:r w:rsidR="1D5FC60C">
        <w:t xml:space="preserve">At the time the </w:t>
      </w:r>
      <w:r w:rsidR="45651286">
        <w:t>draft report</w:t>
      </w:r>
      <w:r w:rsidR="1D5FC60C">
        <w:t xml:space="preserve"> was prepared,</w:t>
      </w:r>
      <w:r w:rsidR="008A4F6C" w:rsidDel="1D5FC60C">
        <w:t xml:space="preserve"> </w:t>
      </w:r>
      <w:r w:rsidR="1D5FC60C">
        <w:t xml:space="preserve">no issues </w:t>
      </w:r>
      <w:r w:rsidR="5088298B">
        <w:t>have been</w:t>
      </w:r>
      <w:r w:rsidR="059A49B4">
        <w:t xml:space="preserve"> signalled </w:t>
      </w:r>
      <w:r w:rsidR="1D5FC60C">
        <w:t>to be raised under this item.</w:t>
      </w:r>
      <w:r w:rsidR="1B5CCC7F">
        <w:t>]</w:t>
      </w:r>
    </w:p>
    <w:p w14:paraId="21BCD4B0" w14:textId="76645515" w:rsidR="00FF1A31" w:rsidRPr="003A54F7" w:rsidRDefault="00FF1A31" w:rsidP="003A54F7">
      <w:pPr>
        <w:pStyle w:val="H1G"/>
        <w:rPr>
          <w:sz w:val="28"/>
        </w:rPr>
      </w:pPr>
      <w:r w:rsidRPr="003A54F7">
        <w:rPr>
          <w:sz w:val="28"/>
        </w:rPr>
        <w:tab/>
      </w:r>
      <w:r w:rsidR="003A54F7" w:rsidRPr="003A54F7">
        <w:rPr>
          <w:sz w:val="28"/>
        </w:rPr>
        <w:t>X</w:t>
      </w:r>
      <w:r w:rsidR="001E4322">
        <w:rPr>
          <w:sz w:val="28"/>
        </w:rPr>
        <w:t>II</w:t>
      </w:r>
      <w:r w:rsidR="003A54F7" w:rsidRPr="003A54F7">
        <w:rPr>
          <w:sz w:val="28"/>
        </w:rPr>
        <w:t>I</w:t>
      </w:r>
      <w:r w:rsidRPr="003A54F7">
        <w:rPr>
          <w:sz w:val="28"/>
        </w:rPr>
        <w:t>.</w:t>
      </w:r>
      <w:r w:rsidRPr="003A54F7">
        <w:rPr>
          <w:sz w:val="28"/>
        </w:rPr>
        <w:tab/>
        <w:t xml:space="preserve">Adoption of the report and close of the meeting </w:t>
      </w:r>
    </w:p>
    <w:p w14:paraId="5C014584" w14:textId="2A919E87" w:rsidR="001C3814" w:rsidRDefault="00A60CD8" w:rsidP="00973C11">
      <w:pPr>
        <w:pStyle w:val="SingleTxtG"/>
      </w:pPr>
      <w:r>
        <w:t>25</w:t>
      </w:r>
      <w:r w:rsidR="64688A2A">
        <w:t>.</w:t>
      </w:r>
      <w:r w:rsidR="008A4F6C">
        <w:tab/>
      </w:r>
      <w:r w:rsidR="5DDFAD76">
        <w:t xml:space="preserve">The report of the meeting was adopted, including </w:t>
      </w:r>
      <w:r w:rsidR="07B2C698">
        <w:t xml:space="preserve">the </w:t>
      </w:r>
      <w:r w:rsidR="5DDFAD76">
        <w:t>conclusions and recommendations, subject to any necessary editing and formatting.</w:t>
      </w:r>
      <w:r w:rsidR="008A4F6C">
        <w:tab/>
      </w:r>
    </w:p>
    <w:p w14:paraId="6FCB498D" w14:textId="77777777" w:rsidR="00610049" w:rsidRDefault="00610049" w:rsidP="00973C11">
      <w:pPr>
        <w:pStyle w:val="SingleTxtG"/>
      </w:pPr>
    </w:p>
    <w:p w14:paraId="63C8CFFA" w14:textId="4AF924EB" w:rsidR="00610049" w:rsidRDefault="00610049" w:rsidP="00610049">
      <w:pPr>
        <w:pStyle w:val="SingleTxtG"/>
        <w:jc w:val="center"/>
        <w:rPr>
          <w:u w:val="single"/>
        </w:rPr>
      </w:pPr>
      <w:r>
        <w:t>________________</w:t>
      </w:r>
    </w:p>
    <w:sectPr w:rsidR="00610049" w:rsidSect="002D4636">
      <w:headerReference w:type="even" r:id="rId12"/>
      <w:headerReference w:type="default" r:id="rId13"/>
      <w:footerReference w:type="even" r:id="rId14"/>
      <w:footerReference w:type="default" r:id="rId15"/>
      <w:endnotePr>
        <w:numFmt w:val="decimal"/>
      </w:endnotePr>
      <w:pgSz w:w="11907" w:h="16840" w:code="9"/>
      <w:pgMar w:top="1701" w:right="1134" w:bottom="1800"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B400" w14:textId="77777777" w:rsidR="0008429E" w:rsidRDefault="0008429E"/>
  </w:endnote>
  <w:endnote w:type="continuationSeparator" w:id="0">
    <w:p w14:paraId="7FA7E934" w14:textId="77777777" w:rsidR="0008429E" w:rsidRDefault="0008429E"/>
  </w:endnote>
  <w:endnote w:type="continuationNotice" w:id="1">
    <w:p w14:paraId="10D497E2" w14:textId="77777777" w:rsidR="0008429E" w:rsidRDefault="00084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Slab">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F09D" w14:textId="2E81F253" w:rsidR="008516B1" w:rsidRPr="00501F93" w:rsidRDefault="008516B1" w:rsidP="00501F93">
    <w:pPr>
      <w:pStyle w:val="Footer"/>
      <w:tabs>
        <w:tab w:val="right" w:pos="9638"/>
      </w:tabs>
      <w:rPr>
        <w:sz w:val="18"/>
      </w:rPr>
    </w:pPr>
    <w:r w:rsidRPr="00501F93">
      <w:rPr>
        <w:b/>
        <w:sz w:val="18"/>
      </w:rPr>
      <w:fldChar w:fldCharType="begin"/>
    </w:r>
    <w:r w:rsidRPr="00501F93">
      <w:rPr>
        <w:b/>
        <w:sz w:val="18"/>
      </w:rPr>
      <w:instrText xml:space="preserve"> PAGE  \* MERGEFORMAT </w:instrText>
    </w:r>
    <w:r w:rsidRPr="00501F93">
      <w:rPr>
        <w:b/>
        <w:sz w:val="18"/>
      </w:rPr>
      <w:fldChar w:fldCharType="separate"/>
    </w:r>
    <w:r>
      <w:rPr>
        <w:b/>
        <w:noProof/>
        <w:sz w:val="18"/>
      </w:rPr>
      <w:t>4</w:t>
    </w:r>
    <w:r w:rsidRPr="00501F9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8FB5" w14:textId="3203F5D3" w:rsidR="008516B1" w:rsidRPr="00501F93" w:rsidRDefault="008516B1" w:rsidP="00501F93">
    <w:pPr>
      <w:pStyle w:val="Footer"/>
      <w:tabs>
        <w:tab w:val="right" w:pos="9638"/>
      </w:tabs>
      <w:rPr>
        <w:b/>
        <w:sz w:val="18"/>
      </w:rPr>
    </w:pPr>
    <w:r>
      <w:tab/>
    </w:r>
    <w:r w:rsidRPr="00501F93">
      <w:rPr>
        <w:b/>
        <w:sz w:val="18"/>
      </w:rPr>
      <w:fldChar w:fldCharType="begin"/>
    </w:r>
    <w:r w:rsidRPr="00501F93">
      <w:rPr>
        <w:b/>
        <w:sz w:val="18"/>
      </w:rPr>
      <w:instrText xml:space="preserve"> PAGE  \* MERGEFORMAT </w:instrText>
    </w:r>
    <w:r w:rsidRPr="00501F93">
      <w:rPr>
        <w:b/>
        <w:sz w:val="18"/>
      </w:rPr>
      <w:fldChar w:fldCharType="separate"/>
    </w:r>
    <w:r>
      <w:rPr>
        <w:b/>
        <w:noProof/>
        <w:sz w:val="18"/>
      </w:rPr>
      <w:t>5</w:t>
    </w:r>
    <w:r w:rsidRPr="00501F9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94F4" w14:textId="77777777" w:rsidR="0008429E" w:rsidRPr="000B175B" w:rsidRDefault="0008429E" w:rsidP="000B175B">
      <w:pPr>
        <w:tabs>
          <w:tab w:val="right" w:pos="2155"/>
        </w:tabs>
        <w:spacing w:after="80"/>
        <w:ind w:left="680"/>
        <w:rPr>
          <w:u w:val="single"/>
        </w:rPr>
      </w:pPr>
      <w:r>
        <w:rPr>
          <w:u w:val="single"/>
        </w:rPr>
        <w:tab/>
      </w:r>
    </w:p>
  </w:footnote>
  <w:footnote w:type="continuationSeparator" w:id="0">
    <w:p w14:paraId="31A3D363" w14:textId="77777777" w:rsidR="0008429E" w:rsidRPr="00FC68B7" w:rsidRDefault="0008429E" w:rsidP="00FC68B7">
      <w:pPr>
        <w:tabs>
          <w:tab w:val="left" w:pos="2155"/>
        </w:tabs>
        <w:spacing w:after="80"/>
        <w:ind w:left="680"/>
        <w:rPr>
          <w:u w:val="single"/>
        </w:rPr>
      </w:pPr>
      <w:r>
        <w:rPr>
          <w:u w:val="single"/>
        </w:rPr>
        <w:tab/>
      </w:r>
    </w:p>
  </w:footnote>
  <w:footnote w:type="continuationNotice" w:id="1">
    <w:p w14:paraId="675188E3" w14:textId="77777777" w:rsidR="0008429E" w:rsidRDefault="0008429E"/>
  </w:footnote>
  <w:footnote w:id="2">
    <w:p w14:paraId="684CB8F3" w14:textId="2CF403BA" w:rsidR="007E6012" w:rsidRPr="007E6012" w:rsidRDefault="007E6012">
      <w:pPr>
        <w:pStyle w:val="FootnoteText"/>
        <w:rPr>
          <w:lang w:val="fr-CH"/>
        </w:rPr>
      </w:pPr>
      <w:r>
        <w:rPr>
          <w:rStyle w:val="FootnoteReference"/>
        </w:rPr>
        <w:footnoteRef/>
      </w:r>
      <w:r>
        <w:t xml:space="preserve"> </w:t>
      </w:r>
      <w:r w:rsidRPr="007E6012">
        <w:t>https://unece.org/info/Sustainable-Energy/events/368534</w:t>
      </w:r>
    </w:p>
  </w:footnote>
  <w:footnote w:id="3">
    <w:p w14:paraId="101DF92D" w14:textId="77777777" w:rsidR="00DA3924" w:rsidRPr="002E6952" w:rsidRDefault="00DA3924" w:rsidP="00DA3924">
      <w:pPr>
        <w:pStyle w:val="FootnoteText"/>
        <w:tabs>
          <w:tab w:val="clear" w:pos="1021"/>
          <w:tab w:val="right" w:pos="1134"/>
        </w:tabs>
        <w:ind w:hanging="141"/>
      </w:pPr>
      <w:r>
        <w:tab/>
      </w:r>
      <w:r>
        <w:rPr>
          <w:rStyle w:val="FootnoteReference"/>
        </w:rPr>
        <w:footnoteRef/>
      </w:r>
      <w:r>
        <w:t xml:space="preserve"> Carbon Neutrality Toolkit, visit website: </w:t>
      </w:r>
      <w:hyperlink r:id="rId1" w:history="1">
        <w:r w:rsidRPr="00BD51BD">
          <w:rPr>
            <w:rStyle w:val="Hyperlink"/>
          </w:rPr>
          <w:t>https://carbonneutrality.unece.org/</w:t>
        </w:r>
      </w:hyperlink>
      <w:r>
        <w:t xml:space="preserve"> </w:t>
      </w:r>
    </w:p>
  </w:footnote>
  <w:footnote w:id="4">
    <w:p w14:paraId="522C385C" w14:textId="77777777" w:rsidR="00DB1F4F" w:rsidRPr="00E86B00" w:rsidRDefault="00DB1F4F" w:rsidP="00DB1F4F">
      <w:pPr>
        <w:pStyle w:val="FootnoteText"/>
      </w:pPr>
      <w:r>
        <w:tab/>
      </w:r>
      <w:r>
        <w:tab/>
      </w:r>
      <w:r>
        <w:rPr>
          <w:rStyle w:val="FootnoteReference"/>
        </w:rPr>
        <w:footnoteRef/>
      </w:r>
      <w:r>
        <w:t xml:space="preserve"> Please visit event website here: </w:t>
      </w:r>
      <w:hyperlink r:id="rId2" w:history="1">
        <w:r w:rsidRPr="00BD51BD">
          <w:rPr>
            <w:rStyle w:val="Hyperlink"/>
          </w:rPr>
          <w:t>https://unece.org/info/Sustainable-Energy/events/368377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8268" w14:textId="0AF15EEA" w:rsidR="008516B1" w:rsidRPr="005D5E1E" w:rsidRDefault="005D5E1E" w:rsidP="005D5E1E">
    <w:pPr>
      <w:pStyle w:val="Header"/>
    </w:pPr>
    <w:r>
      <w:t>ECE/ENERGY/GE.5/2022/</w:t>
    </w:r>
    <w:r w:rsidR="00B03EE5">
      <w:t>INF.2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EC5F" w14:textId="469CBE8C" w:rsidR="008516B1" w:rsidRPr="005D5E1E" w:rsidRDefault="005D5E1E" w:rsidP="005D5E1E">
    <w:pPr>
      <w:pStyle w:val="Header"/>
      <w:jc w:val="right"/>
    </w:pPr>
    <w:r>
      <w:t>ECE/ENERGY/GE.5/2022/2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B51761"/>
    <w:multiLevelType w:val="hybridMultilevel"/>
    <w:tmpl w:val="49ACCDA4"/>
    <w:lvl w:ilvl="0" w:tplc="C11A82EE">
      <w:start w:val="2"/>
      <w:numFmt w:val="decimal"/>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9761220"/>
    <w:multiLevelType w:val="hybridMultilevel"/>
    <w:tmpl w:val="F7F86D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E516F10"/>
    <w:multiLevelType w:val="hybridMultilevel"/>
    <w:tmpl w:val="642EBF9A"/>
    <w:lvl w:ilvl="0" w:tplc="7DB0697A">
      <w:start w:val="2"/>
      <w:numFmt w:val="decimal"/>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5C26F38"/>
    <w:multiLevelType w:val="hybridMultilevel"/>
    <w:tmpl w:val="036219D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7123832"/>
    <w:multiLevelType w:val="hybridMultilevel"/>
    <w:tmpl w:val="2258EC14"/>
    <w:lvl w:ilvl="0" w:tplc="2DE4EA60">
      <w:start w:val="2"/>
      <w:numFmt w:val="decimal"/>
      <w:lvlText w:val="%1."/>
      <w:lvlJc w:val="left"/>
      <w:pPr>
        <w:ind w:left="2628" w:hanging="360"/>
      </w:pPr>
      <w:rPr>
        <w:rFonts w:hint="default"/>
        <w:b w:val="0"/>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1B0F42CB"/>
    <w:multiLevelType w:val="hybridMultilevel"/>
    <w:tmpl w:val="0536375E"/>
    <w:lvl w:ilvl="0" w:tplc="1EAC25B6">
      <w:numFmt w:val="bullet"/>
      <w:lvlText w:val="-"/>
      <w:lvlJc w:val="left"/>
      <w:pPr>
        <w:ind w:left="927" w:hanging="360"/>
      </w:pPr>
      <w:rPr>
        <w:rFonts w:ascii="Calibri" w:eastAsia="DengXian"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9B0B51"/>
    <w:multiLevelType w:val="hybridMultilevel"/>
    <w:tmpl w:val="13F05512"/>
    <w:lvl w:ilvl="0" w:tplc="FFFFFFFF">
      <w:start w:val="1"/>
      <w:numFmt w:val="decimal"/>
      <w:lvlText w:val="%1."/>
      <w:lvlJc w:val="left"/>
      <w:pPr>
        <w:ind w:left="1689" w:hanging="55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1C40CCF"/>
    <w:multiLevelType w:val="hybridMultilevel"/>
    <w:tmpl w:val="B0D0AE7E"/>
    <w:lvl w:ilvl="0" w:tplc="B6D24B3C">
      <w:start w:val="1"/>
      <w:numFmt w:val="lowerLetter"/>
      <w:lvlText w:val="(%1)"/>
      <w:lvlJc w:val="left"/>
      <w:pPr>
        <w:ind w:left="2259" w:hanging="57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22" w15:restartNumberingAfterBreak="0">
    <w:nsid w:val="290F4C25"/>
    <w:multiLevelType w:val="hybridMultilevel"/>
    <w:tmpl w:val="A9CA5034"/>
    <w:lvl w:ilvl="0" w:tplc="2F60EDD6">
      <w:start w:val="2"/>
      <w:numFmt w:val="upperRoman"/>
      <w:lvlText w:val="%1."/>
      <w:lvlJc w:val="left"/>
      <w:pPr>
        <w:tabs>
          <w:tab w:val="num" w:pos="1284"/>
        </w:tabs>
        <w:ind w:left="1284" w:hanging="720"/>
      </w:pPr>
      <w:rPr>
        <w:rFonts w:hint="default"/>
      </w:rPr>
    </w:lvl>
    <w:lvl w:ilvl="1" w:tplc="04090019" w:tentative="1">
      <w:start w:val="1"/>
      <w:numFmt w:val="lowerLetter"/>
      <w:lvlText w:val="%2."/>
      <w:lvlJc w:val="left"/>
      <w:pPr>
        <w:tabs>
          <w:tab w:val="num" w:pos="1644"/>
        </w:tabs>
        <w:ind w:left="1644" w:hanging="360"/>
      </w:pPr>
    </w:lvl>
    <w:lvl w:ilvl="2" w:tplc="0409001B" w:tentative="1">
      <w:start w:val="1"/>
      <w:numFmt w:val="lowerRoman"/>
      <w:lvlText w:val="%3."/>
      <w:lvlJc w:val="right"/>
      <w:pPr>
        <w:tabs>
          <w:tab w:val="num" w:pos="2364"/>
        </w:tabs>
        <w:ind w:left="2364" w:hanging="180"/>
      </w:pPr>
    </w:lvl>
    <w:lvl w:ilvl="3" w:tplc="0409000F" w:tentative="1">
      <w:start w:val="1"/>
      <w:numFmt w:val="decimal"/>
      <w:lvlText w:val="%4."/>
      <w:lvlJc w:val="left"/>
      <w:pPr>
        <w:tabs>
          <w:tab w:val="num" w:pos="3084"/>
        </w:tabs>
        <w:ind w:left="3084" w:hanging="360"/>
      </w:pPr>
    </w:lvl>
    <w:lvl w:ilvl="4" w:tplc="04090019" w:tentative="1">
      <w:start w:val="1"/>
      <w:numFmt w:val="lowerLetter"/>
      <w:lvlText w:val="%5."/>
      <w:lvlJc w:val="left"/>
      <w:pPr>
        <w:tabs>
          <w:tab w:val="num" w:pos="3804"/>
        </w:tabs>
        <w:ind w:left="3804" w:hanging="360"/>
      </w:pPr>
    </w:lvl>
    <w:lvl w:ilvl="5" w:tplc="0409001B" w:tentative="1">
      <w:start w:val="1"/>
      <w:numFmt w:val="lowerRoman"/>
      <w:lvlText w:val="%6."/>
      <w:lvlJc w:val="right"/>
      <w:pPr>
        <w:tabs>
          <w:tab w:val="num" w:pos="4524"/>
        </w:tabs>
        <w:ind w:left="4524" w:hanging="180"/>
      </w:pPr>
    </w:lvl>
    <w:lvl w:ilvl="6" w:tplc="0409000F" w:tentative="1">
      <w:start w:val="1"/>
      <w:numFmt w:val="decimal"/>
      <w:lvlText w:val="%7."/>
      <w:lvlJc w:val="left"/>
      <w:pPr>
        <w:tabs>
          <w:tab w:val="num" w:pos="5244"/>
        </w:tabs>
        <w:ind w:left="5244" w:hanging="360"/>
      </w:pPr>
    </w:lvl>
    <w:lvl w:ilvl="7" w:tplc="04090019" w:tentative="1">
      <w:start w:val="1"/>
      <w:numFmt w:val="lowerLetter"/>
      <w:lvlText w:val="%8."/>
      <w:lvlJc w:val="left"/>
      <w:pPr>
        <w:tabs>
          <w:tab w:val="num" w:pos="5964"/>
        </w:tabs>
        <w:ind w:left="5964" w:hanging="360"/>
      </w:pPr>
    </w:lvl>
    <w:lvl w:ilvl="8" w:tplc="0409001B" w:tentative="1">
      <w:start w:val="1"/>
      <w:numFmt w:val="lowerRoman"/>
      <w:lvlText w:val="%9."/>
      <w:lvlJc w:val="right"/>
      <w:pPr>
        <w:tabs>
          <w:tab w:val="num" w:pos="6684"/>
        </w:tabs>
        <w:ind w:left="6684" w:hanging="180"/>
      </w:pPr>
    </w:lvl>
  </w:abstractNum>
  <w:abstractNum w:abstractNumId="23" w15:restartNumberingAfterBreak="0">
    <w:nsid w:val="30CE0429"/>
    <w:multiLevelType w:val="singleLevel"/>
    <w:tmpl w:val="E9C6F492"/>
    <w:lvl w:ilvl="0">
      <w:start w:val="1"/>
      <w:numFmt w:val="decimal"/>
      <w:lvlText w:val="%1."/>
      <w:lvlJc w:val="left"/>
      <w:pPr>
        <w:tabs>
          <w:tab w:val="num" w:pos="720"/>
        </w:tabs>
        <w:ind w:left="720" w:hanging="720"/>
      </w:pPr>
      <w:rPr>
        <w:rFonts w:hint="default"/>
      </w:r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364B20"/>
    <w:multiLevelType w:val="hybridMultilevel"/>
    <w:tmpl w:val="B7363866"/>
    <w:lvl w:ilvl="0" w:tplc="2DE4EA60">
      <w:start w:val="2"/>
      <w:numFmt w:val="decimal"/>
      <w:lvlText w:val="%1."/>
      <w:lvlJc w:val="left"/>
      <w:pPr>
        <w:ind w:left="149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E354B7"/>
    <w:multiLevelType w:val="hybridMultilevel"/>
    <w:tmpl w:val="59162D66"/>
    <w:lvl w:ilvl="0" w:tplc="357A005E">
      <w:start w:val="1"/>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5A577577"/>
    <w:multiLevelType w:val="hybridMultilevel"/>
    <w:tmpl w:val="2D1CE874"/>
    <w:lvl w:ilvl="0" w:tplc="0809000F">
      <w:start w:val="1"/>
      <w:numFmt w:val="decimal"/>
      <w:lvlText w:val="%1."/>
      <w:lvlJc w:val="lef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29" w15:restartNumberingAfterBreak="0">
    <w:nsid w:val="5A9371C5"/>
    <w:multiLevelType w:val="hybridMultilevel"/>
    <w:tmpl w:val="F84C2AAA"/>
    <w:lvl w:ilvl="0" w:tplc="0AD4C07C">
      <w:start w:val="5"/>
      <w:numFmt w:val="decimal"/>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5B0AA0"/>
    <w:multiLevelType w:val="hybridMultilevel"/>
    <w:tmpl w:val="642EBF9A"/>
    <w:lvl w:ilvl="0" w:tplc="7DB0697A">
      <w:start w:val="2"/>
      <w:numFmt w:val="decimal"/>
      <w:lvlText w:val="%1."/>
      <w:lvlJc w:val="left"/>
      <w:pPr>
        <w:ind w:left="1494" w:hanging="360"/>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CF0BF6"/>
    <w:multiLevelType w:val="hybridMultilevel"/>
    <w:tmpl w:val="13F05512"/>
    <w:lvl w:ilvl="0" w:tplc="AF6E870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EB82DD1"/>
    <w:multiLevelType w:val="hybridMultilevel"/>
    <w:tmpl w:val="D376FAE4"/>
    <w:lvl w:ilvl="0" w:tplc="2DE4EA60">
      <w:start w:val="2"/>
      <w:numFmt w:val="decimal"/>
      <w:lvlText w:val="%1."/>
      <w:lvlJc w:val="left"/>
      <w:pPr>
        <w:ind w:left="149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0F26DA"/>
    <w:multiLevelType w:val="hybridMultilevel"/>
    <w:tmpl w:val="0C94E8EE"/>
    <w:lvl w:ilvl="0" w:tplc="BB507118">
      <w:start w:val="4"/>
      <w:numFmt w:val="decimal"/>
      <w:lvlText w:val="%1."/>
      <w:lvlJc w:val="left"/>
      <w:pPr>
        <w:ind w:left="4374" w:hanging="360"/>
      </w:pPr>
      <w:rPr>
        <w:rFonts w:hint="default"/>
      </w:rPr>
    </w:lvl>
    <w:lvl w:ilvl="1" w:tplc="08090019" w:tentative="1">
      <w:start w:val="1"/>
      <w:numFmt w:val="lowerLetter"/>
      <w:lvlText w:val="%2."/>
      <w:lvlJc w:val="left"/>
      <w:pPr>
        <w:ind w:left="5094" w:hanging="360"/>
      </w:pPr>
    </w:lvl>
    <w:lvl w:ilvl="2" w:tplc="0809001B" w:tentative="1">
      <w:start w:val="1"/>
      <w:numFmt w:val="lowerRoman"/>
      <w:lvlText w:val="%3."/>
      <w:lvlJc w:val="right"/>
      <w:pPr>
        <w:ind w:left="5814" w:hanging="180"/>
      </w:pPr>
    </w:lvl>
    <w:lvl w:ilvl="3" w:tplc="0809000F" w:tentative="1">
      <w:start w:val="1"/>
      <w:numFmt w:val="decimal"/>
      <w:lvlText w:val="%4."/>
      <w:lvlJc w:val="left"/>
      <w:pPr>
        <w:ind w:left="6534" w:hanging="360"/>
      </w:pPr>
    </w:lvl>
    <w:lvl w:ilvl="4" w:tplc="08090019" w:tentative="1">
      <w:start w:val="1"/>
      <w:numFmt w:val="lowerLetter"/>
      <w:lvlText w:val="%5."/>
      <w:lvlJc w:val="left"/>
      <w:pPr>
        <w:ind w:left="7254" w:hanging="360"/>
      </w:pPr>
    </w:lvl>
    <w:lvl w:ilvl="5" w:tplc="0809001B" w:tentative="1">
      <w:start w:val="1"/>
      <w:numFmt w:val="lowerRoman"/>
      <w:lvlText w:val="%6."/>
      <w:lvlJc w:val="right"/>
      <w:pPr>
        <w:ind w:left="7974" w:hanging="180"/>
      </w:pPr>
    </w:lvl>
    <w:lvl w:ilvl="6" w:tplc="0809000F" w:tentative="1">
      <w:start w:val="1"/>
      <w:numFmt w:val="decimal"/>
      <w:lvlText w:val="%7."/>
      <w:lvlJc w:val="left"/>
      <w:pPr>
        <w:ind w:left="8694" w:hanging="360"/>
      </w:pPr>
    </w:lvl>
    <w:lvl w:ilvl="7" w:tplc="08090019" w:tentative="1">
      <w:start w:val="1"/>
      <w:numFmt w:val="lowerLetter"/>
      <w:lvlText w:val="%8."/>
      <w:lvlJc w:val="left"/>
      <w:pPr>
        <w:ind w:left="9414" w:hanging="360"/>
      </w:pPr>
    </w:lvl>
    <w:lvl w:ilvl="8" w:tplc="0809001B" w:tentative="1">
      <w:start w:val="1"/>
      <w:numFmt w:val="lowerRoman"/>
      <w:lvlText w:val="%9."/>
      <w:lvlJc w:val="right"/>
      <w:pPr>
        <w:ind w:left="1013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4"/>
  </w:num>
  <w:num w:numId="12">
    <w:abstractNumId w:val="19"/>
  </w:num>
  <w:num w:numId="13">
    <w:abstractNumId w:val="10"/>
  </w:num>
  <w:num w:numId="14">
    <w:abstractNumId w:val="17"/>
  </w:num>
  <w:num w:numId="15">
    <w:abstractNumId w:val="25"/>
  </w:num>
  <w:num w:numId="16">
    <w:abstractNumId w:val="18"/>
  </w:num>
  <w:num w:numId="17">
    <w:abstractNumId w:val="30"/>
  </w:num>
  <w:num w:numId="18">
    <w:abstractNumId w:val="32"/>
  </w:num>
  <w:num w:numId="19">
    <w:abstractNumId w:val="23"/>
  </w:num>
  <w:num w:numId="20">
    <w:abstractNumId w:val="22"/>
  </w:num>
  <w:num w:numId="21">
    <w:abstractNumId w:val="14"/>
  </w:num>
  <w:num w:numId="22">
    <w:abstractNumId w:val="12"/>
  </w:num>
  <w:num w:numId="23">
    <w:abstractNumId w:val="11"/>
  </w:num>
  <w:num w:numId="24">
    <w:abstractNumId w:val="27"/>
  </w:num>
  <w:num w:numId="25">
    <w:abstractNumId w:val="34"/>
  </w:num>
  <w:num w:numId="26">
    <w:abstractNumId w:val="15"/>
  </w:num>
  <w:num w:numId="27">
    <w:abstractNumId w:val="26"/>
  </w:num>
  <w:num w:numId="28">
    <w:abstractNumId w:val="13"/>
  </w:num>
  <w:num w:numId="29">
    <w:abstractNumId w:val="31"/>
  </w:num>
  <w:num w:numId="30">
    <w:abstractNumId w:val="28"/>
  </w:num>
  <w:num w:numId="31">
    <w:abstractNumId w:val="29"/>
  </w:num>
  <w:num w:numId="32">
    <w:abstractNumId w:val="33"/>
  </w:num>
  <w:num w:numId="33">
    <w:abstractNumId w:val="35"/>
  </w:num>
  <w:num w:numId="34">
    <w:abstractNumId w:val="16"/>
  </w:num>
  <w:num w:numId="35">
    <w:abstractNumId w:val="21"/>
  </w:num>
  <w:num w:numId="3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93"/>
    <w:rsid w:val="00000CDA"/>
    <w:rsid w:val="00001384"/>
    <w:rsid w:val="00002A7D"/>
    <w:rsid w:val="000038A8"/>
    <w:rsid w:val="00005F7B"/>
    <w:rsid w:val="00006790"/>
    <w:rsid w:val="00006FA9"/>
    <w:rsid w:val="00007573"/>
    <w:rsid w:val="00007C97"/>
    <w:rsid w:val="00012811"/>
    <w:rsid w:val="00013C42"/>
    <w:rsid w:val="00015108"/>
    <w:rsid w:val="000155BE"/>
    <w:rsid w:val="00015952"/>
    <w:rsid w:val="0001641B"/>
    <w:rsid w:val="000166B1"/>
    <w:rsid w:val="0001721F"/>
    <w:rsid w:val="00020C09"/>
    <w:rsid w:val="000219CD"/>
    <w:rsid w:val="00022111"/>
    <w:rsid w:val="00023EB2"/>
    <w:rsid w:val="00024FFF"/>
    <w:rsid w:val="00027624"/>
    <w:rsid w:val="00030FFD"/>
    <w:rsid w:val="0003125C"/>
    <w:rsid w:val="00031612"/>
    <w:rsid w:val="00031835"/>
    <w:rsid w:val="00031D6E"/>
    <w:rsid w:val="00033551"/>
    <w:rsid w:val="00034A07"/>
    <w:rsid w:val="0003639B"/>
    <w:rsid w:val="0003782D"/>
    <w:rsid w:val="00040605"/>
    <w:rsid w:val="0004161C"/>
    <w:rsid w:val="000426F1"/>
    <w:rsid w:val="00044205"/>
    <w:rsid w:val="00044B72"/>
    <w:rsid w:val="00050F6B"/>
    <w:rsid w:val="0005388F"/>
    <w:rsid w:val="00054420"/>
    <w:rsid w:val="00054FA4"/>
    <w:rsid w:val="00055681"/>
    <w:rsid w:val="000558A5"/>
    <w:rsid w:val="0006068E"/>
    <w:rsid w:val="00061335"/>
    <w:rsid w:val="000626E4"/>
    <w:rsid w:val="00063686"/>
    <w:rsid w:val="000662E2"/>
    <w:rsid w:val="000673A0"/>
    <w:rsid w:val="000673C0"/>
    <w:rsid w:val="000676A8"/>
    <w:rsid w:val="000677B8"/>
    <w:rsid w:val="000678CD"/>
    <w:rsid w:val="000727F8"/>
    <w:rsid w:val="00072C8C"/>
    <w:rsid w:val="00074940"/>
    <w:rsid w:val="0007648E"/>
    <w:rsid w:val="00076586"/>
    <w:rsid w:val="0007696C"/>
    <w:rsid w:val="000819B1"/>
    <w:rsid w:val="00081CE0"/>
    <w:rsid w:val="000820F2"/>
    <w:rsid w:val="0008229A"/>
    <w:rsid w:val="00082354"/>
    <w:rsid w:val="00082572"/>
    <w:rsid w:val="0008429E"/>
    <w:rsid w:val="00084D30"/>
    <w:rsid w:val="00085CE3"/>
    <w:rsid w:val="00085E46"/>
    <w:rsid w:val="0008742B"/>
    <w:rsid w:val="00090320"/>
    <w:rsid w:val="00090416"/>
    <w:rsid w:val="0009163D"/>
    <w:rsid w:val="00091D18"/>
    <w:rsid w:val="000931C0"/>
    <w:rsid w:val="00094BFA"/>
    <w:rsid w:val="000A2E09"/>
    <w:rsid w:val="000A643E"/>
    <w:rsid w:val="000A7E18"/>
    <w:rsid w:val="000B04A8"/>
    <w:rsid w:val="000B175B"/>
    <w:rsid w:val="000B3A0F"/>
    <w:rsid w:val="000B4C0B"/>
    <w:rsid w:val="000B5558"/>
    <w:rsid w:val="000B5EFD"/>
    <w:rsid w:val="000C38C7"/>
    <w:rsid w:val="000D045E"/>
    <w:rsid w:val="000D0528"/>
    <w:rsid w:val="000D0737"/>
    <w:rsid w:val="000D3CE0"/>
    <w:rsid w:val="000D3D47"/>
    <w:rsid w:val="000D4E25"/>
    <w:rsid w:val="000D5888"/>
    <w:rsid w:val="000D5B55"/>
    <w:rsid w:val="000D5DEC"/>
    <w:rsid w:val="000D6E9F"/>
    <w:rsid w:val="000E0415"/>
    <w:rsid w:val="000E0AE5"/>
    <w:rsid w:val="000E2EA4"/>
    <w:rsid w:val="000E3AF7"/>
    <w:rsid w:val="000E7A6D"/>
    <w:rsid w:val="000E7CB0"/>
    <w:rsid w:val="000F04FB"/>
    <w:rsid w:val="000F0863"/>
    <w:rsid w:val="000F0E16"/>
    <w:rsid w:val="000F2C1E"/>
    <w:rsid w:val="000F5337"/>
    <w:rsid w:val="000F7715"/>
    <w:rsid w:val="000F7D07"/>
    <w:rsid w:val="001015BF"/>
    <w:rsid w:val="0010170E"/>
    <w:rsid w:val="0010202D"/>
    <w:rsid w:val="00102EAB"/>
    <w:rsid w:val="00102F16"/>
    <w:rsid w:val="0010439A"/>
    <w:rsid w:val="00110AF9"/>
    <w:rsid w:val="00111177"/>
    <w:rsid w:val="00112C70"/>
    <w:rsid w:val="00113A6D"/>
    <w:rsid w:val="001146E9"/>
    <w:rsid w:val="00122307"/>
    <w:rsid w:val="0012317A"/>
    <w:rsid w:val="0012394C"/>
    <w:rsid w:val="00125ED3"/>
    <w:rsid w:val="00126042"/>
    <w:rsid w:val="001273FD"/>
    <w:rsid w:val="001300BA"/>
    <w:rsid w:val="00130AFB"/>
    <w:rsid w:val="00132322"/>
    <w:rsid w:val="00134189"/>
    <w:rsid w:val="001351D2"/>
    <w:rsid w:val="00135958"/>
    <w:rsid w:val="0013723D"/>
    <w:rsid w:val="001376B2"/>
    <w:rsid w:val="00137896"/>
    <w:rsid w:val="00137AD8"/>
    <w:rsid w:val="00137D8B"/>
    <w:rsid w:val="00141042"/>
    <w:rsid w:val="0014266D"/>
    <w:rsid w:val="001439B9"/>
    <w:rsid w:val="001440F4"/>
    <w:rsid w:val="00145CEB"/>
    <w:rsid w:val="001467EA"/>
    <w:rsid w:val="00151A6F"/>
    <w:rsid w:val="00154910"/>
    <w:rsid w:val="00154CD9"/>
    <w:rsid w:val="001565C5"/>
    <w:rsid w:val="00156B99"/>
    <w:rsid w:val="00160117"/>
    <w:rsid w:val="001601F8"/>
    <w:rsid w:val="00164671"/>
    <w:rsid w:val="00166124"/>
    <w:rsid w:val="00174583"/>
    <w:rsid w:val="00176C71"/>
    <w:rsid w:val="00176F6C"/>
    <w:rsid w:val="00177919"/>
    <w:rsid w:val="00180A95"/>
    <w:rsid w:val="00183A84"/>
    <w:rsid w:val="00184684"/>
    <w:rsid w:val="00184DDA"/>
    <w:rsid w:val="0018649F"/>
    <w:rsid w:val="00186A67"/>
    <w:rsid w:val="001900CD"/>
    <w:rsid w:val="00193EFD"/>
    <w:rsid w:val="001940CB"/>
    <w:rsid w:val="00194869"/>
    <w:rsid w:val="0019505C"/>
    <w:rsid w:val="00196FC0"/>
    <w:rsid w:val="00197909"/>
    <w:rsid w:val="001A0452"/>
    <w:rsid w:val="001A25EA"/>
    <w:rsid w:val="001A2EE2"/>
    <w:rsid w:val="001A780E"/>
    <w:rsid w:val="001A7ED6"/>
    <w:rsid w:val="001B0991"/>
    <w:rsid w:val="001B2380"/>
    <w:rsid w:val="001B2C59"/>
    <w:rsid w:val="001B4B04"/>
    <w:rsid w:val="001B5875"/>
    <w:rsid w:val="001B6187"/>
    <w:rsid w:val="001B6270"/>
    <w:rsid w:val="001B6514"/>
    <w:rsid w:val="001B6C14"/>
    <w:rsid w:val="001C0F12"/>
    <w:rsid w:val="001C17E1"/>
    <w:rsid w:val="001C3814"/>
    <w:rsid w:val="001C4B9C"/>
    <w:rsid w:val="001C5F88"/>
    <w:rsid w:val="001C6663"/>
    <w:rsid w:val="001C7895"/>
    <w:rsid w:val="001D26DF"/>
    <w:rsid w:val="001D3496"/>
    <w:rsid w:val="001D5060"/>
    <w:rsid w:val="001E3DEA"/>
    <w:rsid w:val="001E4322"/>
    <w:rsid w:val="001E4C78"/>
    <w:rsid w:val="001E645B"/>
    <w:rsid w:val="001E7725"/>
    <w:rsid w:val="001F1599"/>
    <w:rsid w:val="001F19C4"/>
    <w:rsid w:val="001F24F5"/>
    <w:rsid w:val="001F2761"/>
    <w:rsid w:val="001F58C4"/>
    <w:rsid w:val="001F5E29"/>
    <w:rsid w:val="001F5FFF"/>
    <w:rsid w:val="00202F67"/>
    <w:rsid w:val="00203A25"/>
    <w:rsid w:val="002043F0"/>
    <w:rsid w:val="0020694C"/>
    <w:rsid w:val="00207852"/>
    <w:rsid w:val="00210C11"/>
    <w:rsid w:val="0021119A"/>
    <w:rsid w:val="00211E0B"/>
    <w:rsid w:val="00214B06"/>
    <w:rsid w:val="00214D8A"/>
    <w:rsid w:val="00214FD2"/>
    <w:rsid w:val="00215744"/>
    <w:rsid w:val="00216BE1"/>
    <w:rsid w:val="00220F73"/>
    <w:rsid w:val="0022118F"/>
    <w:rsid w:val="002231FC"/>
    <w:rsid w:val="00223CF8"/>
    <w:rsid w:val="00224E63"/>
    <w:rsid w:val="0022781A"/>
    <w:rsid w:val="002279E1"/>
    <w:rsid w:val="00227C48"/>
    <w:rsid w:val="00227E01"/>
    <w:rsid w:val="00231726"/>
    <w:rsid w:val="002323CA"/>
    <w:rsid w:val="00232575"/>
    <w:rsid w:val="00232D3E"/>
    <w:rsid w:val="00234127"/>
    <w:rsid w:val="00234B81"/>
    <w:rsid w:val="00235947"/>
    <w:rsid w:val="0023718A"/>
    <w:rsid w:val="00246971"/>
    <w:rsid w:val="00247258"/>
    <w:rsid w:val="0025294C"/>
    <w:rsid w:val="002565D4"/>
    <w:rsid w:val="00257CAC"/>
    <w:rsid w:val="00262AE3"/>
    <w:rsid w:val="002641BD"/>
    <w:rsid w:val="00267C81"/>
    <w:rsid w:val="0027096A"/>
    <w:rsid w:val="00271019"/>
    <w:rsid w:val="00271A6D"/>
    <w:rsid w:val="0027237A"/>
    <w:rsid w:val="00273EE9"/>
    <w:rsid w:val="002742DA"/>
    <w:rsid w:val="00275A2E"/>
    <w:rsid w:val="00276393"/>
    <w:rsid w:val="002769F9"/>
    <w:rsid w:val="00280C7A"/>
    <w:rsid w:val="00281733"/>
    <w:rsid w:val="002820E0"/>
    <w:rsid w:val="0028388A"/>
    <w:rsid w:val="002857E7"/>
    <w:rsid w:val="00285D1B"/>
    <w:rsid w:val="00287ECF"/>
    <w:rsid w:val="00291E37"/>
    <w:rsid w:val="002972AD"/>
    <w:rsid w:val="002974E9"/>
    <w:rsid w:val="002975A0"/>
    <w:rsid w:val="002A033D"/>
    <w:rsid w:val="002A1D9D"/>
    <w:rsid w:val="002A3557"/>
    <w:rsid w:val="002A422D"/>
    <w:rsid w:val="002A49AE"/>
    <w:rsid w:val="002A7EE3"/>
    <w:rsid w:val="002A7F94"/>
    <w:rsid w:val="002B109A"/>
    <w:rsid w:val="002B16B4"/>
    <w:rsid w:val="002B19FA"/>
    <w:rsid w:val="002B3B14"/>
    <w:rsid w:val="002B56C1"/>
    <w:rsid w:val="002B692B"/>
    <w:rsid w:val="002C13E7"/>
    <w:rsid w:val="002C1DF1"/>
    <w:rsid w:val="002C4551"/>
    <w:rsid w:val="002C5452"/>
    <w:rsid w:val="002C6D45"/>
    <w:rsid w:val="002C7903"/>
    <w:rsid w:val="002C7986"/>
    <w:rsid w:val="002C7F5D"/>
    <w:rsid w:val="002D34F4"/>
    <w:rsid w:val="002D41C7"/>
    <w:rsid w:val="002D4636"/>
    <w:rsid w:val="002D5904"/>
    <w:rsid w:val="002D5F38"/>
    <w:rsid w:val="002D60B8"/>
    <w:rsid w:val="002D6E53"/>
    <w:rsid w:val="002E2CA1"/>
    <w:rsid w:val="002E2FA3"/>
    <w:rsid w:val="002E2FB6"/>
    <w:rsid w:val="002E6D0B"/>
    <w:rsid w:val="002E76C0"/>
    <w:rsid w:val="002F046D"/>
    <w:rsid w:val="002F0A76"/>
    <w:rsid w:val="002F22F1"/>
    <w:rsid w:val="002F2311"/>
    <w:rsid w:val="002F2759"/>
    <w:rsid w:val="002F2E73"/>
    <w:rsid w:val="002F389B"/>
    <w:rsid w:val="002F4611"/>
    <w:rsid w:val="002F6E4B"/>
    <w:rsid w:val="00300136"/>
    <w:rsid w:val="0030098C"/>
    <w:rsid w:val="00300E0A"/>
    <w:rsid w:val="00301764"/>
    <w:rsid w:val="00301F40"/>
    <w:rsid w:val="00302362"/>
    <w:rsid w:val="00303E90"/>
    <w:rsid w:val="0030504B"/>
    <w:rsid w:val="003054E9"/>
    <w:rsid w:val="003075E8"/>
    <w:rsid w:val="003108C8"/>
    <w:rsid w:val="003128C7"/>
    <w:rsid w:val="00312997"/>
    <w:rsid w:val="00312A8C"/>
    <w:rsid w:val="00314485"/>
    <w:rsid w:val="00314A81"/>
    <w:rsid w:val="00314C11"/>
    <w:rsid w:val="00316D55"/>
    <w:rsid w:val="003206F4"/>
    <w:rsid w:val="0032096B"/>
    <w:rsid w:val="003222C2"/>
    <w:rsid w:val="003229D8"/>
    <w:rsid w:val="00322A45"/>
    <w:rsid w:val="00326FAF"/>
    <w:rsid w:val="00327C58"/>
    <w:rsid w:val="00331221"/>
    <w:rsid w:val="00332242"/>
    <w:rsid w:val="00333D01"/>
    <w:rsid w:val="00336C97"/>
    <w:rsid w:val="00337419"/>
    <w:rsid w:val="00337F88"/>
    <w:rsid w:val="00341B99"/>
    <w:rsid w:val="00342432"/>
    <w:rsid w:val="003439DD"/>
    <w:rsid w:val="00345CC0"/>
    <w:rsid w:val="00345E01"/>
    <w:rsid w:val="003472B3"/>
    <w:rsid w:val="0034740C"/>
    <w:rsid w:val="00351F67"/>
    <w:rsid w:val="0035223F"/>
    <w:rsid w:val="00352D4B"/>
    <w:rsid w:val="00352FE6"/>
    <w:rsid w:val="00353347"/>
    <w:rsid w:val="00354521"/>
    <w:rsid w:val="00355AB7"/>
    <w:rsid w:val="00355ED3"/>
    <w:rsid w:val="0035638C"/>
    <w:rsid w:val="0035795A"/>
    <w:rsid w:val="003618AC"/>
    <w:rsid w:val="003643BF"/>
    <w:rsid w:val="00364774"/>
    <w:rsid w:val="00366A00"/>
    <w:rsid w:val="00367152"/>
    <w:rsid w:val="003700AB"/>
    <w:rsid w:val="0037039E"/>
    <w:rsid w:val="00371E31"/>
    <w:rsid w:val="00372F15"/>
    <w:rsid w:val="00375078"/>
    <w:rsid w:val="003766B3"/>
    <w:rsid w:val="00377AE8"/>
    <w:rsid w:val="00382652"/>
    <w:rsid w:val="00384F30"/>
    <w:rsid w:val="0038650A"/>
    <w:rsid w:val="00391596"/>
    <w:rsid w:val="00392B89"/>
    <w:rsid w:val="00393B41"/>
    <w:rsid w:val="003947A3"/>
    <w:rsid w:val="00394839"/>
    <w:rsid w:val="00395D69"/>
    <w:rsid w:val="00396A6A"/>
    <w:rsid w:val="003A08F5"/>
    <w:rsid w:val="003A0B13"/>
    <w:rsid w:val="003A3D8D"/>
    <w:rsid w:val="003A46AE"/>
    <w:rsid w:val="003A46BB"/>
    <w:rsid w:val="003A4EC7"/>
    <w:rsid w:val="003A54F7"/>
    <w:rsid w:val="003A626D"/>
    <w:rsid w:val="003A7295"/>
    <w:rsid w:val="003B1F60"/>
    <w:rsid w:val="003B26F2"/>
    <w:rsid w:val="003B2EE5"/>
    <w:rsid w:val="003B3CDB"/>
    <w:rsid w:val="003B7147"/>
    <w:rsid w:val="003C0051"/>
    <w:rsid w:val="003C12B4"/>
    <w:rsid w:val="003C248C"/>
    <w:rsid w:val="003C27B3"/>
    <w:rsid w:val="003C2826"/>
    <w:rsid w:val="003C2CC4"/>
    <w:rsid w:val="003C3D2E"/>
    <w:rsid w:val="003C566A"/>
    <w:rsid w:val="003C76D7"/>
    <w:rsid w:val="003D0229"/>
    <w:rsid w:val="003D0464"/>
    <w:rsid w:val="003D11E6"/>
    <w:rsid w:val="003D221A"/>
    <w:rsid w:val="003D2395"/>
    <w:rsid w:val="003D2DC1"/>
    <w:rsid w:val="003D2EE3"/>
    <w:rsid w:val="003D35BA"/>
    <w:rsid w:val="003D3C8C"/>
    <w:rsid w:val="003D44AD"/>
    <w:rsid w:val="003D4B23"/>
    <w:rsid w:val="003D7045"/>
    <w:rsid w:val="003E0645"/>
    <w:rsid w:val="003E278A"/>
    <w:rsid w:val="003E2859"/>
    <w:rsid w:val="003E573B"/>
    <w:rsid w:val="003F1E86"/>
    <w:rsid w:val="003F4E15"/>
    <w:rsid w:val="003F5412"/>
    <w:rsid w:val="003F7C9C"/>
    <w:rsid w:val="0040072D"/>
    <w:rsid w:val="00400B57"/>
    <w:rsid w:val="00400E44"/>
    <w:rsid w:val="00401160"/>
    <w:rsid w:val="004011D3"/>
    <w:rsid w:val="004064A8"/>
    <w:rsid w:val="004068FE"/>
    <w:rsid w:val="0040702D"/>
    <w:rsid w:val="00412FEA"/>
    <w:rsid w:val="00413520"/>
    <w:rsid w:val="00415774"/>
    <w:rsid w:val="004160F8"/>
    <w:rsid w:val="00417354"/>
    <w:rsid w:val="004226CC"/>
    <w:rsid w:val="00422AD9"/>
    <w:rsid w:val="00422CE6"/>
    <w:rsid w:val="0042429B"/>
    <w:rsid w:val="004259B9"/>
    <w:rsid w:val="00426B8F"/>
    <w:rsid w:val="00430797"/>
    <w:rsid w:val="004307A3"/>
    <w:rsid w:val="00430E8A"/>
    <w:rsid w:val="004325CB"/>
    <w:rsid w:val="0043365B"/>
    <w:rsid w:val="00434873"/>
    <w:rsid w:val="00436B03"/>
    <w:rsid w:val="00437B4B"/>
    <w:rsid w:val="00437EAC"/>
    <w:rsid w:val="00440A07"/>
    <w:rsid w:val="00440D40"/>
    <w:rsid w:val="00441DBB"/>
    <w:rsid w:val="004420C7"/>
    <w:rsid w:val="00443DCC"/>
    <w:rsid w:val="0044633D"/>
    <w:rsid w:val="00447A0D"/>
    <w:rsid w:val="004508E6"/>
    <w:rsid w:val="00451BA1"/>
    <w:rsid w:val="00455AB1"/>
    <w:rsid w:val="00461F8F"/>
    <w:rsid w:val="0046240A"/>
    <w:rsid w:val="00462784"/>
    <w:rsid w:val="00462880"/>
    <w:rsid w:val="00462FE2"/>
    <w:rsid w:val="00463A26"/>
    <w:rsid w:val="00463CB9"/>
    <w:rsid w:val="004651A6"/>
    <w:rsid w:val="00466B8B"/>
    <w:rsid w:val="004674B0"/>
    <w:rsid w:val="00467EFD"/>
    <w:rsid w:val="00473528"/>
    <w:rsid w:val="00475A2B"/>
    <w:rsid w:val="00476040"/>
    <w:rsid w:val="00476F24"/>
    <w:rsid w:val="00480956"/>
    <w:rsid w:val="004821FF"/>
    <w:rsid w:val="00482320"/>
    <w:rsid w:val="00482E74"/>
    <w:rsid w:val="00485EE4"/>
    <w:rsid w:val="00487D88"/>
    <w:rsid w:val="00495764"/>
    <w:rsid w:val="00496D8F"/>
    <w:rsid w:val="00497420"/>
    <w:rsid w:val="00497501"/>
    <w:rsid w:val="004A267A"/>
    <w:rsid w:val="004A4879"/>
    <w:rsid w:val="004A5931"/>
    <w:rsid w:val="004A628C"/>
    <w:rsid w:val="004A728F"/>
    <w:rsid w:val="004B0D9F"/>
    <w:rsid w:val="004B3A5B"/>
    <w:rsid w:val="004B4EEE"/>
    <w:rsid w:val="004B6951"/>
    <w:rsid w:val="004B7197"/>
    <w:rsid w:val="004C1CCC"/>
    <w:rsid w:val="004C1F8A"/>
    <w:rsid w:val="004C3138"/>
    <w:rsid w:val="004C4B06"/>
    <w:rsid w:val="004C55B0"/>
    <w:rsid w:val="004C5EF4"/>
    <w:rsid w:val="004D01CD"/>
    <w:rsid w:val="004D0643"/>
    <w:rsid w:val="004D2B79"/>
    <w:rsid w:val="004D4E29"/>
    <w:rsid w:val="004D5B11"/>
    <w:rsid w:val="004D63EC"/>
    <w:rsid w:val="004D69E5"/>
    <w:rsid w:val="004D73A7"/>
    <w:rsid w:val="004D74DC"/>
    <w:rsid w:val="004D7717"/>
    <w:rsid w:val="004E0C75"/>
    <w:rsid w:val="004E1CBF"/>
    <w:rsid w:val="004E62A9"/>
    <w:rsid w:val="004E6E5C"/>
    <w:rsid w:val="004E7EF2"/>
    <w:rsid w:val="004F04E9"/>
    <w:rsid w:val="004F4F5B"/>
    <w:rsid w:val="004F6328"/>
    <w:rsid w:val="004F6BA0"/>
    <w:rsid w:val="004F78F2"/>
    <w:rsid w:val="00500B00"/>
    <w:rsid w:val="00501F93"/>
    <w:rsid w:val="005022E0"/>
    <w:rsid w:val="00503BEA"/>
    <w:rsid w:val="00504310"/>
    <w:rsid w:val="005045F2"/>
    <w:rsid w:val="0050499E"/>
    <w:rsid w:val="00510B1B"/>
    <w:rsid w:val="00510B67"/>
    <w:rsid w:val="00511975"/>
    <w:rsid w:val="00512ADD"/>
    <w:rsid w:val="00513764"/>
    <w:rsid w:val="00513AA5"/>
    <w:rsid w:val="00514C11"/>
    <w:rsid w:val="00514EBA"/>
    <w:rsid w:val="005168DD"/>
    <w:rsid w:val="00520BB6"/>
    <w:rsid w:val="005213B3"/>
    <w:rsid w:val="00521BDF"/>
    <w:rsid w:val="00523A50"/>
    <w:rsid w:val="005261BC"/>
    <w:rsid w:val="00527617"/>
    <w:rsid w:val="00527811"/>
    <w:rsid w:val="005302EA"/>
    <w:rsid w:val="00533616"/>
    <w:rsid w:val="00535ABA"/>
    <w:rsid w:val="00537373"/>
    <w:rsid w:val="0053768B"/>
    <w:rsid w:val="005420F2"/>
    <w:rsid w:val="0054285C"/>
    <w:rsid w:val="00544560"/>
    <w:rsid w:val="00546096"/>
    <w:rsid w:val="00546A05"/>
    <w:rsid w:val="0054FF15"/>
    <w:rsid w:val="005524DC"/>
    <w:rsid w:val="00552D52"/>
    <w:rsid w:val="00553076"/>
    <w:rsid w:val="00553141"/>
    <w:rsid w:val="00555A11"/>
    <w:rsid w:val="005609FC"/>
    <w:rsid w:val="00560F31"/>
    <w:rsid w:val="00561AD1"/>
    <w:rsid w:val="00563199"/>
    <w:rsid w:val="00563855"/>
    <w:rsid w:val="00566CF3"/>
    <w:rsid w:val="00571360"/>
    <w:rsid w:val="00571BA4"/>
    <w:rsid w:val="005724B7"/>
    <w:rsid w:val="0057374A"/>
    <w:rsid w:val="00573DA8"/>
    <w:rsid w:val="0057455E"/>
    <w:rsid w:val="00577D78"/>
    <w:rsid w:val="00581518"/>
    <w:rsid w:val="00584173"/>
    <w:rsid w:val="0058551D"/>
    <w:rsid w:val="0058595C"/>
    <w:rsid w:val="00587219"/>
    <w:rsid w:val="00591450"/>
    <w:rsid w:val="00591A9C"/>
    <w:rsid w:val="005936C3"/>
    <w:rsid w:val="00594A68"/>
    <w:rsid w:val="005954C7"/>
    <w:rsid w:val="00595520"/>
    <w:rsid w:val="00595A4C"/>
    <w:rsid w:val="00596676"/>
    <w:rsid w:val="005974AD"/>
    <w:rsid w:val="005A016C"/>
    <w:rsid w:val="005A09A6"/>
    <w:rsid w:val="005A187B"/>
    <w:rsid w:val="005A3D22"/>
    <w:rsid w:val="005A44B9"/>
    <w:rsid w:val="005A5DF6"/>
    <w:rsid w:val="005B1BA0"/>
    <w:rsid w:val="005B2C5A"/>
    <w:rsid w:val="005B3DB3"/>
    <w:rsid w:val="005B4613"/>
    <w:rsid w:val="005B594C"/>
    <w:rsid w:val="005B5BBD"/>
    <w:rsid w:val="005B7172"/>
    <w:rsid w:val="005C03AC"/>
    <w:rsid w:val="005C1918"/>
    <w:rsid w:val="005C2792"/>
    <w:rsid w:val="005C42C1"/>
    <w:rsid w:val="005C4B45"/>
    <w:rsid w:val="005C5AE6"/>
    <w:rsid w:val="005C6FA2"/>
    <w:rsid w:val="005D15CA"/>
    <w:rsid w:val="005D2D39"/>
    <w:rsid w:val="005D597C"/>
    <w:rsid w:val="005D5BE1"/>
    <w:rsid w:val="005D5E1E"/>
    <w:rsid w:val="005D7EF4"/>
    <w:rsid w:val="005E45D8"/>
    <w:rsid w:val="005E4847"/>
    <w:rsid w:val="005E4ECC"/>
    <w:rsid w:val="005E5BDA"/>
    <w:rsid w:val="005F3066"/>
    <w:rsid w:val="005F3E61"/>
    <w:rsid w:val="005F4097"/>
    <w:rsid w:val="005F42D0"/>
    <w:rsid w:val="005F4DF8"/>
    <w:rsid w:val="005F4E59"/>
    <w:rsid w:val="005F4FA1"/>
    <w:rsid w:val="005F5ECC"/>
    <w:rsid w:val="005F7742"/>
    <w:rsid w:val="005F7D06"/>
    <w:rsid w:val="00600743"/>
    <w:rsid w:val="00604DDD"/>
    <w:rsid w:val="0060586C"/>
    <w:rsid w:val="00606BDC"/>
    <w:rsid w:val="00610049"/>
    <w:rsid w:val="0061066F"/>
    <w:rsid w:val="00610F05"/>
    <w:rsid w:val="006114A0"/>
    <w:rsid w:val="006115CC"/>
    <w:rsid w:val="00611FC4"/>
    <w:rsid w:val="006136B3"/>
    <w:rsid w:val="0061395D"/>
    <w:rsid w:val="00613AD1"/>
    <w:rsid w:val="00615DE4"/>
    <w:rsid w:val="0061606F"/>
    <w:rsid w:val="006164FB"/>
    <w:rsid w:val="00616B3F"/>
    <w:rsid w:val="00616BD9"/>
    <w:rsid w:val="006176FB"/>
    <w:rsid w:val="00621271"/>
    <w:rsid w:val="00622B18"/>
    <w:rsid w:val="00622F0F"/>
    <w:rsid w:val="00623356"/>
    <w:rsid w:val="00623C4B"/>
    <w:rsid w:val="00623EC9"/>
    <w:rsid w:val="006263FE"/>
    <w:rsid w:val="0062761C"/>
    <w:rsid w:val="00630237"/>
    <w:rsid w:val="006308CB"/>
    <w:rsid w:val="00630FCB"/>
    <w:rsid w:val="00631498"/>
    <w:rsid w:val="00631533"/>
    <w:rsid w:val="00631D3A"/>
    <w:rsid w:val="00631EB2"/>
    <w:rsid w:val="00633113"/>
    <w:rsid w:val="006331FE"/>
    <w:rsid w:val="006348AD"/>
    <w:rsid w:val="0063778C"/>
    <w:rsid w:val="0064052D"/>
    <w:rsid w:val="00640B26"/>
    <w:rsid w:val="00641C6B"/>
    <w:rsid w:val="00642A3D"/>
    <w:rsid w:val="00642B15"/>
    <w:rsid w:val="00645A83"/>
    <w:rsid w:val="00646F6A"/>
    <w:rsid w:val="006506A7"/>
    <w:rsid w:val="00651785"/>
    <w:rsid w:val="006529C5"/>
    <w:rsid w:val="006539CF"/>
    <w:rsid w:val="00653E76"/>
    <w:rsid w:val="00654EFD"/>
    <w:rsid w:val="0065598F"/>
    <w:rsid w:val="00655A72"/>
    <w:rsid w:val="00655FB7"/>
    <w:rsid w:val="0065610F"/>
    <w:rsid w:val="00656247"/>
    <w:rsid w:val="0065731C"/>
    <w:rsid w:val="00661B5A"/>
    <w:rsid w:val="006641DD"/>
    <w:rsid w:val="00665E57"/>
    <w:rsid w:val="00673496"/>
    <w:rsid w:val="006739B0"/>
    <w:rsid w:val="006749FC"/>
    <w:rsid w:val="006770B2"/>
    <w:rsid w:val="00680EE4"/>
    <w:rsid w:val="00682488"/>
    <w:rsid w:val="00682F59"/>
    <w:rsid w:val="00683032"/>
    <w:rsid w:val="00691CDA"/>
    <w:rsid w:val="00693338"/>
    <w:rsid w:val="006940E1"/>
    <w:rsid w:val="006948B8"/>
    <w:rsid w:val="00695219"/>
    <w:rsid w:val="00695A01"/>
    <w:rsid w:val="0069758E"/>
    <w:rsid w:val="006A0ADD"/>
    <w:rsid w:val="006A1181"/>
    <w:rsid w:val="006A2DE4"/>
    <w:rsid w:val="006A3217"/>
    <w:rsid w:val="006A3C72"/>
    <w:rsid w:val="006A41E8"/>
    <w:rsid w:val="006A428E"/>
    <w:rsid w:val="006A560B"/>
    <w:rsid w:val="006A7392"/>
    <w:rsid w:val="006A791A"/>
    <w:rsid w:val="006A7A3C"/>
    <w:rsid w:val="006A7B3F"/>
    <w:rsid w:val="006B017E"/>
    <w:rsid w:val="006B03A1"/>
    <w:rsid w:val="006B2299"/>
    <w:rsid w:val="006B3613"/>
    <w:rsid w:val="006B3E0B"/>
    <w:rsid w:val="006B46FF"/>
    <w:rsid w:val="006B4ECF"/>
    <w:rsid w:val="006B5C4A"/>
    <w:rsid w:val="006B63DA"/>
    <w:rsid w:val="006B66C1"/>
    <w:rsid w:val="006B67D9"/>
    <w:rsid w:val="006B7898"/>
    <w:rsid w:val="006C0F1E"/>
    <w:rsid w:val="006C11AC"/>
    <w:rsid w:val="006C2A62"/>
    <w:rsid w:val="006C377A"/>
    <w:rsid w:val="006C3C08"/>
    <w:rsid w:val="006C495A"/>
    <w:rsid w:val="006C5535"/>
    <w:rsid w:val="006C7058"/>
    <w:rsid w:val="006C7E2F"/>
    <w:rsid w:val="006D017F"/>
    <w:rsid w:val="006D0589"/>
    <w:rsid w:val="006D19CC"/>
    <w:rsid w:val="006D1D98"/>
    <w:rsid w:val="006D31BD"/>
    <w:rsid w:val="006D3E1E"/>
    <w:rsid w:val="006D76C6"/>
    <w:rsid w:val="006D77EA"/>
    <w:rsid w:val="006E1F8A"/>
    <w:rsid w:val="006E31B2"/>
    <w:rsid w:val="006E3EE3"/>
    <w:rsid w:val="006E4A80"/>
    <w:rsid w:val="006E564B"/>
    <w:rsid w:val="006E61E7"/>
    <w:rsid w:val="006E7154"/>
    <w:rsid w:val="006F0747"/>
    <w:rsid w:val="006F07C4"/>
    <w:rsid w:val="006F34B7"/>
    <w:rsid w:val="006F5996"/>
    <w:rsid w:val="006F647A"/>
    <w:rsid w:val="006F7865"/>
    <w:rsid w:val="007002C4"/>
    <w:rsid w:val="007003CD"/>
    <w:rsid w:val="0070045D"/>
    <w:rsid w:val="00702E73"/>
    <w:rsid w:val="0070307E"/>
    <w:rsid w:val="00703D80"/>
    <w:rsid w:val="007043FB"/>
    <w:rsid w:val="0070701E"/>
    <w:rsid w:val="007100DC"/>
    <w:rsid w:val="00710120"/>
    <w:rsid w:val="0071188D"/>
    <w:rsid w:val="00713592"/>
    <w:rsid w:val="00716A80"/>
    <w:rsid w:val="00717779"/>
    <w:rsid w:val="00720A99"/>
    <w:rsid w:val="00720C7F"/>
    <w:rsid w:val="007244FE"/>
    <w:rsid w:val="00724668"/>
    <w:rsid w:val="00724E59"/>
    <w:rsid w:val="00725F61"/>
    <w:rsid w:val="0072632A"/>
    <w:rsid w:val="00726B00"/>
    <w:rsid w:val="0072772B"/>
    <w:rsid w:val="00727AE5"/>
    <w:rsid w:val="00732707"/>
    <w:rsid w:val="007353B0"/>
    <w:rsid w:val="007358E8"/>
    <w:rsid w:val="0073626F"/>
    <w:rsid w:val="00736ECE"/>
    <w:rsid w:val="00740349"/>
    <w:rsid w:val="007423F6"/>
    <w:rsid w:val="00742531"/>
    <w:rsid w:val="00743438"/>
    <w:rsid w:val="0074533B"/>
    <w:rsid w:val="00746906"/>
    <w:rsid w:val="00753589"/>
    <w:rsid w:val="0075479D"/>
    <w:rsid w:val="00755B6A"/>
    <w:rsid w:val="00760CD5"/>
    <w:rsid w:val="00763F4A"/>
    <w:rsid w:val="007643BC"/>
    <w:rsid w:val="00764488"/>
    <w:rsid w:val="007671D3"/>
    <w:rsid w:val="00767C1C"/>
    <w:rsid w:val="0077374B"/>
    <w:rsid w:val="00775E12"/>
    <w:rsid w:val="0077627B"/>
    <w:rsid w:val="00777625"/>
    <w:rsid w:val="00777F38"/>
    <w:rsid w:val="00780493"/>
    <w:rsid w:val="00781978"/>
    <w:rsid w:val="00783CE7"/>
    <w:rsid w:val="0078645F"/>
    <w:rsid w:val="007870A9"/>
    <w:rsid w:val="00787CA4"/>
    <w:rsid w:val="007909A8"/>
    <w:rsid w:val="00793762"/>
    <w:rsid w:val="00793A7E"/>
    <w:rsid w:val="00793C0D"/>
    <w:rsid w:val="0079509A"/>
    <w:rsid w:val="007959FE"/>
    <w:rsid w:val="0079676F"/>
    <w:rsid w:val="007A04F1"/>
    <w:rsid w:val="007A0CF1"/>
    <w:rsid w:val="007A4579"/>
    <w:rsid w:val="007A56CB"/>
    <w:rsid w:val="007A65F6"/>
    <w:rsid w:val="007B1884"/>
    <w:rsid w:val="007B1BCC"/>
    <w:rsid w:val="007B42C0"/>
    <w:rsid w:val="007B6BA5"/>
    <w:rsid w:val="007C2B2E"/>
    <w:rsid w:val="007C3390"/>
    <w:rsid w:val="007C42D8"/>
    <w:rsid w:val="007C46B5"/>
    <w:rsid w:val="007C4F4B"/>
    <w:rsid w:val="007C4FAA"/>
    <w:rsid w:val="007C59D5"/>
    <w:rsid w:val="007C5A9D"/>
    <w:rsid w:val="007D0BF6"/>
    <w:rsid w:val="007D1011"/>
    <w:rsid w:val="007D2972"/>
    <w:rsid w:val="007D2E16"/>
    <w:rsid w:val="007D3BA0"/>
    <w:rsid w:val="007D3D9A"/>
    <w:rsid w:val="007D5940"/>
    <w:rsid w:val="007D7362"/>
    <w:rsid w:val="007D77EE"/>
    <w:rsid w:val="007D7955"/>
    <w:rsid w:val="007D7DBA"/>
    <w:rsid w:val="007E43B8"/>
    <w:rsid w:val="007E4E9A"/>
    <w:rsid w:val="007E5717"/>
    <w:rsid w:val="007E6012"/>
    <w:rsid w:val="007E6B86"/>
    <w:rsid w:val="007E78D9"/>
    <w:rsid w:val="007F01C5"/>
    <w:rsid w:val="007F06A8"/>
    <w:rsid w:val="007F1702"/>
    <w:rsid w:val="007F1A4B"/>
    <w:rsid w:val="007F2F4A"/>
    <w:rsid w:val="007F5CE2"/>
    <w:rsid w:val="007F6611"/>
    <w:rsid w:val="007F77EA"/>
    <w:rsid w:val="007F7C18"/>
    <w:rsid w:val="0080072C"/>
    <w:rsid w:val="00804489"/>
    <w:rsid w:val="00804F3E"/>
    <w:rsid w:val="00805E14"/>
    <w:rsid w:val="00806515"/>
    <w:rsid w:val="008069F0"/>
    <w:rsid w:val="00806A5B"/>
    <w:rsid w:val="00807336"/>
    <w:rsid w:val="0080736C"/>
    <w:rsid w:val="00807641"/>
    <w:rsid w:val="00810AE5"/>
    <w:rsid w:val="00810BAC"/>
    <w:rsid w:val="00812EAB"/>
    <w:rsid w:val="008148C2"/>
    <w:rsid w:val="008148FC"/>
    <w:rsid w:val="008175E9"/>
    <w:rsid w:val="008210E2"/>
    <w:rsid w:val="008213D5"/>
    <w:rsid w:val="008226A8"/>
    <w:rsid w:val="0082296B"/>
    <w:rsid w:val="00822AF8"/>
    <w:rsid w:val="008242D7"/>
    <w:rsid w:val="00825196"/>
    <w:rsid w:val="0082577B"/>
    <w:rsid w:val="00826E8D"/>
    <w:rsid w:val="00827504"/>
    <w:rsid w:val="00831AFA"/>
    <w:rsid w:val="00832425"/>
    <w:rsid w:val="00833257"/>
    <w:rsid w:val="0083364F"/>
    <w:rsid w:val="00833E5A"/>
    <w:rsid w:val="00834201"/>
    <w:rsid w:val="008342AE"/>
    <w:rsid w:val="00840AFD"/>
    <w:rsid w:val="00841857"/>
    <w:rsid w:val="00841BCD"/>
    <w:rsid w:val="00842F02"/>
    <w:rsid w:val="00844E16"/>
    <w:rsid w:val="008454C5"/>
    <w:rsid w:val="00845C12"/>
    <w:rsid w:val="00845CC3"/>
    <w:rsid w:val="00850174"/>
    <w:rsid w:val="0085058D"/>
    <w:rsid w:val="00850C49"/>
    <w:rsid w:val="00851090"/>
    <w:rsid w:val="008511E9"/>
    <w:rsid w:val="008516B1"/>
    <w:rsid w:val="00852F60"/>
    <w:rsid w:val="008544EB"/>
    <w:rsid w:val="008549DE"/>
    <w:rsid w:val="00854ADF"/>
    <w:rsid w:val="00854E2A"/>
    <w:rsid w:val="00855A52"/>
    <w:rsid w:val="00855D71"/>
    <w:rsid w:val="00856CCD"/>
    <w:rsid w:val="00863D12"/>
    <w:rsid w:val="0086402E"/>
    <w:rsid w:val="00864F98"/>
    <w:rsid w:val="00866893"/>
    <w:rsid w:val="00866F02"/>
    <w:rsid w:val="00867385"/>
    <w:rsid w:val="00867D18"/>
    <w:rsid w:val="00870520"/>
    <w:rsid w:val="00870791"/>
    <w:rsid w:val="00871CFA"/>
    <w:rsid w:val="00871F9A"/>
    <w:rsid w:val="00871FD5"/>
    <w:rsid w:val="008738F6"/>
    <w:rsid w:val="00876AF7"/>
    <w:rsid w:val="008770CF"/>
    <w:rsid w:val="00877DA0"/>
    <w:rsid w:val="008805F3"/>
    <w:rsid w:val="00880E8B"/>
    <w:rsid w:val="0088172E"/>
    <w:rsid w:val="00881939"/>
    <w:rsid w:val="00881EFA"/>
    <w:rsid w:val="00882219"/>
    <w:rsid w:val="00884743"/>
    <w:rsid w:val="00886774"/>
    <w:rsid w:val="00886955"/>
    <w:rsid w:val="0088764C"/>
    <w:rsid w:val="008879CB"/>
    <w:rsid w:val="00887EED"/>
    <w:rsid w:val="008909B3"/>
    <w:rsid w:val="00891BC9"/>
    <w:rsid w:val="00891D26"/>
    <w:rsid w:val="00891EBF"/>
    <w:rsid w:val="008923F6"/>
    <w:rsid w:val="00893830"/>
    <w:rsid w:val="008979B1"/>
    <w:rsid w:val="00897ECC"/>
    <w:rsid w:val="008A1B00"/>
    <w:rsid w:val="008A2572"/>
    <w:rsid w:val="008A339A"/>
    <w:rsid w:val="008A481D"/>
    <w:rsid w:val="008A4F6C"/>
    <w:rsid w:val="008A6B25"/>
    <w:rsid w:val="008A6C4F"/>
    <w:rsid w:val="008A7BC0"/>
    <w:rsid w:val="008B1E8B"/>
    <w:rsid w:val="008B27AC"/>
    <w:rsid w:val="008B389E"/>
    <w:rsid w:val="008B4ACE"/>
    <w:rsid w:val="008B7F23"/>
    <w:rsid w:val="008C1727"/>
    <w:rsid w:val="008C2576"/>
    <w:rsid w:val="008C2D65"/>
    <w:rsid w:val="008C3AE6"/>
    <w:rsid w:val="008C4066"/>
    <w:rsid w:val="008C6197"/>
    <w:rsid w:val="008D045E"/>
    <w:rsid w:val="008D0B7F"/>
    <w:rsid w:val="008D146D"/>
    <w:rsid w:val="008D25FC"/>
    <w:rsid w:val="008D2B3A"/>
    <w:rsid w:val="008D3399"/>
    <w:rsid w:val="008D3819"/>
    <w:rsid w:val="008D3F25"/>
    <w:rsid w:val="008D4D82"/>
    <w:rsid w:val="008D7371"/>
    <w:rsid w:val="008E0854"/>
    <w:rsid w:val="008E0E46"/>
    <w:rsid w:val="008E0F71"/>
    <w:rsid w:val="008E1258"/>
    <w:rsid w:val="008E1F32"/>
    <w:rsid w:val="008E63A8"/>
    <w:rsid w:val="008E7116"/>
    <w:rsid w:val="008F143B"/>
    <w:rsid w:val="008F3882"/>
    <w:rsid w:val="008F40FB"/>
    <w:rsid w:val="008F464F"/>
    <w:rsid w:val="008F4981"/>
    <w:rsid w:val="008F4B7C"/>
    <w:rsid w:val="008F4BB1"/>
    <w:rsid w:val="008F6FCF"/>
    <w:rsid w:val="00901700"/>
    <w:rsid w:val="00902C63"/>
    <w:rsid w:val="00902F1E"/>
    <w:rsid w:val="00903342"/>
    <w:rsid w:val="0090355F"/>
    <w:rsid w:val="00904CF2"/>
    <w:rsid w:val="00907144"/>
    <w:rsid w:val="00910B7A"/>
    <w:rsid w:val="00913BB2"/>
    <w:rsid w:val="00914A4F"/>
    <w:rsid w:val="00915D66"/>
    <w:rsid w:val="00916351"/>
    <w:rsid w:val="00917A2C"/>
    <w:rsid w:val="009219A5"/>
    <w:rsid w:val="00925BB5"/>
    <w:rsid w:val="00925F73"/>
    <w:rsid w:val="00926E47"/>
    <w:rsid w:val="0092756E"/>
    <w:rsid w:val="00932F5C"/>
    <w:rsid w:val="00933E77"/>
    <w:rsid w:val="00935437"/>
    <w:rsid w:val="00936489"/>
    <w:rsid w:val="009364F7"/>
    <w:rsid w:val="00943DC2"/>
    <w:rsid w:val="00945F6F"/>
    <w:rsid w:val="00947162"/>
    <w:rsid w:val="00950DBF"/>
    <w:rsid w:val="00951F2B"/>
    <w:rsid w:val="00953FBB"/>
    <w:rsid w:val="009557CF"/>
    <w:rsid w:val="009610D0"/>
    <w:rsid w:val="00961DB4"/>
    <w:rsid w:val="0096375C"/>
    <w:rsid w:val="0096392A"/>
    <w:rsid w:val="00964219"/>
    <w:rsid w:val="0096492D"/>
    <w:rsid w:val="009662E6"/>
    <w:rsid w:val="00967019"/>
    <w:rsid w:val="009673B4"/>
    <w:rsid w:val="00967E66"/>
    <w:rsid w:val="00967E68"/>
    <w:rsid w:val="0097095E"/>
    <w:rsid w:val="00973C11"/>
    <w:rsid w:val="00974DD6"/>
    <w:rsid w:val="009750E7"/>
    <w:rsid w:val="00975360"/>
    <w:rsid w:val="00975BDD"/>
    <w:rsid w:val="00975D66"/>
    <w:rsid w:val="00975E15"/>
    <w:rsid w:val="00975EC1"/>
    <w:rsid w:val="00977310"/>
    <w:rsid w:val="0098075A"/>
    <w:rsid w:val="00983C30"/>
    <w:rsid w:val="009852BA"/>
    <w:rsid w:val="0098592B"/>
    <w:rsid w:val="00985F0A"/>
    <w:rsid w:val="00985FC4"/>
    <w:rsid w:val="00990726"/>
    <w:rsid w:val="00990766"/>
    <w:rsid w:val="00991261"/>
    <w:rsid w:val="00991AA8"/>
    <w:rsid w:val="009926B2"/>
    <w:rsid w:val="00995403"/>
    <w:rsid w:val="00995D4F"/>
    <w:rsid w:val="009964C4"/>
    <w:rsid w:val="00997649"/>
    <w:rsid w:val="00997BAE"/>
    <w:rsid w:val="00997FA8"/>
    <w:rsid w:val="009A79E7"/>
    <w:rsid w:val="009A7B81"/>
    <w:rsid w:val="009B04E0"/>
    <w:rsid w:val="009B5C80"/>
    <w:rsid w:val="009B6302"/>
    <w:rsid w:val="009B64A4"/>
    <w:rsid w:val="009C2D59"/>
    <w:rsid w:val="009C46EA"/>
    <w:rsid w:val="009C5A16"/>
    <w:rsid w:val="009C5C04"/>
    <w:rsid w:val="009D01C0"/>
    <w:rsid w:val="009D0453"/>
    <w:rsid w:val="009D2FFD"/>
    <w:rsid w:val="009D34F7"/>
    <w:rsid w:val="009D43F4"/>
    <w:rsid w:val="009D6A08"/>
    <w:rsid w:val="009D7FA1"/>
    <w:rsid w:val="009E0A16"/>
    <w:rsid w:val="009E0C87"/>
    <w:rsid w:val="009E2368"/>
    <w:rsid w:val="009E3460"/>
    <w:rsid w:val="009E3AC1"/>
    <w:rsid w:val="009E4401"/>
    <w:rsid w:val="009E6CB7"/>
    <w:rsid w:val="009E7970"/>
    <w:rsid w:val="009F1175"/>
    <w:rsid w:val="009F2EAC"/>
    <w:rsid w:val="009F4978"/>
    <w:rsid w:val="009F57E3"/>
    <w:rsid w:val="009F5997"/>
    <w:rsid w:val="009F62C6"/>
    <w:rsid w:val="00A03E1F"/>
    <w:rsid w:val="00A0425A"/>
    <w:rsid w:val="00A05317"/>
    <w:rsid w:val="00A05F05"/>
    <w:rsid w:val="00A05F9A"/>
    <w:rsid w:val="00A0690C"/>
    <w:rsid w:val="00A076C4"/>
    <w:rsid w:val="00A104E1"/>
    <w:rsid w:val="00A10C76"/>
    <w:rsid w:val="00A10F4F"/>
    <w:rsid w:val="00A11067"/>
    <w:rsid w:val="00A12E67"/>
    <w:rsid w:val="00A1450C"/>
    <w:rsid w:val="00A145F7"/>
    <w:rsid w:val="00A15B89"/>
    <w:rsid w:val="00A1704A"/>
    <w:rsid w:val="00A1795D"/>
    <w:rsid w:val="00A17DCA"/>
    <w:rsid w:val="00A17E2A"/>
    <w:rsid w:val="00A20E4F"/>
    <w:rsid w:val="00A2194F"/>
    <w:rsid w:val="00A231EA"/>
    <w:rsid w:val="00A25C8D"/>
    <w:rsid w:val="00A30B46"/>
    <w:rsid w:val="00A31186"/>
    <w:rsid w:val="00A317AB"/>
    <w:rsid w:val="00A31AE0"/>
    <w:rsid w:val="00A32468"/>
    <w:rsid w:val="00A327F3"/>
    <w:rsid w:val="00A3336E"/>
    <w:rsid w:val="00A34D5E"/>
    <w:rsid w:val="00A36543"/>
    <w:rsid w:val="00A36ABD"/>
    <w:rsid w:val="00A374AC"/>
    <w:rsid w:val="00A40C6E"/>
    <w:rsid w:val="00A425EB"/>
    <w:rsid w:val="00A45603"/>
    <w:rsid w:val="00A470ED"/>
    <w:rsid w:val="00A555F2"/>
    <w:rsid w:val="00A557C1"/>
    <w:rsid w:val="00A566E4"/>
    <w:rsid w:val="00A57612"/>
    <w:rsid w:val="00A57B7A"/>
    <w:rsid w:val="00A606A8"/>
    <w:rsid w:val="00A60C7E"/>
    <w:rsid w:val="00A60CD8"/>
    <w:rsid w:val="00A615D5"/>
    <w:rsid w:val="00A616A5"/>
    <w:rsid w:val="00A621FF"/>
    <w:rsid w:val="00A624CF"/>
    <w:rsid w:val="00A62A95"/>
    <w:rsid w:val="00A62AEC"/>
    <w:rsid w:val="00A631E2"/>
    <w:rsid w:val="00A63B90"/>
    <w:rsid w:val="00A679FE"/>
    <w:rsid w:val="00A67B3E"/>
    <w:rsid w:val="00A7137E"/>
    <w:rsid w:val="00A7150E"/>
    <w:rsid w:val="00A72A65"/>
    <w:rsid w:val="00A72F22"/>
    <w:rsid w:val="00A733BC"/>
    <w:rsid w:val="00A739A1"/>
    <w:rsid w:val="00A748A6"/>
    <w:rsid w:val="00A74D0D"/>
    <w:rsid w:val="00A761BF"/>
    <w:rsid w:val="00A76804"/>
    <w:rsid w:val="00A7687E"/>
    <w:rsid w:val="00A76A69"/>
    <w:rsid w:val="00A80905"/>
    <w:rsid w:val="00A80C4D"/>
    <w:rsid w:val="00A80F3E"/>
    <w:rsid w:val="00A814C5"/>
    <w:rsid w:val="00A817F4"/>
    <w:rsid w:val="00A8250B"/>
    <w:rsid w:val="00A83572"/>
    <w:rsid w:val="00A85FBB"/>
    <w:rsid w:val="00A8654A"/>
    <w:rsid w:val="00A866FF"/>
    <w:rsid w:val="00A879A4"/>
    <w:rsid w:val="00A91B8C"/>
    <w:rsid w:val="00A931A4"/>
    <w:rsid w:val="00A93629"/>
    <w:rsid w:val="00A962F3"/>
    <w:rsid w:val="00AA0FF8"/>
    <w:rsid w:val="00AA1093"/>
    <w:rsid w:val="00AA1F66"/>
    <w:rsid w:val="00AA2191"/>
    <w:rsid w:val="00AA31AE"/>
    <w:rsid w:val="00AA3319"/>
    <w:rsid w:val="00AA5FD7"/>
    <w:rsid w:val="00AB0E76"/>
    <w:rsid w:val="00AB2489"/>
    <w:rsid w:val="00AB2955"/>
    <w:rsid w:val="00AB41B5"/>
    <w:rsid w:val="00AB4452"/>
    <w:rsid w:val="00AB4ABE"/>
    <w:rsid w:val="00AB4BD8"/>
    <w:rsid w:val="00AB4EE2"/>
    <w:rsid w:val="00AB618D"/>
    <w:rsid w:val="00AC0F2C"/>
    <w:rsid w:val="00AC431B"/>
    <w:rsid w:val="00AC4FAC"/>
    <w:rsid w:val="00AC502A"/>
    <w:rsid w:val="00AC7317"/>
    <w:rsid w:val="00AC7EDC"/>
    <w:rsid w:val="00AC7F71"/>
    <w:rsid w:val="00AD15C5"/>
    <w:rsid w:val="00AD4493"/>
    <w:rsid w:val="00AD4A1E"/>
    <w:rsid w:val="00AD5666"/>
    <w:rsid w:val="00AE0EDA"/>
    <w:rsid w:val="00AE260C"/>
    <w:rsid w:val="00AE44BE"/>
    <w:rsid w:val="00AE5BB9"/>
    <w:rsid w:val="00AE5E4C"/>
    <w:rsid w:val="00AE688C"/>
    <w:rsid w:val="00AE72E7"/>
    <w:rsid w:val="00AF0378"/>
    <w:rsid w:val="00AF1CD4"/>
    <w:rsid w:val="00AF283C"/>
    <w:rsid w:val="00AF33C7"/>
    <w:rsid w:val="00AF35E7"/>
    <w:rsid w:val="00AF4F4C"/>
    <w:rsid w:val="00AF58C1"/>
    <w:rsid w:val="00AF6E19"/>
    <w:rsid w:val="00B0183A"/>
    <w:rsid w:val="00B018F5"/>
    <w:rsid w:val="00B026AC"/>
    <w:rsid w:val="00B02F52"/>
    <w:rsid w:val="00B03EE5"/>
    <w:rsid w:val="00B04A3F"/>
    <w:rsid w:val="00B0539B"/>
    <w:rsid w:val="00B05FF4"/>
    <w:rsid w:val="00B06157"/>
    <w:rsid w:val="00B06643"/>
    <w:rsid w:val="00B10BF0"/>
    <w:rsid w:val="00B11946"/>
    <w:rsid w:val="00B146C0"/>
    <w:rsid w:val="00B15055"/>
    <w:rsid w:val="00B162D5"/>
    <w:rsid w:val="00B174EA"/>
    <w:rsid w:val="00B200EA"/>
    <w:rsid w:val="00B22CE3"/>
    <w:rsid w:val="00B24AB9"/>
    <w:rsid w:val="00B259E2"/>
    <w:rsid w:val="00B25C8D"/>
    <w:rsid w:val="00B26A98"/>
    <w:rsid w:val="00B27161"/>
    <w:rsid w:val="00B27BDD"/>
    <w:rsid w:val="00B30179"/>
    <w:rsid w:val="00B301A0"/>
    <w:rsid w:val="00B31BEA"/>
    <w:rsid w:val="00B32216"/>
    <w:rsid w:val="00B322DD"/>
    <w:rsid w:val="00B32F92"/>
    <w:rsid w:val="00B3322B"/>
    <w:rsid w:val="00B34B69"/>
    <w:rsid w:val="00B35A40"/>
    <w:rsid w:val="00B36974"/>
    <w:rsid w:val="00B37B15"/>
    <w:rsid w:val="00B427B5"/>
    <w:rsid w:val="00B45C02"/>
    <w:rsid w:val="00B4624F"/>
    <w:rsid w:val="00B47DAD"/>
    <w:rsid w:val="00B5003A"/>
    <w:rsid w:val="00B51036"/>
    <w:rsid w:val="00B51334"/>
    <w:rsid w:val="00B51EF7"/>
    <w:rsid w:val="00B51F24"/>
    <w:rsid w:val="00B5206D"/>
    <w:rsid w:val="00B52711"/>
    <w:rsid w:val="00B53BC6"/>
    <w:rsid w:val="00B548C2"/>
    <w:rsid w:val="00B55DBD"/>
    <w:rsid w:val="00B57B62"/>
    <w:rsid w:val="00B60535"/>
    <w:rsid w:val="00B60DAF"/>
    <w:rsid w:val="00B61073"/>
    <w:rsid w:val="00B623FB"/>
    <w:rsid w:val="00B62B94"/>
    <w:rsid w:val="00B637AF"/>
    <w:rsid w:val="00B64034"/>
    <w:rsid w:val="00B70495"/>
    <w:rsid w:val="00B71894"/>
    <w:rsid w:val="00B71CDD"/>
    <w:rsid w:val="00B72A1E"/>
    <w:rsid w:val="00B72E74"/>
    <w:rsid w:val="00B7561B"/>
    <w:rsid w:val="00B75C76"/>
    <w:rsid w:val="00B77F8D"/>
    <w:rsid w:val="00B81E12"/>
    <w:rsid w:val="00B82ACF"/>
    <w:rsid w:val="00B839EF"/>
    <w:rsid w:val="00B85C5B"/>
    <w:rsid w:val="00B87CEA"/>
    <w:rsid w:val="00B91987"/>
    <w:rsid w:val="00B91FA8"/>
    <w:rsid w:val="00B93420"/>
    <w:rsid w:val="00B93520"/>
    <w:rsid w:val="00BA0C16"/>
    <w:rsid w:val="00BA339B"/>
    <w:rsid w:val="00BA3B13"/>
    <w:rsid w:val="00BA3EDB"/>
    <w:rsid w:val="00BA4DAC"/>
    <w:rsid w:val="00BA5333"/>
    <w:rsid w:val="00BA55EE"/>
    <w:rsid w:val="00BA5AD2"/>
    <w:rsid w:val="00BB11B5"/>
    <w:rsid w:val="00BB4962"/>
    <w:rsid w:val="00BB7715"/>
    <w:rsid w:val="00BC02FF"/>
    <w:rsid w:val="00BC0F14"/>
    <w:rsid w:val="00BC1D2E"/>
    <w:rsid w:val="00BC1E7E"/>
    <w:rsid w:val="00BC38B5"/>
    <w:rsid w:val="00BC4C12"/>
    <w:rsid w:val="00BC74E9"/>
    <w:rsid w:val="00BC7F3C"/>
    <w:rsid w:val="00BD10D7"/>
    <w:rsid w:val="00BD1E83"/>
    <w:rsid w:val="00BD2E1A"/>
    <w:rsid w:val="00BD3865"/>
    <w:rsid w:val="00BD65E7"/>
    <w:rsid w:val="00BD7EA6"/>
    <w:rsid w:val="00BE0E53"/>
    <w:rsid w:val="00BE0EFC"/>
    <w:rsid w:val="00BE36A9"/>
    <w:rsid w:val="00BE4500"/>
    <w:rsid w:val="00BE58BC"/>
    <w:rsid w:val="00BE5AC4"/>
    <w:rsid w:val="00BE618E"/>
    <w:rsid w:val="00BE6E38"/>
    <w:rsid w:val="00BE7BEC"/>
    <w:rsid w:val="00BF012C"/>
    <w:rsid w:val="00BF0A5A"/>
    <w:rsid w:val="00BF0B9C"/>
    <w:rsid w:val="00BF0E63"/>
    <w:rsid w:val="00BF12A3"/>
    <w:rsid w:val="00BF16D7"/>
    <w:rsid w:val="00BF2373"/>
    <w:rsid w:val="00BF249B"/>
    <w:rsid w:val="00BF317C"/>
    <w:rsid w:val="00BF37A5"/>
    <w:rsid w:val="00BF3EE3"/>
    <w:rsid w:val="00BF5B2C"/>
    <w:rsid w:val="00BF6CD1"/>
    <w:rsid w:val="00C00939"/>
    <w:rsid w:val="00C0141A"/>
    <w:rsid w:val="00C03363"/>
    <w:rsid w:val="00C044E2"/>
    <w:rsid w:val="00C048CB"/>
    <w:rsid w:val="00C04F2F"/>
    <w:rsid w:val="00C066F3"/>
    <w:rsid w:val="00C06BEE"/>
    <w:rsid w:val="00C114F9"/>
    <w:rsid w:val="00C11A98"/>
    <w:rsid w:val="00C133A9"/>
    <w:rsid w:val="00C138CA"/>
    <w:rsid w:val="00C14211"/>
    <w:rsid w:val="00C14935"/>
    <w:rsid w:val="00C168BB"/>
    <w:rsid w:val="00C23A6A"/>
    <w:rsid w:val="00C24062"/>
    <w:rsid w:val="00C243B5"/>
    <w:rsid w:val="00C24679"/>
    <w:rsid w:val="00C24917"/>
    <w:rsid w:val="00C30068"/>
    <w:rsid w:val="00C30B49"/>
    <w:rsid w:val="00C323B7"/>
    <w:rsid w:val="00C33187"/>
    <w:rsid w:val="00C33B50"/>
    <w:rsid w:val="00C3539E"/>
    <w:rsid w:val="00C357FF"/>
    <w:rsid w:val="00C411D4"/>
    <w:rsid w:val="00C41E46"/>
    <w:rsid w:val="00C43D79"/>
    <w:rsid w:val="00C4464A"/>
    <w:rsid w:val="00C44EEC"/>
    <w:rsid w:val="00C463DD"/>
    <w:rsid w:val="00C50051"/>
    <w:rsid w:val="00C50AF6"/>
    <w:rsid w:val="00C52F2C"/>
    <w:rsid w:val="00C53F76"/>
    <w:rsid w:val="00C546AA"/>
    <w:rsid w:val="00C54740"/>
    <w:rsid w:val="00C55012"/>
    <w:rsid w:val="00C5625E"/>
    <w:rsid w:val="00C56EDF"/>
    <w:rsid w:val="00C57513"/>
    <w:rsid w:val="00C609FD"/>
    <w:rsid w:val="00C60A90"/>
    <w:rsid w:val="00C61D1C"/>
    <w:rsid w:val="00C63FD0"/>
    <w:rsid w:val="00C6452A"/>
    <w:rsid w:val="00C65658"/>
    <w:rsid w:val="00C65F4E"/>
    <w:rsid w:val="00C66AE5"/>
    <w:rsid w:val="00C67B25"/>
    <w:rsid w:val="00C7169E"/>
    <w:rsid w:val="00C72560"/>
    <w:rsid w:val="00C745C3"/>
    <w:rsid w:val="00C76748"/>
    <w:rsid w:val="00C76923"/>
    <w:rsid w:val="00C817EE"/>
    <w:rsid w:val="00C8281C"/>
    <w:rsid w:val="00C840CD"/>
    <w:rsid w:val="00C87D4C"/>
    <w:rsid w:val="00C90555"/>
    <w:rsid w:val="00C94892"/>
    <w:rsid w:val="00C9550E"/>
    <w:rsid w:val="00C95701"/>
    <w:rsid w:val="00C966A9"/>
    <w:rsid w:val="00CA19DA"/>
    <w:rsid w:val="00CA2200"/>
    <w:rsid w:val="00CA24A4"/>
    <w:rsid w:val="00CA2C8C"/>
    <w:rsid w:val="00CA421F"/>
    <w:rsid w:val="00CA4673"/>
    <w:rsid w:val="00CA4C62"/>
    <w:rsid w:val="00CA5D03"/>
    <w:rsid w:val="00CA5EB0"/>
    <w:rsid w:val="00CA5FB7"/>
    <w:rsid w:val="00CA773E"/>
    <w:rsid w:val="00CB1146"/>
    <w:rsid w:val="00CB1278"/>
    <w:rsid w:val="00CB21DA"/>
    <w:rsid w:val="00CB257B"/>
    <w:rsid w:val="00CB2D0D"/>
    <w:rsid w:val="00CB2D4D"/>
    <w:rsid w:val="00CB348D"/>
    <w:rsid w:val="00CB4C0F"/>
    <w:rsid w:val="00CB581B"/>
    <w:rsid w:val="00CB6EEB"/>
    <w:rsid w:val="00CC0689"/>
    <w:rsid w:val="00CC0D66"/>
    <w:rsid w:val="00CC1F07"/>
    <w:rsid w:val="00CC225B"/>
    <w:rsid w:val="00CC2405"/>
    <w:rsid w:val="00CC29A9"/>
    <w:rsid w:val="00CC48DA"/>
    <w:rsid w:val="00CC53CE"/>
    <w:rsid w:val="00CC590E"/>
    <w:rsid w:val="00CC7602"/>
    <w:rsid w:val="00CC788B"/>
    <w:rsid w:val="00CD0E33"/>
    <w:rsid w:val="00CD20EA"/>
    <w:rsid w:val="00CD4559"/>
    <w:rsid w:val="00CD46F5"/>
    <w:rsid w:val="00CD4BDC"/>
    <w:rsid w:val="00CD50E3"/>
    <w:rsid w:val="00CD5DB4"/>
    <w:rsid w:val="00CD6A6C"/>
    <w:rsid w:val="00CE04E3"/>
    <w:rsid w:val="00CE0C88"/>
    <w:rsid w:val="00CE18BA"/>
    <w:rsid w:val="00CE4A8F"/>
    <w:rsid w:val="00CE4D18"/>
    <w:rsid w:val="00CE7C30"/>
    <w:rsid w:val="00CF06E1"/>
    <w:rsid w:val="00CF071D"/>
    <w:rsid w:val="00CF1B5C"/>
    <w:rsid w:val="00CF6AC8"/>
    <w:rsid w:val="00CF6E76"/>
    <w:rsid w:val="00CF733A"/>
    <w:rsid w:val="00CF74A2"/>
    <w:rsid w:val="00D0106A"/>
    <w:rsid w:val="00D06253"/>
    <w:rsid w:val="00D06690"/>
    <w:rsid w:val="00D075EC"/>
    <w:rsid w:val="00D101D6"/>
    <w:rsid w:val="00D106A0"/>
    <w:rsid w:val="00D1086F"/>
    <w:rsid w:val="00D11D36"/>
    <w:rsid w:val="00D1462D"/>
    <w:rsid w:val="00D15B04"/>
    <w:rsid w:val="00D2031B"/>
    <w:rsid w:val="00D219BD"/>
    <w:rsid w:val="00D22D4E"/>
    <w:rsid w:val="00D239CD"/>
    <w:rsid w:val="00D2417F"/>
    <w:rsid w:val="00D24344"/>
    <w:rsid w:val="00D24B7C"/>
    <w:rsid w:val="00D25FE2"/>
    <w:rsid w:val="00D26526"/>
    <w:rsid w:val="00D26CBC"/>
    <w:rsid w:val="00D30B4F"/>
    <w:rsid w:val="00D3443C"/>
    <w:rsid w:val="00D353BD"/>
    <w:rsid w:val="00D36D1B"/>
    <w:rsid w:val="00D37AD4"/>
    <w:rsid w:val="00D37DA9"/>
    <w:rsid w:val="00D37F9A"/>
    <w:rsid w:val="00D406A7"/>
    <w:rsid w:val="00D42548"/>
    <w:rsid w:val="00D42A37"/>
    <w:rsid w:val="00D43252"/>
    <w:rsid w:val="00D4366A"/>
    <w:rsid w:val="00D43B20"/>
    <w:rsid w:val="00D44D86"/>
    <w:rsid w:val="00D50B7D"/>
    <w:rsid w:val="00D50FDD"/>
    <w:rsid w:val="00D52012"/>
    <w:rsid w:val="00D52D90"/>
    <w:rsid w:val="00D5318F"/>
    <w:rsid w:val="00D53701"/>
    <w:rsid w:val="00D5416F"/>
    <w:rsid w:val="00D55A51"/>
    <w:rsid w:val="00D569E7"/>
    <w:rsid w:val="00D56C87"/>
    <w:rsid w:val="00D61614"/>
    <w:rsid w:val="00D63510"/>
    <w:rsid w:val="00D6367F"/>
    <w:rsid w:val="00D65D24"/>
    <w:rsid w:val="00D67943"/>
    <w:rsid w:val="00D67D6A"/>
    <w:rsid w:val="00D704E5"/>
    <w:rsid w:val="00D723B6"/>
    <w:rsid w:val="00D72727"/>
    <w:rsid w:val="00D7319E"/>
    <w:rsid w:val="00D73DDE"/>
    <w:rsid w:val="00D75C4C"/>
    <w:rsid w:val="00D76D9F"/>
    <w:rsid w:val="00D76DB2"/>
    <w:rsid w:val="00D76F89"/>
    <w:rsid w:val="00D77A2D"/>
    <w:rsid w:val="00D8090A"/>
    <w:rsid w:val="00D820D3"/>
    <w:rsid w:val="00D85A41"/>
    <w:rsid w:val="00D9031A"/>
    <w:rsid w:val="00D91B36"/>
    <w:rsid w:val="00D92442"/>
    <w:rsid w:val="00D92A37"/>
    <w:rsid w:val="00D93830"/>
    <w:rsid w:val="00D93B02"/>
    <w:rsid w:val="00D93F26"/>
    <w:rsid w:val="00D96EF7"/>
    <w:rsid w:val="00D978C6"/>
    <w:rsid w:val="00DA0956"/>
    <w:rsid w:val="00DA11A6"/>
    <w:rsid w:val="00DA1CDE"/>
    <w:rsid w:val="00DA2C84"/>
    <w:rsid w:val="00DA357F"/>
    <w:rsid w:val="00DA363E"/>
    <w:rsid w:val="00DA36B4"/>
    <w:rsid w:val="00DA3924"/>
    <w:rsid w:val="00DA3E12"/>
    <w:rsid w:val="00DA43DD"/>
    <w:rsid w:val="00DA48C6"/>
    <w:rsid w:val="00DA525F"/>
    <w:rsid w:val="00DA57F1"/>
    <w:rsid w:val="00DA58DA"/>
    <w:rsid w:val="00DA659B"/>
    <w:rsid w:val="00DA666A"/>
    <w:rsid w:val="00DB1F4F"/>
    <w:rsid w:val="00DB2B81"/>
    <w:rsid w:val="00DB30EF"/>
    <w:rsid w:val="00DB4FB9"/>
    <w:rsid w:val="00DB531D"/>
    <w:rsid w:val="00DB549B"/>
    <w:rsid w:val="00DB60FA"/>
    <w:rsid w:val="00DB7AC0"/>
    <w:rsid w:val="00DC18AD"/>
    <w:rsid w:val="00DC25F2"/>
    <w:rsid w:val="00DC4A25"/>
    <w:rsid w:val="00DC5542"/>
    <w:rsid w:val="00DC7AD3"/>
    <w:rsid w:val="00DD03D4"/>
    <w:rsid w:val="00DD0490"/>
    <w:rsid w:val="00DD0620"/>
    <w:rsid w:val="00DD189F"/>
    <w:rsid w:val="00DD2AAC"/>
    <w:rsid w:val="00DD3C58"/>
    <w:rsid w:val="00DD3D07"/>
    <w:rsid w:val="00DD4937"/>
    <w:rsid w:val="00DD4F5B"/>
    <w:rsid w:val="00DE2015"/>
    <w:rsid w:val="00DE4733"/>
    <w:rsid w:val="00DE69AF"/>
    <w:rsid w:val="00DF1671"/>
    <w:rsid w:val="00DF1A62"/>
    <w:rsid w:val="00DF1A68"/>
    <w:rsid w:val="00DF282A"/>
    <w:rsid w:val="00DF6B2D"/>
    <w:rsid w:val="00DF78B4"/>
    <w:rsid w:val="00DF7CAE"/>
    <w:rsid w:val="00E004DC"/>
    <w:rsid w:val="00E01227"/>
    <w:rsid w:val="00E04D4A"/>
    <w:rsid w:val="00E04F6F"/>
    <w:rsid w:val="00E05773"/>
    <w:rsid w:val="00E05929"/>
    <w:rsid w:val="00E11EEA"/>
    <w:rsid w:val="00E12B22"/>
    <w:rsid w:val="00E13A24"/>
    <w:rsid w:val="00E141E3"/>
    <w:rsid w:val="00E147FE"/>
    <w:rsid w:val="00E209CF"/>
    <w:rsid w:val="00E23D74"/>
    <w:rsid w:val="00E241AD"/>
    <w:rsid w:val="00E24290"/>
    <w:rsid w:val="00E24AB2"/>
    <w:rsid w:val="00E24CB6"/>
    <w:rsid w:val="00E24E7E"/>
    <w:rsid w:val="00E2544E"/>
    <w:rsid w:val="00E279EC"/>
    <w:rsid w:val="00E30326"/>
    <w:rsid w:val="00E31220"/>
    <w:rsid w:val="00E3266F"/>
    <w:rsid w:val="00E33366"/>
    <w:rsid w:val="00E34E71"/>
    <w:rsid w:val="00E369AF"/>
    <w:rsid w:val="00E374BA"/>
    <w:rsid w:val="00E423C0"/>
    <w:rsid w:val="00E428D1"/>
    <w:rsid w:val="00E42A0C"/>
    <w:rsid w:val="00E438D6"/>
    <w:rsid w:val="00E43AB0"/>
    <w:rsid w:val="00E43C79"/>
    <w:rsid w:val="00E47613"/>
    <w:rsid w:val="00E47789"/>
    <w:rsid w:val="00E50F16"/>
    <w:rsid w:val="00E52FA6"/>
    <w:rsid w:val="00E53899"/>
    <w:rsid w:val="00E54B8D"/>
    <w:rsid w:val="00E5566D"/>
    <w:rsid w:val="00E57075"/>
    <w:rsid w:val="00E60D95"/>
    <w:rsid w:val="00E62349"/>
    <w:rsid w:val="00E62A34"/>
    <w:rsid w:val="00E6414C"/>
    <w:rsid w:val="00E6436D"/>
    <w:rsid w:val="00E6561E"/>
    <w:rsid w:val="00E6752F"/>
    <w:rsid w:val="00E70333"/>
    <w:rsid w:val="00E7260F"/>
    <w:rsid w:val="00E73CB0"/>
    <w:rsid w:val="00E745C3"/>
    <w:rsid w:val="00E768C4"/>
    <w:rsid w:val="00E809E3"/>
    <w:rsid w:val="00E84442"/>
    <w:rsid w:val="00E85304"/>
    <w:rsid w:val="00E8561D"/>
    <w:rsid w:val="00E8587C"/>
    <w:rsid w:val="00E86D34"/>
    <w:rsid w:val="00E86E23"/>
    <w:rsid w:val="00E8702D"/>
    <w:rsid w:val="00E87DC9"/>
    <w:rsid w:val="00E916A9"/>
    <w:rsid w:val="00E916DE"/>
    <w:rsid w:val="00E91B61"/>
    <w:rsid w:val="00E9212C"/>
    <w:rsid w:val="00E925AD"/>
    <w:rsid w:val="00E94E57"/>
    <w:rsid w:val="00E954F0"/>
    <w:rsid w:val="00E96630"/>
    <w:rsid w:val="00E96CF4"/>
    <w:rsid w:val="00EA23CD"/>
    <w:rsid w:val="00EA2F24"/>
    <w:rsid w:val="00EA444B"/>
    <w:rsid w:val="00EB065D"/>
    <w:rsid w:val="00EB2C96"/>
    <w:rsid w:val="00EB3022"/>
    <w:rsid w:val="00EB5860"/>
    <w:rsid w:val="00EB5CC2"/>
    <w:rsid w:val="00EB722E"/>
    <w:rsid w:val="00EB7BC2"/>
    <w:rsid w:val="00EC0D94"/>
    <w:rsid w:val="00EC26E1"/>
    <w:rsid w:val="00EC5FA3"/>
    <w:rsid w:val="00EC7C29"/>
    <w:rsid w:val="00EC7EC8"/>
    <w:rsid w:val="00ED0C01"/>
    <w:rsid w:val="00ED1752"/>
    <w:rsid w:val="00ED18DC"/>
    <w:rsid w:val="00ED37F1"/>
    <w:rsid w:val="00ED6034"/>
    <w:rsid w:val="00ED6201"/>
    <w:rsid w:val="00ED6F04"/>
    <w:rsid w:val="00ED6FC4"/>
    <w:rsid w:val="00ED7424"/>
    <w:rsid w:val="00ED74B0"/>
    <w:rsid w:val="00ED7A2A"/>
    <w:rsid w:val="00ED7A57"/>
    <w:rsid w:val="00EE0BC5"/>
    <w:rsid w:val="00EE43CE"/>
    <w:rsid w:val="00EE499B"/>
    <w:rsid w:val="00EE4AF6"/>
    <w:rsid w:val="00EE502F"/>
    <w:rsid w:val="00EE50A3"/>
    <w:rsid w:val="00EE581C"/>
    <w:rsid w:val="00EE7CF7"/>
    <w:rsid w:val="00EF06A9"/>
    <w:rsid w:val="00EF1C40"/>
    <w:rsid w:val="00EF1D7F"/>
    <w:rsid w:val="00EF1F0E"/>
    <w:rsid w:val="00EF44CC"/>
    <w:rsid w:val="00EF5E62"/>
    <w:rsid w:val="00EF77AA"/>
    <w:rsid w:val="00EF7AED"/>
    <w:rsid w:val="00EF7BF6"/>
    <w:rsid w:val="00F0137E"/>
    <w:rsid w:val="00F014E5"/>
    <w:rsid w:val="00F02405"/>
    <w:rsid w:val="00F03740"/>
    <w:rsid w:val="00F0396F"/>
    <w:rsid w:val="00F03FA4"/>
    <w:rsid w:val="00F0466E"/>
    <w:rsid w:val="00F0604E"/>
    <w:rsid w:val="00F0628C"/>
    <w:rsid w:val="00F100A9"/>
    <w:rsid w:val="00F1019A"/>
    <w:rsid w:val="00F1022C"/>
    <w:rsid w:val="00F103C5"/>
    <w:rsid w:val="00F103D5"/>
    <w:rsid w:val="00F1187C"/>
    <w:rsid w:val="00F12F64"/>
    <w:rsid w:val="00F138BD"/>
    <w:rsid w:val="00F14B3E"/>
    <w:rsid w:val="00F15546"/>
    <w:rsid w:val="00F17485"/>
    <w:rsid w:val="00F17693"/>
    <w:rsid w:val="00F21786"/>
    <w:rsid w:val="00F23BAA"/>
    <w:rsid w:val="00F2417C"/>
    <w:rsid w:val="00F30D22"/>
    <w:rsid w:val="00F319BD"/>
    <w:rsid w:val="00F31D72"/>
    <w:rsid w:val="00F3384B"/>
    <w:rsid w:val="00F3439C"/>
    <w:rsid w:val="00F34950"/>
    <w:rsid w:val="00F363A0"/>
    <w:rsid w:val="00F3742B"/>
    <w:rsid w:val="00F4001D"/>
    <w:rsid w:val="00F419A8"/>
    <w:rsid w:val="00F41FDB"/>
    <w:rsid w:val="00F42541"/>
    <w:rsid w:val="00F4286C"/>
    <w:rsid w:val="00F429D7"/>
    <w:rsid w:val="00F440FB"/>
    <w:rsid w:val="00F45E52"/>
    <w:rsid w:val="00F45E91"/>
    <w:rsid w:val="00F46074"/>
    <w:rsid w:val="00F47113"/>
    <w:rsid w:val="00F507EC"/>
    <w:rsid w:val="00F50F06"/>
    <w:rsid w:val="00F547EB"/>
    <w:rsid w:val="00F5535F"/>
    <w:rsid w:val="00F55C0B"/>
    <w:rsid w:val="00F56D63"/>
    <w:rsid w:val="00F60954"/>
    <w:rsid w:val="00F609A9"/>
    <w:rsid w:val="00F60F61"/>
    <w:rsid w:val="00F63B9D"/>
    <w:rsid w:val="00F64119"/>
    <w:rsid w:val="00F728C2"/>
    <w:rsid w:val="00F73246"/>
    <w:rsid w:val="00F74BC1"/>
    <w:rsid w:val="00F75B24"/>
    <w:rsid w:val="00F80C99"/>
    <w:rsid w:val="00F82F0D"/>
    <w:rsid w:val="00F854DB"/>
    <w:rsid w:val="00F855F1"/>
    <w:rsid w:val="00F867EC"/>
    <w:rsid w:val="00F91B2B"/>
    <w:rsid w:val="00F926C2"/>
    <w:rsid w:val="00F92E99"/>
    <w:rsid w:val="00F947DF"/>
    <w:rsid w:val="00F960C8"/>
    <w:rsid w:val="00F97BB1"/>
    <w:rsid w:val="00FA03AE"/>
    <w:rsid w:val="00FA467F"/>
    <w:rsid w:val="00FA539F"/>
    <w:rsid w:val="00FA70A4"/>
    <w:rsid w:val="00FA791C"/>
    <w:rsid w:val="00FA7A80"/>
    <w:rsid w:val="00FB0963"/>
    <w:rsid w:val="00FB1809"/>
    <w:rsid w:val="00FB1B6E"/>
    <w:rsid w:val="00FB1DF4"/>
    <w:rsid w:val="00FB2497"/>
    <w:rsid w:val="00FB2D11"/>
    <w:rsid w:val="00FB5E8B"/>
    <w:rsid w:val="00FC03CD"/>
    <w:rsid w:val="00FC0646"/>
    <w:rsid w:val="00FC095C"/>
    <w:rsid w:val="00FC395D"/>
    <w:rsid w:val="00FC4AE7"/>
    <w:rsid w:val="00FC68B7"/>
    <w:rsid w:val="00FC742C"/>
    <w:rsid w:val="00FD2844"/>
    <w:rsid w:val="00FD7366"/>
    <w:rsid w:val="00FE04FD"/>
    <w:rsid w:val="00FE0E9F"/>
    <w:rsid w:val="00FE1848"/>
    <w:rsid w:val="00FE3E02"/>
    <w:rsid w:val="00FE4B44"/>
    <w:rsid w:val="00FE4D16"/>
    <w:rsid w:val="00FE6985"/>
    <w:rsid w:val="00FE75A8"/>
    <w:rsid w:val="00FE7FBA"/>
    <w:rsid w:val="00FF1A31"/>
    <w:rsid w:val="00FF2B05"/>
    <w:rsid w:val="00FF56C8"/>
    <w:rsid w:val="00FF7B7F"/>
    <w:rsid w:val="010AE612"/>
    <w:rsid w:val="01542B05"/>
    <w:rsid w:val="02C022DB"/>
    <w:rsid w:val="02E01ED2"/>
    <w:rsid w:val="037EB1F6"/>
    <w:rsid w:val="0395EF32"/>
    <w:rsid w:val="04715FEE"/>
    <w:rsid w:val="048276E9"/>
    <w:rsid w:val="059A49B4"/>
    <w:rsid w:val="065B545F"/>
    <w:rsid w:val="06881B79"/>
    <w:rsid w:val="0740EBEA"/>
    <w:rsid w:val="077EECF3"/>
    <w:rsid w:val="07AFDFE0"/>
    <w:rsid w:val="07B2C698"/>
    <w:rsid w:val="0803ED3B"/>
    <w:rsid w:val="09217671"/>
    <w:rsid w:val="09414779"/>
    <w:rsid w:val="09730DF1"/>
    <w:rsid w:val="097BDB95"/>
    <w:rsid w:val="09818B5B"/>
    <w:rsid w:val="0A51BC61"/>
    <w:rsid w:val="0A89AB3D"/>
    <w:rsid w:val="0AB68DB5"/>
    <w:rsid w:val="0B2F56E5"/>
    <w:rsid w:val="0B54E2FC"/>
    <w:rsid w:val="0B94E263"/>
    <w:rsid w:val="0BBF7EAA"/>
    <w:rsid w:val="0C61AA2D"/>
    <w:rsid w:val="0D33DC2D"/>
    <w:rsid w:val="0D44980A"/>
    <w:rsid w:val="0DD6C87F"/>
    <w:rsid w:val="0E9240D1"/>
    <w:rsid w:val="0EDD50DB"/>
    <w:rsid w:val="0F18CD7E"/>
    <w:rsid w:val="0F64EDE1"/>
    <w:rsid w:val="0FABB5D0"/>
    <w:rsid w:val="0FB087F2"/>
    <w:rsid w:val="0FB41295"/>
    <w:rsid w:val="0FB8A61C"/>
    <w:rsid w:val="0FBD5220"/>
    <w:rsid w:val="0FC6D65D"/>
    <w:rsid w:val="114FE2F6"/>
    <w:rsid w:val="143A4FF8"/>
    <w:rsid w:val="144F128C"/>
    <w:rsid w:val="1558907A"/>
    <w:rsid w:val="15735A20"/>
    <w:rsid w:val="15DF63C0"/>
    <w:rsid w:val="16012DE2"/>
    <w:rsid w:val="16892D1F"/>
    <w:rsid w:val="168F65CD"/>
    <w:rsid w:val="1713BD0D"/>
    <w:rsid w:val="1717170C"/>
    <w:rsid w:val="17C3B801"/>
    <w:rsid w:val="19081CF7"/>
    <w:rsid w:val="1938CEA4"/>
    <w:rsid w:val="19454DF5"/>
    <w:rsid w:val="19AA5F30"/>
    <w:rsid w:val="19DCF526"/>
    <w:rsid w:val="1A70C8D5"/>
    <w:rsid w:val="1AB3CDAE"/>
    <w:rsid w:val="1AD72E05"/>
    <w:rsid w:val="1AFB58C3"/>
    <w:rsid w:val="1B25B064"/>
    <w:rsid w:val="1B579B7C"/>
    <w:rsid w:val="1B5CCC7F"/>
    <w:rsid w:val="1BEBF15E"/>
    <w:rsid w:val="1C0C9936"/>
    <w:rsid w:val="1C972924"/>
    <w:rsid w:val="1D5FC60C"/>
    <w:rsid w:val="1DA80CDE"/>
    <w:rsid w:val="1DDFFC53"/>
    <w:rsid w:val="1EB79040"/>
    <w:rsid w:val="1EBF4448"/>
    <w:rsid w:val="1F1F544A"/>
    <w:rsid w:val="1F26BC78"/>
    <w:rsid w:val="1FB3EA52"/>
    <w:rsid w:val="20389BDD"/>
    <w:rsid w:val="209A4A1C"/>
    <w:rsid w:val="20DF48DB"/>
    <w:rsid w:val="2114B7F8"/>
    <w:rsid w:val="216DF446"/>
    <w:rsid w:val="228ABF33"/>
    <w:rsid w:val="22BA9FF3"/>
    <w:rsid w:val="2309C4A7"/>
    <w:rsid w:val="23714005"/>
    <w:rsid w:val="23CC919F"/>
    <w:rsid w:val="258109F6"/>
    <w:rsid w:val="26080B98"/>
    <w:rsid w:val="26143FCC"/>
    <w:rsid w:val="2B383FDE"/>
    <w:rsid w:val="2BEC1723"/>
    <w:rsid w:val="2BF39EC0"/>
    <w:rsid w:val="2C3D7600"/>
    <w:rsid w:val="2D3AD244"/>
    <w:rsid w:val="2D4B8722"/>
    <w:rsid w:val="2D4E3987"/>
    <w:rsid w:val="2DE16994"/>
    <w:rsid w:val="2DEB4D7A"/>
    <w:rsid w:val="2E0D60F6"/>
    <w:rsid w:val="2E7B0120"/>
    <w:rsid w:val="2E93C08A"/>
    <w:rsid w:val="2E942E4D"/>
    <w:rsid w:val="2EB15B1E"/>
    <w:rsid w:val="2EE6AFA6"/>
    <w:rsid w:val="2FA71B5E"/>
    <w:rsid w:val="30753A03"/>
    <w:rsid w:val="30B5D9F4"/>
    <w:rsid w:val="311DCED0"/>
    <w:rsid w:val="3162C6DF"/>
    <w:rsid w:val="31A6CB27"/>
    <w:rsid w:val="32506194"/>
    <w:rsid w:val="325B58A7"/>
    <w:rsid w:val="32B0E9A0"/>
    <w:rsid w:val="341FF3A2"/>
    <w:rsid w:val="34B059C1"/>
    <w:rsid w:val="34DCAECE"/>
    <w:rsid w:val="3500F13F"/>
    <w:rsid w:val="353ACE58"/>
    <w:rsid w:val="35671F3D"/>
    <w:rsid w:val="35EF3C22"/>
    <w:rsid w:val="36453B72"/>
    <w:rsid w:val="36CF3F20"/>
    <w:rsid w:val="378B0C83"/>
    <w:rsid w:val="378D1054"/>
    <w:rsid w:val="382ACCB5"/>
    <w:rsid w:val="38336A80"/>
    <w:rsid w:val="385AB798"/>
    <w:rsid w:val="3877A7D2"/>
    <w:rsid w:val="3885F2B3"/>
    <w:rsid w:val="38B54F53"/>
    <w:rsid w:val="38B79CA2"/>
    <w:rsid w:val="38F9537D"/>
    <w:rsid w:val="3947A350"/>
    <w:rsid w:val="3A4A38A2"/>
    <w:rsid w:val="3A61D800"/>
    <w:rsid w:val="3A6E5812"/>
    <w:rsid w:val="3A7AE7E9"/>
    <w:rsid w:val="3A9F3B78"/>
    <w:rsid w:val="3BC0BB2A"/>
    <w:rsid w:val="3BC258D2"/>
    <w:rsid w:val="3BFBA2D2"/>
    <w:rsid w:val="3C0A2873"/>
    <w:rsid w:val="3C3A0287"/>
    <w:rsid w:val="3CAB080C"/>
    <w:rsid w:val="3D150DF0"/>
    <w:rsid w:val="3EC392F6"/>
    <w:rsid w:val="3EEE10FA"/>
    <w:rsid w:val="3EF9F994"/>
    <w:rsid w:val="3F4DDA0D"/>
    <w:rsid w:val="3F9401B1"/>
    <w:rsid w:val="406E03C4"/>
    <w:rsid w:val="40D9060F"/>
    <w:rsid w:val="40E62944"/>
    <w:rsid w:val="4213AC9C"/>
    <w:rsid w:val="42239727"/>
    <w:rsid w:val="42319A56"/>
    <w:rsid w:val="427969F7"/>
    <w:rsid w:val="42B42E11"/>
    <w:rsid w:val="4331C327"/>
    <w:rsid w:val="43F3C17B"/>
    <w:rsid w:val="44051307"/>
    <w:rsid w:val="45651286"/>
    <w:rsid w:val="4582659D"/>
    <w:rsid w:val="46665AE2"/>
    <w:rsid w:val="46A03A25"/>
    <w:rsid w:val="46B72E9B"/>
    <w:rsid w:val="4707D818"/>
    <w:rsid w:val="470BFCE0"/>
    <w:rsid w:val="47710451"/>
    <w:rsid w:val="4887DCBF"/>
    <w:rsid w:val="498D1786"/>
    <w:rsid w:val="49BDDDAB"/>
    <w:rsid w:val="49FA9F9F"/>
    <w:rsid w:val="4B0C3318"/>
    <w:rsid w:val="4C99EDA6"/>
    <w:rsid w:val="4D513FD7"/>
    <w:rsid w:val="4EA35E52"/>
    <w:rsid w:val="4F0335C3"/>
    <w:rsid w:val="5088298B"/>
    <w:rsid w:val="5099B6C9"/>
    <w:rsid w:val="50BEF939"/>
    <w:rsid w:val="512B365B"/>
    <w:rsid w:val="51CE57F6"/>
    <w:rsid w:val="52996A31"/>
    <w:rsid w:val="52BA2D06"/>
    <w:rsid w:val="5302B027"/>
    <w:rsid w:val="53720750"/>
    <w:rsid w:val="53A5F8D7"/>
    <w:rsid w:val="54037C03"/>
    <w:rsid w:val="541C2370"/>
    <w:rsid w:val="5427F992"/>
    <w:rsid w:val="54E644D8"/>
    <w:rsid w:val="55598D0C"/>
    <w:rsid w:val="55EB74F6"/>
    <w:rsid w:val="567DA9A9"/>
    <w:rsid w:val="5705D2EF"/>
    <w:rsid w:val="5707ADD9"/>
    <w:rsid w:val="57AFB827"/>
    <w:rsid w:val="57B14324"/>
    <w:rsid w:val="57C4D4C3"/>
    <w:rsid w:val="58C654B5"/>
    <w:rsid w:val="5958B2DF"/>
    <w:rsid w:val="5A3F936B"/>
    <w:rsid w:val="5B37F26F"/>
    <w:rsid w:val="5B42D9D5"/>
    <w:rsid w:val="5C0D6FC8"/>
    <w:rsid w:val="5C0EE87C"/>
    <w:rsid w:val="5C260D8F"/>
    <w:rsid w:val="5CD3C2D0"/>
    <w:rsid w:val="5DB8A7E0"/>
    <w:rsid w:val="5DDFAD76"/>
    <w:rsid w:val="5E3787D3"/>
    <w:rsid w:val="5E61E52A"/>
    <w:rsid w:val="5E712A74"/>
    <w:rsid w:val="5EB034FD"/>
    <w:rsid w:val="5ED8E670"/>
    <w:rsid w:val="5EDD810E"/>
    <w:rsid w:val="5F1040F4"/>
    <w:rsid w:val="5F3925C1"/>
    <w:rsid w:val="5F3B1721"/>
    <w:rsid w:val="600B6392"/>
    <w:rsid w:val="60383BC8"/>
    <w:rsid w:val="623AB7B3"/>
    <w:rsid w:val="6247E1B6"/>
    <w:rsid w:val="62A8ADDD"/>
    <w:rsid w:val="62C41F5F"/>
    <w:rsid w:val="63493819"/>
    <w:rsid w:val="64688A2A"/>
    <w:rsid w:val="64A00F5C"/>
    <w:rsid w:val="64B13FBB"/>
    <w:rsid w:val="65191C92"/>
    <w:rsid w:val="6569BE10"/>
    <w:rsid w:val="65F22391"/>
    <w:rsid w:val="66CD6B96"/>
    <w:rsid w:val="674E5F06"/>
    <w:rsid w:val="67FFDD44"/>
    <w:rsid w:val="6838ACB9"/>
    <w:rsid w:val="684B003B"/>
    <w:rsid w:val="68FAD5B1"/>
    <w:rsid w:val="699002FB"/>
    <w:rsid w:val="69978686"/>
    <w:rsid w:val="69A5D14B"/>
    <w:rsid w:val="69B7A0CC"/>
    <w:rsid w:val="6A4D1AEC"/>
    <w:rsid w:val="6A50F74C"/>
    <w:rsid w:val="6A61A39D"/>
    <w:rsid w:val="6B2BD35C"/>
    <w:rsid w:val="6B7A59F1"/>
    <w:rsid w:val="6B8C9464"/>
    <w:rsid w:val="6BEDF08F"/>
    <w:rsid w:val="6D39137E"/>
    <w:rsid w:val="6DC8BF1C"/>
    <w:rsid w:val="6E63741E"/>
    <w:rsid w:val="6E7E5750"/>
    <w:rsid w:val="6EB3673F"/>
    <w:rsid w:val="6FF8B1C7"/>
    <w:rsid w:val="70151F22"/>
    <w:rsid w:val="70A27487"/>
    <w:rsid w:val="7128C879"/>
    <w:rsid w:val="7135B6F2"/>
    <w:rsid w:val="7259ECCB"/>
    <w:rsid w:val="73C3C634"/>
    <w:rsid w:val="744B7A58"/>
    <w:rsid w:val="749118B2"/>
    <w:rsid w:val="7532DF7D"/>
    <w:rsid w:val="760CDAE2"/>
    <w:rsid w:val="767040D8"/>
    <w:rsid w:val="76F41DC3"/>
    <w:rsid w:val="7775CF69"/>
    <w:rsid w:val="77B2B913"/>
    <w:rsid w:val="7826DE45"/>
    <w:rsid w:val="784BB5EB"/>
    <w:rsid w:val="78F10D10"/>
    <w:rsid w:val="791215BA"/>
    <w:rsid w:val="79261EAB"/>
    <w:rsid w:val="794393F5"/>
    <w:rsid w:val="79682042"/>
    <w:rsid w:val="799075B3"/>
    <w:rsid w:val="79E7864C"/>
    <w:rsid w:val="7A097968"/>
    <w:rsid w:val="7A158278"/>
    <w:rsid w:val="7A2879FA"/>
    <w:rsid w:val="7A729AD2"/>
    <w:rsid w:val="7A922CF8"/>
    <w:rsid w:val="7B7566AE"/>
    <w:rsid w:val="7BCEC769"/>
    <w:rsid w:val="7C50A6B6"/>
    <w:rsid w:val="7CB26CA5"/>
    <w:rsid w:val="7CDF825C"/>
    <w:rsid w:val="7D4C4FB2"/>
    <w:rsid w:val="7E721A9C"/>
    <w:rsid w:val="7EE36CFD"/>
    <w:rsid w:val="7F6D0B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1932F83"/>
  <w15:docId w15:val="{794DEE68-66A9-4518-BBDD-DFE2F2E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link w:val="Heading1Char"/>
    <w:uiPriority w:val="99"/>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rsid w:val="00E925AD"/>
    <w:rPr>
      <w:rFonts w:ascii="Times New Roman" w:hAnsi="Times New Roman"/>
      <w:sz w:val="18"/>
      <w:vertAlign w:val="superscript"/>
    </w:rPr>
  </w:style>
  <w:style w:type="character" w:styleId="FootnoteReference">
    <w:name w:val="footnote reference"/>
    <w:aliases w:val="4_G"/>
    <w:qFormat/>
    <w:rsid w:val="00E925AD"/>
    <w:rPr>
      <w:rFonts w:ascii="Times New Roman" w:hAnsi="Times New Roman"/>
      <w:sz w:val="18"/>
      <w:vertAlign w:val="superscript"/>
    </w:rPr>
  </w:style>
  <w:style w:type="paragraph" w:styleId="FootnoteText">
    <w:name w:val="footnote text"/>
    <w:aliases w:val="5_G,Footnote Text Char2,Footnote Text Char1 Char,Footnote Text Char Char Char,Footnote Text Char1 Char Char Char Char,Footnote Text Char Char Char Char Char Char,Footnote Text Char1 Char Char1 Char,Footnote Text Char Char Char Char1 Cha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7"/>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semiHidden/>
    <w:rsid w:val="00E925AD"/>
    <w:rPr>
      <w:color w:val="auto"/>
      <w:u w:val="none"/>
    </w:rPr>
  </w:style>
  <w:style w:type="paragraph" w:styleId="Footer">
    <w:name w:val="footer"/>
    <w:aliases w:val="3_G"/>
    <w:basedOn w:val="Normal"/>
    <w:rsid w:val="00E925AD"/>
    <w:pPr>
      <w:spacing w:line="240" w:lineRule="auto"/>
    </w:pPr>
    <w:rPr>
      <w:sz w:val="16"/>
    </w:rPr>
  </w:style>
  <w:style w:type="paragraph" w:styleId="Header">
    <w:name w:val="header"/>
    <w:aliases w:val="6_G"/>
    <w:basedOn w:val="Normal"/>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character" w:customStyle="1" w:styleId="SingleTxtGChar">
    <w:name w:val="_ Single Txt_G Char"/>
    <w:link w:val="SingleTxtG"/>
    <w:rsid w:val="002972AD"/>
    <w:rPr>
      <w:lang w:val="en-GB" w:eastAsia="en-US" w:bidi="ar-SA"/>
    </w:rPr>
  </w:style>
  <w:style w:type="character" w:customStyle="1" w:styleId="H1GChar">
    <w:name w:val="_ H_1_G Char"/>
    <w:link w:val="H1G"/>
    <w:rsid w:val="006E1F8A"/>
    <w:rPr>
      <w:b/>
      <w:sz w:val="24"/>
      <w:lang w:val="en-GB" w:eastAsia="en-US" w:bidi="ar-SA"/>
    </w:rPr>
  </w:style>
  <w:style w:type="paragraph" w:styleId="DocumentMap">
    <w:name w:val="Document Map"/>
    <w:basedOn w:val="Normal"/>
    <w:semiHidden/>
    <w:rsid w:val="00D42A37"/>
    <w:pPr>
      <w:shd w:val="clear" w:color="auto" w:fill="000080"/>
    </w:pPr>
    <w:rPr>
      <w:rFonts w:ascii="Tahoma" w:hAnsi="Tahoma" w:cs="Tahoma"/>
    </w:rPr>
  </w:style>
  <w:style w:type="paragraph" w:styleId="BalloonText">
    <w:name w:val="Balloon Text"/>
    <w:basedOn w:val="Normal"/>
    <w:link w:val="BalloonTextChar"/>
    <w:rsid w:val="00C14935"/>
    <w:pPr>
      <w:spacing w:line="240" w:lineRule="auto"/>
    </w:pPr>
    <w:rPr>
      <w:rFonts w:ascii="Tahoma" w:hAnsi="Tahoma" w:cs="Tahoma"/>
      <w:sz w:val="16"/>
      <w:szCs w:val="16"/>
    </w:rPr>
  </w:style>
  <w:style w:type="character" w:customStyle="1" w:styleId="BalloonTextChar">
    <w:name w:val="Balloon Text Char"/>
    <w:link w:val="BalloonText"/>
    <w:rsid w:val="00C14935"/>
    <w:rPr>
      <w:rFonts w:ascii="Tahoma" w:hAnsi="Tahoma" w:cs="Tahoma"/>
      <w:sz w:val="16"/>
      <w:szCs w:val="16"/>
      <w:lang w:eastAsia="en-US"/>
    </w:rPr>
  </w:style>
  <w:style w:type="character" w:styleId="CommentReference">
    <w:name w:val="annotation reference"/>
    <w:uiPriority w:val="99"/>
    <w:rsid w:val="005213B3"/>
    <w:rPr>
      <w:rFonts w:cs="Times New Roman"/>
      <w:sz w:val="16"/>
    </w:rPr>
  </w:style>
  <w:style w:type="paragraph" w:styleId="CommentText">
    <w:name w:val="annotation text"/>
    <w:basedOn w:val="Normal"/>
    <w:link w:val="CommentTextChar"/>
    <w:uiPriority w:val="99"/>
    <w:rsid w:val="005213B3"/>
    <w:pPr>
      <w:spacing w:line="240" w:lineRule="auto"/>
    </w:pPr>
  </w:style>
  <w:style w:type="character" w:customStyle="1" w:styleId="CommentTextChar">
    <w:name w:val="Comment Text Char"/>
    <w:link w:val="CommentText"/>
    <w:uiPriority w:val="99"/>
    <w:rsid w:val="005213B3"/>
    <w:rPr>
      <w:lang w:eastAsia="en-US"/>
    </w:rPr>
  </w:style>
  <w:style w:type="paragraph" w:styleId="CommentSubject">
    <w:name w:val="annotation subject"/>
    <w:basedOn w:val="CommentText"/>
    <w:next w:val="CommentText"/>
    <w:link w:val="CommentSubjectChar"/>
    <w:rsid w:val="002D5F38"/>
    <w:pPr>
      <w:spacing w:line="240" w:lineRule="atLeast"/>
    </w:pPr>
    <w:rPr>
      <w:b/>
      <w:bCs/>
    </w:rPr>
  </w:style>
  <w:style w:type="character" w:customStyle="1" w:styleId="CommentSubjectChar">
    <w:name w:val="Comment Subject Char"/>
    <w:link w:val="CommentSubject"/>
    <w:rsid w:val="002D5F38"/>
    <w:rPr>
      <w:b/>
      <w:bCs/>
      <w:lang w:eastAsia="en-US"/>
    </w:rPr>
  </w:style>
  <w:style w:type="character" w:customStyle="1" w:styleId="SingleTxtGCar">
    <w:name w:val="_ Single Txt_G Car"/>
    <w:rsid w:val="00B52711"/>
    <w:rPr>
      <w:lang w:eastAsia="en-US"/>
    </w:rPr>
  </w:style>
  <w:style w:type="character" w:customStyle="1" w:styleId="Heading1Char">
    <w:name w:val="Heading 1 Char"/>
    <w:aliases w:val="Table_G Char"/>
    <w:basedOn w:val="DefaultParagraphFont"/>
    <w:link w:val="Heading1"/>
    <w:uiPriority w:val="99"/>
    <w:locked/>
    <w:rsid w:val="00BE58BC"/>
    <w:rPr>
      <w:lang w:eastAsia="en-US"/>
    </w:rPr>
  </w:style>
  <w:style w:type="paragraph" w:customStyle="1" w:styleId="Dokumententitel">
    <w:name w:val="Dokumententitel"/>
    <w:basedOn w:val="Heading1"/>
    <w:qFormat/>
    <w:rsid w:val="003F5412"/>
    <w:pPr>
      <w:keepNext/>
      <w:keepLines/>
      <w:suppressAutoHyphens w:val="0"/>
      <w:spacing w:after="120" w:line="300" w:lineRule="atLeast"/>
      <w:ind w:left="0"/>
      <w:outlineLvl w:val="9"/>
    </w:pPr>
    <w:rPr>
      <w:rFonts w:ascii="Roboto Slab" w:eastAsiaTheme="majorEastAsia" w:hAnsi="Roboto Slab" w:cs="Arial"/>
      <w:b/>
      <w:bCs/>
      <w:kern w:val="12"/>
      <w:sz w:val="36"/>
      <w:szCs w:val="24"/>
      <w:lang w:val="de-DE" w:eastAsia="de-DE"/>
    </w:rPr>
  </w:style>
  <w:style w:type="paragraph" w:customStyle="1" w:styleId="Default">
    <w:name w:val="Default"/>
    <w:rsid w:val="008923F6"/>
    <w:pPr>
      <w:autoSpaceDE w:val="0"/>
      <w:autoSpaceDN w:val="0"/>
      <w:adjustRightInd w:val="0"/>
    </w:pPr>
    <w:rPr>
      <w:color w:val="000000"/>
      <w:sz w:val="24"/>
      <w:szCs w:val="24"/>
      <w:lang w:val="en-US"/>
    </w:rPr>
  </w:style>
  <w:style w:type="paragraph" w:customStyle="1" w:styleId="bodytext">
    <w:name w:val="bodytext"/>
    <w:basedOn w:val="Normal"/>
    <w:rsid w:val="007D2E16"/>
    <w:pPr>
      <w:suppressAutoHyphens w:val="0"/>
      <w:spacing w:line="360" w:lineRule="atLeast"/>
      <w:textAlignment w:val="baseline"/>
    </w:pPr>
    <w:rPr>
      <w:sz w:val="24"/>
      <w:szCs w:val="24"/>
      <w:lang w:val="en-US"/>
    </w:rPr>
  </w:style>
  <w:style w:type="character" w:customStyle="1" w:styleId="UnresolvedMention1">
    <w:name w:val="Unresolved Mention1"/>
    <w:basedOn w:val="DefaultParagraphFont"/>
    <w:uiPriority w:val="99"/>
    <w:semiHidden/>
    <w:unhideWhenUsed/>
    <w:rsid w:val="00EE502F"/>
    <w:rPr>
      <w:color w:val="808080"/>
      <w:shd w:val="clear" w:color="auto" w:fill="E6E6E6"/>
    </w:rPr>
  </w:style>
  <w:style w:type="paragraph" w:styleId="Revision">
    <w:name w:val="Revision"/>
    <w:hidden/>
    <w:uiPriority w:val="99"/>
    <w:semiHidden/>
    <w:rsid w:val="00A32468"/>
    <w:rPr>
      <w:lang w:eastAsia="en-US"/>
    </w:rPr>
  </w:style>
  <w:style w:type="character" w:customStyle="1" w:styleId="UnresolvedMention2">
    <w:name w:val="Unresolved Mention2"/>
    <w:basedOn w:val="DefaultParagraphFont"/>
    <w:uiPriority w:val="99"/>
    <w:semiHidden/>
    <w:unhideWhenUsed/>
    <w:rsid w:val="006263FE"/>
    <w:rPr>
      <w:color w:val="808080"/>
      <w:shd w:val="clear" w:color="auto" w:fill="E6E6E6"/>
    </w:rPr>
  </w:style>
  <w:style w:type="character" w:customStyle="1" w:styleId="FootnoteTextChar">
    <w:name w:val="Footnote Text Char"/>
    <w:aliases w:val="5_G Char,Footnote Text Char2 Char,Footnote Text Char1 Char Char,Footnote Text Char Char Char Char,Footnote Text Char1 Char Char Char Char Char,Footnote Text Char Char Char Char Char Char Char,Footnote Text Char1 Char Char1 Char Char"/>
    <w:link w:val="FootnoteText"/>
    <w:rsid w:val="003222C2"/>
    <w:rPr>
      <w:sz w:val="18"/>
      <w:lang w:eastAsia="en-US"/>
    </w:rPr>
  </w:style>
  <w:style w:type="paragraph" w:styleId="ListParagraph">
    <w:name w:val="List Paragraph"/>
    <w:basedOn w:val="Normal"/>
    <w:uiPriority w:val="34"/>
    <w:qFormat/>
    <w:rsid w:val="00FF56C8"/>
    <w:pPr>
      <w:ind w:left="720"/>
      <w:contextualSpacing/>
    </w:pPr>
  </w:style>
  <w:style w:type="character" w:customStyle="1" w:styleId="normaltextrun">
    <w:name w:val="normaltextrun"/>
    <w:basedOn w:val="DefaultParagraphFont"/>
    <w:rsid w:val="00FF1A31"/>
  </w:style>
  <w:style w:type="character" w:customStyle="1" w:styleId="eop">
    <w:name w:val="eop"/>
    <w:basedOn w:val="DefaultParagraphFont"/>
    <w:rsid w:val="00FF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738">
      <w:bodyDiv w:val="1"/>
      <w:marLeft w:val="0"/>
      <w:marRight w:val="0"/>
      <w:marTop w:val="0"/>
      <w:marBottom w:val="0"/>
      <w:divBdr>
        <w:top w:val="none" w:sz="0" w:space="0" w:color="auto"/>
        <w:left w:val="none" w:sz="0" w:space="0" w:color="auto"/>
        <w:bottom w:val="none" w:sz="0" w:space="0" w:color="auto"/>
        <w:right w:val="none" w:sz="0" w:space="0" w:color="auto"/>
      </w:divBdr>
    </w:div>
    <w:div w:id="242297086">
      <w:bodyDiv w:val="1"/>
      <w:marLeft w:val="0"/>
      <w:marRight w:val="0"/>
      <w:marTop w:val="0"/>
      <w:marBottom w:val="0"/>
      <w:divBdr>
        <w:top w:val="none" w:sz="0" w:space="0" w:color="auto"/>
        <w:left w:val="none" w:sz="0" w:space="0" w:color="auto"/>
        <w:bottom w:val="none" w:sz="0" w:space="0" w:color="auto"/>
        <w:right w:val="none" w:sz="0" w:space="0" w:color="auto"/>
      </w:divBdr>
    </w:div>
    <w:div w:id="623075909">
      <w:bodyDiv w:val="1"/>
      <w:marLeft w:val="0"/>
      <w:marRight w:val="0"/>
      <w:marTop w:val="0"/>
      <w:marBottom w:val="0"/>
      <w:divBdr>
        <w:top w:val="none" w:sz="0" w:space="0" w:color="auto"/>
        <w:left w:val="none" w:sz="0" w:space="0" w:color="auto"/>
        <w:bottom w:val="none" w:sz="0" w:space="0" w:color="auto"/>
        <w:right w:val="none" w:sz="0" w:space="0" w:color="auto"/>
      </w:divBdr>
    </w:div>
    <w:div w:id="683090613">
      <w:bodyDiv w:val="1"/>
      <w:marLeft w:val="0"/>
      <w:marRight w:val="0"/>
      <w:marTop w:val="0"/>
      <w:marBottom w:val="0"/>
      <w:divBdr>
        <w:top w:val="none" w:sz="0" w:space="0" w:color="auto"/>
        <w:left w:val="none" w:sz="0" w:space="0" w:color="auto"/>
        <w:bottom w:val="none" w:sz="0" w:space="0" w:color="auto"/>
        <w:right w:val="none" w:sz="0" w:space="0" w:color="auto"/>
      </w:divBdr>
    </w:div>
    <w:div w:id="859587665">
      <w:bodyDiv w:val="1"/>
      <w:marLeft w:val="0"/>
      <w:marRight w:val="0"/>
      <w:marTop w:val="0"/>
      <w:marBottom w:val="0"/>
      <w:divBdr>
        <w:top w:val="none" w:sz="0" w:space="0" w:color="auto"/>
        <w:left w:val="none" w:sz="0" w:space="0" w:color="auto"/>
        <w:bottom w:val="none" w:sz="0" w:space="0" w:color="auto"/>
        <w:right w:val="none" w:sz="0" w:space="0" w:color="auto"/>
      </w:divBdr>
      <w:divsChild>
        <w:div w:id="1972860851">
          <w:marLeft w:val="0"/>
          <w:marRight w:val="0"/>
          <w:marTop w:val="0"/>
          <w:marBottom w:val="0"/>
          <w:divBdr>
            <w:top w:val="none" w:sz="0" w:space="0" w:color="auto"/>
            <w:left w:val="none" w:sz="0" w:space="0" w:color="auto"/>
            <w:bottom w:val="none" w:sz="0" w:space="0" w:color="auto"/>
            <w:right w:val="none" w:sz="0" w:space="0" w:color="auto"/>
          </w:divBdr>
        </w:div>
      </w:divsChild>
    </w:div>
    <w:div w:id="881090266">
      <w:bodyDiv w:val="1"/>
      <w:marLeft w:val="0"/>
      <w:marRight w:val="0"/>
      <w:marTop w:val="0"/>
      <w:marBottom w:val="0"/>
      <w:divBdr>
        <w:top w:val="none" w:sz="0" w:space="0" w:color="auto"/>
        <w:left w:val="none" w:sz="0" w:space="0" w:color="auto"/>
        <w:bottom w:val="none" w:sz="0" w:space="0" w:color="auto"/>
        <w:right w:val="none" w:sz="0" w:space="0" w:color="auto"/>
      </w:divBdr>
      <w:divsChild>
        <w:div w:id="2070104908">
          <w:marLeft w:val="0"/>
          <w:marRight w:val="0"/>
          <w:marTop w:val="0"/>
          <w:marBottom w:val="0"/>
          <w:divBdr>
            <w:top w:val="none" w:sz="0" w:space="0" w:color="auto"/>
            <w:left w:val="none" w:sz="0" w:space="0" w:color="auto"/>
            <w:bottom w:val="none" w:sz="0" w:space="0" w:color="auto"/>
            <w:right w:val="none" w:sz="0" w:space="0" w:color="auto"/>
          </w:divBdr>
          <w:divsChild>
            <w:div w:id="1985307191">
              <w:marLeft w:val="0"/>
              <w:marRight w:val="0"/>
              <w:marTop w:val="0"/>
              <w:marBottom w:val="0"/>
              <w:divBdr>
                <w:top w:val="none" w:sz="0" w:space="0" w:color="auto"/>
                <w:left w:val="none" w:sz="0" w:space="0" w:color="auto"/>
                <w:bottom w:val="none" w:sz="0" w:space="0" w:color="auto"/>
                <w:right w:val="none" w:sz="0" w:space="0" w:color="auto"/>
              </w:divBdr>
              <w:divsChild>
                <w:div w:id="2035842280">
                  <w:marLeft w:val="0"/>
                  <w:marRight w:val="0"/>
                  <w:marTop w:val="0"/>
                  <w:marBottom w:val="0"/>
                  <w:divBdr>
                    <w:top w:val="none" w:sz="0" w:space="0" w:color="auto"/>
                    <w:left w:val="none" w:sz="0" w:space="0" w:color="auto"/>
                    <w:bottom w:val="none" w:sz="0" w:space="0" w:color="auto"/>
                    <w:right w:val="none" w:sz="0" w:space="0" w:color="auto"/>
                  </w:divBdr>
                  <w:divsChild>
                    <w:div w:id="616256584">
                      <w:marLeft w:val="75"/>
                      <w:marRight w:val="75"/>
                      <w:marTop w:val="0"/>
                      <w:marBottom w:val="0"/>
                      <w:divBdr>
                        <w:top w:val="none" w:sz="0" w:space="0" w:color="auto"/>
                        <w:left w:val="none" w:sz="0" w:space="0" w:color="auto"/>
                        <w:bottom w:val="none" w:sz="0" w:space="0" w:color="auto"/>
                        <w:right w:val="none" w:sz="0" w:space="0" w:color="auto"/>
                      </w:divBdr>
                      <w:divsChild>
                        <w:div w:id="965887932">
                          <w:marLeft w:val="0"/>
                          <w:marRight w:val="0"/>
                          <w:marTop w:val="0"/>
                          <w:marBottom w:val="0"/>
                          <w:divBdr>
                            <w:top w:val="none" w:sz="0" w:space="0" w:color="auto"/>
                            <w:left w:val="none" w:sz="0" w:space="0" w:color="auto"/>
                            <w:bottom w:val="none" w:sz="0" w:space="0" w:color="auto"/>
                            <w:right w:val="none" w:sz="0" w:space="0" w:color="auto"/>
                          </w:divBdr>
                          <w:divsChild>
                            <w:div w:id="253368270">
                              <w:marLeft w:val="0"/>
                              <w:marRight w:val="0"/>
                              <w:marTop w:val="0"/>
                              <w:marBottom w:val="0"/>
                              <w:divBdr>
                                <w:top w:val="none" w:sz="0" w:space="0" w:color="auto"/>
                                <w:left w:val="none" w:sz="0" w:space="0" w:color="auto"/>
                                <w:bottom w:val="none" w:sz="0" w:space="0" w:color="auto"/>
                                <w:right w:val="none" w:sz="0" w:space="0" w:color="auto"/>
                              </w:divBdr>
                              <w:divsChild>
                                <w:div w:id="1932079491">
                                  <w:marLeft w:val="0"/>
                                  <w:marRight w:val="0"/>
                                  <w:marTop w:val="0"/>
                                  <w:marBottom w:val="0"/>
                                  <w:divBdr>
                                    <w:top w:val="none" w:sz="0" w:space="0" w:color="auto"/>
                                    <w:left w:val="none" w:sz="0" w:space="0" w:color="auto"/>
                                    <w:bottom w:val="none" w:sz="0" w:space="0" w:color="auto"/>
                                    <w:right w:val="none" w:sz="0" w:space="0" w:color="auto"/>
                                  </w:divBdr>
                                  <w:divsChild>
                                    <w:div w:id="1529299068">
                                      <w:marLeft w:val="0"/>
                                      <w:marRight w:val="0"/>
                                      <w:marTop w:val="0"/>
                                      <w:marBottom w:val="0"/>
                                      <w:divBdr>
                                        <w:top w:val="none" w:sz="0" w:space="0" w:color="auto"/>
                                        <w:left w:val="none" w:sz="0" w:space="0" w:color="auto"/>
                                        <w:bottom w:val="none" w:sz="0" w:space="0" w:color="auto"/>
                                        <w:right w:val="none" w:sz="0" w:space="0" w:color="auto"/>
                                      </w:divBdr>
                                      <w:divsChild>
                                        <w:div w:id="1674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736692">
      <w:bodyDiv w:val="1"/>
      <w:marLeft w:val="0"/>
      <w:marRight w:val="0"/>
      <w:marTop w:val="0"/>
      <w:marBottom w:val="0"/>
      <w:divBdr>
        <w:top w:val="none" w:sz="0" w:space="0" w:color="auto"/>
        <w:left w:val="none" w:sz="0" w:space="0" w:color="auto"/>
        <w:bottom w:val="none" w:sz="0" w:space="0" w:color="auto"/>
        <w:right w:val="none" w:sz="0" w:space="0" w:color="auto"/>
      </w:divBdr>
    </w:div>
    <w:div w:id="20532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ece.org/info/Sustainable-Energy/events/368377" TargetMode="External"/><Relationship Id="rId1" Type="http://schemas.openxmlformats.org/officeDocument/2006/relationships/hyperlink" Target="https://carbonneutrality.une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tta\Templates\ECE+PlainPage\EC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1ae59-7bd5-4fd6-baee-ebb54b863058">
      <Terms xmlns="http://schemas.microsoft.com/office/infopath/2007/PartnerControls"/>
    </lcf76f155ced4ddcb4097134ff3c332f>
    <TaxCatchAll xmlns="985ec44e-1bab-4c0b-9df0-6ba128686fc9" xsi:nil="true"/>
    <Date_x002f_Time xmlns="2321ae59-7bd5-4fd6-baee-ebb54b8630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ED112D2B38947A84F9587AE4D557F" ma:contentTypeVersion="18" ma:contentTypeDescription="Create a new document." ma:contentTypeScope="" ma:versionID="ee54ca1606e2e8acb0bf74037aa7dec5">
  <xsd:schema xmlns:xsd="http://www.w3.org/2001/XMLSchema" xmlns:xs="http://www.w3.org/2001/XMLSchema" xmlns:p="http://schemas.microsoft.com/office/2006/metadata/properties" xmlns:ns2="2321ae59-7bd5-4fd6-baee-ebb54b863058" xmlns:ns3="b7523eb9-e124-4391-9ef4-252df2216ceb" xmlns:ns4="985ec44e-1bab-4c0b-9df0-6ba128686fc9" targetNamespace="http://schemas.microsoft.com/office/2006/metadata/properties" ma:root="true" ma:fieldsID="f92aee8893a014815dc3163f803c70e6" ns2:_="" ns3:_="" ns4:_="">
    <xsd:import namespace="2321ae59-7bd5-4fd6-baee-ebb54b863058"/>
    <xsd:import namespace="b7523eb9-e124-4391-9ef4-252df2216ce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_x002f_Tim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ae59-7bd5-4fd6-baee-ebb54b86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f_Time" ma:index="21" nillable="true" ma:displayName="Date/ 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23eb9-e124-4391-9ef4-252df2216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d2f19f-48f8-487d-a93e-14c83bc3213d}" ma:internalName="TaxCatchAll" ma:showField="CatchAllData" ma:web="b7523eb9-e124-4391-9ef4-252df2216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A5E24-8A89-4659-81A7-3F91E3F52A83}">
  <ds:schemaRefs>
    <ds:schemaRef ds:uri="http://schemas.openxmlformats.org/officeDocument/2006/bibliography"/>
  </ds:schemaRefs>
</ds:datastoreItem>
</file>

<file path=customXml/itemProps2.xml><?xml version="1.0" encoding="utf-8"?>
<ds:datastoreItem xmlns:ds="http://schemas.openxmlformats.org/officeDocument/2006/customXml" ds:itemID="{4A6D1EFE-5DB3-41D0-BA9A-142A3A862C8B}">
  <ds:schemaRefs>
    <ds:schemaRef ds:uri="http://schemas.microsoft.com/office/2006/metadata/properties"/>
    <ds:schemaRef ds:uri="http://schemas.microsoft.com/office/infopath/2007/PartnerControls"/>
    <ds:schemaRef ds:uri="2321ae59-7bd5-4fd6-baee-ebb54b863058"/>
    <ds:schemaRef ds:uri="985ec44e-1bab-4c0b-9df0-6ba128686fc9"/>
  </ds:schemaRefs>
</ds:datastoreItem>
</file>

<file path=customXml/itemProps3.xml><?xml version="1.0" encoding="utf-8"?>
<ds:datastoreItem xmlns:ds="http://schemas.openxmlformats.org/officeDocument/2006/customXml" ds:itemID="{D8A25360-6E4D-476A-9DBA-69F0BA7D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ae59-7bd5-4fd6-baee-ebb54b863058"/>
    <ds:schemaRef ds:uri="b7523eb9-e124-4391-9ef4-252df2216ce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F7E47-8B74-4CC3-894D-F933975EA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ECE_E.dot</Template>
  <TotalTime>78</TotalTime>
  <Pages>7</Pages>
  <Words>3278</Words>
  <Characters>18689</Characters>
  <Application>Microsoft Office Word</Application>
  <DocSecurity>0</DocSecurity>
  <Lines>155</Lines>
  <Paragraphs>43</Paragraphs>
  <ScaleCrop>false</ScaleCrop>
  <Company>CSD</Company>
  <LinksUpToDate>false</LinksUpToDate>
  <CharactersWithSpaces>21924</CharactersWithSpaces>
  <SharedDoc>false</SharedDoc>
  <HLinks>
    <vt:vector size="12" baseType="variant">
      <vt:variant>
        <vt:i4>7929966</vt:i4>
      </vt:variant>
      <vt:variant>
        <vt:i4>3</vt:i4>
      </vt:variant>
      <vt:variant>
        <vt:i4>0</vt:i4>
      </vt:variant>
      <vt:variant>
        <vt:i4>5</vt:i4>
      </vt:variant>
      <vt:variant>
        <vt:lpwstr>https://unece.org/info/Sustainable-Energy/events/368377</vt:lpwstr>
      </vt:variant>
      <vt:variant>
        <vt:lpwstr/>
      </vt:variant>
      <vt:variant>
        <vt:i4>6357040</vt:i4>
      </vt:variant>
      <vt:variant>
        <vt:i4>0</vt:i4>
      </vt:variant>
      <vt:variant>
        <vt:i4>0</vt:i4>
      </vt:variant>
      <vt:variant>
        <vt:i4>5</vt:i4>
      </vt:variant>
      <vt:variant>
        <vt:lpwstr>https://carbonneutrality.unece.org/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Rotta</dc:creator>
  <cp:keywords/>
  <cp:lastModifiedBy>Iva Brkic</cp:lastModifiedBy>
  <cp:revision>93</cp:revision>
  <cp:lastPrinted>2021-09-21T23:59:00Z</cp:lastPrinted>
  <dcterms:created xsi:type="dcterms:W3CDTF">2021-10-08T08:50:00Z</dcterms:created>
  <dcterms:modified xsi:type="dcterms:W3CDTF">2022-09-20T07:11:00Z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0x0101001EFED112D2B38947A84F9587AE4D557F</vt:lpwstr>
  </property>
  <property fmtid="{D5CDD505-2E9C-101B-9397-08002B2CF9AE}" pid="3" name="Order">
    <vt:r8>434400</vt:r8>
  </property>
  <property fmtid="{D5CDD505-2E9C-101B-9397-08002B2CF9AE}" pid="4" name="MediaServiceImageTags">
    <vt:lpwstr/>
  </property>
</Properties>
</file>