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1B4E6B4" w14:textId="77777777" w:rsidTr="00C97039">
        <w:trPr>
          <w:trHeight w:hRule="exact" w:val="851"/>
        </w:trPr>
        <w:tc>
          <w:tcPr>
            <w:tcW w:w="1276" w:type="dxa"/>
            <w:tcBorders>
              <w:bottom w:val="single" w:sz="4" w:space="0" w:color="auto"/>
            </w:tcBorders>
          </w:tcPr>
          <w:p w14:paraId="46A3D41B" w14:textId="77777777" w:rsidR="00F35BAF" w:rsidRPr="00DB58B5" w:rsidRDefault="00F35BAF" w:rsidP="00486FCB"/>
        </w:tc>
        <w:tc>
          <w:tcPr>
            <w:tcW w:w="2268" w:type="dxa"/>
            <w:tcBorders>
              <w:bottom w:val="single" w:sz="4" w:space="0" w:color="auto"/>
            </w:tcBorders>
            <w:vAlign w:val="bottom"/>
          </w:tcPr>
          <w:p w14:paraId="160CD8D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E873F3" w14:textId="71ED934B" w:rsidR="00F35BAF" w:rsidRPr="00DB58B5" w:rsidRDefault="00486FCB" w:rsidP="00486FCB">
            <w:pPr>
              <w:jc w:val="right"/>
            </w:pPr>
            <w:r w:rsidRPr="00486FCB">
              <w:rPr>
                <w:sz w:val="40"/>
              </w:rPr>
              <w:t>ECE</w:t>
            </w:r>
            <w:r>
              <w:t>/TRANS/WP.15/AC.2/2022/45</w:t>
            </w:r>
          </w:p>
        </w:tc>
      </w:tr>
      <w:tr w:rsidR="00F35BAF" w:rsidRPr="00DB58B5" w14:paraId="4A0296DC" w14:textId="77777777" w:rsidTr="00C97039">
        <w:trPr>
          <w:trHeight w:hRule="exact" w:val="2835"/>
        </w:trPr>
        <w:tc>
          <w:tcPr>
            <w:tcW w:w="1276" w:type="dxa"/>
            <w:tcBorders>
              <w:top w:val="single" w:sz="4" w:space="0" w:color="auto"/>
              <w:bottom w:val="single" w:sz="12" w:space="0" w:color="auto"/>
            </w:tcBorders>
          </w:tcPr>
          <w:p w14:paraId="54034E6C" w14:textId="77777777" w:rsidR="00F35BAF" w:rsidRPr="00DB58B5" w:rsidRDefault="00F35BAF" w:rsidP="00C97039">
            <w:pPr>
              <w:spacing w:before="120"/>
              <w:jc w:val="center"/>
            </w:pPr>
            <w:r>
              <w:rPr>
                <w:noProof/>
                <w:lang w:eastAsia="fr-CH"/>
              </w:rPr>
              <w:drawing>
                <wp:inline distT="0" distB="0" distL="0" distR="0" wp14:anchorId="4159D08C" wp14:editId="2DA263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E4669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54C17F8" w14:textId="77777777" w:rsidR="00F35BAF" w:rsidRDefault="00486FCB" w:rsidP="00C97039">
            <w:pPr>
              <w:spacing w:before="240"/>
            </w:pPr>
            <w:r>
              <w:t>Distr. générale</w:t>
            </w:r>
          </w:p>
          <w:p w14:paraId="52A6552A" w14:textId="77777777" w:rsidR="00486FCB" w:rsidRDefault="00486FCB" w:rsidP="00486FCB">
            <w:pPr>
              <w:spacing w:line="240" w:lineRule="exact"/>
            </w:pPr>
            <w:r>
              <w:t>9 juin 2022</w:t>
            </w:r>
          </w:p>
          <w:p w14:paraId="7D1F70AB" w14:textId="77777777" w:rsidR="00486FCB" w:rsidRDefault="00486FCB" w:rsidP="00486FCB">
            <w:pPr>
              <w:spacing w:line="240" w:lineRule="exact"/>
            </w:pPr>
            <w:r>
              <w:t>Français</w:t>
            </w:r>
          </w:p>
          <w:p w14:paraId="5E3FA0A4" w14:textId="34189651" w:rsidR="00486FCB" w:rsidRPr="00DB58B5" w:rsidRDefault="00486FCB" w:rsidP="00486FCB">
            <w:pPr>
              <w:spacing w:line="240" w:lineRule="exact"/>
            </w:pPr>
            <w:r>
              <w:t>Original : anglais</w:t>
            </w:r>
          </w:p>
        </w:tc>
      </w:tr>
    </w:tbl>
    <w:p w14:paraId="6062433F" w14:textId="77777777" w:rsidR="007F20FA" w:rsidRPr="000312C0" w:rsidRDefault="007F20FA" w:rsidP="007F20FA">
      <w:pPr>
        <w:spacing w:before="120"/>
        <w:rPr>
          <w:b/>
          <w:sz w:val="28"/>
          <w:szCs w:val="28"/>
        </w:rPr>
      </w:pPr>
      <w:r w:rsidRPr="000312C0">
        <w:rPr>
          <w:b/>
          <w:sz w:val="28"/>
          <w:szCs w:val="28"/>
        </w:rPr>
        <w:t>Commission économique pour l’Europe</w:t>
      </w:r>
    </w:p>
    <w:p w14:paraId="34BAB31C" w14:textId="77777777" w:rsidR="007F20FA" w:rsidRDefault="007F20FA" w:rsidP="007F20FA">
      <w:pPr>
        <w:spacing w:before="120"/>
        <w:rPr>
          <w:sz w:val="28"/>
          <w:szCs w:val="28"/>
        </w:rPr>
      </w:pPr>
      <w:r w:rsidRPr="00685843">
        <w:rPr>
          <w:sz w:val="28"/>
          <w:szCs w:val="28"/>
        </w:rPr>
        <w:t>Comité des transports intérieurs</w:t>
      </w:r>
    </w:p>
    <w:p w14:paraId="1369A8C0" w14:textId="77777777" w:rsidR="00486FCB" w:rsidRPr="00486FCB" w:rsidRDefault="00486FCB" w:rsidP="00486FCB">
      <w:pPr>
        <w:spacing w:before="120"/>
        <w:rPr>
          <w:b/>
          <w:sz w:val="32"/>
          <w:szCs w:val="32"/>
          <w:lang w:val="fr-FR"/>
        </w:rPr>
      </w:pPr>
      <w:r w:rsidRPr="00486FCB">
        <w:rPr>
          <w:b/>
          <w:bCs/>
          <w:sz w:val="24"/>
          <w:szCs w:val="24"/>
          <w:lang w:val="fr-FR"/>
        </w:rPr>
        <w:t>Groupe de travail des transports de marchandises dangereuses</w:t>
      </w:r>
    </w:p>
    <w:p w14:paraId="577B93E2" w14:textId="78571490" w:rsidR="00486FCB" w:rsidRPr="00E745B1" w:rsidRDefault="00486FCB" w:rsidP="00486FCB">
      <w:pPr>
        <w:spacing w:before="120"/>
        <w:rPr>
          <w:b/>
          <w:bCs/>
          <w:lang w:val="fr-FR"/>
        </w:rPr>
      </w:pPr>
      <w:r>
        <w:rPr>
          <w:b/>
          <w:bCs/>
          <w:lang w:val="fr-FR"/>
        </w:rPr>
        <w:t xml:space="preserve">Réunion commune d’experts du Règlement annexé à l’Accord européen </w:t>
      </w:r>
      <w:r>
        <w:rPr>
          <w:b/>
          <w:bCs/>
          <w:lang w:val="fr-FR"/>
        </w:rPr>
        <w:br/>
      </w:r>
      <w:r>
        <w:rPr>
          <w:b/>
          <w:bCs/>
          <w:lang w:val="fr-FR"/>
        </w:rPr>
        <w:t xml:space="preserve">relatif au transport international des marchandises dangereuses </w:t>
      </w:r>
      <w:r>
        <w:rPr>
          <w:b/>
          <w:bCs/>
          <w:lang w:val="fr-FR"/>
        </w:rPr>
        <w:br/>
      </w:r>
      <w:r>
        <w:rPr>
          <w:b/>
          <w:bCs/>
          <w:lang w:val="fr-FR"/>
        </w:rPr>
        <w:t xml:space="preserve">par voies de navigation intérieures (ADN) </w:t>
      </w:r>
      <w:r>
        <w:rPr>
          <w:b/>
          <w:bCs/>
          <w:lang w:val="fr-FR"/>
        </w:rPr>
        <w:br/>
      </w:r>
      <w:r>
        <w:rPr>
          <w:b/>
          <w:bCs/>
          <w:lang w:val="fr-FR"/>
        </w:rPr>
        <w:t>(Comité de sécurité de l’ADN)</w:t>
      </w:r>
    </w:p>
    <w:p w14:paraId="3AE51F8A" w14:textId="77777777" w:rsidR="00486FCB" w:rsidRPr="00E745B1" w:rsidRDefault="00486FCB" w:rsidP="00486FCB">
      <w:pPr>
        <w:spacing w:before="120"/>
        <w:rPr>
          <w:b/>
          <w:bCs/>
          <w:lang w:val="fr-FR"/>
        </w:rPr>
      </w:pPr>
      <w:r>
        <w:rPr>
          <w:b/>
          <w:bCs/>
          <w:lang w:val="fr-FR"/>
        </w:rPr>
        <w:t>Quarantième session</w:t>
      </w:r>
    </w:p>
    <w:p w14:paraId="02F7D431" w14:textId="77777777" w:rsidR="00486FCB" w:rsidRPr="00E745B1" w:rsidRDefault="00486FCB" w:rsidP="00486FCB">
      <w:pPr>
        <w:rPr>
          <w:lang w:val="fr-FR"/>
        </w:rPr>
      </w:pPr>
      <w:r>
        <w:rPr>
          <w:lang w:val="fr-FR"/>
        </w:rPr>
        <w:t>Genève, 22-26 août 2022</w:t>
      </w:r>
    </w:p>
    <w:p w14:paraId="78941438" w14:textId="77777777" w:rsidR="00486FCB" w:rsidRPr="00E745B1" w:rsidRDefault="00486FCB" w:rsidP="00486FCB">
      <w:pPr>
        <w:rPr>
          <w:lang w:val="fr-FR"/>
        </w:rPr>
      </w:pPr>
      <w:r>
        <w:rPr>
          <w:lang w:val="fr-FR"/>
        </w:rPr>
        <w:t>Point 4 b) de l’ordre du jour provisoire</w:t>
      </w:r>
    </w:p>
    <w:p w14:paraId="63D89FEE" w14:textId="7308D967" w:rsidR="00486FCB" w:rsidRPr="00E745B1" w:rsidRDefault="00486FCB" w:rsidP="00486FCB">
      <w:pPr>
        <w:rPr>
          <w:b/>
          <w:bCs/>
          <w:lang w:val="fr-FR"/>
        </w:rPr>
      </w:pPr>
      <w:r>
        <w:rPr>
          <w:b/>
          <w:bCs/>
          <w:lang w:val="fr-FR"/>
        </w:rPr>
        <w:t>Propositions d’amendements au Règlement annexé à l’ADN</w:t>
      </w:r>
      <w:r>
        <w:rPr>
          <w:b/>
          <w:bCs/>
          <w:lang w:val="fr-FR"/>
        </w:rPr>
        <w:t> </w:t>
      </w:r>
      <w:r>
        <w:rPr>
          <w:b/>
          <w:bCs/>
          <w:lang w:val="fr-FR"/>
        </w:rPr>
        <w:t>:</w:t>
      </w:r>
    </w:p>
    <w:p w14:paraId="087C5A7C" w14:textId="77777777" w:rsidR="00486FCB" w:rsidRPr="00E745B1" w:rsidRDefault="00486FCB" w:rsidP="00486FCB">
      <w:pPr>
        <w:rPr>
          <w:b/>
          <w:bCs/>
          <w:lang w:val="fr-FR"/>
        </w:rPr>
      </w:pPr>
      <w:r>
        <w:rPr>
          <w:b/>
          <w:bCs/>
          <w:lang w:val="fr-FR"/>
        </w:rPr>
        <w:t>autres propositions</w:t>
      </w:r>
    </w:p>
    <w:p w14:paraId="25A8058A" w14:textId="77777777" w:rsidR="00486FCB" w:rsidRPr="00E745B1" w:rsidRDefault="00486FCB" w:rsidP="00486FCB">
      <w:pPr>
        <w:pStyle w:val="HChG"/>
        <w:rPr>
          <w:lang w:val="fr-FR"/>
        </w:rPr>
      </w:pPr>
      <w:r>
        <w:rPr>
          <w:lang w:val="fr-FR"/>
        </w:rPr>
        <w:tab/>
      </w:r>
      <w:r>
        <w:rPr>
          <w:lang w:val="fr-FR"/>
        </w:rPr>
        <w:tab/>
        <w:t>Coupe-flammes pour le dégazage</w:t>
      </w:r>
      <w:bookmarkStart w:id="0" w:name="_Hlk53046188"/>
      <w:bookmarkEnd w:id="0"/>
    </w:p>
    <w:p w14:paraId="39E94557" w14:textId="07E8BBDF" w:rsidR="00486FCB" w:rsidRDefault="00486FCB" w:rsidP="00486FCB">
      <w:pPr>
        <w:pStyle w:val="H1G"/>
        <w:rPr>
          <w:b w:val="0"/>
          <w:bCs/>
          <w:sz w:val="20"/>
        </w:rPr>
      </w:pPr>
      <w:r>
        <w:rPr>
          <w:lang w:val="fr-FR"/>
        </w:rPr>
        <w:tab/>
      </w:r>
      <w:r>
        <w:rPr>
          <w:lang w:val="fr-FR"/>
        </w:rPr>
        <w:tab/>
        <w:t>Communication du Gouvernement néerlandais</w:t>
      </w:r>
      <w:r w:rsidRPr="00486FCB">
        <w:rPr>
          <w:rStyle w:val="Appelnotedebasdep"/>
          <w:b w:val="0"/>
          <w:bCs/>
          <w:sz w:val="20"/>
          <w:vertAlign w:val="baseline"/>
        </w:rPr>
        <w:footnoteReference w:customMarkFollows="1" w:id="2"/>
        <w:t>*</w:t>
      </w:r>
      <w:r w:rsidRPr="00486FCB">
        <w:rPr>
          <w:b w:val="0"/>
          <w:bCs/>
          <w:vertAlign w:val="superscript"/>
          <w:lang w:val="fr-FR"/>
        </w:rPr>
        <w:t xml:space="preserve">, </w:t>
      </w:r>
      <w:r w:rsidRPr="00486FCB">
        <w:rPr>
          <w:rStyle w:val="Appelnotedebasdep"/>
          <w:b w:val="0"/>
          <w:bCs/>
          <w:sz w:val="20"/>
          <w:vertAlign w:val="baseline"/>
        </w:rPr>
        <w:footnoteReference w:customMarkFollows="1" w:id="3"/>
        <w:t>**</w:t>
      </w:r>
    </w:p>
    <w:tbl>
      <w:tblPr>
        <w:tblStyle w:val="1"/>
        <w:tblW w:w="0" w:type="auto"/>
        <w:jc w:val="center"/>
        <w:tblBorders>
          <w:insideH w:val="none" w:sz="0" w:space="0" w:color="auto"/>
        </w:tblBorders>
        <w:tblLayout w:type="fixed"/>
        <w:tblLook w:val="05E0" w:firstRow="1" w:lastRow="1" w:firstColumn="1" w:lastColumn="1" w:noHBand="0" w:noVBand="1"/>
      </w:tblPr>
      <w:tblGrid>
        <w:gridCol w:w="9629"/>
      </w:tblGrid>
      <w:tr w:rsidR="00486FCB" w:rsidRPr="00486FCB" w14:paraId="0D984E5D" w14:textId="77777777" w:rsidTr="00D31623">
        <w:trPr>
          <w:jc w:val="center"/>
        </w:trPr>
        <w:tc>
          <w:tcPr>
            <w:tcW w:w="9629" w:type="dxa"/>
            <w:shd w:val="clear" w:color="auto" w:fill="auto"/>
          </w:tcPr>
          <w:p w14:paraId="71A2CCD0" w14:textId="5242ADFB" w:rsidR="00486FCB" w:rsidRPr="00486FCB" w:rsidRDefault="00486FCB" w:rsidP="00D31623">
            <w:pPr>
              <w:spacing w:before="240" w:after="120"/>
              <w:ind w:left="255"/>
              <w:rPr>
                <w:rFonts w:eastAsia="Times New Roman"/>
                <w:i/>
                <w:sz w:val="24"/>
                <w:szCs w:val="24"/>
                <w:lang w:eastAsia="fr-FR"/>
              </w:rPr>
            </w:pPr>
            <w:r w:rsidRPr="00486FCB">
              <w:rPr>
                <w:rFonts w:eastAsia="Times New Roman"/>
                <w:i/>
                <w:iCs/>
                <w:sz w:val="24"/>
                <w:szCs w:val="24"/>
                <w:lang w:eastAsia="fr-FR"/>
              </w:rPr>
              <w:t>Résumé</w:t>
            </w:r>
          </w:p>
        </w:tc>
      </w:tr>
      <w:tr w:rsidR="00486FCB" w:rsidRPr="00486FCB" w14:paraId="3D0A2C98" w14:textId="77777777" w:rsidTr="00D31623">
        <w:trPr>
          <w:jc w:val="center"/>
        </w:trPr>
        <w:tc>
          <w:tcPr>
            <w:tcW w:w="9629" w:type="dxa"/>
            <w:shd w:val="clear" w:color="auto" w:fill="auto"/>
          </w:tcPr>
          <w:p w14:paraId="2702F092" w14:textId="117F8150" w:rsidR="00486FCB" w:rsidRPr="00486FCB" w:rsidRDefault="00486FCB" w:rsidP="00D31623">
            <w:pPr>
              <w:tabs>
                <w:tab w:val="left" w:pos="284"/>
              </w:tabs>
              <w:spacing w:before="120"/>
              <w:ind w:left="2835" w:right="139" w:hanging="2835"/>
              <w:rPr>
                <w:rFonts w:eastAsia="Times New Roman"/>
                <w:bCs/>
                <w:lang w:eastAsia="fr-FR"/>
              </w:rPr>
            </w:pPr>
            <w:r w:rsidRPr="00486FCB">
              <w:rPr>
                <w:rFonts w:eastAsia="Times New Roman"/>
                <w:lang w:eastAsia="fr-FR"/>
              </w:rPr>
              <w:tab/>
            </w:r>
            <w:r w:rsidRPr="00486FCB">
              <w:rPr>
                <w:rFonts w:eastAsia="Times New Roman"/>
                <w:b/>
                <w:bCs/>
                <w:lang w:eastAsia="fr-FR"/>
              </w:rPr>
              <w:t>Résumé analytique</w:t>
            </w:r>
            <w:r w:rsidRPr="00486FCB">
              <w:rPr>
                <w:rFonts w:eastAsia="Times New Roman"/>
                <w:b/>
                <w:bCs/>
                <w:lang w:eastAsia="fr-FR"/>
              </w:rPr>
              <w:t> </w:t>
            </w:r>
            <w:r w:rsidRPr="00486FCB">
              <w:rPr>
                <w:rFonts w:eastAsia="Times New Roman"/>
                <w:b/>
                <w:bCs/>
                <w:lang w:eastAsia="fr-FR"/>
              </w:rPr>
              <w:t>:</w:t>
            </w:r>
            <w:r w:rsidRPr="00486FCB">
              <w:rPr>
                <w:rFonts w:eastAsia="Times New Roman"/>
                <w:lang w:eastAsia="fr-FR"/>
              </w:rPr>
              <w:tab/>
              <w:t>Néant</w:t>
            </w:r>
          </w:p>
          <w:p w14:paraId="36D3E004" w14:textId="3680EF09" w:rsidR="00486FCB" w:rsidRPr="00486FCB" w:rsidRDefault="00486FCB" w:rsidP="00D31623">
            <w:pPr>
              <w:tabs>
                <w:tab w:val="left" w:pos="284"/>
              </w:tabs>
              <w:spacing w:before="120"/>
              <w:ind w:left="2835" w:right="139" w:hanging="2835"/>
              <w:rPr>
                <w:rFonts w:eastAsia="Times New Roman"/>
                <w:bCs/>
                <w:lang w:eastAsia="fr-FR"/>
              </w:rPr>
            </w:pPr>
            <w:r w:rsidRPr="00486FCB">
              <w:rPr>
                <w:rFonts w:eastAsia="Times New Roman"/>
                <w:lang w:eastAsia="fr-FR"/>
              </w:rPr>
              <w:tab/>
            </w:r>
            <w:r w:rsidRPr="00486FCB">
              <w:rPr>
                <w:rFonts w:eastAsia="Times New Roman"/>
                <w:b/>
                <w:bCs/>
                <w:lang w:eastAsia="fr-FR"/>
              </w:rPr>
              <w:t>Mesures à prendre</w:t>
            </w:r>
            <w:r w:rsidRPr="00486FCB">
              <w:rPr>
                <w:rFonts w:eastAsia="Times New Roman"/>
                <w:b/>
                <w:bCs/>
                <w:lang w:eastAsia="fr-FR"/>
              </w:rPr>
              <w:t> </w:t>
            </w:r>
            <w:r w:rsidRPr="00486FCB">
              <w:rPr>
                <w:rFonts w:eastAsia="Times New Roman"/>
                <w:b/>
                <w:bCs/>
                <w:lang w:eastAsia="fr-FR"/>
              </w:rPr>
              <w:t>:</w:t>
            </w:r>
            <w:r w:rsidRPr="00486FCB">
              <w:rPr>
                <w:rFonts w:eastAsia="Times New Roman"/>
                <w:lang w:eastAsia="fr-FR"/>
              </w:rPr>
              <w:tab/>
              <w:t>Néant</w:t>
            </w:r>
          </w:p>
          <w:p w14:paraId="7945BE29" w14:textId="14F070A9" w:rsidR="00486FCB" w:rsidRPr="00486FCB" w:rsidRDefault="00486FCB" w:rsidP="00D31623">
            <w:pPr>
              <w:tabs>
                <w:tab w:val="left" w:pos="284"/>
              </w:tabs>
              <w:spacing w:before="120"/>
              <w:ind w:left="2835" w:right="139" w:hanging="2835"/>
              <w:rPr>
                <w:rFonts w:eastAsia="Times New Roman"/>
                <w:lang w:eastAsia="fr-FR"/>
              </w:rPr>
            </w:pPr>
            <w:r w:rsidRPr="00486FCB">
              <w:rPr>
                <w:rFonts w:eastAsia="Times New Roman"/>
                <w:lang w:eastAsia="fr-FR"/>
              </w:rPr>
              <w:tab/>
            </w:r>
            <w:r w:rsidRPr="00486FCB">
              <w:rPr>
                <w:rFonts w:eastAsia="Times New Roman"/>
                <w:b/>
                <w:bCs/>
                <w:lang w:eastAsia="fr-FR"/>
              </w:rPr>
              <w:t>Documents connexes</w:t>
            </w:r>
            <w:r w:rsidRPr="00486FCB">
              <w:rPr>
                <w:rFonts w:eastAsia="Times New Roman"/>
                <w:b/>
                <w:bCs/>
                <w:lang w:eastAsia="fr-FR"/>
              </w:rPr>
              <w:t> </w:t>
            </w:r>
            <w:r w:rsidRPr="00486FCB">
              <w:rPr>
                <w:rFonts w:eastAsia="Times New Roman"/>
                <w:b/>
                <w:bCs/>
                <w:lang w:eastAsia="fr-FR"/>
              </w:rPr>
              <w:t>:</w:t>
            </w:r>
            <w:r w:rsidRPr="00486FCB">
              <w:rPr>
                <w:rFonts w:eastAsia="Times New Roman"/>
                <w:lang w:eastAsia="fr-FR"/>
              </w:rPr>
              <w:tab/>
              <w:t xml:space="preserve">Document informel INF.14 de la trente-neuvième session du Comité de sécurité </w:t>
            </w:r>
            <w:r>
              <w:rPr>
                <w:rFonts w:eastAsia="Times New Roman"/>
                <w:lang w:eastAsia="fr-FR"/>
              </w:rPr>
              <w:br/>
            </w:r>
            <w:r w:rsidRPr="00486FCB">
              <w:rPr>
                <w:rFonts w:eastAsia="Times New Roman"/>
                <w:lang w:eastAsia="fr-FR"/>
              </w:rPr>
              <w:t>de l’ADN</w:t>
            </w:r>
          </w:p>
          <w:p w14:paraId="039D1A64" w14:textId="77777777" w:rsidR="00486FCB" w:rsidRPr="00486FCB" w:rsidRDefault="00486FCB" w:rsidP="00D31623">
            <w:pPr>
              <w:tabs>
                <w:tab w:val="left" w:pos="284"/>
              </w:tabs>
              <w:spacing w:before="120"/>
              <w:ind w:left="2835" w:right="139" w:hanging="2835"/>
              <w:rPr>
                <w:rFonts w:eastAsia="Times New Roman"/>
                <w:lang w:eastAsia="fr-FR"/>
              </w:rPr>
            </w:pPr>
          </w:p>
        </w:tc>
      </w:tr>
    </w:tbl>
    <w:p w14:paraId="5310C9AE" w14:textId="77777777" w:rsidR="00486FCB" w:rsidRPr="00E745B1" w:rsidRDefault="00486FCB" w:rsidP="000E0325">
      <w:pPr>
        <w:pStyle w:val="HChG"/>
        <w:rPr>
          <w:lang w:val="fr-FR"/>
        </w:rPr>
      </w:pPr>
      <w:r>
        <w:rPr>
          <w:lang w:val="fr-FR"/>
        </w:rPr>
        <w:tab/>
      </w:r>
      <w:r>
        <w:rPr>
          <w:lang w:val="fr-FR"/>
        </w:rPr>
        <w:tab/>
        <w:t>Introduction</w:t>
      </w:r>
    </w:p>
    <w:p w14:paraId="4615F57F" w14:textId="77777777" w:rsidR="00486FCB" w:rsidRPr="00E745B1" w:rsidRDefault="00486FCB" w:rsidP="000E0325">
      <w:pPr>
        <w:pStyle w:val="SingleTxtG"/>
        <w:rPr>
          <w:lang w:val="fr-FR"/>
        </w:rPr>
      </w:pPr>
      <w:r>
        <w:rPr>
          <w:lang w:val="fr-FR"/>
        </w:rPr>
        <w:t>1.</w:t>
      </w:r>
      <w:r>
        <w:rPr>
          <w:lang w:val="fr-FR"/>
        </w:rPr>
        <w:tab/>
        <w:t>À la trente-neuvième session du Comité de sécurité de l’ADN, la délégation néerlandaise a constaté une incohérence entre les prescriptions du 7.2.3.7.1.3 de l’ADN, relatives au dégazage dans l’atmosphère, et l’équipement des bateaux exploités actuellement. Il est précisé, au 7.2.3.7.1.3 de l’Accord, que pendant l’opération de dégazage, les gaz doivent sortir de la citerne par des coupe-flammes résistant à un feu continu. Or, dans la plupart des bateaux, les gaz sont évacués de la citerne par la conduite d’évacuation, qui est équipée d’un coupe-flammes résistant aux détonations et aux déflagrations.</w:t>
      </w:r>
    </w:p>
    <w:p w14:paraId="5377E872" w14:textId="77777777" w:rsidR="00486FCB" w:rsidRPr="00E745B1" w:rsidRDefault="00486FCB" w:rsidP="000E0325">
      <w:pPr>
        <w:pStyle w:val="SingleTxtG"/>
        <w:rPr>
          <w:lang w:val="fr-FR"/>
        </w:rPr>
      </w:pPr>
      <w:r>
        <w:rPr>
          <w:lang w:val="fr-FR"/>
        </w:rPr>
        <w:lastRenderedPageBreak/>
        <w:t>2.</w:t>
      </w:r>
      <w:r>
        <w:rPr>
          <w:lang w:val="fr-FR"/>
        </w:rPr>
        <w:tab/>
        <w:t>Les Pays-Bas n’ayant enregistré aucun accident mettant en cause un quelconque type de feu continu au cours d’une opération de dégazage, la délégation néerlandaise avait invité les membres du Comité de sécurité à lui faire part de toute information en leur possession sur ce type d’accident pendant le dégazage. Aucun accident de ce type ne lui a été signalé.</w:t>
      </w:r>
    </w:p>
    <w:p w14:paraId="3A1D390D" w14:textId="4F768D35" w:rsidR="00486FCB" w:rsidRPr="00E745B1" w:rsidRDefault="00486FCB" w:rsidP="000E0325">
      <w:pPr>
        <w:pStyle w:val="SingleTxtG"/>
        <w:rPr>
          <w:lang w:val="fr-FR"/>
        </w:rPr>
      </w:pPr>
      <w:r>
        <w:rPr>
          <w:lang w:val="fr-FR"/>
        </w:rPr>
        <w:t>3.</w:t>
      </w:r>
      <w:r>
        <w:rPr>
          <w:lang w:val="fr-FR"/>
        </w:rPr>
        <w:tab/>
        <w:t>Le feu continu est défini dans l’ADN, en référence à la norme ISO</w:t>
      </w:r>
      <w:r w:rsidR="000E0325">
        <w:rPr>
          <w:lang w:val="fr-FR"/>
        </w:rPr>
        <w:t> </w:t>
      </w:r>
      <w:r>
        <w:rPr>
          <w:lang w:val="fr-FR"/>
        </w:rPr>
        <w:t xml:space="preserve">16852:2016, comme une combustion stabilisée pour une durée supérieure à </w:t>
      </w:r>
      <w:r w:rsidR="000E0325">
        <w:rPr>
          <w:lang w:val="fr-FR"/>
        </w:rPr>
        <w:t>trente</w:t>
      </w:r>
      <w:r>
        <w:rPr>
          <w:lang w:val="fr-FR"/>
        </w:rPr>
        <w:t xml:space="preserve"> minutes. Or le dégazage est une opération délibérée, qui peut être interrompue en bien moins de </w:t>
      </w:r>
      <w:r w:rsidR="000E0325">
        <w:rPr>
          <w:lang w:val="fr-FR"/>
        </w:rPr>
        <w:t>trente</w:t>
      </w:r>
      <w:r>
        <w:rPr>
          <w:lang w:val="fr-FR"/>
        </w:rPr>
        <w:t xml:space="preserve"> minutes.</w:t>
      </w:r>
    </w:p>
    <w:p w14:paraId="0E22872F" w14:textId="77777777" w:rsidR="00486FCB" w:rsidRPr="00E745B1" w:rsidRDefault="00486FCB" w:rsidP="000E0325">
      <w:pPr>
        <w:pStyle w:val="SingleTxtG"/>
        <w:rPr>
          <w:lang w:val="fr-FR"/>
        </w:rPr>
      </w:pPr>
      <w:r>
        <w:rPr>
          <w:lang w:val="fr-FR"/>
        </w:rPr>
        <w:t>4.</w:t>
      </w:r>
      <w:r>
        <w:rPr>
          <w:lang w:val="fr-FR"/>
        </w:rPr>
        <w:tab/>
        <w:t>Aucun cas de feu continu au cours d’un dégazage n’ayant été rapporté, et la probabilité qu’un accident de ce type se produise étant faible en raison de la nature même de l’opération de dégazage, la délégation néerlandaise estime que les coupe-flammes résistants aux détonations et aux déflagrations sont mieux à même de contrer les dangers qui pourraient survenir lors d’un dégazage dans l’atmosphère.</w:t>
      </w:r>
    </w:p>
    <w:p w14:paraId="5DA8D949" w14:textId="77777777" w:rsidR="00486FCB" w:rsidRPr="00E745B1" w:rsidRDefault="00486FCB" w:rsidP="000E0325">
      <w:pPr>
        <w:pStyle w:val="SingleTxtG"/>
        <w:rPr>
          <w:lang w:val="fr-FR"/>
        </w:rPr>
      </w:pPr>
      <w:r>
        <w:rPr>
          <w:lang w:val="fr-FR"/>
        </w:rPr>
        <w:t>5.</w:t>
      </w:r>
      <w:r>
        <w:rPr>
          <w:lang w:val="fr-FR"/>
        </w:rPr>
        <w:tab/>
        <w:t>Elle souhaiterait par conséquent que le premier paragraphe du 7.2.3.7.1.3 soit modifié comme elle le propose ci-dessous.</w:t>
      </w:r>
    </w:p>
    <w:p w14:paraId="31A49CBD" w14:textId="5D55238B" w:rsidR="00486FCB" w:rsidRPr="00E745B1" w:rsidRDefault="000E0325" w:rsidP="000E0325">
      <w:pPr>
        <w:pStyle w:val="HChG"/>
        <w:rPr>
          <w:lang w:val="fr-FR"/>
        </w:rPr>
      </w:pPr>
      <w:r>
        <w:rPr>
          <w:lang w:val="fr-FR"/>
        </w:rPr>
        <w:tab/>
      </w:r>
      <w:r>
        <w:rPr>
          <w:lang w:val="fr-FR"/>
        </w:rPr>
        <w:tab/>
      </w:r>
      <w:r w:rsidR="00486FCB">
        <w:rPr>
          <w:lang w:val="fr-FR"/>
        </w:rPr>
        <w:t>Proposition d’amendements</w:t>
      </w:r>
    </w:p>
    <w:p w14:paraId="131DC2A0" w14:textId="77777777" w:rsidR="00486FCB" w:rsidRPr="00E745B1" w:rsidRDefault="00486FCB" w:rsidP="000E0325">
      <w:pPr>
        <w:pStyle w:val="SingleTxtG"/>
        <w:rPr>
          <w:lang w:val="fr-FR"/>
        </w:rPr>
      </w:pPr>
      <w:r>
        <w:rPr>
          <w:lang w:val="fr-FR"/>
        </w:rPr>
        <w:t>6.</w:t>
      </w:r>
      <w:r>
        <w:rPr>
          <w:lang w:val="fr-FR"/>
        </w:rPr>
        <w:tab/>
        <w:t>Modifier le premier paragraphe du 7.2.3.7.1.3 comme suit (le texte supprimé est biffé, le nouveau texte est en gras souligné) :</w:t>
      </w:r>
    </w:p>
    <w:p w14:paraId="77C01DEF" w14:textId="0A3BA02F" w:rsidR="00486FCB" w:rsidRPr="00E745B1" w:rsidRDefault="00486FCB" w:rsidP="000E0325">
      <w:pPr>
        <w:pStyle w:val="SingleTxtG"/>
        <w:ind w:left="1701"/>
        <w:rPr>
          <w:lang w:val="fr-FR"/>
        </w:rPr>
      </w:pPr>
      <w:r>
        <w:rPr>
          <w:lang w:val="fr-FR"/>
        </w:rPr>
        <w:t>« Le dégazage des citernes à cargaison vides ou déchargées ayant contenu des matières dangereuses autres que celles indiquées au 7.2.3.7.1.1, lorsque la concentration de gaz et de vapeurs inflammables provenant de la cargaison est supérieure ou égale à 10</w:t>
      </w:r>
      <w:r w:rsidR="000E0325">
        <w:rPr>
          <w:lang w:val="fr-FR"/>
        </w:rPr>
        <w:t> </w:t>
      </w:r>
      <w:r>
        <w:rPr>
          <w:lang w:val="fr-FR"/>
        </w:rPr>
        <w:t xml:space="preserve">% de la LIE, peut être effectué en cours de route, ou durant un stationnement en des emplacements agréés par l’autorité compétente, au moyen de dispositifs de ventilation appropriés, les couvercles des citernes à cargaison étant fermés et la sortie du mélange de gaz et d’air se faisant par des coupe-flammes résistants à </w:t>
      </w:r>
      <w:r>
        <w:rPr>
          <w:strike/>
          <w:lang w:val="fr-FR"/>
        </w:rPr>
        <w:t>un feu continu</w:t>
      </w:r>
      <w:r>
        <w:rPr>
          <w:lang w:val="fr-FR"/>
        </w:rPr>
        <w:t xml:space="preserve"> </w:t>
      </w:r>
      <w:r>
        <w:rPr>
          <w:b/>
          <w:bCs/>
          <w:u w:val="single"/>
          <w:lang w:val="fr-FR"/>
        </w:rPr>
        <w:t>une détonation</w:t>
      </w:r>
      <w:r>
        <w:rPr>
          <w:lang w:val="fr-FR"/>
        </w:rPr>
        <w:t xml:space="preserve"> (groupe sous-groupe d’explosion conformément à la colonne (16) du tableau C du chapitre</w:t>
      </w:r>
      <w:r w:rsidR="000E0325">
        <w:rPr>
          <w:lang w:val="fr-FR"/>
        </w:rPr>
        <w:t> </w:t>
      </w:r>
      <w:r>
        <w:rPr>
          <w:lang w:val="fr-FR"/>
        </w:rPr>
        <w:t>3.2). La concentration de gaz et de vapeurs inflammables dans le mélange à l’orifice de sortie doit être inférieure à 50</w:t>
      </w:r>
      <w:r w:rsidR="000E0325">
        <w:rPr>
          <w:lang w:val="fr-FR"/>
        </w:rPr>
        <w:t> </w:t>
      </w:r>
      <w:r>
        <w:rPr>
          <w:lang w:val="fr-FR"/>
        </w:rPr>
        <w:t>% de la LIE. Les dispositifs de ventilation appropriés ne peuvent être utilisés pour le dégazage par aspiration qu’avec un coupe-flammes monté immédiatement devant le ventilateur, du côté de l’aspiration (groupe/sous-groupe d’explosion conformément à la colonne (16) du tableau C du chapitre</w:t>
      </w:r>
      <w:r w:rsidR="000E0325">
        <w:rPr>
          <w:lang w:val="fr-FR"/>
        </w:rPr>
        <w:t> </w:t>
      </w:r>
      <w:r>
        <w:rPr>
          <w:lang w:val="fr-FR"/>
        </w:rPr>
        <w:t>3.2). La concentration de gaz et de vapeurs inflammables doit être mesurée chaque heure pendant les deux premières heures après le début du dégazage, le dispositif de ventilation par refoulement ou par aspiration étant en marche, par un expert visé au 8.2.1.2. Les résultats des mesures doivent être consignés par écrit. ».</w:t>
      </w:r>
    </w:p>
    <w:p w14:paraId="2049414D" w14:textId="77777777" w:rsidR="00486FCB" w:rsidRPr="00E745B1" w:rsidRDefault="00486FCB" w:rsidP="000E0325">
      <w:pPr>
        <w:pStyle w:val="SingleTxtG"/>
        <w:ind w:left="1701"/>
        <w:rPr>
          <w:color w:val="000000"/>
          <w:lang w:val="fr-FR"/>
        </w:rPr>
      </w:pPr>
      <w:r>
        <w:rPr>
          <w:lang w:val="fr-FR"/>
        </w:rPr>
        <w:t>La fin du 7.2.3.7.1.3 reste inchangée.</w:t>
      </w:r>
    </w:p>
    <w:p w14:paraId="355AFAF8" w14:textId="77777777" w:rsidR="00486FCB" w:rsidRPr="00E745B1" w:rsidRDefault="00486FCB" w:rsidP="000E0325">
      <w:pPr>
        <w:pStyle w:val="HChG"/>
        <w:rPr>
          <w:lang w:val="fr-FR"/>
        </w:rPr>
      </w:pPr>
      <w:r>
        <w:rPr>
          <w:lang w:val="fr-FR"/>
        </w:rPr>
        <w:tab/>
      </w:r>
      <w:r>
        <w:rPr>
          <w:lang w:val="fr-FR"/>
        </w:rPr>
        <w:tab/>
        <w:t>Mesure à prendre</w:t>
      </w:r>
    </w:p>
    <w:p w14:paraId="7E5AC751" w14:textId="6B2074D2" w:rsidR="00486FCB" w:rsidRDefault="00486FCB" w:rsidP="000E0325">
      <w:pPr>
        <w:pStyle w:val="SingleTxtG"/>
        <w:rPr>
          <w:lang w:val="fr-FR"/>
        </w:rPr>
      </w:pPr>
      <w:r>
        <w:rPr>
          <w:lang w:val="fr-FR"/>
        </w:rPr>
        <w:t>7.</w:t>
      </w:r>
      <w:r>
        <w:rPr>
          <w:lang w:val="fr-FR"/>
        </w:rPr>
        <w:tab/>
        <w:t>Le Comité de sécurité est invité à prendre connaissance de l’amendement proposé au paragraphe</w:t>
      </w:r>
      <w:r w:rsidR="000E0325">
        <w:rPr>
          <w:lang w:val="fr-FR"/>
        </w:rPr>
        <w:t> </w:t>
      </w:r>
      <w:r>
        <w:rPr>
          <w:lang w:val="fr-FR"/>
        </w:rPr>
        <w:t>6 ci-dessus et à lui donner la suite qu’il jugera appropriée.</w:t>
      </w:r>
    </w:p>
    <w:p w14:paraId="572E985F" w14:textId="0FFA2B71" w:rsidR="000E0325" w:rsidRPr="000E0325" w:rsidRDefault="000E0325" w:rsidP="000E0325">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E0325" w:rsidRPr="000E0325" w:rsidSect="00486FC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E49E" w14:textId="77777777" w:rsidR="00047D22" w:rsidRDefault="00047D22" w:rsidP="00F95C08">
      <w:pPr>
        <w:spacing w:line="240" w:lineRule="auto"/>
      </w:pPr>
    </w:p>
  </w:endnote>
  <w:endnote w:type="continuationSeparator" w:id="0">
    <w:p w14:paraId="29158DD1" w14:textId="77777777" w:rsidR="00047D22" w:rsidRPr="00AC3823" w:rsidRDefault="00047D22" w:rsidP="00AC3823">
      <w:pPr>
        <w:pStyle w:val="Pieddepage"/>
      </w:pPr>
    </w:p>
  </w:endnote>
  <w:endnote w:type="continuationNotice" w:id="1">
    <w:p w14:paraId="63358C0F" w14:textId="77777777" w:rsidR="00047D22" w:rsidRDefault="00047D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6C9C" w14:textId="57FC5E80" w:rsidR="00486FCB" w:rsidRPr="00486FCB" w:rsidRDefault="00486FCB" w:rsidP="00486FCB">
    <w:pPr>
      <w:pStyle w:val="Pieddepage"/>
      <w:tabs>
        <w:tab w:val="right" w:pos="9638"/>
      </w:tabs>
    </w:pPr>
    <w:r w:rsidRPr="00486FCB">
      <w:rPr>
        <w:b/>
        <w:sz w:val="18"/>
      </w:rPr>
      <w:fldChar w:fldCharType="begin"/>
    </w:r>
    <w:r w:rsidRPr="00486FCB">
      <w:rPr>
        <w:b/>
        <w:sz w:val="18"/>
      </w:rPr>
      <w:instrText xml:space="preserve"> PAGE  \* MERGEFORMAT </w:instrText>
    </w:r>
    <w:r w:rsidRPr="00486FCB">
      <w:rPr>
        <w:b/>
        <w:sz w:val="18"/>
      </w:rPr>
      <w:fldChar w:fldCharType="separate"/>
    </w:r>
    <w:r w:rsidRPr="00486FCB">
      <w:rPr>
        <w:b/>
        <w:noProof/>
        <w:sz w:val="18"/>
      </w:rPr>
      <w:t>2</w:t>
    </w:r>
    <w:r w:rsidRPr="00486FCB">
      <w:rPr>
        <w:b/>
        <w:sz w:val="18"/>
      </w:rPr>
      <w:fldChar w:fldCharType="end"/>
    </w:r>
    <w:r>
      <w:rPr>
        <w:b/>
        <w:sz w:val="18"/>
      </w:rPr>
      <w:tab/>
    </w:r>
    <w:r>
      <w:t>GE.22-08898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57B3" w14:textId="45E0FB18" w:rsidR="00486FCB" w:rsidRPr="00486FCB" w:rsidRDefault="00486FCB" w:rsidP="00486FCB">
    <w:pPr>
      <w:pStyle w:val="Pieddepage"/>
      <w:tabs>
        <w:tab w:val="right" w:pos="9638"/>
      </w:tabs>
      <w:rPr>
        <w:b/>
        <w:sz w:val="18"/>
      </w:rPr>
    </w:pPr>
    <w:r>
      <w:t>GE.22-08898</w:t>
    </w:r>
    <w:r>
      <w:tab/>
    </w:r>
    <w:r w:rsidRPr="00486FCB">
      <w:rPr>
        <w:b/>
        <w:sz w:val="18"/>
      </w:rPr>
      <w:fldChar w:fldCharType="begin"/>
    </w:r>
    <w:r w:rsidRPr="00486FCB">
      <w:rPr>
        <w:b/>
        <w:sz w:val="18"/>
      </w:rPr>
      <w:instrText xml:space="preserve"> PAGE  \* MERGEFORMAT </w:instrText>
    </w:r>
    <w:r w:rsidRPr="00486FCB">
      <w:rPr>
        <w:b/>
        <w:sz w:val="18"/>
      </w:rPr>
      <w:fldChar w:fldCharType="separate"/>
    </w:r>
    <w:r w:rsidRPr="00486FCB">
      <w:rPr>
        <w:b/>
        <w:noProof/>
        <w:sz w:val="18"/>
      </w:rPr>
      <w:t>3</w:t>
    </w:r>
    <w:r w:rsidRPr="00486F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65FE" w14:textId="5C4C95D2" w:rsidR="007F20FA" w:rsidRPr="00486FCB" w:rsidRDefault="00486FCB" w:rsidP="00486FC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3EB095" wp14:editId="6ADFA59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22-08898  (F)</w:t>
    </w:r>
    <w:r>
      <w:rPr>
        <w:noProof/>
        <w:sz w:val="20"/>
      </w:rPr>
      <w:drawing>
        <wp:anchor distT="0" distB="0" distL="114300" distR="114300" simplePos="0" relativeHeight="251660288" behindDoc="0" locked="0" layoutInCell="1" allowOverlap="1" wp14:anchorId="09454605" wp14:editId="6B43C1E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170622    170622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3B07" w14:textId="77777777" w:rsidR="00047D22" w:rsidRPr="00AC3823" w:rsidRDefault="00047D22" w:rsidP="00AC3823">
      <w:pPr>
        <w:pStyle w:val="Pieddepage"/>
        <w:tabs>
          <w:tab w:val="right" w:pos="2155"/>
        </w:tabs>
        <w:spacing w:after="80" w:line="240" w:lineRule="atLeast"/>
        <w:ind w:left="680"/>
        <w:rPr>
          <w:u w:val="single"/>
        </w:rPr>
      </w:pPr>
      <w:r>
        <w:rPr>
          <w:u w:val="single"/>
        </w:rPr>
        <w:tab/>
      </w:r>
    </w:p>
  </w:footnote>
  <w:footnote w:type="continuationSeparator" w:id="0">
    <w:p w14:paraId="41306772" w14:textId="77777777" w:rsidR="00047D22" w:rsidRPr="00AC3823" w:rsidRDefault="00047D22" w:rsidP="00AC3823">
      <w:pPr>
        <w:pStyle w:val="Pieddepage"/>
        <w:tabs>
          <w:tab w:val="right" w:pos="2155"/>
        </w:tabs>
        <w:spacing w:after="80" w:line="240" w:lineRule="atLeast"/>
        <w:ind w:left="680"/>
        <w:rPr>
          <w:u w:val="single"/>
        </w:rPr>
      </w:pPr>
      <w:r>
        <w:rPr>
          <w:u w:val="single"/>
        </w:rPr>
        <w:tab/>
      </w:r>
    </w:p>
  </w:footnote>
  <w:footnote w:type="continuationNotice" w:id="1">
    <w:p w14:paraId="2C25AE25" w14:textId="77777777" w:rsidR="00047D22" w:rsidRPr="00AC3823" w:rsidRDefault="00047D22">
      <w:pPr>
        <w:spacing w:line="240" w:lineRule="auto"/>
        <w:rPr>
          <w:sz w:val="2"/>
          <w:szCs w:val="2"/>
        </w:rPr>
      </w:pPr>
    </w:p>
  </w:footnote>
  <w:footnote w:id="2">
    <w:p w14:paraId="130BAEDF" w14:textId="76B73CBC" w:rsidR="00486FCB" w:rsidRPr="00486FCB" w:rsidRDefault="00486FCB">
      <w:pPr>
        <w:pStyle w:val="Notedebasdepage"/>
        <w:rPr>
          <w:sz w:val="16"/>
          <w:szCs w:val="18"/>
        </w:rPr>
      </w:pPr>
      <w:r>
        <w:rPr>
          <w:rStyle w:val="Appelnotedebasdep"/>
        </w:rPr>
        <w:tab/>
      </w:r>
      <w:r w:rsidRPr="00486FCB">
        <w:rPr>
          <w:rStyle w:val="Appelnotedebasdep"/>
          <w:sz w:val="20"/>
          <w:vertAlign w:val="baseline"/>
        </w:rPr>
        <w:t>*</w:t>
      </w:r>
      <w:r>
        <w:rPr>
          <w:rStyle w:val="Appelnotedebasdep"/>
          <w:sz w:val="20"/>
          <w:vertAlign w:val="baseline"/>
        </w:rPr>
        <w:tab/>
      </w:r>
      <w:r w:rsidRPr="00486FCB">
        <w:rPr>
          <w:szCs w:val="18"/>
        </w:rPr>
        <w:t>Diffusé en allemand par la Commission centrale pour la navigation du Rhin sous la cote CCNR</w:t>
      </w:r>
      <w:r>
        <w:rPr>
          <w:szCs w:val="18"/>
        </w:rPr>
        <w:noBreakHyphen/>
      </w:r>
      <w:r w:rsidRPr="00486FCB">
        <w:rPr>
          <w:szCs w:val="18"/>
        </w:rPr>
        <w:t>ZKR/ADN/WP.15/AC.2/2022/45</w:t>
      </w:r>
      <w:r w:rsidRPr="00486FCB">
        <w:rPr>
          <w:szCs w:val="18"/>
        </w:rPr>
        <w:t>.</w:t>
      </w:r>
    </w:p>
  </w:footnote>
  <w:footnote w:id="3">
    <w:p w14:paraId="4639F8E1" w14:textId="6EA1FEDE" w:rsidR="00486FCB" w:rsidRPr="00486FCB" w:rsidRDefault="00486FCB">
      <w:pPr>
        <w:pStyle w:val="Notedebasdepage"/>
        <w:rPr>
          <w:sz w:val="16"/>
          <w:szCs w:val="18"/>
        </w:rPr>
      </w:pPr>
      <w:r>
        <w:rPr>
          <w:rStyle w:val="Appelnotedebasdep"/>
        </w:rPr>
        <w:tab/>
      </w:r>
      <w:r w:rsidRPr="00486FCB">
        <w:rPr>
          <w:rStyle w:val="Appelnotedebasdep"/>
          <w:sz w:val="20"/>
          <w:vertAlign w:val="baseline"/>
        </w:rPr>
        <w:t>**</w:t>
      </w:r>
      <w:r>
        <w:rPr>
          <w:rStyle w:val="Appelnotedebasdep"/>
          <w:sz w:val="20"/>
          <w:vertAlign w:val="baseline"/>
        </w:rPr>
        <w:tab/>
      </w:r>
      <w:r w:rsidRPr="00486FCB">
        <w:rPr>
          <w:szCs w:val="18"/>
        </w:rPr>
        <w:t>A/76/6 (Sect.</w:t>
      </w:r>
      <w:r>
        <w:rPr>
          <w:szCs w:val="18"/>
        </w:rPr>
        <w:t> </w:t>
      </w:r>
      <w:r w:rsidRPr="00486FCB">
        <w:rPr>
          <w:szCs w:val="18"/>
        </w:rPr>
        <w:t>20), par.</w:t>
      </w:r>
      <w:r w:rsidRPr="00486FCB">
        <w:rPr>
          <w:szCs w:val="18"/>
        </w:rPr>
        <w:t> </w:t>
      </w:r>
      <w:r w:rsidRPr="00486FCB">
        <w:rPr>
          <w:szCs w:val="18"/>
        </w:rPr>
        <w:t>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5525" w14:textId="00F91C01" w:rsidR="00486FCB" w:rsidRPr="00486FCB" w:rsidRDefault="00486FCB">
    <w:pPr>
      <w:pStyle w:val="En-tte"/>
    </w:pPr>
    <w:fldSimple w:instr=" TITLE  \* MERGEFORMAT ">
      <w:r w:rsidR="00C779B1">
        <w:t>ECE/TRANS/WP.15/AC.2/2022/45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36EA" w14:textId="68D7F4B3" w:rsidR="00486FCB" w:rsidRPr="00486FCB" w:rsidRDefault="00486FCB" w:rsidP="00486FCB">
    <w:pPr>
      <w:pStyle w:val="En-tte"/>
      <w:jc w:val="right"/>
    </w:pPr>
    <w:fldSimple w:instr=" TITLE  \* MERGEFORMAT ">
      <w:r w:rsidR="00C779B1">
        <w:t>ECE/TRANS/WP.15/AC.2/2022/45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22"/>
    <w:rsid w:val="00017F94"/>
    <w:rsid w:val="00023842"/>
    <w:rsid w:val="000334F9"/>
    <w:rsid w:val="00045FEB"/>
    <w:rsid w:val="00047D22"/>
    <w:rsid w:val="0007796D"/>
    <w:rsid w:val="000B7790"/>
    <w:rsid w:val="000E0325"/>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86FCB"/>
    <w:rsid w:val="004E2EED"/>
    <w:rsid w:val="004E468C"/>
    <w:rsid w:val="005505B7"/>
    <w:rsid w:val="00573BE5"/>
    <w:rsid w:val="00586ED3"/>
    <w:rsid w:val="00596AA9"/>
    <w:rsid w:val="0071601D"/>
    <w:rsid w:val="007A62E6"/>
    <w:rsid w:val="007F20FA"/>
    <w:rsid w:val="0080684C"/>
    <w:rsid w:val="00871C75"/>
    <w:rsid w:val="008776DC"/>
    <w:rsid w:val="008D5EF9"/>
    <w:rsid w:val="009163D5"/>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779B1"/>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A1C434"/>
  <w15:docId w15:val="{92B13E35-EC94-467D-904C-D957ABAF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1">
    <w:name w:val="Сетка таблицы1"/>
    <w:basedOn w:val="TableauNormal"/>
    <w:next w:val="Grilledutableau"/>
    <w:semiHidden/>
    <w:rsid w:val="00486FCB"/>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EFDA6-A728-4486-A259-EB24EAD7CF12}"/>
</file>

<file path=customXml/itemProps2.xml><?xml version="1.0" encoding="utf-8"?>
<ds:datastoreItem xmlns:ds="http://schemas.openxmlformats.org/officeDocument/2006/customXml" ds:itemID="{14397F26-C8DC-4AA2-9CAB-EE44A6DBD364}"/>
</file>

<file path=docProps/app.xml><?xml version="1.0" encoding="utf-8"?>
<Properties xmlns="http://schemas.openxmlformats.org/officeDocument/2006/extended-properties" xmlns:vt="http://schemas.openxmlformats.org/officeDocument/2006/docPropsVTypes">
  <Template>ECE_TRANS.dotm</Template>
  <TotalTime>2</TotalTime>
  <Pages>2</Pages>
  <Words>680</Words>
  <Characters>3764</Characters>
  <Application>Microsoft Office Word</Application>
  <DocSecurity>0</DocSecurity>
  <Lines>77</Lines>
  <Paragraphs>34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ECE/TRANS/WP.15/AC.2/2022/45</dc:title>
  <dc:subject/>
  <dc:creator>Christine CHAUTAGNAT</dc:creator>
  <cp:keywords/>
  <cp:lastModifiedBy>Christine Chautagnat</cp:lastModifiedBy>
  <cp:revision>3</cp:revision>
  <cp:lastPrinted>2022-06-17T11:19:00Z</cp:lastPrinted>
  <dcterms:created xsi:type="dcterms:W3CDTF">2022-06-17T11:19:00Z</dcterms:created>
  <dcterms:modified xsi:type="dcterms:W3CDTF">2022-06-17T11:21:00Z</dcterms:modified>
</cp:coreProperties>
</file>