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1843"/>
        <w:gridCol w:w="4252"/>
      </w:tblGrid>
      <w:tr w:rsidR="003C3936" w:rsidRPr="00DF193A" w14:paraId="1A457A1F" w14:textId="77777777">
        <w:trPr>
          <w:cantSplit/>
          <w:trHeight w:hRule="exact" w:val="284"/>
        </w:trPr>
        <w:tc>
          <w:tcPr>
            <w:tcW w:w="1276" w:type="dxa"/>
            <w:vAlign w:val="bottom"/>
          </w:tcPr>
          <w:p w14:paraId="1A457A1C" w14:textId="77777777" w:rsidR="003C3936" w:rsidRPr="00DF193A" w:rsidRDefault="003C3936" w:rsidP="003C3936">
            <w:pPr>
              <w:rPr>
                <w:lang w:val="en-GB"/>
              </w:rPr>
            </w:pPr>
          </w:p>
        </w:tc>
        <w:tc>
          <w:tcPr>
            <w:tcW w:w="2268" w:type="dxa"/>
            <w:vAlign w:val="bottom"/>
          </w:tcPr>
          <w:p w14:paraId="1A457A1D" w14:textId="77777777" w:rsidR="003C3936" w:rsidRPr="00DF193A" w:rsidRDefault="003C3936" w:rsidP="003C393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095" w:type="dxa"/>
            <w:gridSpan w:val="2"/>
            <w:vAlign w:val="bottom"/>
          </w:tcPr>
          <w:p w14:paraId="1A457A1E" w14:textId="77777777" w:rsidR="003C3936" w:rsidRPr="00DF193A" w:rsidRDefault="003C3936" w:rsidP="003C3936">
            <w:pPr>
              <w:jc w:val="right"/>
              <w:rPr>
                <w:lang w:val="en-GB"/>
              </w:rPr>
            </w:pPr>
          </w:p>
        </w:tc>
      </w:tr>
      <w:tr w:rsidR="003C3936" w:rsidRPr="00C6032E" w14:paraId="1A457A27" w14:textId="77777777">
        <w:trPr>
          <w:cantSplit/>
          <w:trHeight w:hRule="exact" w:val="2563"/>
        </w:trPr>
        <w:tc>
          <w:tcPr>
            <w:tcW w:w="1276" w:type="dxa"/>
            <w:tcBorders>
              <w:bottom w:val="single" w:sz="12" w:space="0" w:color="auto"/>
            </w:tcBorders>
          </w:tcPr>
          <w:p w14:paraId="1A457A20" w14:textId="77777777" w:rsidR="003C3936" w:rsidRPr="00DF193A" w:rsidRDefault="003C3936" w:rsidP="00755C54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</w:tcPr>
          <w:p w14:paraId="1A457A21" w14:textId="77777777" w:rsidR="003C3936" w:rsidRPr="00DF193A" w:rsidRDefault="003C3936" w:rsidP="003C3936">
            <w:pPr>
              <w:spacing w:before="120"/>
              <w:rPr>
                <w:lang w:val="en-GB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14:paraId="1A457A22" w14:textId="77777777" w:rsidR="009C602B" w:rsidRPr="007635A7" w:rsidRDefault="009C602B" w:rsidP="009C602B">
            <w:pPr>
              <w:pStyle w:val="HChG"/>
              <w:ind w:right="0"/>
              <w:jc w:val="right"/>
              <w:rPr>
                <w:sz w:val="20"/>
                <w:lang w:val="es-ES"/>
              </w:rPr>
            </w:pPr>
            <w:proofErr w:type="spellStart"/>
            <w:r w:rsidRPr="007635A7">
              <w:rPr>
                <w:sz w:val="20"/>
                <w:lang w:val="es-ES"/>
              </w:rPr>
              <w:t>Corrigendum</w:t>
            </w:r>
            <w:proofErr w:type="spellEnd"/>
          </w:p>
          <w:p w14:paraId="1A457A23" w14:textId="4D6EB318" w:rsidR="009C602B" w:rsidRPr="007635A7" w:rsidRDefault="00755C54" w:rsidP="009C602B">
            <w:pPr>
              <w:pStyle w:val="H1G"/>
              <w:spacing w:before="240" w:after="0"/>
              <w:ind w:right="0"/>
              <w:jc w:val="right"/>
              <w:rPr>
                <w:sz w:val="20"/>
                <w:lang w:val="es-ES"/>
              </w:rPr>
            </w:pPr>
            <w:r w:rsidRPr="007635A7">
              <w:rPr>
                <w:sz w:val="20"/>
                <w:lang w:val="es-ES"/>
              </w:rPr>
              <w:t xml:space="preserve">Ref. Sales No. </w:t>
            </w:r>
            <w:r w:rsidR="0027792A" w:rsidRPr="007635A7">
              <w:rPr>
                <w:sz w:val="20"/>
                <w:lang w:val="es-ES"/>
              </w:rPr>
              <w:t>E.20.VII.3</w:t>
            </w:r>
          </w:p>
          <w:p w14:paraId="1A457A24" w14:textId="1312CC35" w:rsidR="009C602B" w:rsidRPr="00DF193A" w:rsidRDefault="000E3689" w:rsidP="009C602B">
            <w:pPr>
              <w:pStyle w:val="H1G"/>
              <w:spacing w:before="0"/>
              <w:ind w:right="0"/>
              <w:jc w:val="right"/>
              <w:rPr>
                <w:sz w:val="20"/>
                <w:lang w:val="en-GB"/>
              </w:rPr>
            </w:pPr>
            <w:r w:rsidRPr="00DF193A">
              <w:rPr>
                <w:sz w:val="20"/>
                <w:lang w:val="en-GB"/>
              </w:rPr>
              <w:t>(ECE/TRANS/</w:t>
            </w:r>
            <w:r w:rsidR="00E5262F">
              <w:rPr>
                <w:sz w:val="20"/>
                <w:lang w:val="en-GB"/>
              </w:rPr>
              <w:t>301</w:t>
            </w:r>
            <w:r w:rsidR="001668E2" w:rsidRPr="00DF193A">
              <w:rPr>
                <w:sz w:val="20"/>
                <w:lang w:val="en-GB"/>
              </w:rPr>
              <w:t xml:space="preserve">, Vol. I </w:t>
            </w:r>
            <w:r w:rsidR="00FB4896" w:rsidRPr="00DF193A">
              <w:rPr>
                <w:sz w:val="20"/>
                <w:lang w:val="en-GB"/>
              </w:rPr>
              <w:t>and</w:t>
            </w:r>
            <w:r w:rsidR="001668E2" w:rsidRPr="00DF193A">
              <w:rPr>
                <w:sz w:val="20"/>
                <w:lang w:val="en-GB"/>
              </w:rPr>
              <w:t xml:space="preserve"> II</w:t>
            </w:r>
            <w:r w:rsidR="009C602B" w:rsidRPr="00DF193A">
              <w:rPr>
                <w:sz w:val="20"/>
                <w:lang w:val="en-GB"/>
              </w:rPr>
              <w:t>)</w:t>
            </w:r>
          </w:p>
          <w:p w14:paraId="1A457A25" w14:textId="0092252E" w:rsidR="009C602B" w:rsidRPr="00DF193A" w:rsidRDefault="00BD7670" w:rsidP="009C602B">
            <w:pPr>
              <w:pStyle w:val="H1G"/>
              <w:spacing w:before="240" w:after="0"/>
              <w:ind w:right="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Ju</w:t>
            </w:r>
            <w:r w:rsidR="007543AD">
              <w:rPr>
                <w:sz w:val="20"/>
                <w:lang w:val="en-GB"/>
              </w:rPr>
              <w:t>ne</w:t>
            </w:r>
            <w:r w:rsidR="00D40EE9" w:rsidRPr="00DF193A">
              <w:rPr>
                <w:sz w:val="20"/>
                <w:lang w:val="en-GB"/>
              </w:rPr>
              <w:t xml:space="preserve"> 20</w:t>
            </w:r>
            <w:r w:rsidR="00194DC3">
              <w:rPr>
                <w:sz w:val="20"/>
                <w:lang w:val="en-GB"/>
              </w:rPr>
              <w:t>22</w:t>
            </w:r>
          </w:p>
          <w:p w14:paraId="1A457A26" w14:textId="77777777" w:rsidR="003C3936" w:rsidRPr="0027792A" w:rsidRDefault="009C602B" w:rsidP="009C602B">
            <w:pPr>
              <w:pStyle w:val="H1G"/>
              <w:spacing w:before="0" w:after="120"/>
              <w:ind w:right="0"/>
              <w:jc w:val="right"/>
              <w:rPr>
                <w:sz w:val="20"/>
                <w:lang w:val="en-GB"/>
              </w:rPr>
            </w:pPr>
            <w:r w:rsidRPr="00DF193A">
              <w:rPr>
                <w:sz w:val="20"/>
                <w:lang w:val="en-GB"/>
              </w:rPr>
              <w:t>New York and Geneva</w:t>
            </w:r>
          </w:p>
        </w:tc>
      </w:tr>
    </w:tbl>
    <w:p w14:paraId="1A457A28" w14:textId="77777777" w:rsidR="007E4293" w:rsidRPr="003A705B" w:rsidRDefault="007E4293" w:rsidP="009C602B">
      <w:pPr>
        <w:jc w:val="left"/>
        <w:rPr>
          <w:sz w:val="24"/>
          <w:szCs w:val="24"/>
          <w:lang w:val="en-GB"/>
        </w:rPr>
      </w:pPr>
    </w:p>
    <w:p w14:paraId="1A457A29" w14:textId="77777777" w:rsidR="009C602B" w:rsidRPr="00DF193A" w:rsidRDefault="009C602B" w:rsidP="009C602B">
      <w:pPr>
        <w:jc w:val="left"/>
        <w:rPr>
          <w:b/>
          <w:bCs/>
          <w:sz w:val="24"/>
          <w:szCs w:val="24"/>
          <w:lang w:val="en-GB"/>
        </w:rPr>
      </w:pPr>
      <w:r w:rsidRPr="00DF193A">
        <w:rPr>
          <w:b/>
          <w:bCs/>
          <w:sz w:val="24"/>
          <w:szCs w:val="24"/>
          <w:lang w:val="en-GB"/>
        </w:rPr>
        <w:t>European Agreement concerning the</w:t>
      </w:r>
    </w:p>
    <w:p w14:paraId="1A457A2A" w14:textId="77777777" w:rsidR="009C602B" w:rsidRPr="00DF193A" w:rsidRDefault="009C602B" w:rsidP="009C602B">
      <w:pPr>
        <w:jc w:val="left"/>
        <w:rPr>
          <w:b/>
          <w:bCs/>
          <w:sz w:val="24"/>
          <w:szCs w:val="24"/>
          <w:lang w:val="en-GB"/>
        </w:rPr>
      </w:pPr>
      <w:r w:rsidRPr="00DF193A">
        <w:rPr>
          <w:b/>
          <w:bCs/>
          <w:sz w:val="24"/>
          <w:szCs w:val="24"/>
          <w:lang w:val="en-GB"/>
        </w:rPr>
        <w:t>I</w:t>
      </w:r>
      <w:r w:rsidR="00B03463" w:rsidRPr="00DF193A">
        <w:rPr>
          <w:b/>
          <w:bCs/>
          <w:sz w:val="24"/>
          <w:szCs w:val="24"/>
          <w:lang w:val="en-GB"/>
        </w:rPr>
        <w:t>nternational C</w:t>
      </w:r>
      <w:r w:rsidRPr="00DF193A">
        <w:rPr>
          <w:b/>
          <w:bCs/>
          <w:sz w:val="24"/>
          <w:szCs w:val="24"/>
          <w:lang w:val="en-GB"/>
        </w:rPr>
        <w:t xml:space="preserve">arriage of Dangerous Goods by </w:t>
      </w:r>
    </w:p>
    <w:p w14:paraId="1A457A2B" w14:textId="77777777" w:rsidR="009C602B" w:rsidRPr="00202290" w:rsidRDefault="009C602B" w:rsidP="009C602B">
      <w:pPr>
        <w:jc w:val="left"/>
        <w:rPr>
          <w:b/>
          <w:bCs/>
          <w:sz w:val="24"/>
          <w:szCs w:val="24"/>
          <w:lang w:val="en-GB"/>
        </w:rPr>
      </w:pPr>
      <w:r w:rsidRPr="00DF193A">
        <w:rPr>
          <w:b/>
          <w:bCs/>
          <w:sz w:val="24"/>
          <w:szCs w:val="24"/>
          <w:lang w:val="en-GB"/>
        </w:rPr>
        <w:t>Inland Waterways (ADN)</w:t>
      </w:r>
    </w:p>
    <w:p w14:paraId="1A457A2C" w14:textId="7B614FF7" w:rsidR="002405A7" w:rsidRPr="00DF193A" w:rsidRDefault="00755C54" w:rsidP="009C602B">
      <w:pPr>
        <w:spacing w:after="240"/>
        <w:rPr>
          <w:b/>
          <w:bCs/>
          <w:sz w:val="24"/>
          <w:szCs w:val="24"/>
          <w:lang w:val="en-GB"/>
        </w:rPr>
      </w:pPr>
      <w:r w:rsidRPr="00DF193A">
        <w:rPr>
          <w:b/>
          <w:bCs/>
          <w:sz w:val="24"/>
          <w:szCs w:val="24"/>
          <w:lang w:val="en-GB"/>
        </w:rPr>
        <w:t>(</w:t>
      </w:r>
      <w:r w:rsidR="00CC6EB6" w:rsidRPr="00DF193A">
        <w:rPr>
          <w:b/>
          <w:bCs/>
          <w:sz w:val="24"/>
          <w:szCs w:val="24"/>
          <w:lang w:val="en-GB"/>
        </w:rPr>
        <w:t xml:space="preserve">applicable as from 1 January </w:t>
      </w:r>
      <w:r w:rsidR="00D40EE9" w:rsidRPr="00DF193A">
        <w:rPr>
          <w:b/>
          <w:bCs/>
          <w:sz w:val="24"/>
          <w:szCs w:val="24"/>
          <w:lang w:val="en-GB"/>
        </w:rPr>
        <w:t>20</w:t>
      </w:r>
      <w:r w:rsidR="00E5262F">
        <w:rPr>
          <w:b/>
          <w:bCs/>
          <w:sz w:val="24"/>
          <w:szCs w:val="24"/>
          <w:lang w:val="en-GB"/>
        </w:rPr>
        <w:t>21</w:t>
      </w:r>
      <w:r w:rsidR="009C602B" w:rsidRPr="00DF193A">
        <w:rPr>
          <w:b/>
          <w:bCs/>
          <w:sz w:val="24"/>
          <w:szCs w:val="24"/>
          <w:lang w:val="en-GB"/>
        </w:rPr>
        <w:t>)</w:t>
      </w:r>
    </w:p>
    <w:p w14:paraId="1A457A2D" w14:textId="77777777" w:rsidR="009C602B" w:rsidRPr="00DF193A" w:rsidRDefault="009C602B" w:rsidP="009C602B">
      <w:pPr>
        <w:pStyle w:val="HChG"/>
        <w:rPr>
          <w:lang w:val="en-GB"/>
        </w:rPr>
      </w:pPr>
      <w:r w:rsidRPr="00DF193A">
        <w:rPr>
          <w:lang w:val="en-GB"/>
        </w:rPr>
        <w:tab/>
      </w:r>
      <w:r w:rsidRPr="00DF193A">
        <w:rPr>
          <w:lang w:val="en-GB"/>
        </w:rPr>
        <w:tab/>
        <w:t>Corrigendum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7"/>
      </w:tblGrid>
      <w:tr w:rsidR="009C602B" w:rsidRPr="00C6032E" w14:paraId="1A457A2F" w14:textId="77777777" w:rsidTr="00772ED0">
        <w:trPr>
          <w:jc w:val="center"/>
        </w:trPr>
        <w:tc>
          <w:tcPr>
            <w:tcW w:w="7657" w:type="dxa"/>
            <w:shd w:val="clear" w:color="auto" w:fill="auto"/>
          </w:tcPr>
          <w:p w14:paraId="1A457A2E" w14:textId="5F196EAD" w:rsidR="009C602B" w:rsidRPr="0077560C" w:rsidRDefault="009C602B" w:rsidP="00CC6EB6">
            <w:pPr>
              <w:suppressAutoHyphens/>
              <w:spacing w:before="240" w:after="120" w:line="240" w:lineRule="atLeast"/>
              <w:ind w:left="255" w:right="113"/>
              <w:rPr>
                <w:i/>
                <w:sz w:val="20"/>
                <w:lang w:val="en-GB"/>
              </w:rPr>
            </w:pPr>
            <w:r w:rsidRPr="00DF193A">
              <w:rPr>
                <w:i/>
                <w:sz w:val="20"/>
                <w:lang w:val="en-GB"/>
              </w:rPr>
              <w:t xml:space="preserve">Note: </w:t>
            </w:r>
            <w:r w:rsidR="00CC6EB6" w:rsidRPr="00DF193A">
              <w:rPr>
                <w:i/>
                <w:sz w:val="20"/>
                <w:lang w:val="en-GB"/>
              </w:rPr>
              <w:t>As soon as they are issued, c</w:t>
            </w:r>
            <w:r w:rsidRPr="00DF193A">
              <w:rPr>
                <w:i/>
                <w:iCs/>
                <w:sz w:val="20"/>
                <w:lang w:val="en-GB"/>
              </w:rPr>
              <w:t>orrigenda to th</w:t>
            </w:r>
            <w:r w:rsidR="00CC6EB6" w:rsidRPr="00DF193A">
              <w:rPr>
                <w:i/>
                <w:iCs/>
                <w:sz w:val="20"/>
                <w:lang w:val="en-GB"/>
              </w:rPr>
              <w:t>e published versions of ADN</w:t>
            </w:r>
            <w:r w:rsidRPr="00DF193A">
              <w:rPr>
                <w:i/>
                <w:iCs/>
                <w:sz w:val="20"/>
                <w:lang w:val="en-GB"/>
              </w:rPr>
              <w:t xml:space="preserve">, as well as amendments </w:t>
            </w:r>
            <w:r w:rsidR="00CC6EB6" w:rsidRPr="00DF193A">
              <w:rPr>
                <w:i/>
                <w:iCs/>
                <w:sz w:val="20"/>
                <w:lang w:val="en-GB"/>
              </w:rPr>
              <w:t>entering into force before the next version</w:t>
            </w:r>
            <w:r w:rsidR="009B5692" w:rsidRPr="00DF193A">
              <w:rPr>
                <w:i/>
                <w:iCs/>
                <w:sz w:val="20"/>
                <w:lang w:val="en-GB"/>
              </w:rPr>
              <w:t>,</w:t>
            </w:r>
            <w:r w:rsidR="00CC6EB6" w:rsidRPr="00DF193A">
              <w:rPr>
                <w:i/>
                <w:iCs/>
                <w:sz w:val="20"/>
                <w:lang w:val="en-GB"/>
              </w:rPr>
              <w:t xml:space="preserve"> are</w:t>
            </w:r>
            <w:r w:rsidRPr="00DF193A">
              <w:rPr>
                <w:i/>
                <w:iCs/>
                <w:sz w:val="20"/>
                <w:lang w:val="en-GB"/>
              </w:rPr>
              <w:t xml:space="preserve"> made available on the United Nations Economic Commission for Europe web site at the following address: </w:t>
            </w:r>
            <w:r w:rsidR="000B57D1" w:rsidRPr="00DF193A">
              <w:rPr>
                <w:i/>
                <w:iCs/>
                <w:sz w:val="20"/>
                <w:lang w:val="en-GB"/>
              </w:rPr>
              <w:t xml:space="preserve"> </w:t>
            </w:r>
            <w:r w:rsidR="0077560C" w:rsidRPr="0077560C">
              <w:rPr>
                <w:i/>
                <w:iCs/>
                <w:sz w:val="20"/>
                <w:lang w:val="en-GB"/>
              </w:rPr>
              <w:t>https://unece.org/transport/dangerous-goods</w:t>
            </w:r>
          </w:p>
        </w:tc>
      </w:tr>
    </w:tbl>
    <w:p w14:paraId="12E4A911" w14:textId="7A5D19F3" w:rsidR="00A070AE" w:rsidRPr="007635A7" w:rsidRDefault="00A070AE" w:rsidP="00A070AE">
      <w:pPr>
        <w:pStyle w:val="H23G"/>
        <w:rPr>
          <w:lang w:val="en-GB"/>
        </w:rPr>
      </w:pPr>
      <w:r w:rsidRPr="0077560C">
        <w:rPr>
          <w:rFonts w:asciiTheme="majorBidi" w:hAnsiTheme="majorBidi" w:cstheme="majorBidi"/>
          <w:lang w:val="en-GB"/>
        </w:rPr>
        <w:tab/>
      </w:r>
      <w:r w:rsidR="00632D4A" w:rsidRPr="007635A7">
        <w:rPr>
          <w:rFonts w:asciiTheme="majorBidi" w:hAnsiTheme="majorBidi" w:cstheme="majorBidi"/>
          <w:lang w:val="en-GB"/>
        </w:rPr>
        <w:t>1.</w:t>
      </w:r>
      <w:r w:rsidRPr="007635A7">
        <w:rPr>
          <w:rFonts w:asciiTheme="majorBidi" w:hAnsiTheme="majorBidi" w:cstheme="majorBidi"/>
          <w:szCs w:val="24"/>
          <w:lang w:val="en-GB"/>
        </w:rPr>
        <w:tab/>
        <w:t xml:space="preserve">Chapter 2.5, </w:t>
      </w:r>
      <w:r w:rsidRPr="007635A7">
        <w:rPr>
          <w:rFonts w:asciiTheme="majorBidi" w:hAnsiTheme="majorBidi" w:cstheme="majorBidi"/>
          <w:lang w:val="en-GB"/>
        </w:rPr>
        <w:t>2.2.52.4, entry for “ISOPROPYL sec-BUTYL PEROXYDICARBONATE+DI-sec-BUTYL PEROXYDICARBONATE+DI-ISOPROPYL PEROXYDICARBONATE”, column “Concentration”</w:t>
      </w:r>
      <w:r w:rsidRPr="007635A7">
        <w:rPr>
          <w:rFonts w:asciiTheme="majorBidi" w:hAnsiTheme="majorBidi" w:cstheme="majorBidi"/>
          <w:szCs w:val="24"/>
          <w:lang w:val="en-GB"/>
        </w:rPr>
        <w:t xml:space="preserve"> </w:t>
      </w:r>
    </w:p>
    <w:p w14:paraId="6936BA9A" w14:textId="7722D1CB" w:rsidR="00A070AE" w:rsidRPr="00481BBB" w:rsidRDefault="00A070AE" w:rsidP="00A070AE">
      <w:pPr>
        <w:pStyle w:val="SingleTxtG"/>
        <w:rPr>
          <w:rFonts w:asciiTheme="majorBidi" w:hAnsiTheme="majorBidi" w:cstheme="majorBidi"/>
          <w:lang w:val="en-GB"/>
        </w:rPr>
      </w:pPr>
      <w:r w:rsidRPr="00481BBB">
        <w:rPr>
          <w:rFonts w:asciiTheme="majorBidi" w:hAnsiTheme="majorBidi" w:cstheme="majorBidi"/>
          <w:lang w:val="en-GB"/>
        </w:rPr>
        <w:t>For ≤ 32 + ≤ 15 – 18 ≤ 12 – 15 read ≤ 32 + ≤ 15 – 18 + ≤ 12 – 15</w:t>
      </w:r>
    </w:p>
    <w:p w14:paraId="5468008A" w14:textId="0219123C" w:rsidR="007C7770" w:rsidRPr="007C7770" w:rsidRDefault="00632D4A" w:rsidP="00632D4A">
      <w:pPr>
        <w:pStyle w:val="H23G"/>
        <w:rPr>
          <w:b w:val="0"/>
          <w:bCs/>
          <w:lang w:val="en-GB"/>
        </w:rPr>
      </w:pPr>
      <w:r>
        <w:rPr>
          <w:bCs/>
          <w:lang w:val="en-GB"/>
        </w:rPr>
        <w:tab/>
        <w:t>2</w:t>
      </w:r>
      <w:r w:rsidR="007C7770" w:rsidRPr="007C7770">
        <w:rPr>
          <w:bCs/>
          <w:lang w:val="en-GB"/>
        </w:rPr>
        <w:t>.</w:t>
      </w:r>
      <w:r w:rsidR="007C7770" w:rsidRPr="007C7770">
        <w:rPr>
          <w:bCs/>
          <w:lang w:val="en-GB"/>
        </w:rPr>
        <w:tab/>
        <w:t>Chapter 3.2, Table C, UN No. 1202, second entry, column (2)</w:t>
      </w:r>
    </w:p>
    <w:p w14:paraId="34E999A8" w14:textId="77777777" w:rsidR="007C7770" w:rsidRPr="007C7770" w:rsidRDefault="007C7770" w:rsidP="007C7770">
      <w:pPr>
        <w:pStyle w:val="SingleTxtG"/>
        <w:rPr>
          <w:lang w:val="en-GB"/>
        </w:rPr>
      </w:pPr>
      <w:r w:rsidRPr="007C7770">
        <w:rPr>
          <w:i/>
          <w:iCs/>
          <w:lang w:val="en-GB"/>
        </w:rPr>
        <w:t xml:space="preserve">For </w:t>
      </w:r>
      <w:r w:rsidRPr="007C7770">
        <w:rPr>
          <w:lang w:val="en-GB"/>
        </w:rPr>
        <w:t>GAS OIL complying with standard EN 590:2013 + A1:2017 or DIESEL FUEL or HEATING OIL</w:t>
      </w:r>
    </w:p>
    <w:p w14:paraId="00B88E9D" w14:textId="77777777" w:rsidR="007C7770" w:rsidRPr="007C7770" w:rsidRDefault="007C7770" w:rsidP="007C7770">
      <w:pPr>
        <w:pStyle w:val="SingleTxtG"/>
        <w:rPr>
          <w:lang w:val="en-GB"/>
        </w:rPr>
      </w:pPr>
      <w:r w:rsidRPr="007C7770">
        <w:rPr>
          <w:i/>
          <w:iCs/>
          <w:lang w:val="en-GB"/>
        </w:rPr>
        <w:t xml:space="preserve">Read </w:t>
      </w:r>
      <w:r w:rsidRPr="007C7770">
        <w:rPr>
          <w:lang w:val="en-GB"/>
        </w:rPr>
        <w:t>DIESEL FUEL complying with standard EN 590:2013 + A1:2017 or GAS OIL or HEATING OIL</w:t>
      </w:r>
    </w:p>
    <w:p w14:paraId="7FEE7562" w14:textId="23EA62D6" w:rsidR="005E528A" w:rsidRPr="005E528A" w:rsidRDefault="00632D4A" w:rsidP="00632D4A">
      <w:pPr>
        <w:pStyle w:val="H23G"/>
        <w:rPr>
          <w:b w:val="0"/>
          <w:bCs/>
          <w:lang w:val="en-GB"/>
        </w:rPr>
      </w:pPr>
      <w:r>
        <w:rPr>
          <w:bCs/>
          <w:lang w:val="en-GB"/>
        </w:rPr>
        <w:tab/>
        <w:t>3</w:t>
      </w:r>
      <w:r w:rsidR="005E528A" w:rsidRPr="005E528A">
        <w:rPr>
          <w:bCs/>
          <w:lang w:val="en-GB"/>
        </w:rPr>
        <w:t>.</w:t>
      </w:r>
      <w:r w:rsidR="005E528A" w:rsidRPr="005E528A">
        <w:rPr>
          <w:bCs/>
          <w:lang w:val="en-GB"/>
        </w:rPr>
        <w:tab/>
        <w:t>Chapter 3.2, Table C, UN No. 3295 - HYDROCARBONS, LIQUID, N.O.S. CONTAINING ISOPRENE AND PENTADIENE, STABILIZED, 2 entries, column (5)</w:t>
      </w:r>
    </w:p>
    <w:p w14:paraId="7A1A324D" w14:textId="77777777" w:rsidR="005E528A" w:rsidRPr="005E528A" w:rsidRDefault="005E528A" w:rsidP="005E528A">
      <w:pPr>
        <w:pStyle w:val="SingleTxtG"/>
        <w:rPr>
          <w:i/>
          <w:iCs/>
          <w:lang w:val="en-GB"/>
        </w:rPr>
      </w:pPr>
      <w:r w:rsidRPr="005E528A">
        <w:rPr>
          <w:i/>
          <w:iCs/>
          <w:lang w:val="en-GB"/>
        </w:rPr>
        <w:t>For 3+inst. read 3+unst.</w:t>
      </w:r>
    </w:p>
    <w:p w14:paraId="282A243F" w14:textId="6A3AB132" w:rsidR="00C12B98" w:rsidRPr="00C12B98" w:rsidRDefault="00632D4A" w:rsidP="00632D4A">
      <w:pPr>
        <w:pStyle w:val="H23G"/>
        <w:rPr>
          <w:b w:val="0"/>
          <w:bCs/>
          <w:lang w:val="en-GB"/>
        </w:rPr>
      </w:pPr>
      <w:r>
        <w:rPr>
          <w:bCs/>
          <w:lang w:val="en-GB"/>
        </w:rPr>
        <w:tab/>
        <w:t>4</w:t>
      </w:r>
      <w:r w:rsidR="00C12B98" w:rsidRPr="00C12B98">
        <w:rPr>
          <w:bCs/>
          <w:lang w:val="en-GB"/>
        </w:rPr>
        <w:t>.</w:t>
      </w:r>
      <w:r w:rsidR="00C12B98" w:rsidRPr="00C12B98">
        <w:rPr>
          <w:bCs/>
          <w:lang w:val="en-GB"/>
        </w:rPr>
        <w:tab/>
        <w:t>Chapter 3.2, 3.2.3.3, Scheme B, Columns 2, 3, 4, 5 and 6</w:t>
      </w:r>
    </w:p>
    <w:p w14:paraId="73BD4CE4" w14:textId="77777777" w:rsidR="00C12B98" w:rsidRPr="00C12B98" w:rsidRDefault="00C12B98" w:rsidP="00C12B98">
      <w:pPr>
        <w:pStyle w:val="SingleTxtG"/>
        <w:rPr>
          <w:b/>
          <w:bCs/>
          <w:lang w:val="en-GB"/>
        </w:rPr>
      </w:pPr>
      <w:r w:rsidRPr="00C12B98">
        <w:rPr>
          <w:i/>
          <w:iCs/>
          <w:lang w:val="en-GB"/>
        </w:rPr>
        <w:t>For</w:t>
      </w:r>
      <w:r w:rsidRPr="00C12B98">
        <w:rPr>
          <w:lang w:val="en-GB"/>
        </w:rPr>
        <w:t xml:space="preserve"> P </w:t>
      </w:r>
      <w:r w:rsidRPr="00C12B98">
        <w:rPr>
          <w:vertAlign w:val="subscript"/>
          <w:lang w:val="en-GB"/>
        </w:rPr>
        <w:t>d 50</w:t>
      </w:r>
      <w:r w:rsidRPr="00C12B98">
        <w:rPr>
          <w:lang w:val="en-GB"/>
        </w:rPr>
        <w:t xml:space="preserve"> </w:t>
      </w:r>
      <w:r w:rsidRPr="00C12B98">
        <w:rPr>
          <w:i/>
          <w:iCs/>
          <w:lang w:val="en-GB"/>
        </w:rPr>
        <w:t>read</w:t>
      </w:r>
      <w:r w:rsidRPr="00C12B98">
        <w:rPr>
          <w:lang w:val="en-GB"/>
        </w:rPr>
        <w:t xml:space="preserve"> P</w:t>
      </w:r>
      <w:r w:rsidRPr="00C12B98">
        <w:rPr>
          <w:vertAlign w:val="subscript"/>
          <w:lang w:val="en-GB"/>
        </w:rPr>
        <w:t>v50</w:t>
      </w:r>
    </w:p>
    <w:p w14:paraId="4DC2CCEF" w14:textId="060E221B" w:rsidR="00C12B98" w:rsidRPr="00C12B98" w:rsidRDefault="00632D4A" w:rsidP="00632D4A">
      <w:pPr>
        <w:pStyle w:val="H23G"/>
        <w:rPr>
          <w:b w:val="0"/>
          <w:bCs/>
          <w:lang w:val="en-GB"/>
        </w:rPr>
      </w:pPr>
      <w:r>
        <w:rPr>
          <w:bCs/>
          <w:lang w:val="en-GB"/>
        </w:rPr>
        <w:tab/>
        <w:t>5</w:t>
      </w:r>
      <w:r w:rsidR="00C12B98" w:rsidRPr="00C12B98">
        <w:rPr>
          <w:bCs/>
          <w:lang w:val="en-GB"/>
        </w:rPr>
        <w:t>.</w:t>
      </w:r>
      <w:r w:rsidR="00C12B98" w:rsidRPr="00C12B98">
        <w:rPr>
          <w:bCs/>
          <w:lang w:val="en-GB"/>
        </w:rPr>
        <w:tab/>
        <w:t>Chapter 7.2, 7.2.3.29.1, first indent</w:t>
      </w:r>
    </w:p>
    <w:p w14:paraId="453CD4F9" w14:textId="77777777" w:rsidR="00C12B98" w:rsidRPr="00C12B98" w:rsidRDefault="00C12B98" w:rsidP="00C12B98">
      <w:pPr>
        <w:pStyle w:val="SingleTxtG"/>
        <w:rPr>
          <w:lang w:val="en-GB"/>
        </w:rPr>
      </w:pPr>
      <w:r w:rsidRPr="00C12B98">
        <w:rPr>
          <w:i/>
          <w:iCs/>
          <w:lang w:val="en-GB"/>
        </w:rPr>
        <w:t>For</w:t>
      </w:r>
      <w:r w:rsidRPr="00C12B98">
        <w:rPr>
          <w:lang w:val="en-GB"/>
        </w:rPr>
        <w:t xml:space="preserve"> Outboard motors </w:t>
      </w:r>
      <w:r w:rsidRPr="00C12B98">
        <w:rPr>
          <w:i/>
          <w:iCs/>
          <w:lang w:val="en-GB"/>
        </w:rPr>
        <w:t>read</w:t>
      </w:r>
      <w:r w:rsidRPr="00C12B98">
        <w:rPr>
          <w:lang w:val="en-GB"/>
        </w:rPr>
        <w:t xml:space="preserve"> Petrol operated outboard motors</w:t>
      </w:r>
    </w:p>
    <w:p w14:paraId="64FECD0A" w14:textId="4E5208A5" w:rsidR="00572BE9" w:rsidRPr="00572BE9" w:rsidRDefault="00632D4A" w:rsidP="00632D4A">
      <w:pPr>
        <w:pStyle w:val="H23G"/>
        <w:rPr>
          <w:b w:val="0"/>
          <w:bCs/>
          <w:lang w:val="en-GB"/>
        </w:rPr>
      </w:pPr>
      <w:r>
        <w:rPr>
          <w:bCs/>
          <w:lang w:val="en-GB"/>
        </w:rPr>
        <w:tab/>
        <w:t>6.</w:t>
      </w:r>
      <w:r>
        <w:rPr>
          <w:bCs/>
          <w:lang w:val="en-GB"/>
        </w:rPr>
        <w:tab/>
      </w:r>
      <w:r w:rsidR="00572BE9" w:rsidRPr="00572BE9">
        <w:rPr>
          <w:bCs/>
          <w:lang w:val="en-GB"/>
        </w:rPr>
        <w:t>Chapter 8.2, 8.2.2.4, heading</w:t>
      </w:r>
    </w:p>
    <w:p w14:paraId="1E0CE25C" w14:textId="77777777" w:rsidR="00572BE9" w:rsidRPr="00572BE9" w:rsidRDefault="00572BE9" w:rsidP="00572BE9">
      <w:pPr>
        <w:pStyle w:val="SingleTxtG"/>
        <w:rPr>
          <w:lang w:val="en-GB"/>
        </w:rPr>
      </w:pPr>
      <w:r w:rsidRPr="00572BE9">
        <w:rPr>
          <w:i/>
          <w:iCs/>
          <w:lang w:val="en-GB"/>
        </w:rPr>
        <w:t>For</w:t>
      </w:r>
      <w:r w:rsidRPr="00572BE9">
        <w:rPr>
          <w:lang w:val="en-GB"/>
        </w:rPr>
        <w:t xml:space="preserve"> Planning of refresher and specialization courses r</w:t>
      </w:r>
      <w:r w:rsidRPr="00572BE9">
        <w:rPr>
          <w:i/>
          <w:iCs/>
          <w:lang w:val="en-GB"/>
        </w:rPr>
        <w:t xml:space="preserve">ead </w:t>
      </w:r>
      <w:r w:rsidRPr="00572BE9">
        <w:rPr>
          <w:lang w:val="en-GB"/>
        </w:rPr>
        <w:t>Planning of basic and specialization courses</w:t>
      </w:r>
    </w:p>
    <w:p w14:paraId="3EE0B9FF" w14:textId="423E2985" w:rsidR="009765D0" w:rsidRPr="009765D0" w:rsidRDefault="00632D4A" w:rsidP="00632D4A">
      <w:pPr>
        <w:pStyle w:val="H23G"/>
        <w:rPr>
          <w:b w:val="0"/>
          <w:bCs/>
          <w:lang w:val="en-GB"/>
        </w:rPr>
      </w:pPr>
      <w:r>
        <w:rPr>
          <w:bCs/>
          <w:lang w:val="en-GB"/>
        </w:rPr>
        <w:lastRenderedPageBreak/>
        <w:tab/>
        <w:t>7</w:t>
      </w:r>
      <w:r w:rsidR="009765D0" w:rsidRPr="009765D0">
        <w:rPr>
          <w:bCs/>
          <w:lang w:val="en-GB"/>
        </w:rPr>
        <w:t>.</w:t>
      </w:r>
      <w:r w:rsidR="009765D0" w:rsidRPr="009765D0">
        <w:rPr>
          <w:bCs/>
          <w:lang w:val="en-GB"/>
        </w:rPr>
        <w:tab/>
        <w:t>Chapter 9.3, 9.3.1.14.2, 9.3.2.14.2 and 9.3.3.14.2, subparagraph (a)</w:t>
      </w:r>
    </w:p>
    <w:p w14:paraId="4E4C384A" w14:textId="77777777" w:rsidR="009765D0" w:rsidRPr="009765D0" w:rsidRDefault="009765D0" w:rsidP="009765D0">
      <w:pPr>
        <w:pStyle w:val="SingleTxtG"/>
        <w:rPr>
          <w:b/>
          <w:bCs/>
          <w:lang w:val="en-GB"/>
        </w:rPr>
      </w:pPr>
      <w:r w:rsidRPr="009765D0">
        <w:rPr>
          <w:i/>
          <w:iCs/>
          <w:lang w:val="en-GB"/>
        </w:rPr>
        <w:t>For</w:t>
      </w:r>
      <w:r w:rsidRPr="009765D0">
        <w:rPr>
          <w:lang w:val="en-GB"/>
        </w:rPr>
        <w:t xml:space="preserve"> non-watertight</w:t>
      </w:r>
      <w:r w:rsidRPr="009765D0">
        <w:rPr>
          <w:i/>
          <w:iCs/>
          <w:lang w:val="en-GB"/>
        </w:rPr>
        <w:t xml:space="preserve"> read</w:t>
      </w:r>
      <w:r w:rsidRPr="009765D0">
        <w:rPr>
          <w:lang w:val="en-GB"/>
        </w:rPr>
        <w:t xml:space="preserve"> non-weathertight</w:t>
      </w:r>
    </w:p>
    <w:p w14:paraId="069F5EE9" w14:textId="1ECA2B5A" w:rsidR="009765D0" w:rsidRPr="009765D0" w:rsidRDefault="00632D4A" w:rsidP="00632D4A">
      <w:pPr>
        <w:pStyle w:val="H23G"/>
        <w:rPr>
          <w:b w:val="0"/>
          <w:bCs/>
          <w:lang w:val="en-GB"/>
        </w:rPr>
      </w:pPr>
      <w:r>
        <w:rPr>
          <w:bCs/>
          <w:lang w:val="en-GB"/>
        </w:rPr>
        <w:tab/>
      </w:r>
      <w:r w:rsidR="00783BCE">
        <w:rPr>
          <w:bCs/>
          <w:lang w:val="en-GB"/>
        </w:rPr>
        <w:t>8</w:t>
      </w:r>
      <w:r w:rsidR="009765D0" w:rsidRPr="009765D0">
        <w:rPr>
          <w:bCs/>
          <w:lang w:val="en-GB"/>
        </w:rPr>
        <w:t>.</w:t>
      </w:r>
      <w:r w:rsidR="009765D0" w:rsidRPr="009765D0">
        <w:rPr>
          <w:bCs/>
          <w:lang w:val="en-GB"/>
        </w:rPr>
        <w:tab/>
        <w:t>Chapter 9.3, 9.3.1.14.2, 9.3.2.14.2 and 9.3.3.14.2, subparagraph (b)</w:t>
      </w:r>
    </w:p>
    <w:p w14:paraId="2B08C34C" w14:textId="77777777" w:rsidR="009765D0" w:rsidRPr="009765D0" w:rsidRDefault="009765D0" w:rsidP="009765D0">
      <w:pPr>
        <w:pStyle w:val="SingleTxtG"/>
        <w:rPr>
          <w:b/>
          <w:bCs/>
          <w:lang w:val="en-GB"/>
        </w:rPr>
      </w:pPr>
      <w:r w:rsidRPr="009765D0">
        <w:rPr>
          <w:i/>
          <w:iCs/>
          <w:lang w:val="en-GB"/>
        </w:rPr>
        <w:t>For</w:t>
      </w:r>
      <w:r w:rsidRPr="009765D0">
        <w:rPr>
          <w:lang w:val="en-GB"/>
        </w:rPr>
        <w:t xml:space="preserve"> non-watertight</w:t>
      </w:r>
      <w:r w:rsidRPr="009765D0">
        <w:rPr>
          <w:i/>
          <w:iCs/>
          <w:lang w:val="en-GB"/>
        </w:rPr>
        <w:t xml:space="preserve"> read</w:t>
      </w:r>
      <w:r w:rsidRPr="009765D0">
        <w:rPr>
          <w:lang w:val="en-GB"/>
        </w:rPr>
        <w:t xml:space="preserve"> non-weathertight</w:t>
      </w:r>
    </w:p>
    <w:p w14:paraId="499BDF6B" w14:textId="2855E0EE" w:rsidR="009765D0" w:rsidRPr="009765D0" w:rsidRDefault="00783BCE" w:rsidP="00632D4A">
      <w:pPr>
        <w:pStyle w:val="H23G"/>
        <w:rPr>
          <w:b w:val="0"/>
          <w:bCs/>
          <w:lang w:val="en-GB"/>
        </w:rPr>
      </w:pPr>
      <w:r>
        <w:rPr>
          <w:bCs/>
          <w:lang w:val="en-GB"/>
        </w:rPr>
        <w:tab/>
        <w:t>9</w:t>
      </w:r>
      <w:r w:rsidR="009765D0" w:rsidRPr="009765D0">
        <w:rPr>
          <w:bCs/>
          <w:lang w:val="en-GB"/>
        </w:rPr>
        <w:t>.</w:t>
      </w:r>
      <w:r w:rsidR="009765D0" w:rsidRPr="009765D0">
        <w:rPr>
          <w:bCs/>
          <w:lang w:val="en-GB"/>
        </w:rPr>
        <w:tab/>
        <w:t>Chapter 9.3, 9.3.1.15.2, last sentence of last paragraph</w:t>
      </w:r>
    </w:p>
    <w:p w14:paraId="7BD6D5F9" w14:textId="77777777" w:rsidR="009765D0" w:rsidRPr="009765D0" w:rsidRDefault="009765D0" w:rsidP="009765D0">
      <w:pPr>
        <w:pStyle w:val="SingleTxtG"/>
        <w:rPr>
          <w:b/>
          <w:bCs/>
          <w:lang w:val="en-GB"/>
        </w:rPr>
      </w:pPr>
      <w:r w:rsidRPr="009765D0">
        <w:rPr>
          <w:i/>
          <w:iCs/>
          <w:lang w:val="en-GB"/>
        </w:rPr>
        <w:t>For</w:t>
      </w:r>
      <w:r w:rsidRPr="009765D0">
        <w:rPr>
          <w:lang w:val="en-GB"/>
        </w:rPr>
        <w:t xml:space="preserve"> non-watertight</w:t>
      </w:r>
      <w:r w:rsidRPr="009765D0">
        <w:rPr>
          <w:i/>
          <w:iCs/>
          <w:lang w:val="en-GB"/>
        </w:rPr>
        <w:t xml:space="preserve"> read</w:t>
      </w:r>
      <w:r w:rsidRPr="009765D0">
        <w:rPr>
          <w:lang w:val="en-GB"/>
        </w:rPr>
        <w:t xml:space="preserve"> non-weathertight</w:t>
      </w:r>
    </w:p>
    <w:p w14:paraId="342D69BC" w14:textId="64A5DEE0" w:rsidR="009765D0" w:rsidRPr="009765D0" w:rsidRDefault="00783BCE" w:rsidP="00632D4A">
      <w:pPr>
        <w:pStyle w:val="H23G"/>
        <w:rPr>
          <w:b w:val="0"/>
          <w:bCs/>
          <w:lang w:val="en-GB"/>
        </w:rPr>
      </w:pPr>
      <w:r>
        <w:rPr>
          <w:bCs/>
          <w:lang w:val="en-GB"/>
        </w:rPr>
        <w:tab/>
        <w:t>10</w:t>
      </w:r>
      <w:r w:rsidR="009765D0" w:rsidRPr="009765D0">
        <w:rPr>
          <w:bCs/>
          <w:lang w:val="en-GB"/>
        </w:rPr>
        <w:t>.</w:t>
      </w:r>
      <w:r w:rsidR="009765D0" w:rsidRPr="009765D0">
        <w:rPr>
          <w:bCs/>
          <w:lang w:val="en-GB"/>
        </w:rPr>
        <w:tab/>
        <w:t xml:space="preserve">Chapter 9.3, 9.3.2.15.2, </w:t>
      </w:r>
      <w:r w:rsidR="007635A7" w:rsidRPr="009765D0">
        <w:rPr>
          <w:bCs/>
          <w:lang w:val="en-GB"/>
        </w:rPr>
        <w:t>last sentence of last paragraph</w:t>
      </w:r>
    </w:p>
    <w:p w14:paraId="4D3E1DA6" w14:textId="77777777" w:rsidR="009765D0" w:rsidRPr="009765D0" w:rsidRDefault="009765D0" w:rsidP="009765D0">
      <w:pPr>
        <w:pStyle w:val="SingleTxtG"/>
        <w:rPr>
          <w:b/>
          <w:bCs/>
          <w:lang w:val="en-GB"/>
        </w:rPr>
      </w:pPr>
      <w:r w:rsidRPr="009765D0">
        <w:rPr>
          <w:i/>
          <w:iCs/>
          <w:lang w:val="en-GB"/>
        </w:rPr>
        <w:t>For</w:t>
      </w:r>
      <w:r w:rsidRPr="009765D0">
        <w:rPr>
          <w:lang w:val="en-GB"/>
        </w:rPr>
        <w:t xml:space="preserve"> non-watertight</w:t>
      </w:r>
      <w:r w:rsidRPr="009765D0">
        <w:rPr>
          <w:i/>
          <w:iCs/>
          <w:lang w:val="en-GB"/>
        </w:rPr>
        <w:t xml:space="preserve"> read</w:t>
      </w:r>
      <w:r w:rsidRPr="009765D0">
        <w:rPr>
          <w:lang w:val="en-GB"/>
        </w:rPr>
        <w:t xml:space="preserve"> non-weathertight</w:t>
      </w:r>
    </w:p>
    <w:p w14:paraId="3617CE09" w14:textId="7DAA28FE" w:rsidR="009765D0" w:rsidRPr="009765D0" w:rsidRDefault="00783BCE" w:rsidP="00632D4A">
      <w:pPr>
        <w:pStyle w:val="H23G"/>
        <w:rPr>
          <w:b w:val="0"/>
          <w:bCs/>
          <w:lang w:val="en-GB"/>
        </w:rPr>
      </w:pPr>
      <w:r>
        <w:rPr>
          <w:bCs/>
          <w:lang w:val="en-GB"/>
        </w:rPr>
        <w:tab/>
        <w:t>11</w:t>
      </w:r>
      <w:r w:rsidR="009765D0" w:rsidRPr="009765D0">
        <w:rPr>
          <w:bCs/>
          <w:lang w:val="en-GB"/>
        </w:rPr>
        <w:t>.</w:t>
      </w:r>
      <w:r w:rsidR="009765D0" w:rsidRPr="009765D0">
        <w:rPr>
          <w:bCs/>
          <w:lang w:val="en-GB"/>
        </w:rPr>
        <w:tab/>
        <w:t xml:space="preserve">Chapter 9.3, 9.3.3.15.2, </w:t>
      </w:r>
      <w:r w:rsidR="007635A7" w:rsidRPr="009765D0">
        <w:rPr>
          <w:bCs/>
          <w:lang w:val="en-GB"/>
        </w:rPr>
        <w:t>last sentence of last paragraph</w:t>
      </w:r>
    </w:p>
    <w:p w14:paraId="4A4806C9" w14:textId="77777777" w:rsidR="009765D0" w:rsidRPr="009765D0" w:rsidRDefault="009765D0" w:rsidP="009765D0">
      <w:pPr>
        <w:pStyle w:val="SingleTxtG"/>
        <w:rPr>
          <w:b/>
          <w:bCs/>
          <w:lang w:val="en-GB"/>
        </w:rPr>
      </w:pPr>
      <w:r w:rsidRPr="009765D0">
        <w:rPr>
          <w:i/>
          <w:iCs/>
          <w:lang w:val="en-GB"/>
        </w:rPr>
        <w:t>For</w:t>
      </w:r>
      <w:r w:rsidRPr="009765D0">
        <w:rPr>
          <w:lang w:val="en-GB"/>
        </w:rPr>
        <w:t xml:space="preserve"> non-watertight</w:t>
      </w:r>
      <w:r w:rsidRPr="009765D0">
        <w:rPr>
          <w:i/>
          <w:iCs/>
          <w:lang w:val="en-GB"/>
        </w:rPr>
        <w:t xml:space="preserve"> read</w:t>
      </w:r>
      <w:r w:rsidRPr="009765D0">
        <w:rPr>
          <w:lang w:val="en-GB"/>
        </w:rPr>
        <w:t xml:space="preserve"> non-weathertight</w:t>
      </w:r>
    </w:p>
    <w:p w14:paraId="17FB59C3" w14:textId="77777777" w:rsidR="005D13F2" w:rsidRPr="007635A7" w:rsidRDefault="005D13F2" w:rsidP="00C12B98">
      <w:pPr>
        <w:pStyle w:val="SingleTxtG"/>
        <w:rPr>
          <w:lang w:val="en-GB"/>
        </w:rPr>
      </w:pPr>
    </w:p>
    <w:p w14:paraId="1A457A8F" w14:textId="77777777" w:rsidR="0002411B" w:rsidRPr="007635A7" w:rsidRDefault="0002411B" w:rsidP="0002411B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suppressAutoHyphens/>
        <w:spacing w:before="240" w:line="240" w:lineRule="atLeast"/>
        <w:ind w:left="1134" w:right="1134"/>
        <w:jc w:val="center"/>
        <w:rPr>
          <w:sz w:val="20"/>
          <w:u w:val="single"/>
          <w:lang w:val="en-GB" w:eastAsia="de-DE"/>
        </w:rPr>
      </w:pPr>
      <w:r w:rsidRPr="007635A7">
        <w:rPr>
          <w:sz w:val="20"/>
          <w:u w:val="single"/>
          <w:lang w:val="en-GB" w:eastAsia="de-DE"/>
        </w:rPr>
        <w:tab/>
      </w:r>
      <w:r w:rsidRPr="007635A7">
        <w:rPr>
          <w:sz w:val="20"/>
          <w:u w:val="single"/>
          <w:lang w:val="en-GB" w:eastAsia="de-DE"/>
        </w:rPr>
        <w:tab/>
      </w:r>
      <w:r w:rsidRPr="007635A7">
        <w:rPr>
          <w:sz w:val="20"/>
          <w:u w:val="single"/>
          <w:lang w:val="en-GB" w:eastAsia="de-DE"/>
        </w:rPr>
        <w:tab/>
      </w:r>
    </w:p>
    <w:sectPr w:rsidR="0002411B" w:rsidRPr="007635A7" w:rsidSect="0067581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2268" w:left="1134" w:header="851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B5BB" w14:textId="77777777" w:rsidR="00ED5D22" w:rsidRDefault="00ED5D22"/>
  </w:endnote>
  <w:endnote w:type="continuationSeparator" w:id="0">
    <w:p w14:paraId="0B06C0F8" w14:textId="77777777" w:rsidR="00ED5D22" w:rsidRDefault="00ED5D22"/>
  </w:endnote>
  <w:endnote w:type="continuationNotice" w:id="1">
    <w:p w14:paraId="48F5065F" w14:textId="77777777" w:rsidR="00ED5D22" w:rsidRDefault="00ED5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8"/>
        <w:szCs w:val="22"/>
      </w:rPr>
      <w:id w:val="-1364123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57A9B" w14:textId="77777777" w:rsidR="00D759C0" w:rsidRPr="00D759C0" w:rsidRDefault="00D759C0" w:rsidP="00D759C0">
        <w:pPr>
          <w:pStyle w:val="Footer"/>
          <w:rPr>
            <w:b/>
            <w:bCs/>
            <w:sz w:val="18"/>
            <w:szCs w:val="22"/>
          </w:rPr>
        </w:pPr>
        <w:r w:rsidRPr="00D759C0">
          <w:rPr>
            <w:b/>
            <w:bCs/>
            <w:sz w:val="18"/>
            <w:szCs w:val="22"/>
          </w:rPr>
          <w:fldChar w:fldCharType="begin"/>
        </w:r>
        <w:r w:rsidRPr="00D759C0">
          <w:rPr>
            <w:b/>
            <w:bCs/>
            <w:sz w:val="18"/>
            <w:szCs w:val="22"/>
          </w:rPr>
          <w:instrText xml:space="preserve"> PAGE   \* MERGEFORMAT </w:instrText>
        </w:r>
        <w:r w:rsidRPr="00D759C0">
          <w:rPr>
            <w:b/>
            <w:bCs/>
            <w:sz w:val="18"/>
            <w:szCs w:val="22"/>
          </w:rPr>
          <w:fldChar w:fldCharType="separate"/>
        </w:r>
        <w:r w:rsidRPr="00D759C0">
          <w:rPr>
            <w:b/>
            <w:bCs/>
            <w:noProof/>
            <w:sz w:val="18"/>
            <w:szCs w:val="22"/>
          </w:rPr>
          <w:t>2</w:t>
        </w:r>
        <w:r w:rsidRPr="00D759C0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8"/>
        <w:szCs w:val="22"/>
      </w:rPr>
      <w:id w:val="200985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57A9C" w14:textId="77777777" w:rsidR="00D759C0" w:rsidRPr="00D759C0" w:rsidRDefault="00D759C0" w:rsidP="00D759C0">
        <w:pPr>
          <w:pStyle w:val="Footer"/>
          <w:jc w:val="right"/>
          <w:rPr>
            <w:b/>
            <w:bCs/>
            <w:sz w:val="18"/>
            <w:szCs w:val="22"/>
          </w:rPr>
        </w:pPr>
        <w:r w:rsidRPr="00D759C0">
          <w:rPr>
            <w:b/>
            <w:bCs/>
            <w:sz w:val="18"/>
            <w:szCs w:val="22"/>
          </w:rPr>
          <w:fldChar w:fldCharType="begin"/>
        </w:r>
        <w:r w:rsidRPr="00D759C0">
          <w:rPr>
            <w:b/>
            <w:bCs/>
            <w:sz w:val="18"/>
            <w:szCs w:val="22"/>
          </w:rPr>
          <w:instrText xml:space="preserve"> PAGE   \* MERGEFORMAT </w:instrText>
        </w:r>
        <w:r w:rsidRPr="00D759C0">
          <w:rPr>
            <w:b/>
            <w:bCs/>
            <w:sz w:val="18"/>
            <w:szCs w:val="22"/>
          </w:rPr>
          <w:fldChar w:fldCharType="separate"/>
        </w:r>
        <w:r>
          <w:rPr>
            <w:b/>
            <w:bCs/>
            <w:sz w:val="18"/>
          </w:rPr>
          <w:t>2</w:t>
        </w:r>
        <w:r w:rsidRPr="00D759C0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7A9D" w14:textId="17ED0C27" w:rsidR="00FE7AE2" w:rsidRPr="00860A39" w:rsidRDefault="00030DCF" w:rsidP="00B30B11"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enter" w:pos="4153"/>
        <w:tab w:val="left" w:pos="7513"/>
        <w:tab w:val="right" w:pos="8306"/>
        <w:tab w:val="right" w:pos="9639"/>
      </w:tabs>
      <w:spacing w:before="120"/>
      <w:jc w:val="right"/>
      <w:rPr>
        <w:bCs/>
        <w:noProof/>
        <w:sz w:val="20"/>
        <w:lang w:val="en-US"/>
      </w:rPr>
    </w:pPr>
    <w:bookmarkStart w:id="0" w:name="_GoBack"/>
    <w:bookmarkEnd w:id="0"/>
    <w:r w:rsidRPr="00030DCF">
      <w:rPr>
        <w:rStyle w:val="PageNumber"/>
        <w:noProof/>
        <w:lang w:val="en-US" w:eastAsia="zh-CN"/>
      </w:rPr>
      <w:drawing>
        <wp:anchor distT="0" distB="0" distL="114300" distR="114300" simplePos="0" relativeHeight="251660288" behindDoc="1" locked="1" layoutInCell="1" allowOverlap="1" wp14:anchorId="7BF7FF51" wp14:editId="740ACDBE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E2F" w:rsidRPr="00546445">
      <w:rPr>
        <w:rStyle w:val="PageNumber"/>
        <w:lang w:val="en-GB"/>
      </w:rPr>
      <w:tab/>
    </w:r>
    <w:r w:rsidR="00FE7AE2">
      <w:rPr>
        <w:bCs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57AA5" wp14:editId="1A457AA6">
              <wp:simplePos x="0" y="0"/>
              <wp:positionH relativeFrom="column">
                <wp:posOffset>25400</wp:posOffset>
              </wp:positionH>
              <wp:positionV relativeFrom="paragraph">
                <wp:posOffset>37465</wp:posOffset>
              </wp:positionV>
              <wp:extent cx="6189345" cy="0"/>
              <wp:effectExtent l="19050" t="15240" r="20955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8AAD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2.95pt" to="489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" strokeweight="2pt"/>
          </w:pict>
        </mc:Fallback>
      </mc:AlternateContent>
    </w:r>
    <w:r w:rsidR="00FE7AE2" w:rsidRPr="00860A39">
      <w:rPr>
        <w:bCs/>
        <w:noProof/>
        <w:sz w:val="20"/>
        <w:lang w:val="en-US"/>
      </w:rPr>
      <w:t>ECE/TRANS</w:t>
    </w:r>
    <w:r w:rsidR="00FE7AE2">
      <w:rPr>
        <w:bCs/>
        <w:noProof/>
        <w:sz w:val="20"/>
        <w:lang w:val="en-US"/>
      </w:rPr>
      <w:t>/</w:t>
    </w:r>
    <w:r w:rsidR="00E5262F">
      <w:rPr>
        <w:bCs/>
        <w:noProof/>
        <w:sz w:val="20"/>
        <w:lang w:val="en-US"/>
      </w:rPr>
      <w:t>301</w:t>
    </w:r>
    <w:r w:rsidR="00FE7AE2" w:rsidRPr="00860A39">
      <w:rPr>
        <w:bCs/>
        <w:noProof/>
        <w:sz w:val="20"/>
        <w:lang w:val="en-US"/>
      </w:rPr>
      <w:t>/Corr.</w:t>
    </w:r>
    <w:r w:rsidR="00FE7AE2">
      <w:rPr>
        <w:bCs/>
        <w:noProof/>
        <w:sz w:val="20"/>
        <w:lang w:val="en-US"/>
      </w:rPr>
      <w:t>1</w:t>
    </w:r>
  </w:p>
  <w:p w14:paraId="1A457A9E" w14:textId="77777777" w:rsidR="00FE7AE2" w:rsidRPr="0012736E" w:rsidRDefault="00FE7AE2" w:rsidP="00FE7AE2">
    <w:pPr>
      <w:pStyle w:val="Footer"/>
      <w:jc w:val="right"/>
      <w:rPr>
        <w:sz w:val="18"/>
        <w:lang w:val="en-GB"/>
      </w:rPr>
    </w:pPr>
    <w:r>
      <w:rPr>
        <w:sz w:val="18"/>
        <w:lang w:val="en-GB"/>
      </w:rPr>
      <w:t xml:space="preserve">Original: </w:t>
    </w:r>
    <w:r w:rsidRPr="0012736E">
      <w:rPr>
        <w:sz w:val="18"/>
        <w:lang w:val="en-GB"/>
      </w:rPr>
      <w:t>English</w:t>
    </w:r>
    <w:r>
      <w:rPr>
        <w:sz w:val="18"/>
        <w:lang w:val="en-GB"/>
      </w:rPr>
      <w:t xml:space="preserve"> and French</w:t>
    </w:r>
  </w:p>
  <w:p w14:paraId="1A457A9F" w14:textId="39D6CFC9" w:rsidR="00FE7AE2" w:rsidRPr="00093BBA" w:rsidRDefault="00FE7AE2" w:rsidP="00FE7AE2">
    <w:pPr>
      <w:pStyle w:val="Footer"/>
      <w:jc w:val="right"/>
      <w:rPr>
        <w:sz w:val="18"/>
        <w:lang w:val="en-GB"/>
      </w:rPr>
    </w:pPr>
    <w:r w:rsidRPr="00093BBA">
      <w:rPr>
        <w:sz w:val="18"/>
        <w:lang w:val="en-GB"/>
      </w:rPr>
      <w:t xml:space="preserve">ISBN: </w:t>
    </w:r>
    <w:r w:rsidR="00093BBA" w:rsidRPr="00093BBA">
      <w:rPr>
        <w:b/>
        <w:bCs/>
        <w:sz w:val="18"/>
        <w:lang w:val="en-GB"/>
      </w:rPr>
      <w:t>978-92-1-139182-4</w:t>
    </w:r>
  </w:p>
  <w:p w14:paraId="012691E7" w14:textId="3FB7F720" w:rsidR="00675815" w:rsidRDefault="00675815" w:rsidP="00747C9D">
    <w:pPr>
      <w:pStyle w:val="Footer"/>
      <w:rPr>
        <w:lang w:val="en-GB"/>
      </w:rPr>
    </w:pPr>
  </w:p>
  <w:p w14:paraId="0F9066EA" w14:textId="31C8C73F" w:rsidR="00675815" w:rsidRDefault="00675815" w:rsidP="00747C9D">
    <w:pPr>
      <w:pStyle w:val="Footer"/>
      <w:rPr>
        <w:lang w:val="en-GB"/>
      </w:rPr>
    </w:pPr>
  </w:p>
  <w:p w14:paraId="7E90841D" w14:textId="092950A3" w:rsidR="00675815" w:rsidRDefault="00675815" w:rsidP="00747C9D">
    <w:pPr>
      <w:pStyle w:val="Footer"/>
      <w:rPr>
        <w:lang w:val="en-GB"/>
      </w:rPr>
    </w:pPr>
  </w:p>
  <w:p w14:paraId="110739AF" w14:textId="5D83F406" w:rsidR="00675815" w:rsidRDefault="00675815" w:rsidP="00030DCF">
    <w:pPr>
      <w:pStyle w:val="Footer"/>
      <w:rPr>
        <w:lang w:val="en-GB"/>
      </w:rPr>
    </w:pPr>
  </w:p>
  <w:p w14:paraId="2A3569B7" w14:textId="549F7B2F" w:rsidR="00030DCF" w:rsidRPr="00030DCF" w:rsidRDefault="00030DCF" w:rsidP="00030DCF">
    <w:pPr>
      <w:pStyle w:val="Footer"/>
      <w:ind w:right="1134"/>
      <w:jc w:val="left"/>
      <w:rPr>
        <w:sz w:val="20"/>
        <w:lang w:val="en-GB"/>
      </w:rPr>
    </w:pPr>
    <w:r>
      <w:rPr>
        <w:sz w:val="20"/>
        <w:lang w:val="en-GB"/>
      </w:rPr>
      <w:t>GE.22-08670(E)</w:t>
    </w:r>
    <w:r>
      <w:rPr>
        <w:noProof/>
        <w:sz w:val="20"/>
        <w:lang w:val="en-GB"/>
      </w:rPr>
      <w:drawing>
        <wp:anchor distT="0" distB="0" distL="114300" distR="114300" simplePos="0" relativeHeight="251661312" behindDoc="0" locked="0" layoutInCell="1" allowOverlap="1" wp14:anchorId="290FE879" wp14:editId="496DA7F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A311" w14:textId="77777777" w:rsidR="00ED5D22" w:rsidRPr="000B175B" w:rsidRDefault="00ED5D2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9B6392" w14:textId="77777777" w:rsidR="00ED5D22" w:rsidRPr="00FC68B7" w:rsidRDefault="00ED5D2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6DE86A2" w14:textId="77777777" w:rsidR="00ED5D22" w:rsidRDefault="00ED5D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7A98" w14:textId="5F8E24E0" w:rsidR="001A7967" w:rsidRPr="008A7EEB" w:rsidRDefault="001A7967">
    <w:pPr>
      <w:pStyle w:val="Header"/>
      <w:rPr>
        <w:lang w:val="en-US"/>
      </w:rPr>
    </w:pPr>
    <w:r>
      <w:rPr>
        <w:lang w:val="en-US"/>
      </w:rPr>
      <w:t>ECE/TRANS/</w:t>
    </w:r>
    <w:r w:rsidR="00E5262F">
      <w:rPr>
        <w:lang w:val="en-US"/>
      </w:rPr>
      <w:t>301</w:t>
    </w:r>
    <w:r w:rsidR="00646E38">
      <w:rPr>
        <w:lang w:val="en-US"/>
      </w:rPr>
      <w:t>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7A99" w14:textId="766F0E63" w:rsidR="00AD6EFE" w:rsidRPr="008A7EEB" w:rsidRDefault="00AD6EFE" w:rsidP="00AD6EFE">
    <w:pPr>
      <w:pStyle w:val="Header"/>
      <w:jc w:val="right"/>
      <w:rPr>
        <w:lang w:val="en-US"/>
      </w:rPr>
    </w:pPr>
    <w:r>
      <w:rPr>
        <w:lang w:val="en-US"/>
      </w:rPr>
      <w:t>ECE/TRANS/</w:t>
    </w:r>
    <w:r w:rsidR="00E5262F">
      <w:rPr>
        <w:lang w:val="en-US"/>
      </w:rPr>
      <w:t>301</w:t>
    </w:r>
    <w:r>
      <w:rPr>
        <w:lang w:val="en-US"/>
      </w:rPr>
      <w:t>/Corr.1</w:t>
    </w:r>
  </w:p>
  <w:p w14:paraId="1A457A9A" w14:textId="77777777" w:rsidR="001A7967" w:rsidRPr="008C4CAC" w:rsidRDefault="001A7967" w:rsidP="008C4CA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06BFE"/>
    <w:multiLevelType w:val="hybridMultilevel"/>
    <w:tmpl w:val="4D4CB5A4"/>
    <w:lvl w:ilvl="0" w:tplc="85D495EE">
      <w:start w:val="2"/>
      <w:numFmt w:val="decimal"/>
      <w:lvlText w:val="%1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VE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CA8"/>
    <w:rsid w:val="0002411B"/>
    <w:rsid w:val="0002412D"/>
    <w:rsid w:val="00030DCF"/>
    <w:rsid w:val="00041343"/>
    <w:rsid w:val="00050F6B"/>
    <w:rsid w:val="0006727E"/>
    <w:rsid w:val="00072C8C"/>
    <w:rsid w:val="000931C0"/>
    <w:rsid w:val="00093BBA"/>
    <w:rsid w:val="00095018"/>
    <w:rsid w:val="000B175B"/>
    <w:rsid w:val="000B3A0F"/>
    <w:rsid w:val="000B57D1"/>
    <w:rsid w:val="000D1323"/>
    <w:rsid w:val="000E0415"/>
    <w:rsid w:val="000E3689"/>
    <w:rsid w:val="00101AB0"/>
    <w:rsid w:val="00107CD6"/>
    <w:rsid w:val="00120A5E"/>
    <w:rsid w:val="001220B8"/>
    <w:rsid w:val="001257E5"/>
    <w:rsid w:val="0012736E"/>
    <w:rsid w:val="00154D5F"/>
    <w:rsid w:val="001668E2"/>
    <w:rsid w:val="00167501"/>
    <w:rsid w:val="00194DC3"/>
    <w:rsid w:val="001A7967"/>
    <w:rsid w:val="001B4B04"/>
    <w:rsid w:val="001C6663"/>
    <w:rsid w:val="001C7895"/>
    <w:rsid w:val="001D26DF"/>
    <w:rsid w:val="00202290"/>
    <w:rsid w:val="0020271A"/>
    <w:rsid w:val="00210E2F"/>
    <w:rsid w:val="00211E0B"/>
    <w:rsid w:val="00224518"/>
    <w:rsid w:val="002405A7"/>
    <w:rsid w:val="00271DD7"/>
    <w:rsid w:val="00274A13"/>
    <w:rsid w:val="0027792A"/>
    <w:rsid w:val="00282660"/>
    <w:rsid w:val="00285F1E"/>
    <w:rsid w:val="002A6E2F"/>
    <w:rsid w:val="002B17DD"/>
    <w:rsid w:val="002C4770"/>
    <w:rsid w:val="003107FA"/>
    <w:rsid w:val="00311531"/>
    <w:rsid w:val="0031520F"/>
    <w:rsid w:val="003229D8"/>
    <w:rsid w:val="00325C14"/>
    <w:rsid w:val="0033745A"/>
    <w:rsid w:val="00353D10"/>
    <w:rsid w:val="003639B5"/>
    <w:rsid w:val="00367093"/>
    <w:rsid w:val="003823AE"/>
    <w:rsid w:val="0038345F"/>
    <w:rsid w:val="0039277A"/>
    <w:rsid w:val="003972E0"/>
    <w:rsid w:val="003A705B"/>
    <w:rsid w:val="003C2CC4"/>
    <w:rsid w:val="003C3936"/>
    <w:rsid w:val="003D36C3"/>
    <w:rsid w:val="003D4B23"/>
    <w:rsid w:val="003E2C42"/>
    <w:rsid w:val="003E5AA2"/>
    <w:rsid w:val="003F1ED3"/>
    <w:rsid w:val="00425CD7"/>
    <w:rsid w:val="004325CB"/>
    <w:rsid w:val="00436F23"/>
    <w:rsid w:val="00437CB6"/>
    <w:rsid w:val="00442BE1"/>
    <w:rsid w:val="00446DE4"/>
    <w:rsid w:val="00466514"/>
    <w:rsid w:val="00481BBB"/>
    <w:rsid w:val="004A0CC1"/>
    <w:rsid w:val="004A41CA"/>
    <w:rsid w:val="004C78B6"/>
    <w:rsid w:val="004F26EA"/>
    <w:rsid w:val="00503228"/>
    <w:rsid w:val="00505384"/>
    <w:rsid w:val="0052225D"/>
    <w:rsid w:val="005420F2"/>
    <w:rsid w:val="00546445"/>
    <w:rsid w:val="00572BE9"/>
    <w:rsid w:val="005774E3"/>
    <w:rsid w:val="00580F20"/>
    <w:rsid w:val="005B3DB3"/>
    <w:rsid w:val="005B4208"/>
    <w:rsid w:val="005D13F2"/>
    <w:rsid w:val="005D4DB5"/>
    <w:rsid w:val="005E3654"/>
    <w:rsid w:val="005E528A"/>
    <w:rsid w:val="006023CA"/>
    <w:rsid w:val="00611FC4"/>
    <w:rsid w:val="006176FB"/>
    <w:rsid w:val="0062210B"/>
    <w:rsid w:val="00626990"/>
    <w:rsid w:val="00627ED0"/>
    <w:rsid w:val="00631C73"/>
    <w:rsid w:val="00632369"/>
    <w:rsid w:val="00632D4A"/>
    <w:rsid w:val="00640B26"/>
    <w:rsid w:val="00641D0A"/>
    <w:rsid w:val="00646E38"/>
    <w:rsid w:val="0065568B"/>
    <w:rsid w:val="00665595"/>
    <w:rsid w:val="0066682D"/>
    <w:rsid w:val="00666848"/>
    <w:rsid w:val="006675C2"/>
    <w:rsid w:val="00675815"/>
    <w:rsid w:val="00684203"/>
    <w:rsid w:val="006908FF"/>
    <w:rsid w:val="006A7392"/>
    <w:rsid w:val="006B76E4"/>
    <w:rsid w:val="006C0C9E"/>
    <w:rsid w:val="006D2F29"/>
    <w:rsid w:val="006E564B"/>
    <w:rsid w:val="006F5D95"/>
    <w:rsid w:val="00720723"/>
    <w:rsid w:val="0072248F"/>
    <w:rsid w:val="0072632A"/>
    <w:rsid w:val="00747C9D"/>
    <w:rsid w:val="007543AD"/>
    <w:rsid w:val="00755C54"/>
    <w:rsid w:val="007635A7"/>
    <w:rsid w:val="00772ED0"/>
    <w:rsid w:val="0077560C"/>
    <w:rsid w:val="00783BCE"/>
    <w:rsid w:val="00783DA1"/>
    <w:rsid w:val="007B3658"/>
    <w:rsid w:val="007B6BA5"/>
    <w:rsid w:val="007C3390"/>
    <w:rsid w:val="007C4F4B"/>
    <w:rsid w:val="007C5DD7"/>
    <w:rsid w:val="007C7770"/>
    <w:rsid w:val="007D0AE5"/>
    <w:rsid w:val="007E4293"/>
    <w:rsid w:val="007F0B83"/>
    <w:rsid w:val="007F6611"/>
    <w:rsid w:val="00817182"/>
    <w:rsid w:val="008175E9"/>
    <w:rsid w:val="00822751"/>
    <w:rsid w:val="008242D7"/>
    <w:rsid w:val="00827E05"/>
    <w:rsid w:val="008311A3"/>
    <w:rsid w:val="00832B07"/>
    <w:rsid w:val="00845CDA"/>
    <w:rsid w:val="008715CA"/>
    <w:rsid w:val="00871FD5"/>
    <w:rsid w:val="00873984"/>
    <w:rsid w:val="00884293"/>
    <w:rsid w:val="008979B1"/>
    <w:rsid w:val="008A6B25"/>
    <w:rsid w:val="008A6C4F"/>
    <w:rsid w:val="008A7EEB"/>
    <w:rsid w:val="008B41CF"/>
    <w:rsid w:val="008C4CAC"/>
    <w:rsid w:val="008E0E46"/>
    <w:rsid w:val="00906F63"/>
    <w:rsid w:val="00907AD2"/>
    <w:rsid w:val="009243E2"/>
    <w:rsid w:val="0093489C"/>
    <w:rsid w:val="00937CA8"/>
    <w:rsid w:val="009636C8"/>
    <w:rsid w:val="00963CBA"/>
    <w:rsid w:val="009675D2"/>
    <w:rsid w:val="009705C5"/>
    <w:rsid w:val="00971310"/>
    <w:rsid w:val="00974A8D"/>
    <w:rsid w:val="009765D0"/>
    <w:rsid w:val="00991261"/>
    <w:rsid w:val="0099768D"/>
    <w:rsid w:val="009B3498"/>
    <w:rsid w:val="009B5692"/>
    <w:rsid w:val="009C5324"/>
    <w:rsid w:val="009C602B"/>
    <w:rsid w:val="009F3A17"/>
    <w:rsid w:val="00A070AE"/>
    <w:rsid w:val="00A1427D"/>
    <w:rsid w:val="00A24DCA"/>
    <w:rsid w:val="00A45952"/>
    <w:rsid w:val="00A47CDF"/>
    <w:rsid w:val="00A5120F"/>
    <w:rsid w:val="00A72F22"/>
    <w:rsid w:val="00A748A6"/>
    <w:rsid w:val="00A82C68"/>
    <w:rsid w:val="00A879A4"/>
    <w:rsid w:val="00A87B80"/>
    <w:rsid w:val="00AA3D88"/>
    <w:rsid w:val="00AB6363"/>
    <w:rsid w:val="00AD6EFE"/>
    <w:rsid w:val="00B00890"/>
    <w:rsid w:val="00B03463"/>
    <w:rsid w:val="00B12A11"/>
    <w:rsid w:val="00B205C2"/>
    <w:rsid w:val="00B30179"/>
    <w:rsid w:val="00B30B11"/>
    <w:rsid w:val="00B33EC0"/>
    <w:rsid w:val="00B80A4E"/>
    <w:rsid w:val="00B81E12"/>
    <w:rsid w:val="00BB110E"/>
    <w:rsid w:val="00BC1543"/>
    <w:rsid w:val="00BC74E9"/>
    <w:rsid w:val="00BD2146"/>
    <w:rsid w:val="00BD7670"/>
    <w:rsid w:val="00BE4F74"/>
    <w:rsid w:val="00BE618E"/>
    <w:rsid w:val="00BF643D"/>
    <w:rsid w:val="00C04EA9"/>
    <w:rsid w:val="00C10AD4"/>
    <w:rsid w:val="00C12B98"/>
    <w:rsid w:val="00C17699"/>
    <w:rsid w:val="00C219BD"/>
    <w:rsid w:val="00C23F7E"/>
    <w:rsid w:val="00C3466A"/>
    <w:rsid w:val="00C41A28"/>
    <w:rsid w:val="00C437A5"/>
    <w:rsid w:val="00C463DD"/>
    <w:rsid w:val="00C50C1E"/>
    <w:rsid w:val="00C54086"/>
    <w:rsid w:val="00C6032E"/>
    <w:rsid w:val="00C67C6C"/>
    <w:rsid w:val="00C71686"/>
    <w:rsid w:val="00C745C3"/>
    <w:rsid w:val="00C95266"/>
    <w:rsid w:val="00C97994"/>
    <w:rsid w:val="00CB0B6E"/>
    <w:rsid w:val="00CB221C"/>
    <w:rsid w:val="00CC0FC1"/>
    <w:rsid w:val="00CC6EB6"/>
    <w:rsid w:val="00CE4A8F"/>
    <w:rsid w:val="00CF0915"/>
    <w:rsid w:val="00D12078"/>
    <w:rsid w:val="00D2031B"/>
    <w:rsid w:val="00D24EF3"/>
    <w:rsid w:val="00D25FE2"/>
    <w:rsid w:val="00D317BB"/>
    <w:rsid w:val="00D40EE9"/>
    <w:rsid w:val="00D43252"/>
    <w:rsid w:val="00D7190D"/>
    <w:rsid w:val="00D759C0"/>
    <w:rsid w:val="00D95B98"/>
    <w:rsid w:val="00D978C6"/>
    <w:rsid w:val="00DA67AD"/>
    <w:rsid w:val="00DB5D0F"/>
    <w:rsid w:val="00DC6394"/>
    <w:rsid w:val="00DD0299"/>
    <w:rsid w:val="00DD4D3F"/>
    <w:rsid w:val="00DE0417"/>
    <w:rsid w:val="00DE2D1E"/>
    <w:rsid w:val="00DF12F7"/>
    <w:rsid w:val="00DF193A"/>
    <w:rsid w:val="00E02C81"/>
    <w:rsid w:val="00E05C98"/>
    <w:rsid w:val="00E063F1"/>
    <w:rsid w:val="00E130AB"/>
    <w:rsid w:val="00E41921"/>
    <w:rsid w:val="00E5262F"/>
    <w:rsid w:val="00E720B1"/>
    <w:rsid w:val="00E7260F"/>
    <w:rsid w:val="00E766B5"/>
    <w:rsid w:val="00E8765E"/>
    <w:rsid w:val="00E87921"/>
    <w:rsid w:val="00E96630"/>
    <w:rsid w:val="00EA264E"/>
    <w:rsid w:val="00EB2896"/>
    <w:rsid w:val="00EB7F91"/>
    <w:rsid w:val="00EC5D3F"/>
    <w:rsid w:val="00ED5D22"/>
    <w:rsid w:val="00ED7A2A"/>
    <w:rsid w:val="00EE11C3"/>
    <w:rsid w:val="00EE6DFC"/>
    <w:rsid w:val="00EF1D7F"/>
    <w:rsid w:val="00EF4009"/>
    <w:rsid w:val="00F34C75"/>
    <w:rsid w:val="00F53EDA"/>
    <w:rsid w:val="00F61D18"/>
    <w:rsid w:val="00F72DA5"/>
    <w:rsid w:val="00F7753D"/>
    <w:rsid w:val="00F85F34"/>
    <w:rsid w:val="00F94904"/>
    <w:rsid w:val="00F97E98"/>
    <w:rsid w:val="00FA06F7"/>
    <w:rsid w:val="00FA5258"/>
    <w:rsid w:val="00FA792E"/>
    <w:rsid w:val="00FB171A"/>
    <w:rsid w:val="00FB1735"/>
    <w:rsid w:val="00FB4896"/>
    <w:rsid w:val="00FC68B7"/>
    <w:rsid w:val="00FD7BF6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A457A1C"/>
  <w15:docId w15:val="{9A542E24-76BE-477E-8C65-353FD4B3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602B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jc w:val="both"/>
    </w:pPr>
    <w:rPr>
      <w:sz w:val="22"/>
      <w:lang w:val="fr-FR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outlineLvl w:val="1"/>
    </w:pPr>
  </w:style>
  <w:style w:type="paragraph" w:styleId="Heading3">
    <w:name w:val="heading 3"/>
    <w:basedOn w:val="Normal"/>
    <w:next w:val="Normal"/>
    <w:qFormat/>
    <w:rsid w:val="00503228"/>
    <w:pPr>
      <w:outlineLvl w:val="2"/>
    </w:pPr>
  </w:style>
  <w:style w:type="paragraph" w:styleId="Heading4">
    <w:name w:val="heading 4"/>
    <w:basedOn w:val="Normal"/>
    <w:next w:val="Normal"/>
    <w:qFormat/>
    <w:rsid w:val="00503228"/>
    <w:pPr>
      <w:outlineLvl w:val="3"/>
    </w:pPr>
  </w:style>
  <w:style w:type="paragraph" w:styleId="Heading5">
    <w:name w:val="heading 5"/>
    <w:basedOn w:val="Normal"/>
    <w:next w:val="Normal"/>
    <w:qFormat/>
    <w:rsid w:val="00503228"/>
    <w:pPr>
      <w:outlineLvl w:val="4"/>
    </w:pPr>
  </w:style>
  <w:style w:type="paragraph" w:styleId="Heading6">
    <w:name w:val="heading 6"/>
    <w:basedOn w:val="Normal"/>
    <w:next w:val="Normal"/>
    <w:qFormat/>
    <w:rsid w:val="00503228"/>
    <w:pPr>
      <w:outlineLvl w:val="5"/>
    </w:pPr>
  </w:style>
  <w:style w:type="paragraph" w:styleId="Heading7">
    <w:name w:val="heading 7"/>
    <w:basedOn w:val="Normal"/>
    <w:next w:val="Normal"/>
    <w:qFormat/>
    <w:rsid w:val="00503228"/>
    <w:pPr>
      <w:outlineLvl w:val="6"/>
    </w:pPr>
  </w:style>
  <w:style w:type="paragraph" w:styleId="Heading8">
    <w:name w:val="heading 8"/>
    <w:basedOn w:val="Normal"/>
    <w:next w:val="Normal"/>
    <w:qFormat/>
    <w:rsid w:val="00503228"/>
    <w:pPr>
      <w:outlineLvl w:val="7"/>
    </w:pPr>
  </w:style>
  <w:style w:type="paragraph" w:styleId="Heading9">
    <w:name w:val="heading 9"/>
    <w:basedOn w:val="Normal"/>
    <w:next w:val="Normal"/>
    <w:qFormat/>
    <w:rsid w:val="005032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503228"/>
    <w:pPr>
      <w:spacing w:after="120"/>
      <w:ind w:left="1134" w:right="1134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</w:pPr>
  </w:style>
  <w:style w:type="paragraph" w:styleId="Footer">
    <w:name w:val="footer"/>
    <w:aliases w:val="3_G"/>
    <w:basedOn w:val="Normal"/>
    <w:link w:val="FooterChar"/>
    <w:uiPriority w:val="99"/>
    <w:rsid w:val="00503228"/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qFormat/>
    <w:rsid w:val="008A7EEB"/>
    <w:rPr>
      <w:sz w:val="22"/>
      <w:lang w:val="fr-FR" w:eastAsia="en-US" w:bidi="ar-SA"/>
    </w:rPr>
  </w:style>
  <w:style w:type="paragraph" w:styleId="BalloonText">
    <w:name w:val="Balloon Text"/>
    <w:basedOn w:val="Normal"/>
    <w:link w:val="BalloonTextChar"/>
    <w:rsid w:val="00BB1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110E"/>
    <w:rPr>
      <w:rFonts w:ascii="Tahoma" w:hAnsi="Tahoma" w:cs="Tahoma"/>
      <w:sz w:val="16"/>
      <w:szCs w:val="16"/>
      <w:lang w:val="fr-FR" w:eastAsia="en-US"/>
    </w:rPr>
  </w:style>
  <w:style w:type="character" w:customStyle="1" w:styleId="H23GChar">
    <w:name w:val="_ H_2/3_G Char"/>
    <w:link w:val="H23G"/>
    <w:rsid w:val="00E766B5"/>
    <w:rPr>
      <w:b/>
      <w:sz w:val="22"/>
      <w:lang w:val="fr-FR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D759C0"/>
    <w:rPr>
      <w:sz w:val="16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5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8804B-0D0E-4FCC-BA7E-E2198C3F52F1}"/>
</file>

<file path=customXml/itemProps2.xml><?xml version="1.0" encoding="utf-8"?>
<ds:datastoreItem xmlns:ds="http://schemas.openxmlformats.org/officeDocument/2006/customXml" ds:itemID="{447B2E92-B146-4BE6-B48C-972EF6CF8F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724457-2440-4B3E-BBF4-0E241AD869C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19316024-AF2C-48E5-8FA0-0A1403752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299</Words>
  <Characters>1719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</vt:lpstr>
    </vt:vector>
  </TitlesOfParts>
  <Company>CSD</Company>
  <LinksUpToDate>false</LinksUpToDate>
  <CharactersWithSpaces>2007</CharactersWithSpaces>
  <SharedDoc>false</SharedDoc>
  <HLinks>
    <vt:vector size="6" baseType="variant"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www.unece.org/trans/danger/danger.html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ECE/TRANS/301/Corr.1</dc:title>
  <dc:subject>2208670</dc:subject>
  <dc:creator>Collet</dc:creator>
  <cp:keywords/>
  <dc:description/>
  <cp:lastModifiedBy>Maria Rosario Corazon Gatmaytan</cp:lastModifiedBy>
  <cp:revision>2</cp:revision>
  <cp:lastPrinted>2017-01-06T10:35:00Z</cp:lastPrinted>
  <dcterms:created xsi:type="dcterms:W3CDTF">2022-06-09T09:23:00Z</dcterms:created>
  <dcterms:modified xsi:type="dcterms:W3CDTF">2022-06-09T09:23:00Z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