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56CA9829" w14:textId="77777777" w:rsidTr="00C97039">
        <w:trPr>
          <w:trHeight w:hRule="exact" w:val="851"/>
        </w:trPr>
        <w:tc>
          <w:tcPr>
            <w:tcW w:w="1276" w:type="dxa"/>
            <w:tcBorders>
              <w:bottom w:val="single" w:sz="4" w:space="0" w:color="auto"/>
            </w:tcBorders>
          </w:tcPr>
          <w:p w14:paraId="26D08746" w14:textId="77777777" w:rsidR="00F35BAF" w:rsidRPr="00DB58B5" w:rsidRDefault="00F35BAF" w:rsidP="00C97039"/>
        </w:tc>
        <w:tc>
          <w:tcPr>
            <w:tcW w:w="2268" w:type="dxa"/>
            <w:tcBorders>
              <w:bottom w:val="single" w:sz="4" w:space="0" w:color="auto"/>
            </w:tcBorders>
            <w:vAlign w:val="bottom"/>
          </w:tcPr>
          <w:p w14:paraId="28E24AE5"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0C5FEB17" w14:textId="65E4C7C3" w:rsidR="00F35BAF" w:rsidRPr="00DB58B5" w:rsidRDefault="00EE5536" w:rsidP="00EE5536">
            <w:pPr>
              <w:jc w:val="right"/>
            </w:pPr>
            <w:r w:rsidRPr="00EE5536">
              <w:rPr>
                <w:sz w:val="40"/>
              </w:rPr>
              <w:t>ECE</w:t>
            </w:r>
            <w:r>
              <w:t>/TRANS/WP.29/GRVA/2022/26</w:t>
            </w:r>
          </w:p>
        </w:tc>
      </w:tr>
      <w:tr w:rsidR="00F35BAF" w:rsidRPr="00DB58B5" w14:paraId="225580CC" w14:textId="77777777" w:rsidTr="00C97039">
        <w:trPr>
          <w:trHeight w:hRule="exact" w:val="2835"/>
        </w:trPr>
        <w:tc>
          <w:tcPr>
            <w:tcW w:w="1276" w:type="dxa"/>
            <w:tcBorders>
              <w:top w:val="single" w:sz="4" w:space="0" w:color="auto"/>
              <w:bottom w:val="single" w:sz="12" w:space="0" w:color="auto"/>
            </w:tcBorders>
          </w:tcPr>
          <w:p w14:paraId="353C4FB0" w14:textId="77777777" w:rsidR="00F35BAF" w:rsidRPr="00DB58B5" w:rsidRDefault="00F35BAF" w:rsidP="00C97039">
            <w:pPr>
              <w:spacing w:before="120"/>
              <w:jc w:val="center"/>
            </w:pPr>
            <w:r>
              <w:rPr>
                <w:noProof/>
                <w:lang w:eastAsia="fr-CH"/>
              </w:rPr>
              <w:drawing>
                <wp:inline distT="0" distB="0" distL="0" distR="0" wp14:anchorId="6A289E5E" wp14:editId="33507B1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5C9D0E7"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7D38F7FF" w14:textId="77777777" w:rsidR="00F35BAF" w:rsidRDefault="00EE5536" w:rsidP="00C97039">
            <w:pPr>
              <w:spacing w:before="240"/>
            </w:pPr>
            <w:r>
              <w:t>Distr. générale</w:t>
            </w:r>
          </w:p>
          <w:p w14:paraId="7CE03124" w14:textId="2605A66C" w:rsidR="00EE5536" w:rsidRDefault="00EE5536" w:rsidP="00EE5536">
            <w:pPr>
              <w:spacing w:line="240" w:lineRule="exact"/>
            </w:pPr>
            <w:r>
              <w:t>13 juillet 2022</w:t>
            </w:r>
          </w:p>
          <w:p w14:paraId="67B9C034" w14:textId="77777777" w:rsidR="00EE5536" w:rsidRDefault="00EE5536" w:rsidP="00EE5536">
            <w:pPr>
              <w:spacing w:line="240" w:lineRule="exact"/>
            </w:pPr>
            <w:r>
              <w:t>Français</w:t>
            </w:r>
          </w:p>
          <w:p w14:paraId="0A601014" w14:textId="22CFD282" w:rsidR="00EE5536" w:rsidRPr="00DB58B5" w:rsidRDefault="00EE5536" w:rsidP="00EE5536">
            <w:pPr>
              <w:spacing w:line="240" w:lineRule="exact"/>
            </w:pPr>
            <w:r>
              <w:t>Original : anglais</w:t>
            </w:r>
          </w:p>
        </w:tc>
      </w:tr>
    </w:tbl>
    <w:p w14:paraId="453AC80F" w14:textId="77777777" w:rsidR="007F20FA" w:rsidRPr="000312C0" w:rsidRDefault="007F20FA" w:rsidP="007F20FA">
      <w:pPr>
        <w:spacing w:before="120"/>
        <w:rPr>
          <w:b/>
          <w:sz w:val="28"/>
          <w:szCs w:val="28"/>
        </w:rPr>
      </w:pPr>
      <w:r w:rsidRPr="000312C0">
        <w:rPr>
          <w:b/>
          <w:sz w:val="28"/>
          <w:szCs w:val="28"/>
        </w:rPr>
        <w:t>Commission économique pour l’Europe</w:t>
      </w:r>
    </w:p>
    <w:p w14:paraId="7B19B8E5" w14:textId="77777777" w:rsidR="007F20FA" w:rsidRDefault="007F20FA" w:rsidP="007F20FA">
      <w:pPr>
        <w:spacing w:before="120"/>
        <w:rPr>
          <w:sz w:val="28"/>
          <w:szCs w:val="28"/>
        </w:rPr>
      </w:pPr>
      <w:r w:rsidRPr="00685843">
        <w:rPr>
          <w:sz w:val="28"/>
          <w:szCs w:val="28"/>
        </w:rPr>
        <w:t>Comité des transports intérieurs</w:t>
      </w:r>
    </w:p>
    <w:p w14:paraId="7764CA4C" w14:textId="5544DE39" w:rsidR="00EE5536" w:rsidRDefault="00EE5536" w:rsidP="00A3029F">
      <w:pPr>
        <w:spacing w:before="120"/>
        <w:rPr>
          <w:b/>
          <w:sz w:val="24"/>
          <w:szCs w:val="24"/>
        </w:rPr>
      </w:pPr>
      <w:r w:rsidRPr="00685843">
        <w:rPr>
          <w:b/>
          <w:sz w:val="24"/>
          <w:szCs w:val="24"/>
        </w:rPr>
        <w:t>Forum mondial de l</w:t>
      </w:r>
      <w:r>
        <w:rPr>
          <w:b/>
          <w:sz w:val="24"/>
          <w:szCs w:val="24"/>
        </w:rPr>
        <w:t>’</w:t>
      </w:r>
      <w:r w:rsidRPr="00685843">
        <w:rPr>
          <w:b/>
          <w:sz w:val="24"/>
          <w:szCs w:val="24"/>
        </w:rPr>
        <w:t>harmonisation</w:t>
      </w:r>
      <w:r>
        <w:rPr>
          <w:b/>
          <w:sz w:val="24"/>
          <w:szCs w:val="24"/>
        </w:rPr>
        <w:t xml:space="preserve"> </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70B1BD6B" w14:textId="77777777" w:rsidR="00EE5536" w:rsidRDefault="00EE5536" w:rsidP="00A3029F">
      <w:pPr>
        <w:spacing w:before="120"/>
        <w:rPr>
          <w:b/>
        </w:rPr>
      </w:pPr>
      <w:r>
        <w:rPr>
          <w:b/>
        </w:rPr>
        <w:t xml:space="preserve">Groupe de travail </w:t>
      </w:r>
      <w:r w:rsidRPr="00EA3397">
        <w:rPr>
          <w:rFonts w:eastAsia="Times New Roman"/>
          <w:b/>
          <w:bCs/>
        </w:rPr>
        <w:t>des véhicules automatisés</w:t>
      </w:r>
      <w:r>
        <w:rPr>
          <w:rFonts w:eastAsia="Times New Roman"/>
          <w:b/>
          <w:bCs/>
        </w:rPr>
        <w:t>/autonomes et connectés</w:t>
      </w:r>
    </w:p>
    <w:p w14:paraId="6DBC9CCB" w14:textId="04A31E02" w:rsidR="00EE5536" w:rsidRDefault="00EE5536" w:rsidP="00A3029F">
      <w:pPr>
        <w:spacing w:before="120"/>
        <w:rPr>
          <w:b/>
        </w:rPr>
      </w:pPr>
      <w:r>
        <w:rPr>
          <w:b/>
        </w:rPr>
        <w:t>Quatorzième session</w:t>
      </w:r>
    </w:p>
    <w:p w14:paraId="77D7F960" w14:textId="3D9EB6C1" w:rsidR="00EE5536" w:rsidRDefault="00EE5536" w:rsidP="00A3029F">
      <w:pPr>
        <w:spacing w:line="240" w:lineRule="exact"/>
      </w:pPr>
      <w:r>
        <w:t>Genève, 26-30 septembre 2022</w:t>
      </w:r>
    </w:p>
    <w:p w14:paraId="3386CBCA" w14:textId="0EB2306F" w:rsidR="00EE5536" w:rsidRDefault="00EE5536" w:rsidP="00A3029F">
      <w:pPr>
        <w:spacing w:line="240" w:lineRule="exact"/>
      </w:pPr>
      <w:r>
        <w:t>Point 9 b) de l’ordre du jour provisoire</w:t>
      </w:r>
    </w:p>
    <w:p w14:paraId="3C4CB2F8" w14:textId="22BB2A1D" w:rsidR="00EE5536" w:rsidRPr="00616BA2" w:rsidRDefault="00EE5536" w:rsidP="00EE5536">
      <w:pPr>
        <w:rPr>
          <w:b/>
          <w:bCs/>
          <w:lang w:val="fr-FR"/>
        </w:rPr>
      </w:pPr>
      <w:r>
        <w:rPr>
          <w:b/>
          <w:bCs/>
          <w:lang w:val="fr-FR"/>
        </w:rPr>
        <w:t>Freinage des motocycles</w:t>
      </w:r>
      <w:r>
        <w:rPr>
          <w:b/>
          <w:bCs/>
          <w:lang w:val="fr-FR"/>
        </w:rPr>
        <w:t> </w:t>
      </w:r>
      <w:r>
        <w:rPr>
          <w:b/>
          <w:bCs/>
          <w:lang w:val="fr-FR"/>
        </w:rPr>
        <w:t>:</w:t>
      </w:r>
      <w:r>
        <w:rPr>
          <w:b/>
          <w:bCs/>
          <w:lang w:val="fr-FR"/>
        </w:rPr>
        <w:t xml:space="preserve"> </w:t>
      </w:r>
      <w:r>
        <w:rPr>
          <w:b/>
          <w:bCs/>
          <w:lang w:val="fr-FR"/>
        </w:rPr>
        <w:t>Règlement ONU n</w:t>
      </w:r>
      <w:r w:rsidRPr="00EE5536">
        <w:rPr>
          <w:b/>
          <w:bCs/>
          <w:vertAlign w:val="superscript"/>
          <w:lang w:val="fr-FR"/>
        </w:rPr>
        <w:t>o</w:t>
      </w:r>
      <w:r>
        <w:rPr>
          <w:b/>
          <w:bCs/>
          <w:lang w:val="fr-FR"/>
        </w:rPr>
        <w:t> </w:t>
      </w:r>
      <w:r>
        <w:rPr>
          <w:b/>
          <w:bCs/>
          <w:lang w:val="fr-FR"/>
        </w:rPr>
        <w:t>78</w:t>
      </w:r>
    </w:p>
    <w:p w14:paraId="657AB6C6" w14:textId="28F38F70" w:rsidR="00EE5536" w:rsidRPr="00616BA2" w:rsidRDefault="00EE5536" w:rsidP="00EE5536">
      <w:pPr>
        <w:pStyle w:val="HChG"/>
        <w:rPr>
          <w:lang w:val="fr-FR"/>
        </w:rPr>
      </w:pPr>
      <w:r>
        <w:rPr>
          <w:lang w:val="fr-FR"/>
        </w:rPr>
        <w:tab/>
      </w:r>
      <w:r>
        <w:rPr>
          <w:lang w:val="fr-FR"/>
        </w:rPr>
        <w:tab/>
        <w:t>Proposition de complément à la série</w:t>
      </w:r>
      <w:r>
        <w:rPr>
          <w:lang w:val="fr-FR"/>
        </w:rPr>
        <w:t> </w:t>
      </w:r>
      <w:r>
        <w:rPr>
          <w:lang w:val="fr-FR"/>
        </w:rPr>
        <w:t>05 d’amendements au</w:t>
      </w:r>
      <w:r>
        <w:rPr>
          <w:lang w:val="fr-FR"/>
        </w:rPr>
        <w:t> </w:t>
      </w:r>
      <w:r>
        <w:rPr>
          <w:lang w:val="fr-FR"/>
        </w:rPr>
        <w:t xml:space="preserve">Règlement ONU </w:t>
      </w:r>
      <w:r>
        <w:rPr>
          <w:lang w:val="fr-FR"/>
        </w:rPr>
        <w:t>n</w:t>
      </w:r>
      <w:r w:rsidRPr="00EE5536">
        <w:rPr>
          <w:vertAlign w:val="superscript"/>
          <w:lang w:val="fr-FR"/>
        </w:rPr>
        <w:t>o</w:t>
      </w:r>
      <w:r>
        <w:rPr>
          <w:lang w:val="fr-FR"/>
        </w:rPr>
        <w:t> </w:t>
      </w:r>
      <w:r>
        <w:rPr>
          <w:lang w:val="fr-FR"/>
        </w:rPr>
        <w:t>78 (Freinage des motocycles)</w:t>
      </w:r>
    </w:p>
    <w:p w14:paraId="2FC2AC3D" w14:textId="399C8331" w:rsidR="00EE5536" w:rsidRPr="00616BA2" w:rsidRDefault="00EE5536" w:rsidP="00EE5536">
      <w:pPr>
        <w:pStyle w:val="H1G"/>
        <w:rPr>
          <w:szCs w:val="24"/>
          <w:lang w:val="fr-FR"/>
        </w:rPr>
      </w:pPr>
      <w:r>
        <w:rPr>
          <w:lang w:val="fr-FR"/>
        </w:rPr>
        <w:tab/>
      </w:r>
      <w:r>
        <w:rPr>
          <w:lang w:val="fr-FR"/>
        </w:rPr>
        <w:tab/>
        <w:t>Communication de l’expert de l’International Motorcycle Manufacturers Association</w:t>
      </w:r>
      <w:r w:rsidRPr="00EE5536">
        <w:rPr>
          <w:rStyle w:val="Appelnotedebasdep"/>
          <w:b w:val="0"/>
          <w:bCs/>
          <w:sz w:val="20"/>
          <w:vertAlign w:val="baseline"/>
        </w:rPr>
        <w:footnoteReference w:customMarkFollows="1" w:id="2"/>
        <w:t>*</w:t>
      </w:r>
    </w:p>
    <w:p w14:paraId="1D7A7A25" w14:textId="506F21DC" w:rsidR="00F9573C" w:rsidRDefault="00EE5536" w:rsidP="00EE5536">
      <w:pPr>
        <w:pStyle w:val="SingleTxtG"/>
        <w:ind w:firstLine="567"/>
        <w:rPr>
          <w:lang w:val="fr-FR"/>
        </w:rPr>
      </w:pPr>
      <w:r>
        <w:rPr>
          <w:lang w:val="fr-FR"/>
        </w:rPr>
        <w:tab/>
        <w:t xml:space="preserve">Le texte ci-après, établi par l’expert de l’International Motorcycle Manufacturers Association (IMMA), vise à aligner davantage les dispositions relatives aux feux-stop du Règlement ONU </w:t>
      </w:r>
      <w:r>
        <w:rPr>
          <w:lang w:val="fr-FR"/>
        </w:rPr>
        <w:t>n</w:t>
      </w:r>
      <w:r w:rsidRPr="00EE5536">
        <w:rPr>
          <w:vertAlign w:val="superscript"/>
          <w:lang w:val="fr-FR"/>
        </w:rPr>
        <w:t>o</w:t>
      </w:r>
      <w:r>
        <w:rPr>
          <w:lang w:val="fr-FR"/>
        </w:rPr>
        <w:t> </w:t>
      </w:r>
      <w:r>
        <w:rPr>
          <w:lang w:val="fr-FR"/>
        </w:rPr>
        <w:t>78 sur celles du Règlement ONU n</w:t>
      </w:r>
      <w:r w:rsidRPr="00EE5536">
        <w:rPr>
          <w:vertAlign w:val="superscript"/>
          <w:lang w:val="fr-FR"/>
        </w:rPr>
        <w:t>o</w:t>
      </w:r>
      <w:r>
        <w:rPr>
          <w:lang w:val="fr-FR"/>
        </w:rPr>
        <w:t> 13-H. Il est fondé sur le document informel GRVA-13-15. Les modifications qu’il est proposé d’apporter au texte actuel du Règlement figurent en caractères gras pour les ajouts et biffés pour les suppressions.</w:t>
      </w:r>
    </w:p>
    <w:p w14:paraId="5272C35F" w14:textId="6D4CFB99" w:rsidR="00EE5536" w:rsidRDefault="00EE5536" w:rsidP="00EE5536">
      <w:pPr>
        <w:pStyle w:val="SingleTxtG"/>
        <w:ind w:firstLine="567"/>
        <w:rPr>
          <w:lang w:val="fr-FR"/>
        </w:rPr>
      </w:pPr>
      <w:r>
        <w:rPr>
          <w:lang w:val="fr-FR"/>
        </w:rPr>
        <w:br w:type="page"/>
      </w:r>
    </w:p>
    <w:p w14:paraId="519BFC08" w14:textId="3EB5C479" w:rsidR="00EE5536" w:rsidRPr="004E6CD9" w:rsidRDefault="00EE5536" w:rsidP="00EE5536">
      <w:pPr>
        <w:pStyle w:val="HChG"/>
      </w:pPr>
      <w:r>
        <w:rPr>
          <w:lang w:val="fr-FR"/>
        </w:rPr>
        <w:lastRenderedPageBreak/>
        <w:tab/>
        <w:t>I.</w:t>
      </w:r>
      <w:r>
        <w:rPr>
          <w:lang w:val="fr-FR"/>
        </w:rPr>
        <w:tab/>
      </w:r>
      <w:r>
        <w:rPr>
          <w:lang w:val="fr-FR"/>
        </w:rPr>
        <w:t>Proposition</w:t>
      </w:r>
    </w:p>
    <w:p w14:paraId="6820AD33" w14:textId="5752B0CB" w:rsidR="00EE5536" w:rsidRPr="004E6CD9" w:rsidRDefault="00EE5536" w:rsidP="00EE5536">
      <w:pPr>
        <w:pStyle w:val="SingleTxtG"/>
        <w:rPr>
          <w:rFonts w:eastAsia="MS Mincho"/>
          <w:i/>
        </w:rPr>
      </w:pPr>
      <w:r>
        <w:rPr>
          <w:i/>
          <w:iCs/>
          <w:lang w:val="fr-FR"/>
        </w:rPr>
        <w:t>Ajouter le nouveau paragraphe</w:t>
      </w:r>
      <w:r>
        <w:rPr>
          <w:i/>
          <w:iCs/>
          <w:lang w:val="fr-FR"/>
        </w:rPr>
        <w:t> </w:t>
      </w:r>
      <w:r>
        <w:rPr>
          <w:i/>
          <w:iCs/>
          <w:lang w:val="fr-FR"/>
        </w:rPr>
        <w:t>2.34</w:t>
      </w:r>
      <w:r>
        <w:rPr>
          <w:lang w:val="fr-FR"/>
        </w:rPr>
        <w:t>, libellé comme suit</w:t>
      </w:r>
      <w:r>
        <w:rPr>
          <w:lang w:val="fr-FR"/>
        </w:rPr>
        <w:t> </w:t>
      </w:r>
      <w:r>
        <w:rPr>
          <w:lang w:val="fr-FR"/>
        </w:rPr>
        <w:t>:</w:t>
      </w:r>
    </w:p>
    <w:p w14:paraId="48A165C1" w14:textId="1B8FE310" w:rsidR="00EE5536" w:rsidRPr="004E6CD9" w:rsidRDefault="00EE5536" w:rsidP="00EE5536">
      <w:pPr>
        <w:pStyle w:val="SingleTxtG"/>
        <w:ind w:left="2268" w:hanging="1134"/>
        <w:rPr>
          <w:rFonts w:cstheme="minorBidi"/>
          <w:b/>
        </w:rPr>
      </w:pPr>
      <w:r>
        <w:rPr>
          <w:lang w:val="fr-FR"/>
        </w:rPr>
        <w:t>« </w:t>
      </w:r>
      <w:r>
        <w:rPr>
          <w:b/>
          <w:lang w:val="fr-FR"/>
        </w:rPr>
        <w:t>2.34</w:t>
      </w:r>
      <w:r>
        <w:rPr>
          <w:lang w:val="fr-FR"/>
        </w:rPr>
        <w:tab/>
      </w:r>
      <w:r>
        <w:rPr>
          <w:b/>
          <w:lang w:val="fr-FR"/>
        </w:rPr>
        <w:t xml:space="preserve">Par </w:t>
      </w:r>
      <w:r>
        <w:rPr>
          <w:b/>
          <w:lang w:val="fr-FR"/>
        </w:rPr>
        <w:t>“</w:t>
      </w:r>
      <w:r>
        <w:rPr>
          <w:b/>
          <w:i/>
          <w:iCs/>
          <w:lang w:val="fr-FR"/>
        </w:rPr>
        <w:t>freinage à commande automatique</w:t>
      </w:r>
      <w:r>
        <w:rPr>
          <w:b/>
          <w:i/>
          <w:iCs/>
          <w:lang w:val="fr-FR"/>
        </w:rPr>
        <w:t>ˮ</w:t>
      </w:r>
      <w:r>
        <w:rPr>
          <w:b/>
          <w:lang w:val="fr-FR"/>
        </w:rPr>
        <w:t>, une fonction d’un système électronique complexe de commande qui actionne le(s) système(s) de freinage ou les freins de certains essieux en vue de produire la décélération du véhicule, avec ou sans intervention directe du conducteur, en conséquence de l’évaluation automatique des informations communiquées par les systèmes de bord du véhicule.</w:t>
      </w:r>
      <w:r>
        <w:rPr>
          <w:lang w:val="fr-FR"/>
        </w:rPr>
        <w:t> »</w:t>
      </w:r>
      <w:r>
        <w:rPr>
          <w:lang w:val="fr-FR"/>
        </w:rPr>
        <w:t>.</w:t>
      </w:r>
    </w:p>
    <w:p w14:paraId="72C969FD" w14:textId="6D15E7CC" w:rsidR="00EE5536" w:rsidRPr="00616BA2" w:rsidRDefault="00EE5536" w:rsidP="00EE5536">
      <w:pPr>
        <w:pStyle w:val="SingleTxtG"/>
        <w:rPr>
          <w:iCs/>
          <w:lang w:val="fr-FR"/>
        </w:rPr>
      </w:pPr>
      <w:r>
        <w:rPr>
          <w:i/>
          <w:iCs/>
          <w:lang w:val="fr-FR"/>
        </w:rPr>
        <w:t>Paragraphe 5.1.17.2</w:t>
      </w:r>
      <w:r>
        <w:rPr>
          <w:lang w:val="fr-FR"/>
        </w:rPr>
        <w:t>, lire</w:t>
      </w:r>
      <w:r>
        <w:rPr>
          <w:lang w:val="fr-FR"/>
        </w:rPr>
        <w:t> </w:t>
      </w:r>
      <w:r>
        <w:rPr>
          <w:lang w:val="fr-FR"/>
        </w:rPr>
        <w:t>:</w:t>
      </w:r>
    </w:p>
    <w:p w14:paraId="33F3F6B0" w14:textId="13E00335" w:rsidR="00EE5536" w:rsidRPr="00616BA2" w:rsidRDefault="00EE5536" w:rsidP="00EE5536">
      <w:pPr>
        <w:pStyle w:val="SingleTxtG"/>
        <w:ind w:left="2268" w:hanging="1134"/>
        <w:rPr>
          <w:lang w:val="fr-FR"/>
        </w:rPr>
      </w:pPr>
      <w:r>
        <w:rPr>
          <w:lang w:val="fr-FR"/>
        </w:rPr>
        <w:t>« </w:t>
      </w:r>
      <w:r>
        <w:rPr>
          <w:lang w:val="fr-FR"/>
        </w:rPr>
        <w:t>5.1.17.2</w:t>
      </w:r>
      <w:r>
        <w:rPr>
          <w:lang w:val="fr-FR"/>
        </w:rPr>
        <w:tab/>
        <w:t xml:space="preserve">En outre, dans le cas d’un véhicule équipé </w:t>
      </w:r>
      <w:r>
        <w:rPr>
          <w:b/>
          <w:lang w:val="fr-FR"/>
        </w:rPr>
        <w:t xml:space="preserve">d’un système de freinage à commande automatique et/ou </w:t>
      </w:r>
      <w:r>
        <w:rPr>
          <w:lang w:val="fr-FR"/>
        </w:rPr>
        <w:t xml:space="preserve">d’un système de freinage électrique par récupération produisant un ralentissement </w:t>
      </w:r>
      <w:r>
        <w:rPr>
          <w:b/>
          <w:lang w:val="fr-FR"/>
        </w:rPr>
        <w:t xml:space="preserve">(par exemple, </w:t>
      </w:r>
      <w:r>
        <w:rPr>
          <w:lang w:val="fr-FR"/>
        </w:rPr>
        <w:t>lorsque la pédale d’accélérateur est relâchée</w:t>
      </w:r>
      <w:r>
        <w:rPr>
          <w:b/>
          <w:lang w:val="fr-FR"/>
        </w:rPr>
        <w:t>)</w:t>
      </w:r>
      <w:r>
        <w:rPr>
          <w:lang w:val="fr-FR"/>
        </w:rPr>
        <w:t>, les conditions d’émission du signal de freinage sont les suivantes</w:t>
      </w:r>
      <w:r>
        <w:rPr>
          <w:vertAlign w:val="superscript"/>
          <w:lang w:val="fr-FR"/>
        </w:rPr>
        <w:t>4</w:t>
      </w:r>
      <w:r w:rsidRPr="00F26B5A">
        <w:rPr>
          <w:lang w:val="fr-FR"/>
        </w:rPr>
        <w:t> </w:t>
      </w:r>
      <w:r>
        <w:rPr>
          <w:lang w:val="fr-FR"/>
        </w:rPr>
        <w:t>:</w:t>
      </w:r>
    </w:p>
    <w:tbl>
      <w:tblPr>
        <w:tblW w:w="6208" w:type="dxa"/>
        <w:tblInd w:w="2296" w:type="dxa"/>
        <w:tblLayout w:type="fixed"/>
        <w:tblCellMar>
          <w:left w:w="0" w:type="dxa"/>
          <w:right w:w="0" w:type="dxa"/>
        </w:tblCellMar>
        <w:tblLook w:val="01E0" w:firstRow="1" w:lastRow="1" w:firstColumn="1" w:lastColumn="1" w:noHBand="0" w:noVBand="0"/>
      </w:tblPr>
      <w:tblGrid>
        <w:gridCol w:w="3526"/>
        <w:gridCol w:w="2682"/>
      </w:tblGrid>
      <w:tr w:rsidR="00EE5536" w:rsidRPr="00EE5536" w14:paraId="11BF76F5" w14:textId="77777777" w:rsidTr="00EE5536">
        <w:trPr>
          <w:tblHeader/>
        </w:trPr>
        <w:tc>
          <w:tcPr>
            <w:tcW w:w="3526" w:type="dxa"/>
            <w:tcBorders>
              <w:top w:val="single" w:sz="4" w:space="0" w:color="auto"/>
              <w:bottom w:val="single" w:sz="12" w:space="0" w:color="auto"/>
            </w:tcBorders>
            <w:shd w:val="clear" w:color="auto" w:fill="auto"/>
            <w:vAlign w:val="bottom"/>
          </w:tcPr>
          <w:p w14:paraId="314B8772" w14:textId="38A70F46" w:rsidR="00EE5536" w:rsidRPr="00EE5536" w:rsidRDefault="00EE5536" w:rsidP="00EE5536">
            <w:pPr>
              <w:spacing w:before="80" w:after="80" w:line="200" w:lineRule="exact"/>
              <w:ind w:right="113"/>
              <w:rPr>
                <w:i/>
                <w:strike/>
                <w:sz w:val="16"/>
                <w:lang w:val="fr-FR"/>
              </w:rPr>
            </w:pPr>
            <w:r w:rsidRPr="00EE5536">
              <w:rPr>
                <w:i/>
                <w:sz w:val="16"/>
                <w:lang w:val="fr-FR"/>
              </w:rPr>
              <w:t xml:space="preserve">Décélération du véhicule par freinage </w:t>
            </w:r>
            <w:r w:rsidRPr="00F26B5A">
              <w:rPr>
                <w:b/>
                <w:bCs/>
                <w:i/>
                <w:sz w:val="16"/>
                <w:lang w:val="fr-FR"/>
              </w:rPr>
              <w:t>à</w:t>
            </w:r>
            <w:r w:rsidRPr="00F26B5A">
              <w:rPr>
                <w:b/>
                <w:bCs/>
                <w:i/>
                <w:sz w:val="16"/>
                <w:lang w:val="fr-FR"/>
              </w:rPr>
              <w:t> </w:t>
            </w:r>
            <w:r w:rsidRPr="00F26B5A">
              <w:rPr>
                <w:b/>
                <w:bCs/>
                <w:i/>
                <w:sz w:val="16"/>
                <w:lang w:val="fr-FR"/>
              </w:rPr>
              <w:t xml:space="preserve">commande automatique </w:t>
            </w:r>
            <w:r w:rsidR="00F26B5A">
              <w:rPr>
                <w:b/>
                <w:bCs/>
                <w:i/>
                <w:sz w:val="16"/>
                <w:lang w:val="fr-FR"/>
              </w:rPr>
              <w:t>et/</w:t>
            </w:r>
            <w:r w:rsidRPr="00F26B5A">
              <w:rPr>
                <w:b/>
                <w:bCs/>
                <w:i/>
                <w:sz w:val="16"/>
                <w:lang w:val="fr-FR"/>
              </w:rPr>
              <w:t>ou</w:t>
            </w:r>
            <w:r w:rsidRPr="00EE5536">
              <w:rPr>
                <w:i/>
                <w:sz w:val="16"/>
                <w:lang w:val="fr-FR"/>
              </w:rPr>
              <w:t xml:space="preserve"> freinage à</w:t>
            </w:r>
            <w:r w:rsidR="00F26B5A">
              <w:rPr>
                <w:i/>
                <w:sz w:val="16"/>
                <w:lang w:val="fr-FR"/>
              </w:rPr>
              <w:t xml:space="preserve"> </w:t>
            </w:r>
            <w:r w:rsidRPr="00EE5536">
              <w:rPr>
                <w:i/>
                <w:sz w:val="16"/>
                <w:lang w:val="fr-FR"/>
              </w:rPr>
              <w:t>récupération</w:t>
            </w:r>
          </w:p>
        </w:tc>
        <w:tc>
          <w:tcPr>
            <w:tcW w:w="2682" w:type="dxa"/>
            <w:tcBorders>
              <w:top w:val="single" w:sz="4" w:space="0" w:color="auto"/>
              <w:bottom w:val="single" w:sz="12" w:space="0" w:color="auto"/>
            </w:tcBorders>
            <w:shd w:val="clear" w:color="auto" w:fill="auto"/>
            <w:vAlign w:val="bottom"/>
          </w:tcPr>
          <w:p w14:paraId="3997DB29" w14:textId="77777777" w:rsidR="00EE5536" w:rsidRPr="00EE5536" w:rsidRDefault="00EE5536" w:rsidP="00EE5536">
            <w:pPr>
              <w:spacing w:before="80" w:after="80" w:line="200" w:lineRule="exact"/>
              <w:ind w:right="113"/>
              <w:rPr>
                <w:i/>
                <w:sz w:val="16"/>
              </w:rPr>
            </w:pPr>
            <w:r w:rsidRPr="00EE5536">
              <w:rPr>
                <w:i/>
                <w:sz w:val="16"/>
                <w:lang w:val="fr-FR"/>
              </w:rPr>
              <w:t>Émission du signal</w:t>
            </w:r>
          </w:p>
        </w:tc>
      </w:tr>
      <w:tr w:rsidR="00EE5536" w:rsidRPr="00EE5536" w14:paraId="358422CE" w14:textId="77777777" w:rsidTr="00EE5536">
        <w:trPr>
          <w:trHeight w:hRule="exact" w:val="113"/>
        </w:trPr>
        <w:tc>
          <w:tcPr>
            <w:tcW w:w="3526" w:type="dxa"/>
            <w:tcBorders>
              <w:top w:val="single" w:sz="12" w:space="0" w:color="auto"/>
            </w:tcBorders>
            <w:shd w:val="clear" w:color="auto" w:fill="auto"/>
          </w:tcPr>
          <w:p w14:paraId="1F35F8DF" w14:textId="77777777" w:rsidR="00EE5536" w:rsidRPr="00EE5536" w:rsidRDefault="00EE5536" w:rsidP="00EE5536">
            <w:pPr>
              <w:spacing w:before="40" w:after="120"/>
              <w:ind w:right="113"/>
              <w:rPr>
                <w:lang w:val="fr-FR"/>
              </w:rPr>
            </w:pPr>
          </w:p>
        </w:tc>
        <w:tc>
          <w:tcPr>
            <w:tcW w:w="2682" w:type="dxa"/>
            <w:tcBorders>
              <w:top w:val="single" w:sz="12" w:space="0" w:color="auto"/>
            </w:tcBorders>
            <w:shd w:val="clear" w:color="auto" w:fill="auto"/>
          </w:tcPr>
          <w:p w14:paraId="74993B48" w14:textId="77777777" w:rsidR="00EE5536" w:rsidRPr="00EE5536" w:rsidRDefault="00EE5536" w:rsidP="00EE5536">
            <w:pPr>
              <w:spacing w:before="40" w:after="120"/>
              <w:ind w:right="113"/>
              <w:rPr>
                <w:lang w:val="fr-FR"/>
              </w:rPr>
            </w:pPr>
          </w:p>
        </w:tc>
      </w:tr>
      <w:tr w:rsidR="00EE5536" w:rsidRPr="00EE5536" w14:paraId="0CFAA2B6" w14:textId="77777777" w:rsidTr="00EE5536">
        <w:tc>
          <w:tcPr>
            <w:tcW w:w="3526" w:type="dxa"/>
            <w:shd w:val="clear" w:color="auto" w:fill="auto"/>
          </w:tcPr>
          <w:p w14:paraId="79435E48" w14:textId="0ACC6273" w:rsidR="00EE5536" w:rsidRPr="00EE5536" w:rsidRDefault="00EE5536" w:rsidP="00EE5536">
            <w:pPr>
              <w:spacing w:before="40" w:after="120"/>
              <w:ind w:right="113"/>
              <w:rPr>
                <w:strike/>
                <w:szCs w:val="18"/>
              </w:rPr>
            </w:pPr>
            <w:r w:rsidRPr="00EE5536">
              <w:rPr>
                <w:lang w:val="fr-FR"/>
              </w:rPr>
              <w:t>≤ 1,3</w:t>
            </w:r>
            <w:r w:rsidRPr="00EE5536">
              <w:rPr>
                <w:lang w:val="fr-FR"/>
              </w:rPr>
              <w:t> </w:t>
            </w:r>
            <w:r w:rsidRPr="00EE5536">
              <w:rPr>
                <w:lang w:val="fr-FR"/>
              </w:rPr>
              <w:t>m/s²</w:t>
            </w:r>
          </w:p>
        </w:tc>
        <w:tc>
          <w:tcPr>
            <w:tcW w:w="2682" w:type="dxa"/>
            <w:shd w:val="clear" w:color="auto" w:fill="auto"/>
          </w:tcPr>
          <w:p w14:paraId="2884E2B9" w14:textId="77777777" w:rsidR="00EE5536" w:rsidRPr="00EE5536" w:rsidRDefault="00EE5536" w:rsidP="00EE5536">
            <w:pPr>
              <w:spacing w:before="40" w:after="120"/>
              <w:ind w:right="113"/>
              <w:rPr>
                <w:strike/>
                <w:szCs w:val="18"/>
                <w:lang w:val="fr-FR"/>
              </w:rPr>
            </w:pPr>
            <w:r w:rsidRPr="00EE5536">
              <w:rPr>
                <w:lang w:val="fr-FR"/>
              </w:rPr>
              <w:t>Le signal peut être émis</w:t>
            </w:r>
          </w:p>
        </w:tc>
      </w:tr>
      <w:tr w:rsidR="00EE5536" w:rsidRPr="00EE5536" w14:paraId="5804C0DA" w14:textId="77777777" w:rsidTr="00EE5536">
        <w:tc>
          <w:tcPr>
            <w:tcW w:w="3526" w:type="dxa"/>
            <w:tcBorders>
              <w:bottom w:val="single" w:sz="12" w:space="0" w:color="auto"/>
            </w:tcBorders>
            <w:shd w:val="clear" w:color="auto" w:fill="auto"/>
            <w:hideMark/>
          </w:tcPr>
          <w:p w14:paraId="0640C8E2" w14:textId="6266153C" w:rsidR="00EE5536" w:rsidRPr="00EE5536" w:rsidRDefault="00EE5536" w:rsidP="00EE5536">
            <w:pPr>
              <w:spacing w:before="40" w:after="120"/>
              <w:ind w:right="113"/>
              <w:rPr>
                <w:szCs w:val="18"/>
              </w:rPr>
            </w:pPr>
            <w:r w:rsidRPr="00EE5536">
              <w:rPr>
                <w:lang w:val="fr-FR"/>
              </w:rPr>
              <w:t>&gt;1,3</w:t>
            </w:r>
            <w:r w:rsidRPr="00EE5536">
              <w:rPr>
                <w:lang w:val="fr-FR"/>
              </w:rPr>
              <w:t> </w:t>
            </w:r>
            <w:r w:rsidRPr="00EE5536">
              <w:rPr>
                <w:lang w:val="fr-FR"/>
              </w:rPr>
              <w:t>m/s²</w:t>
            </w:r>
          </w:p>
        </w:tc>
        <w:tc>
          <w:tcPr>
            <w:tcW w:w="2682" w:type="dxa"/>
            <w:tcBorders>
              <w:bottom w:val="single" w:sz="12" w:space="0" w:color="auto"/>
            </w:tcBorders>
            <w:shd w:val="clear" w:color="auto" w:fill="auto"/>
            <w:hideMark/>
          </w:tcPr>
          <w:p w14:paraId="7E673261" w14:textId="77777777" w:rsidR="00EE5536" w:rsidRPr="00EE5536" w:rsidRDefault="00EE5536" w:rsidP="00EE5536">
            <w:pPr>
              <w:spacing w:before="40" w:after="120"/>
              <w:ind w:right="113"/>
              <w:rPr>
                <w:szCs w:val="18"/>
                <w:lang w:val="fr-FR"/>
              </w:rPr>
            </w:pPr>
            <w:r w:rsidRPr="00EE5536">
              <w:rPr>
                <w:lang w:val="fr-FR"/>
              </w:rPr>
              <w:t>Le signal doit être émis</w:t>
            </w:r>
          </w:p>
        </w:tc>
      </w:tr>
    </w:tbl>
    <w:p w14:paraId="496750B9" w14:textId="11E95CCE" w:rsidR="00EE5536" w:rsidRPr="00616BA2" w:rsidRDefault="00EE5536" w:rsidP="00EE5536">
      <w:pPr>
        <w:pStyle w:val="SingleTxtG"/>
        <w:spacing w:before="120"/>
        <w:ind w:left="2268"/>
        <w:rPr>
          <w:lang w:val="fr-FR"/>
        </w:rPr>
      </w:pPr>
      <w:r>
        <w:rPr>
          <w:lang w:val="fr-FR"/>
        </w:rPr>
        <w:t>(...)</w:t>
      </w:r>
      <w:r>
        <w:rPr>
          <w:lang w:val="fr-FR"/>
        </w:rPr>
        <w:t> »</w:t>
      </w:r>
      <w:r>
        <w:rPr>
          <w:lang w:val="fr-FR"/>
        </w:rPr>
        <w:t>.</w:t>
      </w:r>
    </w:p>
    <w:p w14:paraId="1B90A7C5" w14:textId="636A5484" w:rsidR="00EE5536" w:rsidRPr="00616BA2" w:rsidRDefault="00EE5536" w:rsidP="00EE5536">
      <w:pPr>
        <w:pStyle w:val="SingleTxtG"/>
        <w:rPr>
          <w:iCs/>
          <w:lang w:val="fr-FR"/>
        </w:rPr>
      </w:pPr>
      <w:r>
        <w:rPr>
          <w:i/>
          <w:iCs/>
          <w:lang w:val="fr-FR"/>
        </w:rPr>
        <w:t>Paragraphe 5.1.17.3</w:t>
      </w:r>
      <w:r>
        <w:rPr>
          <w:lang w:val="fr-FR"/>
        </w:rPr>
        <w:t>, lire</w:t>
      </w:r>
      <w:r>
        <w:rPr>
          <w:lang w:val="fr-FR"/>
        </w:rPr>
        <w:t> </w:t>
      </w:r>
      <w:r>
        <w:rPr>
          <w:lang w:val="fr-FR"/>
        </w:rPr>
        <w:t>:</w:t>
      </w:r>
    </w:p>
    <w:p w14:paraId="1780ECE3" w14:textId="7135008C" w:rsidR="00EE5536" w:rsidRPr="00616BA2" w:rsidRDefault="00EE5536" w:rsidP="00EE5536">
      <w:pPr>
        <w:pStyle w:val="SingleTxtG"/>
        <w:ind w:left="2268" w:hanging="1134"/>
        <w:rPr>
          <w:lang w:val="fr-FR"/>
        </w:rPr>
      </w:pPr>
      <w:r>
        <w:rPr>
          <w:lang w:val="fr-FR"/>
        </w:rPr>
        <w:t>« </w:t>
      </w:r>
      <w:r>
        <w:rPr>
          <w:lang w:val="fr-FR"/>
        </w:rPr>
        <w:t>5.1.17.3</w:t>
      </w:r>
      <w:r>
        <w:rPr>
          <w:lang w:val="fr-FR"/>
        </w:rPr>
        <w:tab/>
        <w:t xml:space="preserve">Une fois émis, le signal doit persister tant qu’une demande de décélération </w:t>
      </w:r>
      <w:r>
        <w:rPr>
          <w:b/>
          <w:lang w:val="fr-FR"/>
        </w:rPr>
        <w:t>du système de freinage à commande automatique</w:t>
      </w:r>
      <w:r>
        <w:rPr>
          <w:lang w:val="fr-FR"/>
        </w:rPr>
        <w:t xml:space="preserve"> </w:t>
      </w:r>
      <w:r>
        <w:rPr>
          <w:b/>
          <w:lang w:val="fr-FR"/>
        </w:rPr>
        <w:t xml:space="preserve">et/ou </w:t>
      </w:r>
      <w:r>
        <w:rPr>
          <w:lang w:val="fr-FR"/>
        </w:rPr>
        <w:t>du système de freinage électrique à récupération est maintenue. Il peut toutefois être supprimé à l’arrêt</w:t>
      </w:r>
      <w:r>
        <w:rPr>
          <w:b/>
          <w:lang w:val="fr-FR"/>
        </w:rPr>
        <w:t>, ou lorsque la demande de décélération tombe en dessous de 1,3</w:t>
      </w:r>
      <w:r>
        <w:rPr>
          <w:b/>
          <w:lang w:val="fr-FR"/>
        </w:rPr>
        <w:t> </w:t>
      </w:r>
      <w:r>
        <w:rPr>
          <w:b/>
          <w:lang w:val="fr-FR"/>
        </w:rPr>
        <w:t>m/s2 ou de la valeur qui a entraîné  l’émission du signal, la valeur la plus faible étant retenue</w:t>
      </w:r>
      <w:r>
        <w:rPr>
          <w:lang w:val="fr-FR"/>
        </w:rPr>
        <w:t>.</w:t>
      </w:r>
    </w:p>
    <w:p w14:paraId="480C7C68" w14:textId="0C792417" w:rsidR="00EE5536" w:rsidRPr="00616BA2" w:rsidRDefault="00EE5536" w:rsidP="00EE5536">
      <w:pPr>
        <w:pStyle w:val="SingleTxtG"/>
        <w:spacing w:before="120"/>
        <w:ind w:left="2268"/>
        <w:rPr>
          <w:iCs/>
          <w:lang w:val="fr-FR"/>
        </w:rPr>
      </w:pPr>
      <w:r>
        <w:rPr>
          <w:lang w:val="fr-FR"/>
        </w:rPr>
        <w:t>Le signal ne doit pas être émis lorsque le ralentissement est uniquement dû à l’effet de freinage naturel du moteur, à la résistance à l’air ou au roulement ou à la déclivité de la route.</w:t>
      </w:r>
      <w:r>
        <w:rPr>
          <w:lang w:val="fr-FR"/>
        </w:rPr>
        <w:t> »</w:t>
      </w:r>
      <w:r>
        <w:rPr>
          <w:lang w:val="fr-FR"/>
        </w:rPr>
        <w:t>.</w:t>
      </w:r>
    </w:p>
    <w:p w14:paraId="220D879C" w14:textId="6F0251FA" w:rsidR="00EE5536" w:rsidRPr="00616BA2" w:rsidRDefault="00EE5536" w:rsidP="00EE5536">
      <w:pPr>
        <w:pStyle w:val="HChG"/>
        <w:rPr>
          <w:rFonts w:ascii="Arial" w:hAnsi="Arial"/>
          <w:lang w:val="fr-FR"/>
        </w:rPr>
      </w:pPr>
      <w:r>
        <w:rPr>
          <w:lang w:val="fr-FR"/>
        </w:rPr>
        <w:tab/>
      </w:r>
      <w:r>
        <w:rPr>
          <w:lang w:val="fr-FR"/>
        </w:rPr>
        <w:t>II.</w:t>
      </w:r>
      <w:r>
        <w:rPr>
          <w:lang w:val="fr-FR"/>
        </w:rPr>
        <w:tab/>
        <w:t>Justification</w:t>
      </w:r>
    </w:p>
    <w:p w14:paraId="7C183FBD" w14:textId="67C89821" w:rsidR="00EE5536" w:rsidRPr="00616BA2" w:rsidRDefault="00EE5536" w:rsidP="00EE5536">
      <w:pPr>
        <w:pStyle w:val="SingleTxtG"/>
        <w:rPr>
          <w:lang w:val="fr-FR"/>
        </w:rPr>
      </w:pPr>
      <w:r>
        <w:rPr>
          <w:lang w:val="fr-FR"/>
        </w:rPr>
        <w:t>1.</w:t>
      </w:r>
      <w:r>
        <w:rPr>
          <w:lang w:val="fr-FR"/>
        </w:rPr>
        <w:tab/>
        <w:t>La présente proposition vise à aligner davantage les dispositions relatives aux feux</w:t>
      </w:r>
      <w:r w:rsidR="00F26B5A">
        <w:rPr>
          <w:lang w:val="fr-FR"/>
        </w:rPr>
        <w:noBreakHyphen/>
      </w:r>
      <w:r>
        <w:rPr>
          <w:lang w:val="fr-FR"/>
        </w:rPr>
        <w:t>stop du Règlement ONU n</w:t>
      </w:r>
      <w:r w:rsidRPr="00EE5536">
        <w:rPr>
          <w:vertAlign w:val="superscript"/>
          <w:lang w:val="fr-FR"/>
        </w:rPr>
        <w:t>o</w:t>
      </w:r>
      <w:r>
        <w:rPr>
          <w:lang w:val="fr-FR"/>
        </w:rPr>
        <w:t> 78 sur celles du Règlement ONU n</w:t>
      </w:r>
      <w:r w:rsidRPr="00EE5536">
        <w:rPr>
          <w:vertAlign w:val="superscript"/>
          <w:lang w:val="fr-FR"/>
        </w:rPr>
        <w:t>o</w:t>
      </w:r>
      <w:r>
        <w:rPr>
          <w:lang w:val="fr-FR"/>
        </w:rPr>
        <w:t> 13-H, afin d’obtenir un comportement uniforme des feux-stop des différentes catégories de véhicules, et d’éviter ainsi de désorienter les usagers de la route qui circulent derrière un véhicule qui freine, quelle que soit la catégorie de ce véhicule. Elle vise en particulier à</w:t>
      </w:r>
      <w:r>
        <w:rPr>
          <w:lang w:val="fr-FR"/>
        </w:rPr>
        <w:t> </w:t>
      </w:r>
      <w:r>
        <w:rPr>
          <w:lang w:val="fr-FR"/>
        </w:rPr>
        <w:t>:</w:t>
      </w:r>
    </w:p>
    <w:p w14:paraId="748FB920" w14:textId="15811E81" w:rsidR="00EE5536" w:rsidRDefault="00EE5536" w:rsidP="00EE5536">
      <w:pPr>
        <w:pStyle w:val="SingleTxtG"/>
        <w:ind w:firstLine="567"/>
        <w:rPr>
          <w:lang w:val="fr-FR"/>
        </w:rPr>
      </w:pPr>
      <w:r>
        <w:rPr>
          <w:lang w:val="fr-FR"/>
        </w:rPr>
        <w:t>a)</w:t>
      </w:r>
      <w:r>
        <w:rPr>
          <w:lang w:val="fr-FR"/>
        </w:rPr>
        <w:tab/>
        <w:t>Permettre l’activation des feux-stop lorsque la décélération du véhicule est produite par le freinage à commande automatique</w:t>
      </w:r>
      <w:r>
        <w:rPr>
          <w:lang w:val="fr-FR"/>
        </w:rPr>
        <w:t> ;</w:t>
      </w:r>
    </w:p>
    <w:p w14:paraId="3D5CFE97" w14:textId="447155EF" w:rsidR="00EE5536" w:rsidRDefault="00EE5536" w:rsidP="00EE5536">
      <w:pPr>
        <w:pStyle w:val="SingleTxtG"/>
        <w:ind w:firstLine="567"/>
        <w:rPr>
          <w:lang w:val="fr-FR"/>
        </w:rPr>
      </w:pPr>
      <w:r>
        <w:rPr>
          <w:lang w:val="fr-FR"/>
        </w:rPr>
        <w:t>b)</w:t>
      </w:r>
      <w:r>
        <w:rPr>
          <w:lang w:val="fr-FR"/>
        </w:rPr>
        <w:tab/>
        <w:t>Aligner les critères énoncés au paragraphe</w:t>
      </w:r>
      <w:r>
        <w:rPr>
          <w:lang w:val="fr-FR"/>
        </w:rPr>
        <w:t> </w:t>
      </w:r>
      <w:r>
        <w:rPr>
          <w:lang w:val="fr-FR"/>
        </w:rPr>
        <w:t>5.1.17.2 sur les dernières modifications apportées au paragraphe</w:t>
      </w:r>
      <w:r>
        <w:rPr>
          <w:lang w:val="fr-FR"/>
        </w:rPr>
        <w:t> </w:t>
      </w:r>
      <w:r>
        <w:rPr>
          <w:lang w:val="fr-FR"/>
        </w:rPr>
        <w:t>5.2.22.2 du Règlement ONU n</w:t>
      </w:r>
      <w:r w:rsidRPr="00EE5536">
        <w:rPr>
          <w:vertAlign w:val="superscript"/>
          <w:lang w:val="fr-FR"/>
        </w:rPr>
        <w:t>o</w:t>
      </w:r>
      <w:r>
        <w:rPr>
          <w:lang w:val="fr-FR"/>
        </w:rPr>
        <w:t> 13-H, telles qu’adoptées à la douzième session du GRVA, en janvier 2022 (ECE/TRANS/</w:t>
      </w:r>
      <w:r>
        <w:rPr>
          <w:lang w:val="fr-FR"/>
        </w:rPr>
        <w:br/>
      </w:r>
      <w:r>
        <w:rPr>
          <w:lang w:val="fr-FR"/>
        </w:rPr>
        <w:t>WP.29/GRVA/2022/10 tel que modifié par le document informel GRVA-12-24).</w:t>
      </w:r>
    </w:p>
    <w:p w14:paraId="4AFA9614" w14:textId="13BA3628" w:rsidR="00EE5536" w:rsidRPr="00EE5536" w:rsidRDefault="00EE5536" w:rsidP="00EE5536">
      <w:pPr>
        <w:pStyle w:val="SingleTxtG"/>
        <w:spacing w:before="240" w:after="0"/>
        <w:jc w:val="center"/>
        <w:rPr>
          <w:u w:val="single"/>
          <w:lang w:val="fr-FR"/>
        </w:rPr>
      </w:pPr>
      <w:r>
        <w:rPr>
          <w:u w:val="single"/>
          <w:lang w:val="fr-FR"/>
        </w:rPr>
        <w:tab/>
      </w:r>
      <w:r>
        <w:rPr>
          <w:u w:val="single"/>
          <w:lang w:val="fr-FR"/>
        </w:rPr>
        <w:tab/>
      </w:r>
      <w:r>
        <w:rPr>
          <w:u w:val="single"/>
          <w:lang w:val="fr-FR"/>
        </w:rPr>
        <w:tab/>
      </w:r>
      <w:r>
        <w:rPr>
          <w:u w:val="single"/>
          <w:lang w:val="fr-FR"/>
        </w:rPr>
        <w:tab/>
      </w:r>
    </w:p>
    <w:sectPr w:rsidR="00EE5536" w:rsidRPr="00EE5536" w:rsidSect="00EE5536">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AB1A" w14:textId="77777777" w:rsidR="003C384A" w:rsidRDefault="003C384A" w:rsidP="00F95C08">
      <w:pPr>
        <w:spacing w:line="240" w:lineRule="auto"/>
      </w:pPr>
    </w:p>
  </w:endnote>
  <w:endnote w:type="continuationSeparator" w:id="0">
    <w:p w14:paraId="4A05E88A" w14:textId="77777777" w:rsidR="003C384A" w:rsidRPr="00AC3823" w:rsidRDefault="003C384A" w:rsidP="00AC3823">
      <w:pPr>
        <w:pStyle w:val="Pieddepage"/>
      </w:pPr>
    </w:p>
  </w:endnote>
  <w:endnote w:type="continuationNotice" w:id="1">
    <w:p w14:paraId="05287014" w14:textId="77777777" w:rsidR="003C384A" w:rsidRDefault="003C38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FB68" w14:textId="1B1D001A" w:rsidR="00EE5536" w:rsidRPr="00EE5536" w:rsidRDefault="00EE5536" w:rsidP="00EE5536">
    <w:pPr>
      <w:pStyle w:val="Pieddepage"/>
      <w:tabs>
        <w:tab w:val="right" w:pos="9638"/>
      </w:tabs>
    </w:pPr>
    <w:r w:rsidRPr="00EE5536">
      <w:rPr>
        <w:b/>
        <w:sz w:val="18"/>
      </w:rPr>
      <w:fldChar w:fldCharType="begin"/>
    </w:r>
    <w:r w:rsidRPr="00EE5536">
      <w:rPr>
        <w:b/>
        <w:sz w:val="18"/>
      </w:rPr>
      <w:instrText xml:space="preserve"> PAGE  \* MERGEFORMAT </w:instrText>
    </w:r>
    <w:r w:rsidRPr="00EE5536">
      <w:rPr>
        <w:b/>
        <w:sz w:val="18"/>
      </w:rPr>
      <w:fldChar w:fldCharType="separate"/>
    </w:r>
    <w:r w:rsidRPr="00EE5536">
      <w:rPr>
        <w:b/>
        <w:noProof/>
        <w:sz w:val="18"/>
      </w:rPr>
      <w:t>2</w:t>
    </w:r>
    <w:r w:rsidRPr="00EE5536">
      <w:rPr>
        <w:b/>
        <w:sz w:val="18"/>
      </w:rPr>
      <w:fldChar w:fldCharType="end"/>
    </w:r>
    <w:r>
      <w:rPr>
        <w:b/>
        <w:sz w:val="18"/>
      </w:rPr>
      <w:tab/>
    </w:r>
    <w:r>
      <w:t>GE.22-11011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D0E8" w14:textId="578A80F5" w:rsidR="00EE5536" w:rsidRPr="00EE5536" w:rsidRDefault="00EE5536" w:rsidP="00EE5536">
    <w:pPr>
      <w:pStyle w:val="Pieddepage"/>
      <w:tabs>
        <w:tab w:val="right" w:pos="9638"/>
      </w:tabs>
      <w:rPr>
        <w:b/>
        <w:sz w:val="18"/>
      </w:rPr>
    </w:pPr>
    <w:r>
      <w:t>GE.22-11011</w:t>
    </w:r>
    <w:r>
      <w:tab/>
    </w:r>
    <w:r w:rsidRPr="00EE5536">
      <w:rPr>
        <w:b/>
        <w:sz w:val="18"/>
      </w:rPr>
      <w:fldChar w:fldCharType="begin"/>
    </w:r>
    <w:r w:rsidRPr="00EE5536">
      <w:rPr>
        <w:b/>
        <w:sz w:val="18"/>
      </w:rPr>
      <w:instrText xml:space="preserve"> PAGE  \* MERGEFORMAT </w:instrText>
    </w:r>
    <w:r w:rsidRPr="00EE5536">
      <w:rPr>
        <w:b/>
        <w:sz w:val="18"/>
      </w:rPr>
      <w:fldChar w:fldCharType="separate"/>
    </w:r>
    <w:r w:rsidRPr="00EE5536">
      <w:rPr>
        <w:b/>
        <w:noProof/>
        <w:sz w:val="18"/>
      </w:rPr>
      <w:t>3</w:t>
    </w:r>
    <w:r w:rsidRPr="00EE553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8778" w14:textId="12FE4435" w:rsidR="007F20FA" w:rsidRPr="00EE5536" w:rsidRDefault="00EE5536" w:rsidP="00EE5536">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027D7F36" wp14:editId="3FB1DEFB">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22-11011  (F)</w:t>
    </w:r>
    <w:r>
      <w:rPr>
        <w:noProof/>
        <w:sz w:val="20"/>
      </w:rPr>
      <w:drawing>
        <wp:anchor distT="0" distB="0" distL="114300" distR="114300" simplePos="0" relativeHeight="251660288" behindDoc="0" locked="0" layoutInCell="1" allowOverlap="1" wp14:anchorId="4BDACEAC" wp14:editId="1E92C49C">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020822    040822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E7C91" w14:textId="77777777" w:rsidR="003C384A" w:rsidRPr="00AC3823" w:rsidRDefault="003C384A" w:rsidP="00AC3823">
      <w:pPr>
        <w:pStyle w:val="Pieddepage"/>
        <w:tabs>
          <w:tab w:val="right" w:pos="2155"/>
        </w:tabs>
        <w:spacing w:after="80" w:line="240" w:lineRule="atLeast"/>
        <w:ind w:left="680"/>
        <w:rPr>
          <w:u w:val="single"/>
        </w:rPr>
      </w:pPr>
      <w:r>
        <w:rPr>
          <w:u w:val="single"/>
        </w:rPr>
        <w:tab/>
      </w:r>
    </w:p>
  </w:footnote>
  <w:footnote w:type="continuationSeparator" w:id="0">
    <w:p w14:paraId="3602A5E9" w14:textId="77777777" w:rsidR="003C384A" w:rsidRPr="00AC3823" w:rsidRDefault="003C384A" w:rsidP="00AC3823">
      <w:pPr>
        <w:pStyle w:val="Pieddepage"/>
        <w:tabs>
          <w:tab w:val="right" w:pos="2155"/>
        </w:tabs>
        <w:spacing w:after="80" w:line="240" w:lineRule="atLeast"/>
        <w:ind w:left="680"/>
        <w:rPr>
          <w:u w:val="single"/>
        </w:rPr>
      </w:pPr>
      <w:r>
        <w:rPr>
          <w:u w:val="single"/>
        </w:rPr>
        <w:tab/>
      </w:r>
    </w:p>
  </w:footnote>
  <w:footnote w:type="continuationNotice" w:id="1">
    <w:p w14:paraId="0A92BAEB" w14:textId="77777777" w:rsidR="003C384A" w:rsidRPr="00AC3823" w:rsidRDefault="003C384A">
      <w:pPr>
        <w:spacing w:line="240" w:lineRule="auto"/>
        <w:rPr>
          <w:sz w:val="2"/>
          <w:szCs w:val="2"/>
        </w:rPr>
      </w:pPr>
    </w:p>
  </w:footnote>
  <w:footnote w:id="2">
    <w:p w14:paraId="4461D348" w14:textId="355C4C02" w:rsidR="00EE5536" w:rsidRPr="00EE5536" w:rsidRDefault="00EE5536">
      <w:pPr>
        <w:pStyle w:val="Notedebasdepage"/>
      </w:pPr>
      <w:r>
        <w:rPr>
          <w:rStyle w:val="Appelnotedebasdep"/>
        </w:rPr>
        <w:tab/>
      </w:r>
      <w:r w:rsidRPr="00EE5536">
        <w:rPr>
          <w:rStyle w:val="Appelnotedebasdep"/>
          <w:sz w:val="20"/>
          <w:vertAlign w:val="baseline"/>
        </w:rPr>
        <w:t>*</w:t>
      </w:r>
      <w:r>
        <w:rPr>
          <w:rStyle w:val="Appelnotedebasdep"/>
          <w:sz w:val="20"/>
          <w:vertAlign w:val="baseline"/>
        </w:rPr>
        <w:tab/>
      </w:r>
      <w:r>
        <w:rPr>
          <w:lang w:val="fr-FR"/>
        </w:rPr>
        <w:t>Conformément au programme de travail du Comité des transports intérieurs pour 2022 tel qu’il figure dans le projet de budget-programme pour 2022 (A/76/6 (Sect.</w:t>
      </w:r>
      <w:r>
        <w:rPr>
          <w:lang w:val="fr-FR"/>
        </w:rPr>
        <w:t> </w:t>
      </w:r>
      <w:r>
        <w:rPr>
          <w:lang w:val="fr-FR"/>
        </w:rPr>
        <w:t>20), par.</w:t>
      </w:r>
      <w:r>
        <w:rPr>
          <w:lang w:val="fr-FR"/>
        </w:rPr>
        <w:t> </w:t>
      </w:r>
      <w:r>
        <w:rPr>
          <w:lang w:val="fr-FR"/>
        </w:rPr>
        <w:t>20.76),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F3CA" w14:textId="5B4AA46A" w:rsidR="00EE5536" w:rsidRPr="00EE5536" w:rsidRDefault="00EE5536">
    <w:pPr>
      <w:pStyle w:val="En-tte"/>
    </w:pPr>
    <w:fldSimple w:instr=" TITLE  \* MERGEFORMAT ">
      <w:r>
        <w:t>ECE/TRANS/WP.29/GRVA/2022/26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3F2E" w14:textId="06E9C746" w:rsidR="00EE5536" w:rsidRPr="00EE5536" w:rsidRDefault="00EE5536" w:rsidP="00EE5536">
    <w:pPr>
      <w:pStyle w:val="En-tte"/>
      <w:jc w:val="right"/>
    </w:pPr>
    <w:fldSimple w:instr=" TITLE  \* MERGEFORMAT ">
      <w:r>
        <w:t>ECE/TRANS/WP.29/GRVA/2022/26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4A"/>
    <w:rsid w:val="00017F94"/>
    <w:rsid w:val="00023842"/>
    <w:rsid w:val="000334F9"/>
    <w:rsid w:val="00045FEB"/>
    <w:rsid w:val="0007796D"/>
    <w:rsid w:val="000B7790"/>
    <w:rsid w:val="00111F2F"/>
    <w:rsid w:val="0014365E"/>
    <w:rsid w:val="00143C66"/>
    <w:rsid w:val="00176178"/>
    <w:rsid w:val="001F525A"/>
    <w:rsid w:val="00201148"/>
    <w:rsid w:val="00223272"/>
    <w:rsid w:val="0024779E"/>
    <w:rsid w:val="00257168"/>
    <w:rsid w:val="002744B8"/>
    <w:rsid w:val="002832AC"/>
    <w:rsid w:val="002D7C93"/>
    <w:rsid w:val="00305801"/>
    <w:rsid w:val="003916DE"/>
    <w:rsid w:val="003C384A"/>
    <w:rsid w:val="00421996"/>
    <w:rsid w:val="00441C3B"/>
    <w:rsid w:val="00446FE5"/>
    <w:rsid w:val="00452396"/>
    <w:rsid w:val="00477EB2"/>
    <w:rsid w:val="004837D8"/>
    <w:rsid w:val="004E2EED"/>
    <w:rsid w:val="004E468C"/>
    <w:rsid w:val="005505B7"/>
    <w:rsid w:val="00573BE5"/>
    <w:rsid w:val="00586ED3"/>
    <w:rsid w:val="00596AA9"/>
    <w:rsid w:val="0071601D"/>
    <w:rsid w:val="007A62E6"/>
    <w:rsid w:val="007F20FA"/>
    <w:rsid w:val="0080684C"/>
    <w:rsid w:val="00871C75"/>
    <w:rsid w:val="008776DC"/>
    <w:rsid w:val="008D5EF9"/>
    <w:rsid w:val="009446C0"/>
    <w:rsid w:val="009705C8"/>
    <w:rsid w:val="009C1CF4"/>
    <w:rsid w:val="009F6B74"/>
    <w:rsid w:val="00A3029F"/>
    <w:rsid w:val="00A30353"/>
    <w:rsid w:val="00AB243B"/>
    <w:rsid w:val="00AC3823"/>
    <w:rsid w:val="00AE323C"/>
    <w:rsid w:val="00AF0CB5"/>
    <w:rsid w:val="00B00181"/>
    <w:rsid w:val="00B00B0D"/>
    <w:rsid w:val="00B45F2E"/>
    <w:rsid w:val="00B765F7"/>
    <w:rsid w:val="00B77993"/>
    <w:rsid w:val="00BA0CA9"/>
    <w:rsid w:val="00C02897"/>
    <w:rsid w:val="00C97039"/>
    <w:rsid w:val="00D3439C"/>
    <w:rsid w:val="00D7622E"/>
    <w:rsid w:val="00DB1831"/>
    <w:rsid w:val="00DD3BFD"/>
    <w:rsid w:val="00DF6678"/>
    <w:rsid w:val="00E0299A"/>
    <w:rsid w:val="00E85C74"/>
    <w:rsid w:val="00EA6547"/>
    <w:rsid w:val="00ED7237"/>
    <w:rsid w:val="00EE5536"/>
    <w:rsid w:val="00EF2E22"/>
    <w:rsid w:val="00F26B5A"/>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27A89E"/>
  <w15:docId w15:val="{5D0D9899-DB87-49A7-A804-E86C7303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ECE_TRANS.dotm</Template>
  <TotalTime>1</TotalTime>
  <Pages>2</Pages>
  <Words>541</Words>
  <Characters>3055</Characters>
  <Application>Microsoft Office Word</Application>
  <DocSecurity>0</DocSecurity>
  <Lines>75</Lines>
  <Paragraphs>37</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ECE/TRANS/WP.29/GRVA/2022/26</dc:title>
  <dc:subject/>
  <dc:creator>Marie DESCHAMPS</dc:creator>
  <cp:keywords/>
  <cp:lastModifiedBy>Marie Deschamps</cp:lastModifiedBy>
  <cp:revision>2</cp:revision>
  <cp:lastPrinted>2014-05-14T10:59:00Z</cp:lastPrinted>
  <dcterms:created xsi:type="dcterms:W3CDTF">2022-08-04T06:25:00Z</dcterms:created>
  <dcterms:modified xsi:type="dcterms:W3CDTF">2022-08-04T06:25:00Z</dcterms:modified>
</cp:coreProperties>
</file>