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11E98124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3B7C850" w14:textId="77777777" w:rsidR="002D5AAC" w:rsidRDefault="002D5AAC" w:rsidP="000B09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C8C67AD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1721DAF" w14:textId="10052360" w:rsidR="002D5AAC" w:rsidRDefault="000B0983" w:rsidP="000B0983">
            <w:pPr>
              <w:jc w:val="right"/>
            </w:pPr>
            <w:r w:rsidRPr="000B0983">
              <w:rPr>
                <w:sz w:val="40"/>
              </w:rPr>
              <w:t>ECE</w:t>
            </w:r>
            <w:r>
              <w:t>/TRANS/WP.29/GRSG/2022/29</w:t>
            </w:r>
          </w:p>
        </w:tc>
      </w:tr>
      <w:tr w:rsidR="002D5AAC" w:rsidRPr="00ED3DDB" w14:paraId="22C35B14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60C0F41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AB661EA" wp14:editId="51D72DD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7B21966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1CA61D7" w14:textId="77777777" w:rsidR="002D5AAC" w:rsidRDefault="000B0983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1D150E2" w14:textId="77777777" w:rsidR="000B0983" w:rsidRDefault="000B0983" w:rsidP="000B098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22 July 2022</w:t>
            </w:r>
          </w:p>
          <w:p w14:paraId="111ECFC3" w14:textId="77777777" w:rsidR="000B0983" w:rsidRDefault="000B0983" w:rsidP="000B098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6854C0C" w14:textId="54ACA918" w:rsidR="000B0983" w:rsidRPr="008D53B6" w:rsidRDefault="000B0983" w:rsidP="000B098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B89C543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FCDF62B" w14:textId="77777777" w:rsidR="000B0983" w:rsidRPr="004146FC" w:rsidRDefault="000B0983" w:rsidP="000B0983">
      <w:pPr>
        <w:spacing w:before="120"/>
        <w:rPr>
          <w:rFonts w:asciiTheme="majorBidi" w:hAnsiTheme="majorBidi" w:cstheme="majorBidi"/>
          <w:sz w:val="28"/>
          <w:szCs w:val="28"/>
        </w:rPr>
      </w:pPr>
      <w:r w:rsidRPr="004146FC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5B699E98" w14:textId="08305DCB" w:rsidR="000B0983" w:rsidRPr="004146FC" w:rsidRDefault="000B0983" w:rsidP="000B0983">
      <w:pPr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4146FC">
        <w:rPr>
          <w:rFonts w:asciiTheme="majorBidi" w:hAnsiTheme="majorBidi" w:cstheme="majorBidi"/>
          <w:b/>
          <w:sz w:val="24"/>
          <w:szCs w:val="24"/>
        </w:rPr>
        <w:t xml:space="preserve">Всемирный форум для согласования правил </w:t>
      </w:r>
      <w:r>
        <w:rPr>
          <w:rFonts w:asciiTheme="majorBidi" w:hAnsiTheme="majorBidi" w:cstheme="majorBidi"/>
          <w:b/>
          <w:sz w:val="24"/>
          <w:szCs w:val="24"/>
        </w:rPr>
        <w:br/>
      </w:r>
      <w:r w:rsidRPr="004146FC">
        <w:rPr>
          <w:rFonts w:asciiTheme="majorBidi" w:hAnsiTheme="majorBidi" w:cstheme="majorBidi"/>
          <w:b/>
          <w:sz w:val="24"/>
          <w:szCs w:val="24"/>
        </w:rPr>
        <w:t>в области транспортных средств</w:t>
      </w:r>
    </w:p>
    <w:p w14:paraId="7DF6184A" w14:textId="428AFCD4" w:rsidR="000B0983" w:rsidRPr="004146FC" w:rsidRDefault="000B0983" w:rsidP="000B0983">
      <w:pPr>
        <w:spacing w:before="120"/>
        <w:rPr>
          <w:rFonts w:asciiTheme="majorBidi" w:hAnsiTheme="majorBidi" w:cstheme="majorBidi"/>
          <w:b/>
        </w:rPr>
      </w:pPr>
      <w:r w:rsidRPr="004146FC">
        <w:rPr>
          <w:b/>
          <w:bCs/>
        </w:rPr>
        <w:t xml:space="preserve">Рабочая группа по общим предписаниям, </w:t>
      </w:r>
      <w:r>
        <w:rPr>
          <w:b/>
          <w:bCs/>
        </w:rPr>
        <w:br/>
      </w:r>
      <w:r w:rsidRPr="004146FC">
        <w:rPr>
          <w:b/>
          <w:bCs/>
        </w:rPr>
        <w:t>касающимся безопасности</w:t>
      </w:r>
    </w:p>
    <w:p w14:paraId="650EBE60" w14:textId="77777777" w:rsidR="000B0983" w:rsidRPr="004146FC" w:rsidRDefault="000B0983" w:rsidP="000B0983">
      <w:pPr>
        <w:spacing w:before="120"/>
        <w:rPr>
          <w:rFonts w:asciiTheme="majorBidi" w:hAnsiTheme="majorBidi" w:cstheme="majorBidi"/>
          <w:b/>
        </w:rPr>
      </w:pPr>
      <w:r w:rsidRPr="004146FC">
        <w:rPr>
          <w:b/>
          <w:bCs/>
        </w:rPr>
        <w:t>Сто двадцать четвертая сессия</w:t>
      </w:r>
    </w:p>
    <w:p w14:paraId="01AA4D82" w14:textId="77777777" w:rsidR="000B0983" w:rsidRPr="004146FC" w:rsidRDefault="000B0983" w:rsidP="000B0983">
      <w:pPr>
        <w:rPr>
          <w:rFonts w:asciiTheme="majorBidi" w:hAnsiTheme="majorBidi" w:cstheme="majorBidi"/>
        </w:rPr>
      </w:pPr>
      <w:r w:rsidRPr="004146FC">
        <w:t>Женева, 11–14 октября 2022 года</w:t>
      </w:r>
    </w:p>
    <w:p w14:paraId="7D6C2587" w14:textId="77777777" w:rsidR="000B0983" w:rsidRPr="004146FC" w:rsidRDefault="000B0983" w:rsidP="000B0983">
      <w:r w:rsidRPr="004146FC">
        <w:t>Пункт 8 предварительной повестки дня</w:t>
      </w:r>
    </w:p>
    <w:p w14:paraId="38E899D1" w14:textId="691220D0" w:rsidR="000B0983" w:rsidRPr="004146FC" w:rsidRDefault="000B0983" w:rsidP="000B0983">
      <w:pPr>
        <w:rPr>
          <w:b/>
        </w:rPr>
      </w:pPr>
      <w:r w:rsidRPr="004146FC">
        <w:rPr>
          <w:b/>
          <w:bCs/>
        </w:rPr>
        <w:t xml:space="preserve">Правила № 105 ООН (транспортные средства, </w:t>
      </w:r>
      <w:r>
        <w:rPr>
          <w:b/>
          <w:bCs/>
        </w:rPr>
        <w:br/>
      </w:r>
      <w:r w:rsidRPr="004146FC">
        <w:rPr>
          <w:b/>
          <w:bCs/>
        </w:rPr>
        <w:t>предназначенные для перевозки опасных грузов)</w:t>
      </w:r>
    </w:p>
    <w:p w14:paraId="13C31831" w14:textId="09C85B94" w:rsidR="000B0983" w:rsidRPr="004146FC" w:rsidRDefault="000B0983" w:rsidP="000B0983">
      <w:pPr>
        <w:pStyle w:val="HChG"/>
      </w:pPr>
      <w:r w:rsidRPr="004146FC">
        <w:tab/>
      </w:r>
      <w:r w:rsidRPr="004146FC">
        <w:tab/>
      </w:r>
      <w:r w:rsidRPr="004146FC">
        <w:tab/>
        <w:t xml:space="preserve">Предложение по </w:t>
      </w:r>
      <w:r w:rsidRPr="000B0983">
        <w:t>дополнению</w:t>
      </w:r>
      <w:r w:rsidRPr="004146FC">
        <w:t xml:space="preserve"> 2 к поправкам серии 06 к</w:t>
      </w:r>
      <w:r>
        <w:rPr>
          <w:lang w:val="fr-CH"/>
        </w:rPr>
        <w:t> </w:t>
      </w:r>
      <w:r w:rsidRPr="004146FC">
        <w:t>Правилам № 105 ООН (транспортные средства, предназначенные для перевозки опасных грузов)</w:t>
      </w:r>
    </w:p>
    <w:p w14:paraId="3E83DC01" w14:textId="77777777" w:rsidR="000B0983" w:rsidRPr="004146FC" w:rsidRDefault="000B0983" w:rsidP="000B0983">
      <w:pPr>
        <w:pStyle w:val="H1G"/>
      </w:pPr>
      <w:r w:rsidRPr="004146FC">
        <w:tab/>
      </w:r>
      <w:r w:rsidRPr="004146FC">
        <w:tab/>
        <w:t xml:space="preserve">Представлено экспертом от Международной организации </w:t>
      </w:r>
      <w:r w:rsidRPr="000B0983">
        <w:t>предприятий</w:t>
      </w:r>
      <w:r w:rsidRPr="004146FC">
        <w:t xml:space="preserve"> автомобильной промышленности</w:t>
      </w:r>
      <w:r w:rsidRPr="000B0983">
        <w:rPr>
          <w:b w:val="0"/>
          <w:bCs/>
          <w:sz w:val="20"/>
        </w:rPr>
        <w:footnoteReference w:customMarkFollows="1" w:id="1"/>
        <w:t xml:space="preserve">* </w:t>
      </w:r>
    </w:p>
    <w:p w14:paraId="6E31CA89" w14:textId="7F4798A3" w:rsidR="000B0983" w:rsidRPr="004146FC" w:rsidRDefault="000B0983" w:rsidP="000B0983">
      <w:pPr>
        <w:pStyle w:val="SingleTxtG"/>
        <w:tabs>
          <w:tab w:val="left" w:pos="1560"/>
        </w:tabs>
      </w:pPr>
      <w:r w:rsidRPr="004146FC">
        <w:tab/>
        <w:t>Воспроизведенный ниже текст был подготовлен экспертом от Международной организации предприятий автомобильной промышленности (МОПАП) с целью согласования положений Правил № 105 ООН с положениями нового издания Соглашения о международной дорожной перевозке опасных грузов (ДОПОГ) 2023</w:t>
      </w:r>
      <w:r>
        <w:rPr>
          <w:lang w:val="fr-CH"/>
        </w:rPr>
        <w:t> </w:t>
      </w:r>
      <w:r w:rsidRPr="004146FC">
        <w:t xml:space="preserve">года. Изменения к действующему тексту Правил № 105 ООН </w:t>
      </w:r>
      <w:r w:rsidRPr="004146FC">
        <w:rPr>
          <w:shd w:val="clear" w:color="auto" w:fill="FFFFFF"/>
        </w:rPr>
        <w:t>выделены жирным шрифтом в случае новых или зачеркиванием — в случае исключенных элементов.</w:t>
      </w:r>
    </w:p>
    <w:p w14:paraId="0733E6E7" w14:textId="77777777" w:rsidR="000B0983" w:rsidRPr="004146FC" w:rsidRDefault="000B0983" w:rsidP="000B0983">
      <w:pPr>
        <w:suppressAutoHyphens w:val="0"/>
        <w:spacing w:line="240" w:lineRule="auto"/>
        <w:rPr>
          <w:b/>
          <w:bCs/>
          <w:sz w:val="28"/>
          <w:lang w:eastAsia="fr-FR"/>
        </w:rPr>
      </w:pPr>
      <w:r w:rsidRPr="004146FC">
        <w:rPr>
          <w:bCs/>
        </w:rPr>
        <w:br w:type="page"/>
      </w:r>
    </w:p>
    <w:p w14:paraId="6D2DEC94" w14:textId="77777777" w:rsidR="000B0983" w:rsidRPr="004146FC" w:rsidRDefault="000B0983" w:rsidP="000B0983">
      <w:pPr>
        <w:pStyle w:val="HChG"/>
        <w:rPr>
          <w:rFonts w:asciiTheme="majorBidi" w:hAnsiTheme="majorBidi" w:cstheme="majorBidi"/>
          <w:b w:val="0"/>
          <w:szCs w:val="28"/>
        </w:rPr>
      </w:pPr>
      <w:r w:rsidRPr="004146FC">
        <w:rPr>
          <w:bCs/>
        </w:rPr>
        <w:lastRenderedPageBreak/>
        <w:tab/>
        <w:t>I.</w:t>
      </w:r>
      <w:r w:rsidRPr="004146FC">
        <w:tab/>
      </w:r>
      <w:r w:rsidRPr="004146FC">
        <w:rPr>
          <w:bCs/>
        </w:rPr>
        <w:t>Предложение</w:t>
      </w:r>
    </w:p>
    <w:p w14:paraId="15D9E09B" w14:textId="77777777" w:rsidR="000B0983" w:rsidRPr="004146FC" w:rsidRDefault="000B0983" w:rsidP="000B0983">
      <w:pPr>
        <w:spacing w:before="120" w:after="120"/>
        <w:ind w:left="1134" w:right="1134"/>
        <w:jc w:val="both"/>
      </w:pPr>
      <w:r w:rsidRPr="004146FC">
        <w:rPr>
          <w:i/>
          <w:iCs/>
          <w:lang w:eastAsia="fr-FR"/>
        </w:rPr>
        <w:t xml:space="preserve">Пункт 5.1 </w:t>
      </w:r>
      <w:r w:rsidRPr="004146FC">
        <w:t>изменить следующим образом:</w:t>
      </w:r>
    </w:p>
    <w:p w14:paraId="628A5114" w14:textId="77777777" w:rsidR="000B0983" w:rsidRPr="004146FC" w:rsidRDefault="000B0983" w:rsidP="000B0983">
      <w:pPr>
        <w:pStyle w:val="SingleTxtG"/>
        <w:tabs>
          <w:tab w:val="clear" w:pos="1701"/>
        </w:tabs>
        <w:spacing w:before="120"/>
        <w:ind w:left="2268" w:hanging="1134"/>
      </w:pPr>
      <w:r w:rsidRPr="004146FC">
        <w:t>«5.1</w:t>
      </w:r>
      <w:r w:rsidRPr="004146FC">
        <w:tab/>
        <w:t>В зависимости от их обозначения транспортные средства должны соответствовать приведенным ниже положениям, указанным в таблице на обороте</w:t>
      </w:r>
      <w:r w:rsidRPr="008A5A6D">
        <w:rPr>
          <w:sz w:val="18"/>
          <w:szCs w:val="18"/>
          <w:vertAlign w:val="superscript"/>
          <w:lang w:eastAsia="fr-FR"/>
        </w:rPr>
        <w:t>3</w:t>
      </w:r>
      <w:r w:rsidRPr="004146FC">
        <w:t>.</w:t>
      </w:r>
    </w:p>
    <w:p w14:paraId="6F556400" w14:textId="77777777" w:rsidR="000B0983" w:rsidRPr="004146FC" w:rsidRDefault="000B0983" w:rsidP="000B0983">
      <w:pPr>
        <w:suppressAutoHyphens w:val="0"/>
        <w:autoSpaceDE w:val="0"/>
        <w:autoSpaceDN w:val="0"/>
        <w:adjustRightInd w:val="0"/>
        <w:spacing w:before="120" w:after="120"/>
        <w:ind w:left="2268" w:right="1134"/>
        <w:jc w:val="both"/>
      </w:pPr>
      <w:r w:rsidRPr="004146FC">
        <w:t>Для целей настоящих Правил</w:t>
      </w:r>
      <w:r w:rsidRPr="004146FC">
        <w:rPr>
          <w:b/>
          <w:bCs/>
        </w:rPr>
        <w:t xml:space="preserve"> ООН</w:t>
      </w:r>
      <w:r w:rsidRPr="004146FC">
        <w:t xml:space="preserve"> транспортные средства MEMU должны отвечать требованиям, применимым к транспортным средствам EX/III.</w:t>
      </w:r>
    </w:p>
    <w:p w14:paraId="39EA37E1" w14:textId="77777777" w:rsidR="000B0983" w:rsidRPr="004146FC" w:rsidRDefault="000B0983" w:rsidP="008A5A6D">
      <w:pPr>
        <w:autoSpaceDE w:val="0"/>
        <w:autoSpaceDN w:val="0"/>
        <w:adjustRightInd w:val="0"/>
        <w:spacing w:before="120" w:after="120"/>
        <w:ind w:left="2268" w:right="1134"/>
        <w:jc w:val="both"/>
      </w:pPr>
      <w:r w:rsidRPr="004146FC">
        <w:t xml:space="preserve">Транспортные средства, официально утвержденные как соответствующие требованиям, применимым к транспортным средствам EX/III, на основании настоящих Правил с внесенными в них поправками серии </w:t>
      </w:r>
      <w:r w:rsidRPr="00ED3DDB">
        <w:rPr>
          <w:strike/>
          <w:color w:val="000000" w:themeColor="text1"/>
        </w:rPr>
        <w:t>05</w:t>
      </w:r>
      <w:r w:rsidRPr="004146FC">
        <w:rPr>
          <w:b/>
          <w:bCs/>
        </w:rPr>
        <w:t xml:space="preserve"> 06</w:t>
      </w:r>
      <w:r w:rsidRPr="004146FC">
        <w:t>, считаются соответствующими требованиям, применимым к транспортным средствам MEMU.</w:t>
      </w:r>
    </w:p>
    <w:tbl>
      <w:tblPr>
        <w:tblStyle w:val="ac"/>
        <w:tblW w:w="737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2858"/>
        <w:gridCol w:w="903"/>
        <w:gridCol w:w="902"/>
        <w:gridCol w:w="752"/>
        <w:gridCol w:w="602"/>
        <w:gridCol w:w="451"/>
      </w:tblGrid>
      <w:tr w:rsidR="000B0983" w:rsidRPr="004146FC" w14:paraId="6FFD7DDC" w14:textId="77777777" w:rsidTr="00BA4A65">
        <w:trPr>
          <w:tblHeader/>
        </w:trPr>
        <w:tc>
          <w:tcPr>
            <w:tcW w:w="3543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96E9185" w14:textId="77777777" w:rsidR="000B0983" w:rsidRPr="004146FC" w:rsidRDefault="000B0983" w:rsidP="00BA4A65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4146FC">
              <w:rPr>
                <w:i/>
                <w:sz w:val="16"/>
              </w:rPr>
              <w:t>Технические характеристики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1D192E7" w14:textId="2A07E4DA" w:rsidR="000B0983" w:rsidRPr="004146FC" w:rsidRDefault="000B0983" w:rsidP="00BA4A65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4146FC">
              <w:rPr>
                <w:i/>
                <w:sz w:val="16"/>
              </w:rPr>
              <w:t xml:space="preserve">Обозначение транспортного средства </w:t>
            </w:r>
            <w:r>
              <w:rPr>
                <w:i/>
                <w:sz w:val="16"/>
              </w:rPr>
              <w:br/>
            </w:r>
            <w:r w:rsidRPr="004146FC">
              <w:rPr>
                <w:i/>
                <w:sz w:val="16"/>
              </w:rPr>
              <w:t>(в соответствии с главой 9.1 приложения</w:t>
            </w:r>
            <w:r w:rsidR="008A5A6D">
              <w:rPr>
                <w:i/>
                <w:sz w:val="16"/>
                <w:lang w:val="fr-CH"/>
              </w:rPr>
              <w:t> </w:t>
            </w:r>
            <w:r w:rsidRPr="004146FC">
              <w:rPr>
                <w:i/>
                <w:sz w:val="16"/>
              </w:rPr>
              <w:t>В к</w:t>
            </w:r>
            <w:r>
              <w:rPr>
                <w:i/>
                <w:sz w:val="16"/>
                <w:lang w:val="fr-CH"/>
              </w:rPr>
              <w:t> </w:t>
            </w:r>
            <w:r w:rsidRPr="004146FC">
              <w:rPr>
                <w:i/>
                <w:sz w:val="16"/>
              </w:rPr>
              <w:t>ДОПОГ)</w:t>
            </w:r>
          </w:p>
        </w:tc>
      </w:tr>
      <w:tr w:rsidR="000B0983" w:rsidRPr="004146FC" w14:paraId="72EBC9A9" w14:textId="77777777" w:rsidTr="00BA4A65">
        <w:trPr>
          <w:trHeight w:hRule="exact" w:val="113"/>
          <w:tblHeader/>
        </w:trPr>
        <w:tc>
          <w:tcPr>
            <w:tcW w:w="3543" w:type="dxa"/>
            <w:gridSpan w:val="2"/>
            <w:vMerge/>
            <w:tcBorders>
              <w:top w:val="single" w:sz="12" w:space="0" w:color="auto"/>
            </w:tcBorders>
            <w:shd w:val="clear" w:color="auto" w:fill="auto"/>
          </w:tcPr>
          <w:p w14:paraId="6AD247DF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3402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201C2608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</w:tr>
      <w:tr w:rsidR="000B0983" w:rsidRPr="004146FC" w14:paraId="3D20936B" w14:textId="77777777" w:rsidTr="00BA4A65">
        <w:trPr>
          <w:tblHeader/>
        </w:trPr>
        <w:tc>
          <w:tcPr>
            <w:tcW w:w="3543" w:type="dxa"/>
            <w:gridSpan w:val="2"/>
            <w:vMerge/>
            <w:shd w:val="clear" w:color="auto" w:fill="auto"/>
          </w:tcPr>
          <w:p w14:paraId="5AA4408B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1" w:type="dxa"/>
            <w:shd w:val="clear" w:color="auto" w:fill="auto"/>
          </w:tcPr>
          <w:p w14:paraId="6A4D00EA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EX/II</w:t>
            </w:r>
          </w:p>
        </w:tc>
        <w:tc>
          <w:tcPr>
            <w:tcW w:w="850" w:type="dxa"/>
            <w:shd w:val="clear" w:color="auto" w:fill="auto"/>
          </w:tcPr>
          <w:p w14:paraId="27290AD8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EX/III</w:t>
            </w:r>
          </w:p>
        </w:tc>
        <w:tc>
          <w:tcPr>
            <w:tcW w:w="709" w:type="dxa"/>
            <w:shd w:val="clear" w:color="auto" w:fill="auto"/>
          </w:tcPr>
          <w:p w14:paraId="6C91C148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AT</w:t>
            </w:r>
          </w:p>
        </w:tc>
        <w:tc>
          <w:tcPr>
            <w:tcW w:w="567" w:type="dxa"/>
            <w:shd w:val="clear" w:color="auto" w:fill="auto"/>
          </w:tcPr>
          <w:p w14:paraId="2EB0C591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FL</w:t>
            </w:r>
          </w:p>
        </w:tc>
        <w:tc>
          <w:tcPr>
            <w:tcW w:w="425" w:type="dxa"/>
            <w:shd w:val="clear" w:color="auto" w:fill="auto"/>
          </w:tcPr>
          <w:p w14:paraId="4E98206B" w14:textId="22586E37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089C6D0B" w14:textId="77777777" w:rsidTr="00BA4A65">
        <w:tc>
          <w:tcPr>
            <w:tcW w:w="850" w:type="dxa"/>
            <w:shd w:val="clear" w:color="auto" w:fill="auto"/>
          </w:tcPr>
          <w:p w14:paraId="25C454F4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5.1.1</w:t>
            </w:r>
          </w:p>
        </w:tc>
        <w:tc>
          <w:tcPr>
            <w:tcW w:w="2693" w:type="dxa"/>
            <w:shd w:val="clear" w:color="auto" w:fill="auto"/>
          </w:tcPr>
          <w:p w14:paraId="77FBC963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Электрооборудование</w:t>
            </w:r>
          </w:p>
        </w:tc>
        <w:tc>
          <w:tcPr>
            <w:tcW w:w="851" w:type="dxa"/>
            <w:shd w:val="clear" w:color="auto" w:fill="auto"/>
          </w:tcPr>
          <w:p w14:paraId="1169D660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0" w:type="dxa"/>
            <w:shd w:val="clear" w:color="auto" w:fill="auto"/>
          </w:tcPr>
          <w:p w14:paraId="2451DAA6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709" w:type="dxa"/>
            <w:shd w:val="clear" w:color="auto" w:fill="auto"/>
          </w:tcPr>
          <w:p w14:paraId="733DC780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567" w:type="dxa"/>
            <w:shd w:val="clear" w:color="auto" w:fill="auto"/>
          </w:tcPr>
          <w:p w14:paraId="241B785B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425" w:type="dxa"/>
            <w:shd w:val="clear" w:color="auto" w:fill="auto"/>
          </w:tcPr>
          <w:p w14:paraId="4CE50277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</w:tr>
      <w:tr w:rsidR="000B0983" w:rsidRPr="004146FC" w14:paraId="225A21D8" w14:textId="77777777" w:rsidTr="00BA4A65">
        <w:tc>
          <w:tcPr>
            <w:tcW w:w="850" w:type="dxa"/>
            <w:shd w:val="clear" w:color="auto" w:fill="auto"/>
          </w:tcPr>
          <w:p w14:paraId="7410025B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5.1.1.1</w:t>
            </w:r>
          </w:p>
        </w:tc>
        <w:tc>
          <w:tcPr>
            <w:tcW w:w="2693" w:type="dxa"/>
            <w:shd w:val="clear" w:color="auto" w:fill="auto"/>
          </w:tcPr>
          <w:p w14:paraId="25374237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Общие положения</w:t>
            </w:r>
          </w:p>
        </w:tc>
        <w:tc>
          <w:tcPr>
            <w:tcW w:w="851" w:type="dxa"/>
            <w:shd w:val="clear" w:color="auto" w:fill="auto"/>
          </w:tcPr>
          <w:p w14:paraId="53F3F3D9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50DEAAB1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0947207F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567" w:type="dxa"/>
            <w:shd w:val="clear" w:color="auto" w:fill="auto"/>
          </w:tcPr>
          <w:p w14:paraId="08B65399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55B1D58B" w14:textId="60ED7C1F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346FFB69" w14:textId="77777777" w:rsidTr="00BA4A65">
        <w:tc>
          <w:tcPr>
            <w:tcW w:w="850" w:type="dxa"/>
            <w:shd w:val="clear" w:color="auto" w:fill="auto"/>
          </w:tcPr>
          <w:p w14:paraId="76D127F8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5.1.1.2.1</w:t>
            </w:r>
          </w:p>
        </w:tc>
        <w:tc>
          <w:tcPr>
            <w:tcW w:w="2693" w:type="dxa"/>
            <w:shd w:val="clear" w:color="auto" w:fill="auto"/>
          </w:tcPr>
          <w:p w14:paraId="50F74064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Кабели</w:t>
            </w:r>
          </w:p>
        </w:tc>
        <w:tc>
          <w:tcPr>
            <w:tcW w:w="851" w:type="dxa"/>
            <w:shd w:val="clear" w:color="auto" w:fill="auto"/>
          </w:tcPr>
          <w:p w14:paraId="386E1A5D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72F63A0C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6B1DDD83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567" w:type="dxa"/>
            <w:shd w:val="clear" w:color="auto" w:fill="auto"/>
          </w:tcPr>
          <w:p w14:paraId="73C7CDDE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5331B169" w14:textId="7EFA1713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43D5C700" w14:textId="77777777" w:rsidTr="00BA4A65">
        <w:tc>
          <w:tcPr>
            <w:tcW w:w="850" w:type="dxa"/>
            <w:shd w:val="clear" w:color="auto" w:fill="auto"/>
          </w:tcPr>
          <w:p w14:paraId="470CC50F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5.1.1.2.2</w:t>
            </w:r>
          </w:p>
        </w:tc>
        <w:tc>
          <w:tcPr>
            <w:tcW w:w="2693" w:type="dxa"/>
            <w:shd w:val="clear" w:color="auto" w:fill="auto"/>
          </w:tcPr>
          <w:p w14:paraId="4FF0A917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Дополнительная защита</w:t>
            </w:r>
          </w:p>
        </w:tc>
        <w:tc>
          <w:tcPr>
            <w:tcW w:w="851" w:type="dxa"/>
            <w:shd w:val="clear" w:color="auto" w:fill="auto"/>
          </w:tcPr>
          <w:p w14:paraId="5E93AC9F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625244B9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09235BCE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567" w:type="dxa"/>
            <w:shd w:val="clear" w:color="auto" w:fill="auto"/>
          </w:tcPr>
          <w:p w14:paraId="2C85A536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1E1FC503" w14:textId="499073D9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2DE5BBE0" w14:textId="77777777" w:rsidTr="00BA4A65">
        <w:tc>
          <w:tcPr>
            <w:tcW w:w="850" w:type="dxa"/>
            <w:shd w:val="clear" w:color="auto" w:fill="auto"/>
          </w:tcPr>
          <w:p w14:paraId="7B402CB4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5.1.1.3</w:t>
            </w:r>
          </w:p>
        </w:tc>
        <w:tc>
          <w:tcPr>
            <w:tcW w:w="2693" w:type="dxa"/>
            <w:shd w:val="clear" w:color="auto" w:fill="auto"/>
          </w:tcPr>
          <w:p w14:paraId="67FFF032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Плавкие предохранители и автоматические выключатели</w:t>
            </w:r>
          </w:p>
        </w:tc>
        <w:tc>
          <w:tcPr>
            <w:tcW w:w="851" w:type="dxa"/>
            <w:shd w:val="clear" w:color="auto" w:fill="auto"/>
          </w:tcPr>
          <w:p w14:paraId="60AEA346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26BAB0F6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6323A2DC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567" w:type="dxa"/>
            <w:shd w:val="clear" w:color="auto" w:fill="auto"/>
          </w:tcPr>
          <w:p w14:paraId="692BB56D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4CDBF8D4" w14:textId="69A7F782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153EB09D" w14:textId="77777777" w:rsidTr="00BA4A65">
        <w:tc>
          <w:tcPr>
            <w:tcW w:w="850" w:type="dxa"/>
            <w:shd w:val="clear" w:color="auto" w:fill="auto"/>
          </w:tcPr>
          <w:p w14:paraId="61655890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5.1.1.4</w:t>
            </w:r>
          </w:p>
        </w:tc>
        <w:tc>
          <w:tcPr>
            <w:tcW w:w="2693" w:type="dxa"/>
            <w:shd w:val="clear" w:color="auto" w:fill="auto"/>
          </w:tcPr>
          <w:p w14:paraId="08038480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Аккумуляторные батареи</w:t>
            </w:r>
          </w:p>
        </w:tc>
        <w:tc>
          <w:tcPr>
            <w:tcW w:w="851" w:type="dxa"/>
            <w:shd w:val="clear" w:color="auto" w:fill="auto"/>
          </w:tcPr>
          <w:p w14:paraId="09FEE377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12691237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63EC947B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567" w:type="dxa"/>
            <w:shd w:val="clear" w:color="auto" w:fill="auto"/>
          </w:tcPr>
          <w:p w14:paraId="06091DFC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26D00438" w14:textId="06E69175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42CF0C1F" w14:textId="77777777" w:rsidTr="00BA4A65">
        <w:tc>
          <w:tcPr>
            <w:tcW w:w="850" w:type="dxa"/>
            <w:shd w:val="clear" w:color="auto" w:fill="auto"/>
          </w:tcPr>
          <w:p w14:paraId="210A2977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5.1.1.5</w:t>
            </w:r>
          </w:p>
        </w:tc>
        <w:tc>
          <w:tcPr>
            <w:tcW w:w="2693" w:type="dxa"/>
            <w:shd w:val="clear" w:color="auto" w:fill="auto"/>
          </w:tcPr>
          <w:p w14:paraId="1DE57713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Освещение</w:t>
            </w:r>
          </w:p>
        </w:tc>
        <w:tc>
          <w:tcPr>
            <w:tcW w:w="851" w:type="dxa"/>
            <w:shd w:val="clear" w:color="auto" w:fill="auto"/>
          </w:tcPr>
          <w:p w14:paraId="0715DA44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6C630551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2DCFF17C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567" w:type="dxa"/>
            <w:shd w:val="clear" w:color="auto" w:fill="auto"/>
          </w:tcPr>
          <w:p w14:paraId="1D6FDBAB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674AFCBF" w14:textId="4402027F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3732934D" w14:textId="77777777" w:rsidTr="00BA4A65">
        <w:tc>
          <w:tcPr>
            <w:tcW w:w="850" w:type="dxa"/>
            <w:shd w:val="clear" w:color="auto" w:fill="auto"/>
          </w:tcPr>
          <w:p w14:paraId="1C10C7D9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5.1.1.6</w:t>
            </w:r>
          </w:p>
        </w:tc>
        <w:tc>
          <w:tcPr>
            <w:tcW w:w="2693" w:type="dxa"/>
            <w:shd w:val="clear" w:color="auto" w:fill="auto"/>
          </w:tcPr>
          <w:p w14:paraId="4ACF875B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Электрические соединения</w:t>
            </w:r>
          </w:p>
        </w:tc>
        <w:tc>
          <w:tcPr>
            <w:tcW w:w="851" w:type="dxa"/>
            <w:shd w:val="clear" w:color="auto" w:fill="auto"/>
          </w:tcPr>
          <w:p w14:paraId="16887864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0C7F4F00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0B066F19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567" w:type="dxa"/>
            <w:shd w:val="clear" w:color="auto" w:fill="auto"/>
          </w:tcPr>
          <w:p w14:paraId="10E0B91F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182AA618" w14:textId="0E40AE42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3EF75878" w14:textId="77777777" w:rsidTr="00BA4A65">
        <w:tc>
          <w:tcPr>
            <w:tcW w:w="850" w:type="dxa"/>
            <w:shd w:val="clear" w:color="auto" w:fill="auto"/>
          </w:tcPr>
          <w:p w14:paraId="2A49CDBC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5.1.1.7</w:t>
            </w:r>
          </w:p>
        </w:tc>
        <w:tc>
          <w:tcPr>
            <w:tcW w:w="2693" w:type="dxa"/>
            <w:shd w:val="clear" w:color="auto" w:fill="auto"/>
          </w:tcPr>
          <w:p w14:paraId="6C667A30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Напряжение</w:t>
            </w:r>
          </w:p>
        </w:tc>
        <w:tc>
          <w:tcPr>
            <w:tcW w:w="851" w:type="dxa"/>
            <w:shd w:val="clear" w:color="auto" w:fill="auto"/>
          </w:tcPr>
          <w:p w14:paraId="326A7BEC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3A20E992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1BAD61E7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567" w:type="dxa"/>
            <w:shd w:val="clear" w:color="auto" w:fill="auto"/>
          </w:tcPr>
          <w:p w14:paraId="6591A8EB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425" w:type="dxa"/>
            <w:shd w:val="clear" w:color="auto" w:fill="auto"/>
          </w:tcPr>
          <w:p w14:paraId="200A1C96" w14:textId="0F6073CD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2379A570" w14:textId="77777777" w:rsidTr="00BA4A65">
        <w:tc>
          <w:tcPr>
            <w:tcW w:w="850" w:type="dxa"/>
            <w:shd w:val="clear" w:color="auto" w:fill="auto"/>
          </w:tcPr>
          <w:p w14:paraId="3209D35A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5.1.1.8</w:t>
            </w:r>
          </w:p>
        </w:tc>
        <w:tc>
          <w:tcPr>
            <w:tcW w:w="2693" w:type="dxa"/>
            <w:shd w:val="clear" w:color="auto" w:fill="auto"/>
          </w:tcPr>
          <w:p w14:paraId="3DFE02C8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Главный переключатель аккумуляторных батарей</w:t>
            </w:r>
          </w:p>
        </w:tc>
        <w:tc>
          <w:tcPr>
            <w:tcW w:w="851" w:type="dxa"/>
            <w:shd w:val="clear" w:color="auto" w:fill="auto"/>
          </w:tcPr>
          <w:p w14:paraId="54BD7963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0" w:type="dxa"/>
            <w:shd w:val="clear" w:color="auto" w:fill="auto"/>
          </w:tcPr>
          <w:p w14:paraId="03E6B6CA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44FF2578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567" w:type="dxa"/>
            <w:shd w:val="clear" w:color="auto" w:fill="auto"/>
          </w:tcPr>
          <w:p w14:paraId="0B4D4E61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2FC4944A" w14:textId="7F43F3EA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3F5B6604" w14:textId="77777777" w:rsidTr="00BA4A65">
        <w:tc>
          <w:tcPr>
            <w:tcW w:w="850" w:type="dxa"/>
            <w:shd w:val="clear" w:color="auto" w:fill="auto"/>
          </w:tcPr>
          <w:p w14:paraId="0CCC8944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5.1.1.9</w:t>
            </w:r>
          </w:p>
        </w:tc>
        <w:tc>
          <w:tcPr>
            <w:tcW w:w="2693" w:type="dxa"/>
            <w:shd w:val="clear" w:color="auto" w:fill="auto"/>
          </w:tcPr>
          <w:p w14:paraId="1DBAA56F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Электроцепи, постоянно находящиеся под напряжением</w:t>
            </w:r>
          </w:p>
        </w:tc>
        <w:tc>
          <w:tcPr>
            <w:tcW w:w="851" w:type="dxa"/>
            <w:shd w:val="clear" w:color="auto" w:fill="auto"/>
          </w:tcPr>
          <w:p w14:paraId="1C6961DA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0" w:type="dxa"/>
            <w:shd w:val="clear" w:color="auto" w:fill="auto"/>
          </w:tcPr>
          <w:p w14:paraId="11DBA976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709" w:type="dxa"/>
            <w:shd w:val="clear" w:color="auto" w:fill="auto"/>
          </w:tcPr>
          <w:p w14:paraId="3300CF5D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567" w:type="dxa"/>
            <w:shd w:val="clear" w:color="auto" w:fill="auto"/>
          </w:tcPr>
          <w:p w14:paraId="411FDECE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425" w:type="dxa"/>
            <w:shd w:val="clear" w:color="auto" w:fill="auto"/>
          </w:tcPr>
          <w:p w14:paraId="7EB34B44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</w:tr>
      <w:tr w:rsidR="000B0983" w:rsidRPr="004146FC" w14:paraId="160F7EFC" w14:textId="77777777" w:rsidTr="00BA4A65">
        <w:tc>
          <w:tcPr>
            <w:tcW w:w="850" w:type="dxa"/>
            <w:shd w:val="clear" w:color="auto" w:fill="auto"/>
          </w:tcPr>
          <w:p w14:paraId="30657A1A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5.1.1.9.1</w:t>
            </w:r>
          </w:p>
        </w:tc>
        <w:tc>
          <w:tcPr>
            <w:tcW w:w="2693" w:type="dxa"/>
            <w:shd w:val="clear" w:color="auto" w:fill="auto"/>
          </w:tcPr>
          <w:p w14:paraId="4009F855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1" w:type="dxa"/>
            <w:shd w:val="clear" w:color="auto" w:fill="auto"/>
          </w:tcPr>
          <w:p w14:paraId="5988BA41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0" w:type="dxa"/>
            <w:shd w:val="clear" w:color="auto" w:fill="auto"/>
          </w:tcPr>
          <w:p w14:paraId="6D5E4699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709" w:type="dxa"/>
            <w:shd w:val="clear" w:color="auto" w:fill="auto"/>
          </w:tcPr>
          <w:p w14:paraId="54C74681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567" w:type="dxa"/>
            <w:shd w:val="clear" w:color="auto" w:fill="auto"/>
          </w:tcPr>
          <w:p w14:paraId="7BE8A47E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26FB699D" w14:textId="7F765372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18AC638D" w14:textId="77777777" w:rsidTr="00BA4A65">
        <w:tc>
          <w:tcPr>
            <w:tcW w:w="850" w:type="dxa"/>
            <w:shd w:val="clear" w:color="auto" w:fill="auto"/>
          </w:tcPr>
          <w:p w14:paraId="6B873FF1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5.1.1.9.2</w:t>
            </w:r>
          </w:p>
        </w:tc>
        <w:tc>
          <w:tcPr>
            <w:tcW w:w="2693" w:type="dxa"/>
            <w:shd w:val="clear" w:color="auto" w:fill="auto"/>
          </w:tcPr>
          <w:p w14:paraId="3EACFBCF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1" w:type="dxa"/>
            <w:shd w:val="clear" w:color="auto" w:fill="auto"/>
          </w:tcPr>
          <w:p w14:paraId="0D450666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0" w:type="dxa"/>
            <w:shd w:val="clear" w:color="auto" w:fill="auto"/>
          </w:tcPr>
          <w:p w14:paraId="2C13347F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77D1C3E0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567" w:type="dxa"/>
            <w:shd w:val="clear" w:color="auto" w:fill="auto"/>
          </w:tcPr>
          <w:p w14:paraId="45545D1D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425" w:type="dxa"/>
            <w:shd w:val="clear" w:color="auto" w:fill="auto"/>
          </w:tcPr>
          <w:p w14:paraId="5084FB60" w14:textId="4A2A3674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335B3A33" w14:textId="77777777" w:rsidTr="00BA4A65">
        <w:tc>
          <w:tcPr>
            <w:tcW w:w="850" w:type="dxa"/>
            <w:shd w:val="clear" w:color="auto" w:fill="auto"/>
          </w:tcPr>
          <w:p w14:paraId="2873CB40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5.1.2</w:t>
            </w:r>
          </w:p>
        </w:tc>
        <w:tc>
          <w:tcPr>
            <w:tcW w:w="2693" w:type="dxa"/>
            <w:shd w:val="clear" w:color="auto" w:fill="auto"/>
          </w:tcPr>
          <w:p w14:paraId="7D492479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Тормозное оборудование</w:t>
            </w:r>
          </w:p>
        </w:tc>
        <w:tc>
          <w:tcPr>
            <w:tcW w:w="851" w:type="dxa"/>
            <w:shd w:val="clear" w:color="auto" w:fill="auto"/>
          </w:tcPr>
          <w:p w14:paraId="7A092812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0" w:type="dxa"/>
            <w:shd w:val="clear" w:color="auto" w:fill="auto"/>
          </w:tcPr>
          <w:p w14:paraId="4C532CF4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709" w:type="dxa"/>
            <w:shd w:val="clear" w:color="auto" w:fill="auto"/>
          </w:tcPr>
          <w:p w14:paraId="2DF07491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567" w:type="dxa"/>
            <w:shd w:val="clear" w:color="auto" w:fill="auto"/>
          </w:tcPr>
          <w:p w14:paraId="7CB4B60A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425" w:type="dxa"/>
            <w:shd w:val="clear" w:color="auto" w:fill="auto"/>
          </w:tcPr>
          <w:p w14:paraId="3BB895E5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</w:tr>
      <w:tr w:rsidR="000B0983" w:rsidRPr="004146FC" w14:paraId="10486050" w14:textId="77777777" w:rsidTr="00BA4A65">
        <w:tc>
          <w:tcPr>
            <w:tcW w:w="850" w:type="dxa"/>
            <w:shd w:val="clear" w:color="auto" w:fill="auto"/>
          </w:tcPr>
          <w:p w14:paraId="4DD47F5B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5.1.2.1</w:t>
            </w:r>
          </w:p>
        </w:tc>
        <w:tc>
          <w:tcPr>
            <w:tcW w:w="2693" w:type="dxa"/>
            <w:shd w:val="clear" w:color="auto" w:fill="auto"/>
          </w:tcPr>
          <w:p w14:paraId="6C26B52D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1" w:type="dxa"/>
            <w:shd w:val="clear" w:color="auto" w:fill="auto"/>
          </w:tcPr>
          <w:p w14:paraId="24016780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64EC5F8E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5B1AC46B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567" w:type="dxa"/>
            <w:shd w:val="clear" w:color="auto" w:fill="auto"/>
          </w:tcPr>
          <w:p w14:paraId="2CEE240D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46E9BEC5" w14:textId="20DB44E4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219D4095" w14:textId="77777777" w:rsidTr="00BA4A65">
        <w:tc>
          <w:tcPr>
            <w:tcW w:w="850" w:type="dxa"/>
            <w:shd w:val="clear" w:color="auto" w:fill="auto"/>
          </w:tcPr>
          <w:p w14:paraId="43A3A13F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5.1.3</w:t>
            </w:r>
          </w:p>
        </w:tc>
        <w:tc>
          <w:tcPr>
            <w:tcW w:w="2693" w:type="dxa"/>
            <w:shd w:val="clear" w:color="auto" w:fill="auto"/>
          </w:tcPr>
          <w:p w14:paraId="776DD2F6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Предотвращение опасности возникновения пожара</w:t>
            </w:r>
          </w:p>
        </w:tc>
        <w:tc>
          <w:tcPr>
            <w:tcW w:w="851" w:type="dxa"/>
            <w:shd w:val="clear" w:color="auto" w:fill="auto"/>
          </w:tcPr>
          <w:p w14:paraId="4B4328D8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0" w:type="dxa"/>
            <w:shd w:val="clear" w:color="auto" w:fill="auto"/>
          </w:tcPr>
          <w:p w14:paraId="6A82BB83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709" w:type="dxa"/>
            <w:shd w:val="clear" w:color="auto" w:fill="auto"/>
          </w:tcPr>
          <w:p w14:paraId="346070A6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567" w:type="dxa"/>
            <w:shd w:val="clear" w:color="auto" w:fill="auto"/>
          </w:tcPr>
          <w:p w14:paraId="72CE64E5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425" w:type="dxa"/>
            <w:shd w:val="clear" w:color="auto" w:fill="auto"/>
          </w:tcPr>
          <w:p w14:paraId="7301A82A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</w:tr>
      <w:tr w:rsidR="000B0983" w:rsidRPr="004146FC" w14:paraId="6E11093F" w14:textId="77777777" w:rsidTr="00BA4A65">
        <w:tc>
          <w:tcPr>
            <w:tcW w:w="850" w:type="dxa"/>
            <w:shd w:val="clear" w:color="auto" w:fill="auto"/>
          </w:tcPr>
          <w:p w14:paraId="28C34835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5.1.3.2</w:t>
            </w:r>
          </w:p>
        </w:tc>
        <w:tc>
          <w:tcPr>
            <w:tcW w:w="2693" w:type="dxa"/>
            <w:shd w:val="clear" w:color="auto" w:fill="auto"/>
          </w:tcPr>
          <w:p w14:paraId="66B5D5F2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Топливные баки</w:t>
            </w:r>
          </w:p>
        </w:tc>
        <w:tc>
          <w:tcPr>
            <w:tcW w:w="851" w:type="dxa"/>
            <w:shd w:val="clear" w:color="auto" w:fill="auto"/>
          </w:tcPr>
          <w:p w14:paraId="68DD83B2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15123B41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7777DC31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567" w:type="dxa"/>
            <w:shd w:val="clear" w:color="auto" w:fill="auto"/>
          </w:tcPr>
          <w:p w14:paraId="4C472AC0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613FF7C4" w14:textId="5E4F13E1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0B3A3028" w14:textId="77777777" w:rsidTr="00BA4A65">
        <w:tc>
          <w:tcPr>
            <w:tcW w:w="850" w:type="dxa"/>
            <w:shd w:val="clear" w:color="auto" w:fill="auto"/>
          </w:tcPr>
          <w:p w14:paraId="1E9C9712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5.1.3.3</w:t>
            </w:r>
          </w:p>
        </w:tc>
        <w:tc>
          <w:tcPr>
            <w:tcW w:w="2693" w:type="dxa"/>
            <w:shd w:val="clear" w:color="auto" w:fill="auto"/>
          </w:tcPr>
          <w:p w14:paraId="785C57A4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Двигатель</w:t>
            </w:r>
          </w:p>
        </w:tc>
        <w:tc>
          <w:tcPr>
            <w:tcW w:w="851" w:type="dxa"/>
            <w:shd w:val="clear" w:color="auto" w:fill="auto"/>
          </w:tcPr>
          <w:p w14:paraId="099B2112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1F5077FF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6D183DE9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567" w:type="dxa"/>
            <w:shd w:val="clear" w:color="auto" w:fill="auto"/>
          </w:tcPr>
          <w:p w14:paraId="560C1066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27DE0388" w14:textId="00CCFF21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1EE83809" w14:textId="77777777" w:rsidTr="00BA4A65">
        <w:tc>
          <w:tcPr>
            <w:tcW w:w="850" w:type="dxa"/>
            <w:shd w:val="clear" w:color="auto" w:fill="auto"/>
          </w:tcPr>
          <w:p w14:paraId="52562767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5.1.3.4</w:t>
            </w:r>
          </w:p>
        </w:tc>
        <w:tc>
          <w:tcPr>
            <w:tcW w:w="2693" w:type="dxa"/>
            <w:shd w:val="clear" w:color="auto" w:fill="auto"/>
          </w:tcPr>
          <w:p w14:paraId="4E326F16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Система выпуска отработавших газов</w:t>
            </w:r>
          </w:p>
        </w:tc>
        <w:tc>
          <w:tcPr>
            <w:tcW w:w="851" w:type="dxa"/>
            <w:shd w:val="clear" w:color="auto" w:fill="auto"/>
          </w:tcPr>
          <w:p w14:paraId="7FDC8291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498A043D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4ED172E6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567" w:type="dxa"/>
            <w:shd w:val="clear" w:color="auto" w:fill="auto"/>
          </w:tcPr>
          <w:p w14:paraId="5431BA1E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12BE0591" w14:textId="480C1C9D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64C266EB" w14:textId="77777777" w:rsidTr="00BA4A65">
        <w:tc>
          <w:tcPr>
            <w:tcW w:w="850" w:type="dxa"/>
            <w:shd w:val="clear" w:color="auto" w:fill="auto"/>
          </w:tcPr>
          <w:p w14:paraId="4DBA7920" w14:textId="77777777" w:rsidR="000B0983" w:rsidRPr="004146FC" w:rsidRDefault="000B0983" w:rsidP="00BA4A65">
            <w:pPr>
              <w:spacing w:before="40" w:after="120"/>
              <w:ind w:right="113"/>
              <w:rPr>
                <w:b/>
                <w:bCs/>
              </w:rPr>
            </w:pPr>
            <w:r w:rsidRPr="004146FC">
              <w:rPr>
                <w:b/>
                <w:bCs/>
              </w:rPr>
              <w:lastRenderedPageBreak/>
              <w:t>5.1.3.5</w:t>
            </w:r>
          </w:p>
        </w:tc>
        <w:tc>
          <w:tcPr>
            <w:tcW w:w="2693" w:type="dxa"/>
            <w:shd w:val="clear" w:color="auto" w:fill="auto"/>
          </w:tcPr>
          <w:p w14:paraId="05C5A1E3" w14:textId="77777777" w:rsidR="000B0983" w:rsidRPr="004146FC" w:rsidRDefault="000B0983" w:rsidP="00BA4A65">
            <w:pPr>
              <w:spacing w:before="40" w:after="120"/>
              <w:ind w:right="113"/>
              <w:rPr>
                <w:b/>
                <w:bCs/>
              </w:rPr>
            </w:pPr>
            <w:r w:rsidRPr="004146FC">
              <w:rPr>
                <w:b/>
                <w:bCs/>
              </w:rPr>
              <w:t>Электрический привод</w:t>
            </w:r>
          </w:p>
        </w:tc>
        <w:tc>
          <w:tcPr>
            <w:tcW w:w="851" w:type="dxa"/>
            <w:shd w:val="clear" w:color="auto" w:fill="auto"/>
          </w:tcPr>
          <w:p w14:paraId="09E02C1A" w14:textId="77777777" w:rsidR="000B0983" w:rsidRPr="004146FC" w:rsidRDefault="000B0983" w:rsidP="00BA4A65">
            <w:pPr>
              <w:spacing w:before="40" w:after="120"/>
              <w:ind w:right="113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7808A27B" w14:textId="77777777" w:rsidR="000B0983" w:rsidRPr="004146FC" w:rsidRDefault="000B0983" w:rsidP="00BA4A65">
            <w:pPr>
              <w:spacing w:before="40" w:after="120"/>
              <w:ind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E4E3BFF" w14:textId="77777777" w:rsidR="000B0983" w:rsidRPr="004146FC" w:rsidRDefault="000B0983" w:rsidP="00BA4A65">
            <w:pPr>
              <w:spacing w:before="40" w:after="120"/>
              <w:ind w:right="113"/>
              <w:rPr>
                <w:b/>
                <w:bCs/>
              </w:rPr>
            </w:pPr>
            <w:r w:rsidRPr="004146FC">
              <w:rPr>
                <w:b/>
                <w:bCs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A609475" w14:textId="77777777" w:rsidR="000B0983" w:rsidRPr="004146FC" w:rsidRDefault="000B0983" w:rsidP="00BA4A65">
            <w:pPr>
              <w:spacing w:before="40" w:after="120"/>
              <w:ind w:right="113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62C18DC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</w:tr>
      <w:tr w:rsidR="000B0983" w:rsidRPr="004146FC" w14:paraId="3A6E0FB9" w14:textId="77777777" w:rsidTr="00BA4A65">
        <w:tc>
          <w:tcPr>
            <w:tcW w:w="850" w:type="dxa"/>
            <w:shd w:val="clear" w:color="auto" w:fill="auto"/>
          </w:tcPr>
          <w:p w14:paraId="10F32BA7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5.1.3.</w:t>
            </w:r>
            <w:r w:rsidRPr="004146FC">
              <w:rPr>
                <w:strike/>
              </w:rPr>
              <w:t>5</w:t>
            </w:r>
            <w:r w:rsidRPr="004146FC">
              <w:rPr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5BDE56D2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Износостойкая тормозная система транспортного средства</w:t>
            </w:r>
          </w:p>
        </w:tc>
        <w:tc>
          <w:tcPr>
            <w:tcW w:w="851" w:type="dxa"/>
            <w:shd w:val="clear" w:color="auto" w:fill="auto"/>
          </w:tcPr>
          <w:p w14:paraId="7BB5961E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004D0951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266B2B30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567" w:type="dxa"/>
            <w:shd w:val="clear" w:color="auto" w:fill="auto"/>
          </w:tcPr>
          <w:p w14:paraId="7864A435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47FC7054" w14:textId="41F334A5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3CAD9EB0" w14:textId="77777777" w:rsidTr="00BA4A65">
        <w:tc>
          <w:tcPr>
            <w:tcW w:w="850" w:type="dxa"/>
            <w:shd w:val="clear" w:color="auto" w:fill="auto"/>
          </w:tcPr>
          <w:p w14:paraId="2B5DF171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5.1.3.</w:t>
            </w:r>
            <w:r w:rsidRPr="004146FC">
              <w:rPr>
                <w:strike/>
              </w:rPr>
              <w:t>6</w:t>
            </w:r>
            <w:r w:rsidRPr="004146FC">
              <w:rPr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4E044F98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Топливные обогревательные приборы</w:t>
            </w:r>
          </w:p>
        </w:tc>
        <w:tc>
          <w:tcPr>
            <w:tcW w:w="851" w:type="dxa"/>
            <w:shd w:val="clear" w:color="auto" w:fill="auto"/>
          </w:tcPr>
          <w:p w14:paraId="166E685E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0" w:type="dxa"/>
            <w:shd w:val="clear" w:color="auto" w:fill="auto"/>
          </w:tcPr>
          <w:p w14:paraId="24A69213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709" w:type="dxa"/>
            <w:shd w:val="clear" w:color="auto" w:fill="auto"/>
          </w:tcPr>
          <w:p w14:paraId="253EB806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567" w:type="dxa"/>
            <w:shd w:val="clear" w:color="auto" w:fill="auto"/>
          </w:tcPr>
          <w:p w14:paraId="72267ED7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425" w:type="dxa"/>
            <w:shd w:val="clear" w:color="auto" w:fill="auto"/>
          </w:tcPr>
          <w:p w14:paraId="49DCF4F1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</w:tr>
      <w:tr w:rsidR="000B0983" w:rsidRPr="004146FC" w14:paraId="3664C7E6" w14:textId="77777777" w:rsidTr="00BA4A65">
        <w:tc>
          <w:tcPr>
            <w:tcW w:w="850" w:type="dxa"/>
            <w:shd w:val="clear" w:color="auto" w:fill="auto"/>
          </w:tcPr>
          <w:p w14:paraId="6BAD974F" w14:textId="77777777" w:rsidR="000B0983" w:rsidRPr="004146FC" w:rsidRDefault="000B0983" w:rsidP="00BA4A65">
            <w:pPr>
              <w:spacing w:before="40" w:after="120"/>
              <w:ind w:right="55"/>
            </w:pPr>
            <w:r w:rsidRPr="004146FC">
              <w:t>5.1.3.</w:t>
            </w:r>
            <w:r w:rsidRPr="004146FC">
              <w:rPr>
                <w:strike/>
              </w:rPr>
              <w:t>6</w:t>
            </w:r>
            <w:r w:rsidRPr="004146FC">
              <w:rPr>
                <w:b/>
                <w:bCs/>
              </w:rPr>
              <w:t>7</w:t>
            </w:r>
            <w:r w:rsidRPr="004146FC">
              <w:t>.1</w:t>
            </w:r>
          </w:p>
        </w:tc>
        <w:tc>
          <w:tcPr>
            <w:tcW w:w="2693" w:type="dxa"/>
            <w:shd w:val="clear" w:color="auto" w:fill="auto"/>
          </w:tcPr>
          <w:p w14:paraId="7D929593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1" w:type="dxa"/>
            <w:shd w:val="clear" w:color="auto" w:fill="auto"/>
          </w:tcPr>
          <w:p w14:paraId="7B812D8C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25BD4B86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6A070A4D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567" w:type="dxa"/>
            <w:shd w:val="clear" w:color="auto" w:fill="auto"/>
          </w:tcPr>
          <w:p w14:paraId="2B2315C6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7C0712AF" w14:textId="2C90AA1D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23E3450C" w14:textId="77777777" w:rsidTr="00BA4A65">
        <w:tc>
          <w:tcPr>
            <w:tcW w:w="850" w:type="dxa"/>
            <w:shd w:val="clear" w:color="auto" w:fill="auto"/>
          </w:tcPr>
          <w:p w14:paraId="53559400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5.1.4</w:t>
            </w:r>
          </w:p>
        </w:tc>
        <w:tc>
          <w:tcPr>
            <w:tcW w:w="2693" w:type="dxa"/>
            <w:shd w:val="clear" w:color="auto" w:fill="auto"/>
          </w:tcPr>
          <w:p w14:paraId="151BAEDA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Устройство ограничения скорости</w:t>
            </w:r>
          </w:p>
        </w:tc>
        <w:tc>
          <w:tcPr>
            <w:tcW w:w="851" w:type="dxa"/>
            <w:shd w:val="clear" w:color="auto" w:fill="auto"/>
          </w:tcPr>
          <w:p w14:paraId="620F956B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0AE41ADE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6BE766D3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567" w:type="dxa"/>
            <w:shd w:val="clear" w:color="auto" w:fill="auto"/>
          </w:tcPr>
          <w:p w14:paraId="2760A4FD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41A64CF6" w14:textId="1EA73B02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185492DC" w14:textId="77777777" w:rsidTr="00BA4A65">
        <w:tc>
          <w:tcPr>
            <w:tcW w:w="850" w:type="dxa"/>
            <w:shd w:val="clear" w:color="auto" w:fill="auto"/>
          </w:tcPr>
          <w:p w14:paraId="60DCA25E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5.1.5</w:t>
            </w:r>
          </w:p>
        </w:tc>
        <w:tc>
          <w:tcPr>
            <w:tcW w:w="2693" w:type="dxa"/>
            <w:shd w:val="clear" w:color="auto" w:fill="auto"/>
          </w:tcPr>
          <w:p w14:paraId="0B4DD528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Сцепные устройства автотранспортных средств и прицепов</w:t>
            </w:r>
          </w:p>
        </w:tc>
        <w:tc>
          <w:tcPr>
            <w:tcW w:w="851" w:type="dxa"/>
            <w:shd w:val="clear" w:color="auto" w:fill="auto"/>
          </w:tcPr>
          <w:p w14:paraId="43F70D50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850" w:type="dxa"/>
            <w:shd w:val="clear" w:color="auto" w:fill="auto"/>
          </w:tcPr>
          <w:p w14:paraId="77C68F39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709" w:type="dxa"/>
            <w:shd w:val="clear" w:color="auto" w:fill="auto"/>
          </w:tcPr>
          <w:p w14:paraId="177183C2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567" w:type="dxa"/>
            <w:shd w:val="clear" w:color="auto" w:fill="auto"/>
          </w:tcPr>
          <w:p w14:paraId="78D85B4D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shd w:val="clear" w:color="auto" w:fill="auto"/>
          </w:tcPr>
          <w:p w14:paraId="1F339129" w14:textId="69D50D9F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  <w:tr w:rsidR="000B0983" w:rsidRPr="004146FC" w14:paraId="42C00D94" w14:textId="77777777" w:rsidTr="00BA4A65"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F92C7E7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5.1.6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3D0BDBC9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Предупреждение других рисков, связанных с топливом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AFB7308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6B78B88B" w14:textId="77777777" w:rsidR="000B0983" w:rsidRPr="004146FC" w:rsidRDefault="000B0983" w:rsidP="00BA4A65">
            <w:pPr>
              <w:spacing w:before="40" w:after="120"/>
              <w:ind w:right="113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114CA702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44AFAA9A" w14:textId="77777777" w:rsidR="000B0983" w:rsidRPr="004146FC" w:rsidRDefault="000B0983" w:rsidP="00BA4A65">
            <w:pPr>
              <w:spacing w:before="40" w:after="120"/>
              <w:ind w:right="113"/>
            </w:pPr>
            <w:r w:rsidRPr="004146FC">
              <w:t>X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14:paraId="2230BC99" w14:textId="012FBAA9" w:rsidR="000B0983" w:rsidRPr="004146FC" w:rsidRDefault="007C264C" w:rsidP="00BA4A65">
            <w:pPr>
              <w:spacing w:before="40" w:after="120"/>
              <w:ind w:right="113"/>
            </w:pPr>
            <w:r>
              <w:t>–</w:t>
            </w:r>
          </w:p>
        </w:tc>
      </w:tr>
    </w:tbl>
    <w:p w14:paraId="5CD5B1FE" w14:textId="77777777" w:rsidR="000B0983" w:rsidRPr="004146FC" w:rsidRDefault="000B0983" w:rsidP="007C264C">
      <w:pPr>
        <w:ind w:left="1134" w:right="1134"/>
        <w:jc w:val="right"/>
        <w:rPr>
          <w:sz w:val="16"/>
          <w:szCs w:val="16"/>
          <w:lang w:eastAsia="fr-FR"/>
        </w:rPr>
      </w:pPr>
      <w:r w:rsidRPr="004146FC">
        <w:t>»</w:t>
      </w:r>
    </w:p>
    <w:p w14:paraId="0D1A4534" w14:textId="77777777" w:rsidR="000B0983" w:rsidRPr="004146FC" w:rsidRDefault="000B0983" w:rsidP="000B0983">
      <w:pPr>
        <w:spacing w:after="120"/>
        <w:ind w:left="1134" w:right="1134"/>
        <w:jc w:val="both"/>
      </w:pPr>
      <w:r w:rsidRPr="004146FC">
        <w:rPr>
          <w:i/>
          <w:iCs/>
        </w:rPr>
        <w:t xml:space="preserve">Пункт 5.1.1.1 </w:t>
      </w:r>
      <w:r w:rsidRPr="004146FC">
        <w:t>изменить следующим образом:</w:t>
      </w:r>
    </w:p>
    <w:p w14:paraId="43DD8CE5" w14:textId="565FFC61" w:rsidR="000B0983" w:rsidRPr="004146FC" w:rsidRDefault="000B0983" w:rsidP="005A2760">
      <w:pPr>
        <w:pStyle w:val="SingleTxtG"/>
        <w:ind w:left="2268" w:hanging="1134"/>
      </w:pPr>
      <w:r w:rsidRPr="004146FC">
        <w:t>«5.1.1.1</w:t>
      </w:r>
      <w:r w:rsidRPr="004146FC">
        <w:tab/>
        <w:t>Общие положения</w:t>
      </w:r>
    </w:p>
    <w:p w14:paraId="2572FF17" w14:textId="77777777" w:rsidR="000B0983" w:rsidRPr="004146FC" w:rsidRDefault="000B0983" w:rsidP="005A2760">
      <w:pPr>
        <w:autoSpaceDE w:val="0"/>
        <w:autoSpaceDN w:val="0"/>
        <w:adjustRightInd w:val="0"/>
        <w:spacing w:after="120"/>
        <w:ind w:left="2268" w:right="1133"/>
        <w:jc w:val="both"/>
      </w:pPr>
      <w:r w:rsidRPr="004146FC">
        <w:t>Установка должна быть сконструирована, выполнена и снабжена средствами защиты таким образом, чтобы при нормальных условиях эксплуатации транспортных средств она не могла вызвать случайного возгорания или короткого замыкания.</w:t>
      </w:r>
    </w:p>
    <w:p w14:paraId="47B0DD49" w14:textId="77777777" w:rsidR="000B0983" w:rsidRPr="004146FC" w:rsidRDefault="000B0983" w:rsidP="005A2760">
      <w:pPr>
        <w:autoSpaceDE w:val="0"/>
        <w:autoSpaceDN w:val="0"/>
        <w:adjustRightInd w:val="0"/>
        <w:spacing w:before="120" w:after="120"/>
        <w:ind w:left="2268" w:right="1133"/>
        <w:jc w:val="both"/>
      </w:pPr>
      <w:r w:rsidRPr="004146FC">
        <w:t xml:space="preserve">Установленное электрооборудование </w:t>
      </w:r>
      <w:r w:rsidRPr="004146FC">
        <w:rPr>
          <w:strike/>
        </w:rPr>
        <w:t>в целом</w:t>
      </w:r>
      <w:r w:rsidRPr="004146FC">
        <w:rPr>
          <w:b/>
          <w:bCs/>
        </w:rPr>
        <w:t>,</w:t>
      </w:r>
      <w:r w:rsidRPr="004146FC">
        <w:t xml:space="preserve"> </w:t>
      </w:r>
      <w:r w:rsidRPr="004146FC">
        <w:rPr>
          <w:b/>
          <w:bCs/>
        </w:rPr>
        <w:t xml:space="preserve">за исключением электрического привода, соответствующего техническим положениям Правил № 100 ООН с поправками по крайней мере серии 03, </w:t>
      </w:r>
      <w:r w:rsidRPr="004146FC">
        <w:t>должно удовлетворять положениям пунктов 5.1.1.2–5.1.1.9 в соответствии с таблицей, приведенной в пункте 5.1».</w:t>
      </w:r>
    </w:p>
    <w:p w14:paraId="672621BE" w14:textId="77777777" w:rsidR="000B0983" w:rsidRPr="004146FC" w:rsidRDefault="000B0983" w:rsidP="000B0983">
      <w:pPr>
        <w:spacing w:before="120" w:after="120"/>
        <w:ind w:left="1134" w:right="1134"/>
        <w:jc w:val="both"/>
      </w:pPr>
      <w:r w:rsidRPr="004146FC">
        <w:rPr>
          <w:i/>
          <w:iCs/>
        </w:rPr>
        <w:t>Пункт 5.1.1.2.1</w:t>
      </w:r>
      <w:r w:rsidRPr="004146FC">
        <w:t xml:space="preserve"> изменить следующим образом:</w:t>
      </w:r>
    </w:p>
    <w:p w14:paraId="3CE96943" w14:textId="77777777" w:rsidR="000B0983" w:rsidRPr="004146FC" w:rsidRDefault="000B0983" w:rsidP="000B0983">
      <w:pPr>
        <w:tabs>
          <w:tab w:val="left" w:pos="2268"/>
        </w:tabs>
        <w:suppressAutoHyphens w:val="0"/>
        <w:autoSpaceDE w:val="0"/>
        <w:autoSpaceDN w:val="0"/>
        <w:adjustRightInd w:val="0"/>
        <w:spacing w:before="120" w:after="120"/>
        <w:ind w:left="1134" w:right="1133"/>
        <w:jc w:val="both"/>
      </w:pPr>
      <w:r w:rsidRPr="004146FC">
        <w:t xml:space="preserve">«5.1.1.2.1 </w:t>
      </w:r>
      <w:r w:rsidRPr="004146FC">
        <w:tab/>
        <w:t>Кабели</w:t>
      </w:r>
    </w:p>
    <w:p w14:paraId="6178171D" w14:textId="77777777" w:rsidR="000B0983" w:rsidRPr="004146FC" w:rsidRDefault="000B0983" w:rsidP="000B0983">
      <w:pPr>
        <w:suppressAutoHyphens w:val="0"/>
        <w:autoSpaceDE w:val="0"/>
        <w:autoSpaceDN w:val="0"/>
        <w:adjustRightInd w:val="0"/>
        <w:spacing w:before="120" w:after="120"/>
        <w:ind w:left="2268" w:right="1133"/>
        <w:jc w:val="both"/>
      </w:pPr>
      <w:r w:rsidRPr="004146FC">
        <w:t>Ни один из кабелей электрической цепи не должен пропускать ток, сила которого превышает допустимое значение для такого кабеля. Провода должны быть соответствующим образом изолированы.</w:t>
      </w:r>
    </w:p>
    <w:p w14:paraId="571BA354" w14:textId="77777777" w:rsidR="000B0983" w:rsidRPr="004146FC" w:rsidRDefault="000B0983" w:rsidP="005A2760">
      <w:pPr>
        <w:autoSpaceDE w:val="0"/>
        <w:autoSpaceDN w:val="0"/>
        <w:adjustRightInd w:val="0"/>
        <w:spacing w:before="120" w:after="120"/>
        <w:ind w:left="2268" w:right="1134"/>
        <w:jc w:val="both"/>
      </w:pPr>
      <w:r w:rsidRPr="004146FC">
        <w:t>Кабели должны выдерживать такие условия, как температурный диапазон и водостойкость, в том отделении транспортного средства, где их предполагается использовать.</w:t>
      </w:r>
    </w:p>
    <w:p w14:paraId="5A55A7A7" w14:textId="1B6226C9" w:rsidR="000B0983" w:rsidRPr="004146FC" w:rsidRDefault="000B0983" w:rsidP="000B0983">
      <w:pPr>
        <w:spacing w:before="120" w:after="120"/>
        <w:ind w:left="2268" w:right="1133"/>
        <w:jc w:val="both"/>
      </w:pPr>
      <w:r w:rsidRPr="004146FC">
        <w:t>Кабели должны соответствовать стандарту ISO 6722</w:t>
      </w:r>
      <w:r w:rsidR="007C264C">
        <w:t>–</w:t>
      </w:r>
      <w:r w:rsidRPr="004146FC">
        <w:t>1:2011, включая его Corr. 01:2012</w:t>
      </w:r>
      <w:r w:rsidRPr="004146FC">
        <w:rPr>
          <w:b/>
          <w:bCs/>
        </w:rPr>
        <w:t>,</w:t>
      </w:r>
      <w:r w:rsidRPr="004146FC">
        <w:t xml:space="preserve"> </w:t>
      </w:r>
      <w:r w:rsidRPr="004146FC">
        <w:rPr>
          <w:strike/>
        </w:rPr>
        <w:t xml:space="preserve">или </w:t>
      </w:r>
      <w:r w:rsidRPr="004146FC">
        <w:t>ISO 6722</w:t>
      </w:r>
      <w:r w:rsidR="007C264C">
        <w:t>–</w:t>
      </w:r>
      <w:r w:rsidRPr="004146FC">
        <w:t>2:2013</w:t>
      </w:r>
      <w:r w:rsidRPr="004146FC">
        <w:rPr>
          <w:b/>
          <w:bCs/>
        </w:rPr>
        <w:t>, ISO 19642</w:t>
      </w:r>
      <w:r w:rsidR="007C264C">
        <w:rPr>
          <w:b/>
          <w:bCs/>
        </w:rPr>
        <w:t>–</w:t>
      </w:r>
      <w:r w:rsidRPr="004146FC">
        <w:rPr>
          <w:b/>
          <w:bCs/>
        </w:rPr>
        <w:t>3:2019, ISO 19642</w:t>
      </w:r>
      <w:r w:rsidR="007C264C">
        <w:rPr>
          <w:b/>
          <w:bCs/>
        </w:rPr>
        <w:t>–</w:t>
      </w:r>
      <w:r w:rsidRPr="004146FC">
        <w:rPr>
          <w:b/>
          <w:bCs/>
        </w:rPr>
        <w:t>4:2019, ISO 19642</w:t>
      </w:r>
      <w:r w:rsidR="007C264C">
        <w:rPr>
          <w:b/>
          <w:bCs/>
        </w:rPr>
        <w:t>–</w:t>
      </w:r>
      <w:r w:rsidRPr="004146FC">
        <w:rPr>
          <w:b/>
          <w:bCs/>
        </w:rPr>
        <w:t>5:2019 или ISO 19642</w:t>
      </w:r>
      <w:r w:rsidR="007C264C">
        <w:rPr>
          <w:b/>
          <w:bCs/>
        </w:rPr>
        <w:t>–</w:t>
      </w:r>
      <w:r w:rsidRPr="004146FC">
        <w:rPr>
          <w:b/>
          <w:bCs/>
        </w:rPr>
        <w:t>6:2019</w:t>
      </w:r>
      <w:r w:rsidRPr="004146FC">
        <w:t>.</w:t>
      </w:r>
    </w:p>
    <w:p w14:paraId="230D9F37" w14:textId="77777777" w:rsidR="000B0983" w:rsidRPr="004146FC" w:rsidRDefault="000B0983" w:rsidP="000B0983">
      <w:pPr>
        <w:suppressAutoHyphens w:val="0"/>
        <w:autoSpaceDE w:val="0"/>
        <w:autoSpaceDN w:val="0"/>
        <w:adjustRightInd w:val="0"/>
        <w:spacing w:before="120" w:after="120"/>
        <w:ind w:left="2268" w:right="1133"/>
        <w:jc w:val="both"/>
      </w:pPr>
      <w:r w:rsidRPr="004146FC">
        <w:t>Кабели должны быть надежно закреплены и расположены так, чтобы они были защищены от механических и термических воздействий».</w:t>
      </w:r>
    </w:p>
    <w:p w14:paraId="5CA1C9E2" w14:textId="77777777" w:rsidR="000B0983" w:rsidRPr="004146FC" w:rsidRDefault="000B0983" w:rsidP="000B0983">
      <w:pPr>
        <w:pageBreakBefore/>
        <w:spacing w:before="120" w:after="120"/>
        <w:ind w:left="1134" w:right="1134"/>
        <w:jc w:val="both"/>
        <w:rPr>
          <w:i/>
          <w:iCs/>
          <w:u w:val="single"/>
        </w:rPr>
      </w:pPr>
      <w:r w:rsidRPr="004146FC">
        <w:rPr>
          <w:i/>
          <w:iCs/>
        </w:rPr>
        <w:lastRenderedPageBreak/>
        <w:t>Пункт 5.1.1.2.2</w:t>
      </w:r>
      <w:r w:rsidRPr="004146FC">
        <w:t xml:space="preserve"> изменить следующим образом:</w:t>
      </w:r>
    </w:p>
    <w:p w14:paraId="45CAD930" w14:textId="77777777" w:rsidR="000B0983" w:rsidRPr="004146FC" w:rsidRDefault="000B0983" w:rsidP="000B0983">
      <w:pPr>
        <w:tabs>
          <w:tab w:val="left" w:pos="2268"/>
        </w:tabs>
        <w:spacing w:before="120" w:after="120"/>
        <w:ind w:left="1134" w:right="1134"/>
        <w:jc w:val="both"/>
        <w:rPr>
          <w:i/>
          <w:iCs/>
          <w:u w:val="single"/>
        </w:rPr>
      </w:pPr>
      <w:r w:rsidRPr="004146FC">
        <w:t xml:space="preserve">«5.1.1.2.2 </w:t>
      </w:r>
      <w:r w:rsidRPr="004146FC">
        <w:tab/>
        <w:t>Дополнительная защита</w:t>
      </w:r>
    </w:p>
    <w:p w14:paraId="11FAEA78" w14:textId="77777777" w:rsidR="000B0983" w:rsidRPr="004146FC" w:rsidRDefault="000B0983" w:rsidP="005A2760">
      <w:pPr>
        <w:autoSpaceDE w:val="0"/>
        <w:autoSpaceDN w:val="0"/>
        <w:adjustRightInd w:val="0"/>
        <w:spacing w:after="120"/>
        <w:ind w:left="2268" w:right="1134"/>
        <w:jc w:val="both"/>
      </w:pPr>
      <w:r w:rsidRPr="004146FC">
        <w:t>Кабели, расположенные позади кабины водителя и на прицепах, должны быть дополнительно защищены, с тем чтобы минимизировать вероятность любого случайного возгорания или короткого замыкания в случае удара или деформации.</w:t>
      </w:r>
    </w:p>
    <w:p w14:paraId="6201C3E0" w14:textId="77777777" w:rsidR="000B0983" w:rsidRPr="004146FC" w:rsidRDefault="000B0983" w:rsidP="007E66B1">
      <w:pPr>
        <w:autoSpaceDE w:val="0"/>
        <w:autoSpaceDN w:val="0"/>
        <w:adjustRightInd w:val="0"/>
        <w:spacing w:after="120"/>
        <w:ind w:left="2268" w:right="1134"/>
        <w:jc w:val="both"/>
      </w:pPr>
      <w:r w:rsidRPr="004146FC">
        <w:t>Дополнительная защита должна выдерживать нормальные условия эксплуатации транспортного средства.</w:t>
      </w:r>
    </w:p>
    <w:p w14:paraId="78C450BF" w14:textId="220E0C73" w:rsidR="000B0983" w:rsidRPr="004146FC" w:rsidRDefault="000B0983" w:rsidP="007E66B1">
      <w:pPr>
        <w:autoSpaceDE w:val="0"/>
        <w:autoSpaceDN w:val="0"/>
        <w:adjustRightInd w:val="0"/>
        <w:spacing w:before="120" w:after="120"/>
        <w:ind w:left="2268" w:right="1134"/>
        <w:jc w:val="both"/>
      </w:pPr>
      <w:r w:rsidRPr="004146FC">
        <w:t>Дополнительная защита отвечает надлежащим требованиям, если используются многожильные кабели, соответствующие стандарту ISO</w:t>
      </w:r>
      <w:r w:rsidR="007E66B1">
        <w:rPr>
          <w:lang w:val="fr-CH"/>
        </w:rPr>
        <w:t> </w:t>
      </w:r>
      <w:r w:rsidRPr="004146FC">
        <w:t>14572:2011</w:t>
      </w:r>
      <w:r w:rsidRPr="004146FC">
        <w:rPr>
          <w:b/>
          <w:bCs/>
        </w:rPr>
        <w:t>, ISO 19642</w:t>
      </w:r>
      <w:r w:rsidR="007C264C">
        <w:rPr>
          <w:b/>
          <w:bCs/>
        </w:rPr>
        <w:t>–</w:t>
      </w:r>
      <w:r w:rsidRPr="004146FC">
        <w:rPr>
          <w:b/>
          <w:bCs/>
        </w:rPr>
        <w:t>7:2019, ISO 19642</w:t>
      </w:r>
      <w:r w:rsidR="007C264C">
        <w:rPr>
          <w:b/>
          <w:bCs/>
        </w:rPr>
        <w:t>–</w:t>
      </w:r>
      <w:r w:rsidRPr="004146FC">
        <w:rPr>
          <w:b/>
          <w:bCs/>
        </w:rPr>
        <w:t>8:2019, ISO 19642</w:t>
      </w:r>
      <w:r w:rsidR="007C264C">
        <w:rPr>
          <w:b/>
          <w:bCs/>
        </w:rPr>
        <w:t>–</w:t>
      </w:r>
      <w:r w:rsidRPr="004146FC">
        <w:rPr>
          <w:b/>
          <w:bCs/>
        </w:rPr>
        <w:t>9:2019 или ISO 19642:10:2019</w:t>
      </w:r>
      <w:r w:rsidRPr="004146FC">
        <w:t>, либо одному из примеров, приведенных на рис. 1–4 ниже, или другой конфигурации, обеспечивающей столь же эффективную защиту.</w:t>
      </w:r>
    </w:p>
    <w:p w14:paraId="1E5AB091" w14:textId="77777777" w:rsidR="000B0983" w:rsidRPr="004146FC" w:rsidRDefault="000B0983" w:rsidP="007E66B1">
      <w:pPr>
        <w:autoSpaceDE w:val="0"/>
        <w:autoSpaceDN w:val="0"/>
        <w:adjustRightInd w:val="0"/>
        <w:spacing w:before="120" w:after="120"/>
        <w:ind w:left="2268" w:right="1134"/>
        <w:jc w:val="both"/>
      </w:pPr>
      <w:r w:rsidRPr="004146FC">
        <w:t>Кабели датчиков частоты вращения колес не нуждаются в дополнительной защите.</w:t>
      </w:r>
    </w:p>
    <w:p w14:paraId="183463D9" w14:textId="77777777" w:rsidR="000B0983" w:rsidRPr="004146FC" w:rsidRDefault="000B0983" w:rsidP="000B0983">
      <w:pPr>
        <w:suppressAutoHyphens w:val="0"/>
        <w:autoSpaceDE w:val="0"/>
        <w:autoSpaceDN w:val="0"/>
        <w:adjustRightInd w:val="0"/>
        <w:spacing w:before="120" w:after="120"/>
        <w:ind w:left="2268" w:right="1133"/>
        <w:jc w:val="both"/>
      </w:pPr>
      <w:r w:rsidRPr="004146FC">
        <w:t>Считается, что этому требованию отвечают транспортные средства ЕХ/II, являющиеся автофургонами, в которых электропроводка, находящаяся за кабиной водителя, защищена корпусом.</w:t>
      </w:r>
    </w:p>
    <w:p w14:paraId="2CE74603" w14:textId="77777777" w:rsidR="000B0983" w:rsidRPr="004146FC" w:rsidRDefault="000B0983" w:rsidP="000B0983">
      <w:pPr>
        <w:suppressAutoHyphens w:val="0"/>
        <w:autoSpaceDE w:val="0"/>
        <w:autoSpaceDN w:val="0"/>
        <w:adjustRightInd w:val="0"/>
        <w:spacing w:before="120" w:after="120"/>
        <w:ind w:left="2268" w:right="1133"/>
        <w:jc w:val="both"/>
      </w:pPr>
      <w:r w:rsidRPr="004146FC">
        <w:t>Рис. 1</w:t>
      </w:r>
    </w:p>
    <w:p w14:paraId="3F75B430" w14:textId="77777777" w:rsidR="000B0983" w:rsidRPr="004146FC" w:rsidRDefault="000B0983" w:rsidP="000B0983">
      <w:pPr>
        <w:suppressAutoHyphens w:val="0"/>
        <w:autoSpaceDE w:val="0"/>
        <w:autoSpaceDN w:val="0"/>
        <w:adjustRightInd w:val="0"/>
        <w:spacing w:before="120" w:after="120"/>
        <w:ind w:left="2268" w:right="1133"/>
        <w:jc w:val="both"/>
      </w:pPr>
      <w:r w:rsidRPr="004146FC">
        <w:t>…»</w:t>
      </w:r>
    </w:p>
    <w:p w14:paraId="218E59C6" w14:textId="77777777" w:rsidR="000B0983" w:rsidRPr="004146FC" w:rsidRDefault="000B0983" w:rsidP="000B0983">
      <w:pPr>
        <w:pStyle w:val="SingleTxtG"/>
      </w:pPr>
      <w:r w:rsidRPr="004146FC">
        <w:rPr>
          <w:i/>
          <w:iCs/>
        </w:rPr>
        <w:t>Пункт 5.1.2.1</w:t>
      </w:r>
      <w:r w:rsidRPr="004146FC">
        <w:t xml:space="preserve"> изменить следующим образом:</w:t>
      </w:r>
    </w:p>
    <w:p w14:paraId="6D16CD94" w14:textId="3F0B470B" w:rsidR="000B0983" w:rsidRPr="004146FC" w:rsidRDefault="000B0983" w:rsidP="000B0983">
      <w:pPr>
        <w:pStyle w:val="SingleTxtG"/>
        <w:ind w:left="2268" w:hanging="1134"/>
      </w:pPr>
      <w:r w:rsidRPr="004146FC">
        <w:t>«5.1.2.1</w:t>
      </w:r>
      <w:r w:rsidRPr="004146FC">
        <w:tab/>
        <w:t xml:space="preserve">Транспортные средства EX/II, EX/III, AT, FL и MEMU должны отвечать всем соответствующим требованиям Правил № 13 </w:t>
      </w:r>
      <w:r w:rsidRPr="004146FC">
        <w:rPr>
          <w:b/>
          <w:bCs/>
        </w:rPr>
        <w:t>ООН</w:t>
      </w:r>
      <w:r w:rsidRPr="004146FC">
        <w:t>, включая требование приложения 5.</w:t>
      </w:r>
    </w:p>
    <w:p w14:paraId="1ED9A001" w14:textId="77777777" w:rsidR="000B0983" w:rsidRPr="004146FC" w:rsidRDefault="000B0983" w:rsidP="000B0983">
      <w:pPr>
        <w:pStyle w:val="SingleTxtG"/>
        <w:spacing w:before="120"/>
        <w:ind w:left="2268"/>
        <w:rPr>
          <w:b/>
          <w:bCs/>
        </w:rPr>
      </w:pPr>
      <w:r w:rsidRPr="004146FC">
        <w:rPr>
          <w:b/>
          <w:bCs/>
        </w:rPr>
        <w:t>Транспортные средства, оснащенные системой электрического рекуперативного торможения, должны отвечать всем соответствующим техническим требованиям Правил № 13 ООН с поправками по крайней мере серии 11, если они применимы</w:t>
      </w:r>
      <w:r w:rsidRPr="004146FC">
        <w:t>».</w:t>
      </w:r>
    </w:p>
    <w:p w14:paraId="1DDBF5F2" w14:textId="77777777" w:rsidR="000B0983" w:rsidRPr="004146FC" w:rsidRDefault="000B0983" w:rsidP="000B0983">
      <w:pPr>
        <w:spacing w:before="120" w:after="120"/>
        <w:ind w:left="1134" w:right="1134"/>
        <w:jc w:val="both"/>
        <w:rPr>
          <w:i/>
          <w:iCs/>
        </w:rPr>
      </w:pPr>
      <w:r w:rsidRPr="004146FC">
        <w:rPr>
          <w:i/>
          <w:iCs/>
        </w:rPr>
        <w:t>Пункт 5.1.3.2</w:t>
      </w:r>
      <w:r w:rsidRPr="004146FC">
        <w:t xml:space="preserve"> изменить следующим образом: </w:t>
      </w:r>
    </w:p>
    <w:p w14:paraId="1A770581" w14:textId="77777777" w:rsidR="000B0983" w:rsidRPr="004146FC" w:rsidRDefault="000B0983" w:rsidP="000B0983">
      <w:pPr>
        <w:suppressAutoHyphens w:val="0"/>
        <w:autoSpaceDE w:val="0"/>
        <w:autoSpaceDN w:val="0"/>
        <w:adjustRightInd w:val="0"/>
        <w:spacing w:before="120" w:after="120"/>
        <w:ind w:left="567" w:right="1133" w:firstLine="567"/>
        <w:jc w:val="both"/>
      </w:pPr>
      <w:r w:rsidRPr="004146FC">
        <w:t>«5.1.3.2</w:t>
      </w:r>
      <w:r w:rsidRPr="004146FC">
        <w:tab/>
        <w:t>Топливные баки и баллоны</w:t>
      </w:r>
    </w:p>
    <w:p w14:paraId="631AEF5E" w14:textId="77777777" w:rsidR="000B0983" w:rsidRPr="004146FC" w:rsidRDefault="000B0983" w:rsidP="00C71213">
      <w:pPr>
        <w:autoSpaceDE w:val="0"/>
        <w:autoSpaceDN w:val="0"/>
        <w:adjustRightInd w:val="0"/>
        <w:spacing w:before="120" w:after="120"/>
        <w:ind w:left="2268" w:right="1134"/>
        <w:jc w:val="both"/>
        <w:rPr>
          <w:b/>
          <w:bCs/>
        </w:rPr>
      </w:pPr>
      <w:r w:rsidRPr="004146FC">
        <w:rPr>
          <w:b/>
          <w:bCs/>
        </w:rPr>
        <w:t>ПРИМЕЧАНИЕ: Подраздел 9.2.4.3 аналогичным образом применяется к топливным бакам и баллонам, используемым для гибридных транспортных средств, которые включают в себя электрический привод в механической трансмиссии двигателя внутреннего сгорания или используют двигатель внутреннего сгорания для приведения в действие генератора с целью подачи энергии на электрический привод.</w:t>
      </w:r>
    </w:p>
    <w:p w14:paraId="1B5DCA42" w14:textId="77777777" w:rsidR="000B0983" w:rsidRPr="004146FC" w:rsidRDefault="000B0983" w:rsidP="00C71213">
      <w:pPr>
        <w:autoSpaceDE w:val="0"/>
        <w:autoSpaceDN w:val="0"/>
        <w:adjustRightInd w:val="0"/>
        <w:spacing w:after="120"/>
        <w:ind w:left="2268" w:right="1134"/>
        <w:jc w:val="both"/>
      </w:pPr>
      <w:r w:rsidRPr="004146FC">
        <w:t>Топливные баки и баллоны для подачи топлива в двигатель транспортного средства должны отвечать следующим требованиям:</w:t>
      </w:r>
    </w:p>
    <w:p w14:paraId="78250909" w14:textId="32AD70FA" w:rsidR="000B0983" w:rsidRPr="004146FC" w:rsidRDefault="000B0983" w:rsidP="00C71213">
      <w:pPr>
        <w:autoSpaceDE w:val="0"/>
        <w:autoSpaceDN w:val="0"/>
        <w:adjustRightInd w:val="0"/>
        <w:spacing w:after="120"/>
        <w:ind w:left="2835" w:right="1134" w:hanging="567"/>
        <w:jc w:val="both"/>
      </w:pPr>
      <w:r w:rsidRPr="004146FC">
        <w:t>a)</w:t>
      </w:r>
      <w:r w:rsidRPr="004146FC">
        <w:tab/>
        <w:t>в случае любой утечки в нормальных условиях перевозки жидкое топливо или жидкая фаза газообразного топлива должно(а) стекать на землю и не попадать на груз или нагретые части транспортного средства;</w:t>
      </w:r>
    </w:p>
    <w:p w14:paraId="3FD88DEA" w14:textId="77777777" w:rsidR="000B0983" w:rsidRPr="004146FC" w:rsidRDefault="000B0983" w:rsidP="00C71213">
      <w:pPr>
        <w:autoSpaceDE w:val="0"/>
        <w:autoSpaceDN w:val="0"/>
        <w:adjustRightInd w:val="0"/>
        <w:spacing w:after="120"/>
        <w:ind w:left="2835" w:right="1134" w:hanging="567"/>
        <w:jc w:val="both"/>
      </w:pPr>
      <w:r w:rsidRPr="004146FC">
        <w:t xml:space="preserve">b) </w:t>
      </w:r>
      <w:r w:rsidRPr="004146FC">
        <w:tab/>
        <w:t>топливные баки для жидких видов топлива должны соответствовать положениям Правил № 34</w:t>
      </w:r>
      <w:r w:rsidRPr="004146FC">
        <w:rPr>
          <w:b/>
          <w:bCs/>
        </w:rPr>
        <w:t xml:space="preserve"> ООН</w:t>
      </w:r>
      <w:r w:rsidRPr="004146FC">
        <w:t xml:space="preserve">; топливные баки, содержащие бензин, должны быть оборудованы эффективным пламеуловителем, расположенным у заливного отверстия, или затвором, герметично закрывающим это отверстие. Топливные баки и баллоны соответственно для СПГ и КПГ должны отвечать соответствующим требованиям Правил № 110 </w:t>
      </w:r>
      <w:r w:rsidRPr="004146FC">
        <w:rPr>
          <w:b/>
          <w:bCs/>
        </w:rPr>
        <w:t>ООН</w:t>
      </w:r>
      <w:r w:rsidRPr="004146FC">
        <w:t xml:space="preserve">. Топливные </w:t>
      </w:r>
      <w:r w:rsidRPr="004146FC">
        <w:lastRenderedPageBreak/>
        <w:t xml:space="preserve">баки для СНГ должны отвечать соответствующим требованиям Правил № 67 </w:t>
      </w:r>
      <w:r w:rsidRPr="004146FC">
        <w:rPr>
          <w:b/>
          <w:bCs/>
        </w:rPr>
        <w:t>ООН</w:t>
      </w:r>
      <w:r w:rsidRPr="004146FC">
        <w:t>;</w:t>
      </w:r>
    </w:p>
    <w:p w14:paraId="71C9165B" w14:textId="0A724AC8" w:rsidR="000B0983" w:rsidRPr="004146FC" w:rsidRDefault="000B0983" w:rsidP="00C71213">
      <w:pPr>
        <w:autoSpaceDE w:val="0"/>
        <w:autoSpaceDN w:val="0"/>
        <w:adjustRightInd w:val="0"/>
        <w:spacing w:before="120" w:after="120"/>
        <w:ind w:left="2835" w:right="1134" w:hanging="567"/>
        <w:jc w:val="both"/>
      </w:pPr>
      <w:r w:rsidRPr="004146FC">
        <w:t>c)</w:t>
      </w:r>
      <w:r w:rsidRPr="004146FC">
        <w:tab/>
        <w:t>выпускное(ые) отверстие(я) устройств для сброса давления и/или клапанов для сброса давления топливных баков, содержащих газообразное топливо, должно(ы) быть направлено(ы) в сторону от воздухозаборных систем, топливных баков, груза или нагретых элементов транспортного средства, и выходящие из них г</w:t>
      </w:r>
      <w:r w:rsidR="00C71213">
        <w:t>а</w:t>
      </w:r>
      <w:r w:rsidRPr="004146FC">
        <w:t xml:space="preserve">зы не должны проникать в замкнутые пространства, другие транспортные средства, наружные воздухозаборные системы (например, системы кондиционирования воздуха), воздухозаборники двигателя или системы </w:t>
      </w:r>
      <w:r w:rsidRPr="004146FC">
        <w:rPr>
          <w:sz w:val="21"/>
          <w:szCs w:val="21"/>
          <w:lang w:bidi="ru-RU"/>
        </w:rPr>
        <w:t xml:space="preserve">выпуска отработавших газов </w:t>
      </w:r>
      <w:r w:rsidRPr="004146FC">
        <w:t>двигателя. Патрубки топливной системы не должны устанавливаться на корпусе, содержащем груз».</w:t>
      </w:r>
    </w:p>
    <w:p w14:paraId="4A6BA4C8" w14:textId="77777777" w:rsidR="000B0983" w:rsidRPr="004146FC" w:rsidRDefault="000B0983" w:rsidP="000B0983">
      <w:pPr>
        <w:pStyle w:val="SingleTxtG"/>
      </w:pPr>
      <w:r w:rsidRPr="004146FC">
        <w:rPr>
          <w:i/>
          <w:iCs/>
        </w:rPr>
        <w:t>Пункт 5.1.3.3</w:t>
      </w:r>
      <w:r w:rsidRPr="004146FC">
        <w:t xml:space="preserve"> изменить следующим образом: </w:t>
      </w:r>
    </w:p>
    <w:p w14:paraId="1E9D7316" w14:textId="77777777" w:rsidR="000B0983" w:rsidRPr="004146FC" w:rsidRDefault="000B0983" w:rsidP="000B0983">
      <w:pPr>
        <w:pStyle w:val="SingleTxtG"/>
      </w:pPr>
      <w:r w:rsidRPr="004146FC">
        <w:t>«5.1.3.3</w:t>
      </w:r>
      <w:r w:rsidRPr="004146FC">
        <w:tab/>
        <w:t>Двигатель</w:t>
      </w:r>
    </w:p>
    <w:p w14:paraId="1954D216" w14:textId="77777777" w:rsidR="000B0983" w:rsidRPr="004146FC" w:rsidRDefault="000B0983" w:rsidP="000B0983">
      <w:pPr>
        <w:pStyle w:val="SingleTxtG"/>
        <w:ind w:left="2268"/>
        <w:rPr>
          <w:b/>
          <w:bCs/>
        </w:rPr>
      </w:pPr>
      <w:r w:rsidRPr="004146FC">
        <w:rPr>
          <w:b/>
          <w:bCs/>
        </w:rPr>
        <w:t>ПРИМЕЧАНИЕ: Подраздел 9.2.4.4 аналогичным образом применяется к гибридным транспортным средствам, которые включают в себя электрический привод в механической трансмиссии двигателя внутреннего сгорания или используют двигатель внутреннего сгорания для приведения в действие генератора с целью подачи энергии на электрический привод.</w:t>
      </w:r>
    </w:p>
    <w:p w14:paraId="660C4738" w14:textId="1A7574A5" w:rsidR="000B0983" w:rsidRPr="004146FC" w:rsidRDefault="000B0983" w:rsidP="000B0983">
      <w:pPr>
        <w:pStyle w:val="SingleTxtG"/>
        <w:spacing w:before="120"/>
        <w:ind w:left="2268"/>
      </w:pPr>
      <w:r w:rsidRPr="004146FC">
        <w:t>Двигатель транспортного средства должен быть оборудован и расположен таким образом, чтобы груз не подвергался какой</w:t>
      </w:r>
      <w:r w:rsidR="007C264C">
        <w:t>–</w:t>
      </w:r>
      <w:r w:rsidRPr="004146FC">
        <w:t xml:space="preserve">либо опасности нагревания или воспламенения. Использование КПГ или СПГ в качестве топлива допускается только в том случае, если элементы специального оборудования для КПГ и СПГ официально утверждены в соответствии с Правилами № 110 </w:t>
      </w:r>
      <w:r w:rsidRPr="004146FC">
        <w:rPr>
          <w:b/>
          <w:bCs/>
        </w:rPr>
        <w:t>ООН</w:t>
      </w:r>
      <w:r w:rsidRPr="004146FC">
        <w:t xml:space="preserve"> и соответствуют положениям пункта 5.1.1. Установка на транспортном средстве должна соответствовать техническим требованиям пункта 5.1.1 и Правил № 110 </w:t>
      </w:r>
      <w:r w:rsidRPr="004146FC">
        <w:rPr>
          <w:b/>
          <w:bCs/>
        </w:rPr>
        <w:t>ООН</w:t>
      </w:r>
      <w:r w:rsidRPr="004146FC">
        <w:t xml:space="preserve">. Использование СНГ в качестве топлива допускается только в том случае, если элементы специального оборудования для СНГ официально утверждены в соответствии с Правилами № 67 </w:t>
      </w:r>
      <w:r w:rsidRPr="004146FC">
        <w:rPr>
          <w:b/>
          <w:bCs/>
        </w:rPr>
        <w:t>ООН</w:t>
      </w:r>
      <w:r w:rsidRPr="004146FC">
        <w:t xml:space="preserve"> и соответствуют положениям пункта 5.1.1. Установка на транспортном средстве должна соответствовать техническим требованиям пункта 5.1.1 и Правил № 67 </w:t>
      </w:r>
      <w:r w:rsidRPr="004146FC">
        <w:rPr>
          <w:b/>
          <w:bCs/>
        </w:rPr>
        <w:t>ООН</w:t>
      </w:r>
      <w:r w:rsidRPr="004146FC">
        <w:t>. В случае транспортных средств EX/II и EX/III в качестве двигателя должен использоваться двигатель с воспламенением от сжатия, работающий только на жидком топливе с температурой вспышки выше 55</w:t>
      </w:r>
      <w:r w:rsidR="00C71213">
        <w:t> </w:t>
      </w:r>
      <w:r w:rsidRPr="004146FC">
        <w:t>°C. Использование газов не допускается».</w:t>
      </w:r>
    </w:p>
    <w:p w14:paraId="00151626" w14:textId="77777777" w:rsidR="000B0983" w:rsidRPr="004146FC" w:rsidRDefault="000B0983" w:rsidP="000B0983">
      <w:pPr>
        <w:spacing w:before="120" w:after="120"/>
        <w:ind w:left="1134" w:right="1134"/>
        <w:jc w:val="both"/>
        <w:rPr>
          <w:i/>
          <w:iCs/>
        </w:rPr>
      </w:pPr>
      <w:r w:rsidRPr="004146FC">
        <w:rPr>
          <w:i/>
          <w:iCs/>
        </w:rPr>
        <w:t>Включить новый пункт 5.1.3.5</w:t>
      </w:r>
      <w:r w:rsidRPr="004146FC">
        <w:t xml:space="preserve"> следующего содержания:</w:t>
      </w:r>
    </w:p>
    <w:p w14:paraId="43FF6B5F" w14:textId="77777777" w:rsidR="000B0983" w:rsidRPr="004146FC" w:rsidRDefault="000B0983" w:rsidP="000B0983">
      <w:pPr>
        <w:spacing w:before="120" w:after="120"/>
        <w:ind w:left="1134" w:right="1134"/>
        <w:jc w:val="both"/>
        <w:rPr>
          <w:rFonts w:eastAsia="SimSun"/>
          <w:b/>
        </w:rPr>
      </w:pPr>
      <w:r w:rsidRPr="004146FC">
        <w:t>«</w:t>
      </w:r>
      <w:r w:rsidRPr="004146FC">
        <w:rPr>
          <w:b/>
          <w:bCs/>
        </w:rPr>
        <w:t xml:space="preserve">5.1.3.5 </w:t>
      </w:r>
      <w:r w:rsidRPr="004146FC">
        <w:tab/>
      </w:r>
      <w:r w:rsidRPr="004146FC">
        <w:rPr>
          <w:b/>
          <w:bCs/>
        </w:rPr>
        <w:t>Электрический привод</w:t>
      </w:r>
    </w:p>
    <w:p w14:paraId="38C704DD" w14:textId="77777777" w:rsidR="000B0983" w:rsidRPr="004146FC" w:rsidRDefault="000B0983" w:rsidP="000B0983">
      <w:pPr>
        <w:spacing w:before="120" w:after="120"/>
        <w:ind w:left="2268" w:right="1134"/>
        <w:jc w:val="both"/>
        <w:rPr>
          <w:b/>
        </w:rPr>
      </w:pPr>
      <w:r w:rsidRPr="004146FC">
        <w:rPr>
          <w:b/>
          <w:bCs/>
        </w:rPr>
        <w:t>ПРИМЕЧАНИЕ: Пункт 5.1.3.5 аналогичным образом применяется к гибридным транспортным средствам, которые включают в себя электрический привод в механической трансмиссии двигателя внутреннего сгорания.</w:t>
      </w:r>
      <w:r w:rsidRPr="004146FC">
        <w:t xml:space="preserve"> </w:t>
      </w:r>
      <w:r w:rsidRPr="004146FC">
        <w:rPr>
          <w:b/>
          <w:bCs/>
        </w:rPr>
        <w:t>Электрические приводы не должны использоваться на транспортных средствах EX и FL.</w:t>
      </w:r>
    </w:p>
    <w:p w14:paraId="4612623C" w14:textId="77777777" w:rsidR="000B0983" w:rsidRPr="004146FC" w:rsidRDefault="000B0983" w:rsidP="000B0983">
      <w:pPr>
        <w:spacing w:before="120" w:after="120"/>
        <w:ind w:left="2268" w:right="1134"/>
        <w:jc w:val="both"/>
        <w:rPr>
          <w:b/>
        </w:rPr>
      </w:pPr>
      <w:r w:rsidRPr="004146FC">
        <w:rPr>
          <w:b/>
          <w:bCs/>
        </w:rPr>
        <w:t>Электрический привод должен отвечать требованиям Правил № 100 ООН с поправками по крайней мере серии 03. Должны быть приняты меры для предотвращения возникновения любой опасности для груза в результате нагрева или воспламенения</w:t>
      </w:r>
      <w:r w:rsidRPr="004146FC">
        <w:t>».</w:t>
      </w:r>
    </w:p>
    <w:p w14:paraId="4A4F6A5E" w14:textId="77777777" w:rsidR="000B0983" w:rsidRPr="004146FC" w:rsidRDefault="000B0983" w:rsidP="000B0983">
      <w:pPr>
        <w:spacing w:before="240" w:after="240"/>
        <w:ind w:left="1134" w:right="1134"/>
        <w:jc w:val="both"/>
      </w:pPr>
      <w:r w:rsidRPr="004146FC">
        <w:rPr>
          <w:i/>
          <w:iCs/>
        </w:rPr>
        <w:t>Пункты 5.1.3.5–5.1.3.6.1 (прежние)</w:t>
      </w:r>
      <w:r w:rsidRPr="004146FC">
        <w:t xml:space="preserve"> пронумеровать как пункты 5.1.3.6–5.1.3.7.1. </w:t>
      </w:r>
    </w:p>
    <w:p w14:paraId="63B0786E" w14:textId="77777777" w:rsidR="000B0983" w:rsidRPr="004146FC" w:rsidRDefault="000B0983" w:rsidP="000B0983">
      <w:pPr>
        <w:pStyle w:val="HChG"/>
        <w:rPr>
          <w:b w:val="0"/>
        </w:rPr>
      </w:pPr>
      <w:bookmarkStart w:id="0" w:name="_Hlk109392534"/>
      <w:r w:rsidRPr="004146FC">
        <w:rPr>
          <w:bCs/>
        </w:rPr>
        <w:lastRenderedPageBreak/>
        <w:tab/>
        <w:t>II.</w:t>
      </w:r>
      <w:r w:rsidRPr="004146FC">
        <w:tab/>
      </w:r>
      <w:r w:rsidRPr="004146FC">
        <w:rPr>
          <w:bCs/>
        </w:rPr>
        <w:t>Обоснование</w:t>
      </w:r>
    </w:p>
    <w:p w14:paraId="0408FD77" w14:textId="77777777" w:rsidR="000B0983" w:rsidRPr="004146FC" w:rsidRDefault="000B0983" w:rsidP="000B0983">
      <w:pPr>
        <w:pStyle w:val="SingleTxtG"/>
      </w:pPr>
      <w:r w:rsidRPr="004146FC">
        <w:t>1.</w:t>
      </w:r>
      <w:r w:rsidRPr="004146FC">
        <w:tab/>
        <w:t xml:space="preserve">В соответствии с решением Рабочей группы по перевозкам опасных грузов (WP.15) и GRSG Международной организации предприятий автомобильной промышленности (МОПАП) было поручено свести воедино поправки, согласованные для издания ДОПОГ 2023 года, которые затрагивают Правила № 105 ООН. </w:t>
      </w:r>
    </w:p>
    <w:p w14:paraId="67F0681D" w14:textId="69C4AE40" w:rsidR="000B0983" w:rsidRPr="004146FC" w:rsidRDefault="000B0983" w:rsidP="000B0983">
      <w:pPr>
        <w:pStyle w:val="SingleTxtG"/>
      </w:pPr>
      <w:r w:rsidRPr="004146FC">
        <w:t>2.</w:t>
      </w:r>
      <w:r w:rsidRPr="004146FC">
        <w:tab/>
        <w:t>Поправки, согласованные WP.15 для издания ДОПОГ 2023 года, опубликованы на веб</w:t>
      </w:r>
      <w:r w:rsidR="007C264C">
        <w:t>–</w:t>
      </w:r>
      <w:r w:rsidRPr="004146FC">
        <w:t xml:space="preserve">сайте ЕЭК в виде документов </w:t>
      </w:r>
      <w:hyperlink r:id="rId9" w:history="1">
        <w:r w:rsidRPr="00DD7B13">
          <w:rPr>
            <w:rStyle w:val="af1"/>
            <w:lang w:eastAsia="ru-RU"/>
          </w:rPr>
          <w:t>ECE/TRANS/WP.15/256</w:t>
        </w:r>
        <w:r w:rsidRPr="004146FC">
          <w:t xml:space="preserve"> и </w:t>
        </w:r>
        <w:r w:rsidRPr="00DD7B13">
          <w:rPr>
            <w:rStyle w:val="af1"/>
            <w:lang w:eastAsia="ru-RU"/>
          </w:rPr>
          <w:t>Corr. 1–2</w:t>
        </w:r>
      </w:hyperlink>
      <w:r w:rsidRPr="004146FC">
        <w:t xml:space="preserve"> и </w:t>
      </w:r>
      <w:hyperlink r:id="rId10" w:history="1">
        <w:r w:rsidRPr="00DD7B13">
          <w:rPr>
            <w:rStyle w:val="af1"/>
            <w:lang w:eastAsia="ru-RU"/>
          </w:rPr>
          <w:t>ECE/TRANS/WP.15/256/Add.1</w:t>
        </w:r>
      </w:hyperlink>
      <w:r>
        <w:rPr>
          <w:rStyle w:val="aa"/>
        </w:rPr>
        <w:footnoteReference w:id="2"/>
      </w:r>
      <w:r w:rsidRPr="004146FC">
        <w:t>.</w:t>
      </w:r>
    </w:p>
    <w:p w14:paraId="0CD70EFC" w14:textId="3D432232" w:rsidR="000B0983" w:rsidRPr="004146FC" w:rsidRDefault="000B0983" w:rsidP="000B0983">
      <w:pPr>
        <w:pStyle w:val="SingleTxtG"/>
      </w:pPr>
      <w:r w:rsidRPr="004146FC">
        <w:t>3.</w:t>
      </w:r>
      <w:r w:rsidRPr="004146FC">
        <w:tab/>
        <w:t>Перечисленные выше положения Правил № 105 ООН призваны отразить все изменения или дополнения к изданию ДОПОГ 2023 года, которые затрагивают главу</w:t>
      </w:r>
      <w:r w:rsidR="00DD7B13">
        <w:t> </w:t>
      </w:r>
      <w:r w:rsidRPr="004146FC">
        <w:t>5 Правил, с целью приведения их в соответствие с указанным документом.</w:t>
      </w:r>
    </w:p>
    <w:p w14:paraId="316682FC" w14:textId="77777777" w:rsidR="000B0983" w:rsidRPr="004146FC" w:rsidRDefault="000B0983" w:rsidP="000B0983">
      <w:pPr>
        <w:pStyle w:val="SingleTxtG"/>
      </w:pPr>
      <w:r w:rsidRPr="004146FC">
        <w:t>4.</w:t>
      </w:r>
      <w:r w:rsidRPr="004146FC">
        <w:tab/>
        <w:t>Изменения к главе 5 Правил № 105 ООН в основном касаются введения технических требований к некоторым транспортным средствам, предназначенным для перевозки опасных грузов (транспортные средства АТ) и оснащенным электрической силовой установкой, и отражают соответствующие изменения.</w:t>
      </w:r>
    </w:p>
    <w:bookmarkEnd w:id="0"/>
    <w:p w14:paraId="4B547250" w14:textId="3D0088E2" w:rsidR="00E12C5F" w:rsidRPr="008D53B6" w:rsidRDefault="000B0983" w:rsidP="000B0983">
      <w:pPr>
        <w:spacing w:before="240"/>
        <w:jc w:val="center"/>
      </w:pPr>
      <w:r w:rsidRPr="004146FC">
        <w:rPr>
          <w:u w:val="single"/>
        </w:rPr>
        <w:tab/>
      </w:r>
      <w:r w:rsidRPr="004146FC">
        <w:rPr>
          <w:u w:val="single"/>
        </w:rPr>
        <w:tab/>
      </w:r>
      <w:r w:rsidRPr="004146FC">
        <w:rPr>
          <w:u w:val="single"/>
        </w:rPr>
        <w:tab/>
      </w:r>
    </w:p>
    <w:sectPr w:rsidR="00E12C5F" w:rsidRPr="008D53B6" w:rsidSect="000B09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1D69" w14:textId="77777777" w:rsidR="00261437" w:rsidRPr="00A312BC" w:rsidRDefault="00261437" w:rsidP="00A312BC"/>
  </w:endnote>
  <w:endnote w:type="continuationSeparator" w:id="0">
    <w:p w14:paraId="18487322" w14:textId="77777777" w:rsidR="00261437" w:rsidRPr="00A312BC" w:rsidRDefault="0026143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3012" w14:textId="742CCEB0" w:rsidR="000B0983" w:rsidRPr="000B0983" w:rsidRDefault="000B0983">
    <w:pPr>
      <w:pStyle w:val="a8"/>
    </w:pPr>
    <w:r w:rsidRPr="000B0983">
      <w:rPr>
        <w:b/>
        <w:sz w:val="18"/>
      </w:rPr>
      <w:fldChar w:fldCharType="begin"/>
    </w:r>
    <w:r w:rsidRPr="000B0983">
      <w:rPr>
        <w:b/>
        <w:sz w:val="18"/>
      </w:rPr>
      <w:instrText xml:space="preserve"> PAGE  \* MERGEFORMAT </w:instrText>
    </w:r>
    <w:r w:rsidRPr="000B0983">
      <w:rPr>
        <w:b/>
        <w:sz w:val="18"/>
      </w:rPr>
      <w:fldChar w:fldCharType="separate"/>
    </w:r>
    <w:r w:rsidRPr="000B0983">
      <w:rPr>
        <w:b/>
        <w:noProof/>
        <w:sz w:val="18"/>
      </w:rPr>
      <w:t>2</w:t>
    </w:r>
    <w:r w:rsidRPr="000B0983">
      <w:rPr>
        <w:b/>
        <w:sz w:val="18"/>
      </w:rPr>
      <w:fldChar w:fldCharType="end"/>
    </w:r>
    <w:r>
      <w:rPr>
        <w:b/>
        <w:sz w:val="18"/>
      </w:rPr>
      <w:tab/>
    </w:r>
    <w:r>
      <w:t>GE.22-11563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7EB8" w14:textId="7875FD56" w:rsidR="000B0983" w:rsidRPr="000B0983" w:rsidRDefault="000B0983" w:rsidP="000B0983">
    <w:pPr>
      <w:pStyle w:val="a8"/>
      <w:tabs>
        <w:tab w:val="clear" w:pos="9639"/>
        <w:tab w:val="right" w:pos="9638"/>
      </w:tabs>
      <w:rPr>
        <w:b/>
        <w:sz w:val="18"/>
      </w:rPr>
    </w:pPr>
    <w:r>
      <w:t>GE.22-11563</w:t>
    </w:r>
    <w:r>
      <w:tab/>
    </w:r>
    <w:r w:rsidRPr="000B0983">
      <w:rPr>
        <w:b/>
        <w:sz w:val="18"/>
      </w:rPr>
      <w:fldChar w:fldCharType="begin"/>
    </w:r>
    <w:r w:rsidRPr="000B0983">
      <w:rPr>
        <w:b/>
        <w:sz w:val="18"/>
      </w:rPr>
      <w:instrText xml:space="preserve"> PAGE  \* MERGEFORMAT </w:instrText>
    </w:r>
    <w:r w:rsidRPr="000B0983">
      <w:rPr>
        <w:b/>
        <w:sz w:val="18"/>
      </w:rPr>
      <w:fldChar w:fldCharType="separate"/>
    </w:r>
    <w:r w:rsidRPr="000B0983">
      <w:rPr>
        <w:b/>
        <w:noProof/>
        <w:sz w:val="18"/>
      </w:rPr>
      <w:t>3</w:t>
    </w:r>
    <w:r w:rsidRPr="000B098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F18E" w14:textId="4AEB8082" w:rsidR="00042B72" w:rsidRPr="000B0983" w:rsidRDefault="000B0983" w:rsidP="000B0983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86CA7B2" wp14:editId="6F988DB7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22-11563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839DFF8" wp14:editId="666719A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080822  150822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7728" w14:textId="77777777" w:rsidR="00261437" w:rsidRPr="001075E9" w:rsidRDefault="0026143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2369B10" w14:textId="77777777" w:rsidR="00261437" w:rsidRDefault="0026143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215473C" w14:textId="0D95AE3A" w:rsidR="000B0983" w:rsidRPr="000B0983" w:rsidRDefault="000B0983" w:rsidP="000B0983">
      <w:pPr>
        <w:pStyle w:val="ad"/>
      </w:pPr>
      <w:r w:rsidRPr="00DB61D6">
        <w:tab/>
      </w:r>
      <w:r w:rsidRPr="000B0983">
        <w:rPr>
          <w:rStyle w:val="aa"/>
          <w:sz w:val="20"/>
          <w:vertAlign w:val="baseline"/>
        </w:rPr>
        <w:t>*</w:t>
      </w:r>
      <w:r w:rsidRPr="00DB61D6">
        <w:tab/>
      </w:r>
      <w:r w:rsidRPr="000B0983">
        <w:t>В соответствии с программой работы Комитета по внутреннему транспорту на 2022 год, изложенной в предлагаемом бюджете по программам на 2022 год (A/76/6 (часть V, разд. 20), п. 20.76), Всемирный форум будет разрабатывать, согласовывать и обновлять правила ООН в</w:t>
      </w:r>
      <w:r>
        <w:rPr>
          <w:lang w:val="fr-CH"/>
        </w:rPr>
        <w:t> </w:t>
      </w:r>
      <w:r w:rsidRPr="000B0983">
        <w:t>целях улучшения характеристик транспортных средств. Настоящий документ представлен в</w:t>
      </w:r>
      <w:r>
        <w:rPr>
          <w:lang w:val="fr-CH"/>
        </w:rPr>
        <w:t> </w:t>
      </w:r>
      <w:r w:rsidRPr="000B0983">
        <w:t>соответствии с этим мандатом.</w:t>
      </w:r>
    </w:p>
  </w:footnote>
  <w:footnote w:id="2">
    <w:p w14:paraId="59A37430" w14:textId="05AE9A82" w:rsidR="000B0983" w:rsidRPr="000B0983" w:rsidRDefault="000B0983">
      <w:pPr>
        <w:pStyle w:val="ad"/>
      </w:pPr>
      <w:r>
        <w:tab/>
      </w:r>
      <w:r>
        <w:rPr>
          <w:rStyle w:val="aa"/>
        </w:rPr>
        <w:footnoteRef/>
      </w:r>
      <w:r>
        <w:tab/>
      </w:r>
      <w:r w:rsidRPr="00E408D6">
        <w:rPr>
          <w:rStyle w:val="af1"/>
          <w:szCs w:val="18"/>
        </w:rPr>
        <w:t xml:space="preserve">Соглашение о международной дорожной перевозке опасных грузов (ДОПОГ). Проекты поправок к приложениям </w:t>
      </w:r>
      <w:r w:rsidRPr="005279DD">
        <w:rPr>
          <w:rStyle w:val="af1"/>
          <w:szCs w:val="18"/>
        </w:rPr>
        <w:t>A</w:t>
      </w:r>
      <w:r w:rsidRPr="00E408D6">
        <w:rPr>
          <w:rStyle w:val="af1"/>
          <w:szCs w:val="18"/>
        </w:rPr>
        <w:t xml:space="preserve"> и </w:t>
      </w:r>
      <w:r w:rsidRPr="005279DD">
        <w:rPr>
          <w:rStyle w:val="af1"/>
          <w:szCs w:val="18"/>
        </w:rPr>
        <w:t>B</w:t>
      </w:r>
      <w:r w:rsidRPr="00E408D6">
        <w:rPr>
          <w:rStyle w:val="af1"/>
          <w:szCs w:val="18"/>
        </w:rPr>
        <w:t xml:space="preserve"> к ДОПОГ ЕЭК ООН.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8407" w14:textId="43760B39" w:rsidR="000B0983" w:rsidRPr="000B0983" w:rsidRDefault="00BB6402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0B0983">
      <w:t>ECE/TRANS/WP.29/GRSG/2022/29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45D6" w14:textId="5A58D1B2" w:rsidR="000B0983" w:rsidRPr="000B0983" w:rsidRDefault="00BB6402" w:rsidP="000B0983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0B0983">
      <w:t>ECE/TRANS/WP.29/GRSG/2022/29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9464" w14:textId="77777777" w:rsidR="000B0983" w:rsidRDefault="000B0983" w:rsidP="000B098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37"/>
    <w:rsid w:val="00033EE1"/>
    <w:rsid w:val="00042B72"/>
    <w:rsid w:val="000558BD"/>
    <w:rsid w:val="00086088"/>
    <w:rsid w:val="000B0983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61437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A2760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3A6"/>
    <w:rsid w:val="006D461A"/>
    <w:rsid w:val="006F35EE"/>
    <w:rsid w:val="007021FF"/>
    <w:rsid w:val="00712895"/>
    <w:rsid w:val="00734ACB"/>
    <w:rsid w:val="00757357"/>
    <w:rsid w:val="00792497"/>
    <w:rsid w:val="007C264C"/>
    <w:rsid w:val="007E66B1"/>
    <w:rsid w:val="00806737"/>
    <w:rsid w:val="00825F8D"/>
    <w:rsid w:val="00834B71"/>
    <w:rsid w:val="0086445C"/>
    <w:rsid w:val="00894693"/>
    <w:rsid w:val="008A08D7"/>
    <w:rsid w:val="008A37C8"/>
    <w:rsid w:val="008A5A6D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14F84"/>
    <w:rsid w:val="00C60F0C"/>
    <w:rsid w:val="00C71213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D7B13"/>
    <w:rsid w:val="00DE32CD"/>
    <w:rsid w:val="00DF5767"/>
    <w:rsid w:val="00DF71B9"/>
    <w:rsid w:val="00E12C5F"/>
    <w:rsid w:val="00E73F76"/>
    <w:rsid w:val="00EA2C9F"/>
    <w:rsid w:val="00EA420E"/>
    <w:rsid w:val="00ED0BDA"/>
    <w:rsid w:val="00ED3DDB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505B8A"/>
  <w15:docId w15:val="{493A9653-D3C9-458E-875C-4FE4AA49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BVI fnr, BVI fnr,Footnote symbol,Footnote,Footnote Reference Superscript,SUPERS,-E Fußnotenzeichen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3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uiPriority w:val="99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0B0983"/>
    <w:rPr>
      <w:lang w:val="ru-RU" w:eastAsia="en-US"/>
    </w:rPr>
  </w:style>
  <w:style w:type="character" w:customStyle="1" w:styleId="HChGChar">
    <w:name w:val="_ H _Ch_G Char"/>
    <w:link w:val="HChG"/>
    <w:locked/>
    <w:rsid w:val="000B0983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nece.org/transport/documents/2022/02/reports/agreement-concerning-international-carriage-dangerous-goo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ce.org/transport/documents/2022/02/reports/agreement-concerning-international-carriage-dangerous-goods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A6E5-8FCA-44EE-9555-FCA2479E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6</Pages>
  <Words>1115</Words>
  <Characters>9925</Characters>
  <Application>Microsoft Office Word</Application>
  <DocSecurity>0</DocSecurity>
  <Lines>902</Lines>
  <Paragraphs>367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ECE/TRANS/WP.29/GRSG/2022/29</vt:lpstr>
      <vt:lpstr>A/</vt:lpstr>
      <vt:lpstr>A/</vt:lpstr>
    </vt:vector>
  </TitlesOfParts>
  <Company>DCM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ECE/TRANS/WP.29/GRSG/2022/29</dc:title>
  <dc:subject/>
  <dc:creator>Olga OVTCHINNIKOVA</dc:creator>
  <cp:keywords/>
  <cp:lastModifiedBy>Olga Ovchinnikova</cp:lastModifiedBy>
  <cp:revision>2</cp:revision>
  <cp:lastPrinted>2008-01-15T07:58:00Z</cp:lastPrinted>
  <dcterms:created xsi:type="dcterms:W3CDTF">2022-08-15T13:38:00Z</dcterms:created>
  <dcterms:modified xsi:type="dcterms:W3CDTF">2022-08-15T13:38:00Z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