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6E7E63A7" w14:textId="77777777" w:rsidTr="00C97039">
        <w:trPr>
          <w:trHeight w:hRule="exact" w:val="851"/>
        </w:trPr>
        <w:tc>
          <w:tcPr>
            <w:tcW w:w="1276" w:type="dxa"/>
            <w:tcBorders>
              <w:bottom w:val="single" w:sz="4" w:space="0" w:color="auto"/>
            </w:tcBorders>
          </w:tcPr>
          <w:p w14:paraId="57D150D7" w14:textId="77777777" w:rsidR="00F35BAF" w:rsidRPr="00DB58B5" w:rsidRDefault="00F35BAF" w:rsidP="00860702"/>
        </w:tc>
        <w:tc>
          <w:tcPr>
            <w:tcW w:w="2268" w:type="dxa"/>
            <w:tcBorders>
              <w:bottom w:val="single" w:sz="4" w:space="0" w:color="auto"/>
            </w:tcBorders>
            <w:vAlign w:val="bottom"/>
          </w:tcPr>
          <w:p w14:paraId="14172FCF"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5891DAA9" w14:textId="71B5AB50" w:rsidR="00F35BAF" w:rsidRPr="00DB58B5" w:rsidRDefault="00860702" w:rsidP="00860702">
            <w:pPr>
              <w:jc w:val="right"/>
            </w:pPr>
            <w:r w:rsidRPr="00860702">
              <w:rPr>
                <w:sz w:val="40"/>
              </w:rPr>
              <w:t>ECE</w:t>
            </w:r>
            <w:r>
              <w:t>/TRANS/WP.29/GRSG/2022/28</w:t>
            </w:r>
          </w:p>
        </w:tc>
      </w:tr>
      <w:tr w:rsidR="00F35BAF" w:rsidRPr="00DB58B5" w14:paraId="48A95656" w14:textId="77777777" w:rsidTr="00C97039">
        <w:trPr>
          <w:trHeight w:hRule="exact" w:val="2835"/>
        </w:trPr>
        <w:tc>
          <w:tcPr>
            <w:tcW w:w="1276" w:type="dxa"/>
            <w:tcBorders>
              <w:top w:val="single" w:sz="4" w:space="0" w:color="auto"/>
              <w:bottom w:val="single" w:sz="12" w:space="0" w:color="auto"/>
            </w:tcBorders>
          </w:tcPr>
          <w:p w14:paraId="01C1EAD8" w14:textId="77777777" w:rsidR="00F35BAF" w:rsidRPr="00DB58B5" w:rsidRDefault="00F35BAF" w:rsidP="00C97039">
            <w:pPr>
              <w:spacing w:before="120"/>
              <w:jc w:val="center"/>
            </w:pPr>
            <w:r>
              <w:rPr>
                <w:noProof/>
                <w:lang w:eastAsia="fr-CH"/>
              </w:rPr>
              <w:drawing>
                <wp:inline distT="0" distB="0" distL="0" distR="0" wp14:anchorId="250A8CAD" wp14:editId="20C37C1A">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75B069C"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540557A6" w14:textId="77777777" w:rsidR="00F35BAF" w:rsidRDefault="00860702" w:rsidP="00C97039">
            <w:pPr>
              <w:spacing w:before="240"/>
            </w:pPr>
            <w:r>
              <w:t>Distr. générale</w:t>
            </w:r>
          </w:p>
          <w:p w14:paraId="2294B92C" w14:textId="77777777" w:rsidR="00860702" w:rsidRDefault="00860702" w:rsidP="00860702">
            <w:pPr>
              <w:spacing w:line="240" w:lineRule="exact"/>
            </w:pPr>
            <w:r>
              <w:t>22 juillet 2022</w:t>
            </w:r>
          </w:p>
          <w:p w14:paraId="2C0EB02D" w14:textId="77777777" w:rsidR="00860702" w:rsidRDefault="00860702" w:rsidP="00860702">
            <w:pPr>
              <w:spacing w:line="240" w:lineRule="exact"/>
            </w:pPr>
            <w:r>
              <w:t>Français</w:t>
            </w:r>
          </w:p>
          <w:p w14:paraId="4A19539C" w14:textId="1D71BDF6" w:rsidR="00860702" w:rsidRPr="00DB58B5" w:rsidRDefault="00860702" w:rsidP="00860702">
            <w:pPr>
              <w:spacing w:line="240" w:lineRule="exact"/>
            </w:pPr>
            <w:r>
              <w:t>Original</w:t>
            </w:r>
            <w:r w:rsidR="00BD16F2">
              <w:t> :</w:t>
            </w:r>
            <w:r>
              <w:t xml:space="preserve"> anglais</w:t>
            </w:r>
          </w:p>
        </w:tc>
      </w:tr>
    </w:tbl>
    <w:p w14:paraId="23620785" w14:textId="77777777" w:rsidR="007F20FA" w:rsidRPr="000312C0" w:rsidRDefault="007F20FA" w:rsidP="007F20FA">
      <w:pPr>
        <w:spacing w:before="120"/>
        <w:rPr>
          <w:b/>
          <w:sz w:val="28"/>
          <w:szCs w:val="28"/>
        </w:rPr>
      </w:pPr>
      <w:r w:rsidRPr="000312C0">
        <w:rPr>
          <w:b/>
          <w:sz w:val="28"/>
          <w:szCs w:val="28"/>
        </w:rPr>
        <w:t>Commission économique pour l’Europe</w:t>
      </w:r>
    </w:p>
    <w:p w14:paraId="02C750D6" w14:textId="77777777" w:rsidR="007F20FA" w:rsidRDefault="007F20FA" w:rsidP="007F20FA">
      <w:pPr>
        <w:spacing w:before="120"/>
        <w:rPr>
          <w:sz w:val="28"/>
          <w:szCs w:val="28"/>
        </w:rPr>
      </w:pPr>
      <w:r w:rsidRPr="00685843">
        <w:rPr>
          <w:sz w:val="28"/>
          <w:szCs w:val="28"/>
        </w:rPr>
        <w:t>Comité des transports intérieurs</w:t>
      </w:r>
    </w:p>
    <w:p w14:paraId="5BFA7415" w14:textId="68D67FB8" w:rsidR="00BD16F2" w:rsidRPr="00BD16F2" w:rsidRDefault="00BD16F2" w:rsidP="00BD16F2">
      <w:pPr>
        <w:spacing w:before="120"/>
        <w:rPr>
          <w:b/>
          <w:sz w:val="24"/>
          <w:szCs w:val="24"/>
        </w:rPr>
      </w:pPr>
      <w:r w:rsidRPr="00BD16F2">
        <w:rPr>
          <w:b/>
          <w:bCs/>
          <w:sz w:val="24"/>
          <w:szCs w:val="24"/>
          <w:lang w:val="fr-FR"/>
        </w:rPr>
        <w:t xml:space="preserve">Forum mondial de l’harmonisation </w:t>
      </w:r>
      <w:r>
        <w:rPr>
          <w:b/>
          <w:bCs/>
          <w:sz w:val="24"/>
          <w:szCs w:val="24"/>
          <w:lang w:val="fr-FR"/>
        </w:rPr>
        <w:br/>
      </w:r>
      <w:r w:rsidRPr="00BD16F2">
        <w:rPr>
          <w:b/>
          <w:bCs/>
          <w:sz w:val="24"/>
          <w:szCs w:val="24"/>
          <w:lang w:val="fr-FR"/>
        </w:rPr>
        <w:t>des Règlements concernant les véhicules</w:t>
      </w:r>
    </w:p>
    <w:p w14:paraId="324423EB" w14:textId="77777777" w:rsidR="00BD16F2" w:rsidRPr="00477FCF" w:rsidRDefault="00BD16F2" w:rsidP="00BD16F2">
      <w:pPr>
        <w:spacing w:before="120"/>
        <w:rPr>
          <w:b/>
        </w:rPr>
      </w:pPr>
      <w:r>
        <w:rPr>
          <w:b/>
          <w:bCs/>
          <w:lang w:val="fr-FR"/>
        </w:rPr>
        <w:t>Groupe de travail des dispositions générales de sécurité</w:t>
      </w:r>
    </w:p>
    <w:p w14:paraId="7B22C37D" w14:textId="77777777" w:rsidR="00BD16F2" w:rsidRPr="00477FCF" w:rsidRDefault="00BD16F2" w:rsidP="00BD16F2">
      <w:pPr>
        <w:tabs>
          <w:tab w:val="center" w:pos="4819"/>
        </w:tabs>
        <w:spacing w:before="120"/>
        <w:rPr>
          <w:b/>
        </w:rPr>
      </w:pPr>
      <w:r>
        <w:rPr>
          <w:b/>
          <w:bCs/>
          <w:lang w:val="fr-FR"/>
        </w:rPr>
        <w:t>124</w:t>
      </w:r>
      <w:r>
        <w:rPr>
          <w:b/>
          <w:bCs/>
          <w:vertAlign w:val="superscript"/>
          <w:lang w:val="fr-FR"/>
        </w:rPr>
        <w:t>e</w:t>
      </w:r>
      <w:r>
        <w:rPr>
          <w:b/>
          <w:bCs/>
          <w:lang w:val="fr-FR"/>
        </w:rPr>
        <w:t xml:space="preserve"> session</w:t>
      </w:r>
    </w:p>
    <w:p w14:paraId="7FB2796F" w14:textId="77777777" w:rsidR="00BD16F2" w:rsidRPr="00477FCF" w:rsidRDefault="00BD16F2" w:rsidP="00BD16F2">
      <w:pPr>
        <w:rPr>
          <w:rFonts w:asciiTheme="majorBidi" w:hAnsiTheme="majorBidi" w:cstheme="majorBidi"/>
        </w:rPr>
      </w:pPr>
      <w:r>
        <w:rPr>
          <w:lang w:val="fr-FR"/>
        </w:rPr>
        <w:t>Genève, 11-14 octobre 2022</w:t>
      </w:r>
    </w:p>
    <w:p w14:paraId="7CE98E3B" w14:textId="77777777" w:rsidR="00BD16F2" w:rsidRPr="00477FCF" w:rsidRDefault="00BD16F2" w:rsidP="00BD16F2">
      <w:r>
        <w:rPr>
          <w:lang w:val="fr-FR"/>
        </w:rPr>
        <w:t>Point 15 de l’ordre du jour provisoire</w:t>
      </w:r>
    </w:p>
    <w:p w14:paraId="270277D4" w14:textId="23E4FAE8" w:rsidR="00BD16F2" w:rsidRPr="00477FCF" w:rsidRDefault="00BD16F2" w:rsidP="00BD16F2">
      <w:pPr>
        <w:rPr>
          <w:b/>
          <w:bCs/>
        </w:rPr>
      </w:pPr>
      <w:r>
        <w:rPr>
          <w:b/>
          <w:bCs/>
          <w:lang w:val="fr-FR"/>
        </w:rPr>
        <w:t xml:space="preserve">Règlement ONU </w:t>
      </w:r>
      <w:r w:rsidRPr="00BD16F2">
        <w:rPr>
          <w:rFonts w:eastAsia="MS Mincho"/>
          <w:b/>
          <w:bCs/>
          <w:lang w:val="fr-FR"/>
        </w:rPr>
        <w:t>n</w:t>
      </w:r>
      <w:r w:rsidRPr="00BD16F2">
        <w:rPr>
          <w:rFonts w:eastAsia="MS Mincho"/>
          <w:b/>
          <w:bCs/>
          <w:vertAlign w:val="superscript"/>
          <w:lang w:val="fr-FR"/>
        </w:rPr>
        <w:t>o</w:t>
      </w:r>
      <w:r>
        <w:rPr>
          <w:b/>
          <w:bCs/>
          <w:lang w:val="fr-FR"/>
        </w:rPr>
        <w:t> </w:t>
      </w:r>
      <w:r>
        <w:rPr>
          <w:b/>
          <w:bCs/>
          <w:lang w:val="fr-FR"/>
        </w:rPr>
        <w:t>144 (Systèmes automatiques d’appel d’urgence)</w:t>
      </w:r>
    </w:p>
    <w:p w14:paraId="24BBC660" w14:textId="77777777" w:rsidR="00BD16F2" w:rsidRPr="009D03DE" w:rsidRDefault="00BD16F2" w:rsidP="00BD16F2">
      <w:pPr>
        <w:pStyle w:val="HChG"/>
        <w:rPr>
          <w:szCs w:val="28"/>
        </w:rPr>
      </w:pPr>
      <w:r>
        <w:rPr>
          <w:lang w:val="fr-FR"/>
        </w:rPr>
        <w:tab/>
      </w:r>
      <w:r w:rsidRPr="009D03DE">
        <w:rPr>
          <w:lang w:val="fr-FR"/>
        </w:rPr>
        <w:tab/>
        <w:t>Proposition</w:t>
      </w:r>
      <w:r>
        <w:rPr>
          <w:lang w:val="fr-FR"/>
        </w:rPr>
        <w:t xml:space="preserve"> Orientations</w:t>
      </w:r>
      <w:r w:rsidRPr="009D03DE">
        <w:rPr>
          <w:lang w:val="fr-FR"/>
        </w:rPr>
        <w:t xml:space="preserve"> concernant les systèmes d</w:t>
      </w:r>
      <w:r>
        <w:rPr>
          <w:lang w:val="fr-FR"/>
        </w:rPr>
        <w:t>’</w:t>
      </w:r>
      <w:r w:rsidRPr="009D03DE">
        <w:rPr>
          <w:lang w:val="fr-FR"/>
        </w:rPr>
        <w:t>appel d</w:t>
      </w:r>
      <w:r>
        <w:rPr>
          <w:lang w:val="fr-FR"/>
        </w:rPr>
        <w:t>’</w:t>
      </w:r>
      <w:r w:rsidRPr="009D03DE">
        <w:rPr>
          <w:lang w:val="fr-FR"/>
        </w:rPr>
        <w:t>urgence</w:t>
      </w:r>
      <w:bookmarkStart w:id="0" w:name="_Hlk109048375"/>
      <w:bookmarkEnd w:id="0"/>
    </w:p>
    <w:p w14:paraId="52B619DB" w14:textId="1560A93F" w:rsidR="00BD16F2" w:rsidRDefault="00BD16F2" w:rsidP="00BD16F2">
      <w:pPr>
        <w:pStyle w:val="H1G"/>
        <w:rPr>
          <w:lang w:val="fr-FR"/>
        </w:rPr>
      </w:pPr>
      <w:r>
        <w:rPr>
          <w:lang w:val="fr-FR"/>
        </w:rPr>
        <w:tab/>
      </w:r>
      <w:r>
        <w:rPr>
          <w:lang w:val="fr-FR"/>
        </w:rPr>
        <w:tab/>
      </w:r>
      <w:r>
        <w:rPr>
          <w:lang w:val="fr-FR"/>
        </w:rPr>
        <w:t>Communication de l’expert de l’Allemagne</w:t>
      </w:r>
      <w:r w:rsidRPr="00BD16F2">
        <w:rPr>
          <w:b w:val="0"/>
          <w:bCs/>
          <w:sz w:val="20"/>
          <w:lang w:val="fr-FR"/>
        </w:rPr>
        <w:footnoteReference w:customMarkFollows="1" w:id="2"/>
        <w:t>*</w:t>
      </w:r>
    </w:p>
    <w:p w14:paraId="2F0ABD41" w14:textId="4BED40CC" w:rsidR="00BD16F2" w:rsidRDefault="00BD16F2" w:rsidP="00BD16F2">
      <w:pPr>
        <w:pStyle w:val="SingleTxtG"/>
        <w:ind w:firstLine="567"/>
        <w:rPr>
          <w:lang w:val="fr-FR"/>
        </w:rPr>
      </w:pPr>
      <w:r>
        <w:rPr>
          <w:lang w:val="fr-FR"/>
        </w:rPr>
        <w:t>Le texte ci-après a été établi par l’expert de l’Allemagne au nom du groupe de travail informel de la compatibilité électromagnétique, qui relève du Groupe de travail de l’éclairage et de la signalisation lumineuse (ci</w:t>
      </w:r>
      <w:r>
        <w:rPr>
          <w:lang w:val="fr-FR"/>
        </w:rPr>
        <w:t>-</w:t>
      </w:r>
      <w:r>
        <w:rPr>
          <w:lang w:val="fr-FR"/>
        </w:rPr>
        <w:t xml:space="preserve">après </w:t>
      </w:r>
      <w:r>
        <w:rPr>
          <w:lang w:val="fr-FR"/>
        </w:rPr>
        <w:t>« </w:t>
      </w:r>
      <w:r>
        <w:rPr>
          <w:lang w:val="fr-FR"/>
        </w:rPr>
        <w:t>le groupe de travail informel</w:t>
      </w:r>
      <w:r>
        <w:rPr>
          <w:lang w:val="fr-FR"/>
        </w:rPr>
        <w:t> »</w:t>
      </w:r>
      <w:r>
        <w:rPr>
          <w:lang w:val="fr-FR"/>
        </w:rPr>
        <w:t>). Il vise à la formulation, par le Groupe de travail des dispositions générales de sécurité (GRSG), d’orientations sur certains aspects des essais des systèmes d’appel d’urgence.</w:t>
      </w:r>
    </w:p>
    <w:p w14:paraId="4A0B2028" w14:textId="77777777" w:rsidR="00BD16F2" w:rsidRPr="00477FCF" w:rsidRDefault="00BD16F2" w:rsidP="00BD16F2">
      <w:pPr>
        <w:suppressAutoHyphens w:val="0"/>
        <w:spacing w:line="240" w:lineRule="auto"/>
      </w:pPr>
      <w:r w:rsidRPr="00477FCF">
        <w:br w:type="page"/>
      </w:r>
    </w:p>
    <w:p w14:paraId="27DD8B8E" w14:textId="50C8EC40" w:rsidR="00BD16F2" w:rsidRPr="00477FCF" w:rsidRDefault="00BD16F2" w:rsidP="00BD16F2">
      <w:pPr>
        <w:pStyle w:val="HChG"/>
      </w:pPr>
      <w:r>
        <w:lastRenderedPageBreak/>
        <w:tab/>
      </w:r>
      <w:r w:rsidRPr="00477FCF">
        <w:t>I.</w:t>
      </w:r>
      <w:r w:rsidRPr="00477FCF">
        <w:tab/>
      </w:r>
      <w:r>
        <w:rPr>
          <w:lang w:val="fr-FR"/>
        </w:rPr>
        <w:t>Proposition</w:t>
      </w:r>
    </w:p>
    <w:p w14:paraId="793F8513" w14:textId="77777777" w:rsidR="00BD16F2" w:rsidRPr="00477FCF" w:rsidRDefault="00BD16F2" w:rsidP="00BD16F2">
      <w:pPr>
        <w:pStyle w:val="H1G"/>
      </w:pPr>
      <w:r>
        <w:rPr>
          <w:lang w:val="fr-FR"/>
        </w:rPr>
        <w:tab/>
      </w:r>
      <w:r>
        <w:rPr>
          <w:lang w:val="fr-FR"/>
        </w:rPr>
        <w:tab/>
        <w:t>Orientations concernant les systèmes d’appel d’urgence</w:t>
      </w:r>
    </w:p>
    <w:p w14:paraId="14E1167A" w14:textId="1CF96E3B" w:rsidR="00BD16F2" w:rsidRDefault="00BD16F2" w:rsidP="00BD16F2">
      <w:pPr>
        <w:pStyle w:val="SingleTxtG"/>
        <w:rPr>
          <w:lang w:val="fr-FR"/>
        </w:rPr>
      </w:pPr>
      <w:r>
        <w:rPr>
          <w:lang w:val="fr-FR"/>
        </w:rPr>
        <w:t>1.</w:t>
      </w:r>
      <w:r>
        <w:rPr>
          <w:lang w:val="fr-FR"/>
        </w:rPr>
        <w:tab/>
        <w:t xml:space="preserve">Les experts du groupe de travail informel révisent actuellement le Règlement ONU </w:t>
      </w:r>
      <w:r w:rsidRPr="00BD16F2">
        <w:rPr>
          <w:rFonts w:eastAsia="MS Mincho"/>
          <w:lang w:val="fr-FR"/>
        </w:rPr>
        <w:t>n</w:t>
      </w:r>
      <w:r w:rsidRPr="00BD16F2">
        <w:rPr>
          <w:rFonts w:eastAsia="MS Mincho"/>
          <w:vertAlign w:val="superscript"/>
          <w:lang w:val="fr-FR"/>
        </w:rPr>
        <w:t>o</w:t>
      </w:r>
      <w:r>
        <w:rPr>
          <w:lang w:val="fr-FR"/>
        </w:rPr>
        <w:t> </w:t>
      </w:r>
      <w:r>
        <w:rPr>
          <w:lang w:val="fr-FR"/>
        </w:rPr>
        <w:t>10 et ont décidé d’y inclure un essai d’immunité rayonnée au niveau du véhicule pour les systèmes d’appel d’urgence. Cependant, certains aspects de l’essai ne sont pas encore clairement définis et le groupe de travail informel cherche à obtenir des orientations du GRSG à ce sujet.</w:t>
      </w:r>
    </w:p>
    <w:p w14:paraId="1A280171" w14:textId="71876396" w:rsidR="00BD16F2" w:rsidRPr="00477FCF" w:rsidRDefault="00BD16F2" w:rsidP="00BD16F2">
      <w:pPr>
        <w:pStyle w:val="SingleTxtG"/>
        <w:rPr>
          <w:bCs/>
        </w:rPr>
      </w:pPr>
      <w:r>
        <w:rPr>
          <w:lang w:val="fr-FR"/>
        </w:rPr>
        <w:t>2.</w:t>
      </w:r>
      <w:r>
        <w:rPr>
          <w:lang w:val="fr-FR"/>
        </w:rPr>
        <w:tab/>
        <w:t>Quatre points restent en suspens</w:t>
      </w:r>
      <w:r>
        <w:rPr>
          <w:lang w:val="fr-FR"/>
        </w:rPr>
        <w:t> :</w:t>
      </w:r>
      <w:r>
        <w:rPr>
          <w:lang w:val="fr-FR"/>
        </w:rPr>
        <w:t xml:space="preserve"> la définition du mode de fonctionnement, les paramètres d’essai appropriés, l’environnement d’essai et les critères d’échec pour un essai reproductible des systèmes d’appel d’urgence. Les observations, suggestions et contributions des experts du GRSG en matière de systèmes d’appel d’urgence sont les bienvenues.</w:t>
      </w:r>
    </w:p>
    <w:p w14:paraId="0BCC0B98" w14:textId="10E67268" w:rsidR="00BD16F2" w:rsidRPr="00477FCF" w:rsidRDefault="00BD16F2" w:rsidP="00BD16F2">
      <w:pPr>
        <w:pStyle w:val="SingleTxtG"/>
        <w:keepNext/>
      </w:pPr>
      <w:r>
        <w:rPr>
          <w:lang w:val="fr-FR"/>
        </w:rPr>
        <w:t>3.</w:t>
      </w:r>
      <w:r>
        <w:rPr>
          <w:lang w:val="fr-FR"/>
        </w:rPr>
        <w:tab/>
        <w:t>Le groupe de travail informel</w:t>
      </w:r>
      <w:r w:rsidR="00907CFB">
        <w:rPr>
          <w:lang w:val="fr-FR"/>
        </w:rPr>
        <w:t xml:space="preserve"> </w:t>
      </w:r>
      <w:r>
        <w:rPr>
          <w:lang w:val="fr-FR"/>
        </w:rPr>
        <w:t>étudie actuellement deux scénarios principaux</w:t>
      </w:r>
      <w:r>
        <w:rPr>
          <w:lang w:val="fr-FR"/>
        </w:rPr>
        <w:t> :</w:t>
      </w:r>
    </w:p>
    <w:p w14:paraId="2DE57AE5" w14:textId="286837F6" w:rsidR="00BD16F2" w:rsidRPr="00477FCF" w:rsidRDefault="00BD16F2" w:rsidP="00BD16F2">
      <w:pPr>
        <w:pStyle w:val="SingleTxtG"/>
        <w:ind w:left="2268" w:hanging="567"/>
      </w:pPr>
      <w:r>
        <w:rPr>
          <w:lang w:val="fr-FR"/>
        </w:rPr>
        <w:t>a)</w:t>
      </w:r>
      <w:r>
        <w:rPr>
          <w:lang w:val="fr-FR"/>
        </w:rPr>
        <w:tab/>
        <w:t>Déclenchement de l’appel d’urgence avant et après l’essai d’immunité (voir tableau 1)</w:t>
      </w:r>
      <w:r>
        <w:rPr>
          <w:lang w:val="fr-FR"/>
        </w:rPr>
        <w:t> ;</w:t>
      </w:r>
    </w:p>
    <w:p w14:paraId="57A87144" w14:textId="77777777" w:rsidR="00BD16F2" w:rsidRDefault="00BD16F2" w:rsidP="00BD16F2">
      <w:pPr>
        <w:pStyle w:val="SingleTxtG"/>
        <w:ind w:left="2268" w:hanging="567"/>
      </w:pPr>
      <w:r>
        <w:rPr>
          <w:lang w:val="fr-FR"/>
        </w:rPr>
        <w:t>b)</w:t>
      </w:r>
      <w:r>
        <w:rPr>
          <w:lang w:val="fr-FR"/>
        </w:rPr>
        <w:tab/>
        <w:t>Déclenchement de l’appel d’urgence avant, pendant et après l’essai d’immunité (voir tableaux 2a et 2b).</w:t>
      </w:r>
    </w:p>
    <w:p w14:paraId="740E21E1" w14:textId="77777777" w:rsidR="00BD16F2" w:rsidRPr="00477FCF" w:rsidRDefault="00BD16F2" w:rsidP="00BD16F2">
      <w:pPr>
        <w:pStyle w:val="Titre1"/>
      </w:pPr>
      <w:r>
        <w:rPr>
          <w:lang w:val="fr-FR"/>
        </w:rPr>
        <w:t>Tableau 1</w:t>
      </w:r>
    </w:p>
    <w:p w14:paraId="5D36AF52" w14:textId="77777777" w:rsidR="00BD16F2" w:rsidRPr="00BD16F2" w:rsidRDefault="00BD16F2" w:rsidP="00BD16F2">
      <w:pPr>
        <w:pStyle w:val="SingleTxtG"/>
        <w:keepNext/>
        <w:jc w:val="left"/>
        <w:rPr>
          <w:b/>
          <w:bCs/>
        </w:rPr>
      </w:pPr>
      <w:r w:rsidRPr="00BD16F2">
        <w:rPr>
          <w:b/>
          <w:bCs/>
          <w:lang w:val="fr-FR"/>
        </w:rPr>
        <w:t>Déclenchement de l’appel d’urgence avant et après l’essai d’immunité</w:t>
      </w:r>
    </w:p>
    <w:tbl>
      <w:tblPr>
        <w:tblW w:w="7370" w:type="dxa"/>
        <w:tblInd w:w="1134" w:type="dxa"/>
        <w:tblLayout w:type="fixed"/>
        <w:tblCellMar>
          <w:left w:w="0" w:type="dxa"/>
          <w:right w:w="0" w:type="dxa"/>
        </w:tblCellMar>
        <w:tblLook w:val="04A0" w:firstRow="1" w:lastRow="0" w:firstColumn="1" w:lastColumn="0" w:noHBand="0" w:noVBand="1"/>
      </w:tblPr>
      <w:tblGrid>
        <w:gridCol w:w="3815"/>
        <w:gridCol w:w="3555"/>
      </w:tblGrid>
      <w:tr w:rsidR="00BD16F2" w:rsidRPr="00BD16F2" w14:paraId="5CE28D19" w14:textId="77777777" w:rsidTr="00BD16F2">
        <w:trPr>
          <w:cantSplit/>
          <w:tblHeader/>
        </w:trPr>
        <w:tc>
          <w:tcPr>
            <w:tcW w:w="3815" w:type="dxa"/>
            <w:tcBorders>
              <w:top w:val="single" w:sz="4" w:space="0" w:color="auto"/>
              <w:bottom w:val="single" w:sz="12" w:space="0" w:color="auto"/>
            </w:tcBorders>
            <w:shd w:val="clear" w:color="auto" w:fill="auto"/>
            <w:vAlign w:val="bottom"/>
            <w:hideMark/>
          </w:tcPr>
          <w:p w14:paraId="15F0BCED" w14:textId="52B790F4" w:rsidR="00BD16F2" w:rsidRPr="00BD16F2" w:rsidRDefault="00BD16F2" w:rsidP="00BD16F2">
            <w:pPr>
              <w:spacing w:before="80" w:after="80" w:line="200" w:lineRule="exact"/>
              <w:ind w:right="113"/>
              <w:rPr>
                <w:bCs/>
                <w:i/>
                <w:sz w:val="16"/>
              </w:rPr>
            </w:pPr>
            <w:r w:rsidRPr="00BD16F2">
              <w:rPr>
                <w:i/>
                <w:sz w:val="16"/>
                <w:lang w:val="fr-FR"/>
              </w:rPr>
              <w:t xml:space="preserve">Conditions d’essai du véhicule applicables aux </w:t>
            </w:r>
            <w:r w:rsidRPr="00BD16F2">
              <w:rPr>
                <w:i/>
                <w:sz w:val="16"/>
                <w:lang w:val="fr-FR"/>
              </w:rPr>
              <w:t>« </w:t>
            </w:r>
            <w:r w:rsidRPr="00BD16F2">
              <w:rPr>
                <w:i/>
                <w:sz w:val="16"/>
                <w:lang w:val="fr-FR"/>
              </w:rPr>
              <w:t>systèmes d’appel d’urgence</w:t>
            </w:r>
            <w:r w:rsidRPr="00BD16F2">
              <w:rPr>
                <w:i/>
                <w:sz w:val="16"/>
                <w:lang w:val="fr-FR"/>
              </w:rPr>
              <w:t> »</w:t>
            </w:r>
          </w:p>
        </w:tc>
        <w:tc>
          <w:tcPr>
            <w:tcW w:w="3555" w:type="dxa"/>
            <w:tcBorders>
              <w:top w:val="single" w:sz="4" w:space="0" w:color="auto"/>
              <w:bottom w:val="single" w:sz="12" w:space="0" w:color="auto"/>
            </w:tcBorders>
            <w:shd w:val="clear" w:color="auto" w:fill="auto"/>
            <w:vAlign w:val="bottom"/>
            <w:hideMark/>
          </w:tcPr>
          <w:p w14:paraId="4F8C854C" w14:textId="77777777" w:rsidR="00BD16F2" w:rsidRPr="00BD16F2" w:rsidRDefault="00BD16F2" w:rsidP="00907CFB">
            <w:pPr>
              <w:spacing w:before="80" w:after="80" w:line="200" w:lineRule="exact"/>
              <w:rPr>
                <w:bCs/>
                <w:i/>
                <w:sz w:val="16"/>
              </w:rPr>
            </w:pPr>
            <w:r w:rsidRPr="00BD16F2">
              <w:rPr>
                <w:i/>
                <w:sz w:val="16"/>
                <w:lang w:val="fr-FR"/>
              </w:rPr>
              <w:t>Critères d’échec</w:t>
            </w:r>
          </w:p>
        </w:tc>
      </w:tr>
      <w:tr w:rsidR="00BD16F2" w:rsidRPr="00BD16F2" w14:paraId="009588FD" w14:textId="77777777" w:rsidTr="00BD16F2">
        <w:trPr>
          <w:cantSplit/>
          <w:trHeight w:hRule="exact" w:val="113"/>
          <w:tblHeader/>
        </w:trPr>
        <w:tc>
          <w:tcPr>
            <w:tcW w:w="3815" w:type="dxa"/>
            <w:tcBorders>
              <w:top w:val="single" w:sz="12" w:space="0" w:color="auto"/>
            </w:tcBorders>
            <w:shd w:val="clear" w:color="auto" w:fill="auto"/>
          </w:tcPr>
          <w:p w14:paraId="4D5BE94D" w14:textId="77777777" w:rsidR="00BD16F2" w:rsidRPr="00BD16F2" w:rsidRDefault="00BD16F2" w:rsidP="00BD16F2">
            <w:pPr>
              <w:spacing w:before="40" w:after="120"/>
              <w:ind w:right="113"/>
              <w:rPr>
                <w:lang w:val="fr-FR"/>
              </w:rPr>
            </w:pPr>
          </w:p>
        </w:tc>
        <w:tc>
          <w:tcPr>
            <w:tcW w:w="3555" w:type="dxa"/>
            <w:tcBorders>
              <w:top w:val="single" w:sz="12" w:space="0" w:color="auto"/>
            </w:tcBorders>
            <w:shd w:val="clear" w:color="auto" w:fill="auto"/>
          </w:tcPr>
          <w:p w14:paraId="5A1206A3" w14:textId="77777777" w:rsidR="00BD16F2" w:rsidRPr="00BD16F2" w:rsidRDefault="00BD16F2" w:rsidP="00907CFB">
            <w:pPr>
              <w:spacing w:before="40" w:after="120"/>
              <w:rPr>
                <w:lang w:val="fr-FR"/>
              </w:rPr>
            </w:pPr>
          </w:p>
        </w:tc>
      </w:tr>
      <w:tr w:rsidR="00BD16F2" w:rsidRPr="00BD16F2" w14:paraId="4684E877" w14:textId="77777777" w:rsidTr="00BD16F2">
        <w:trPr>
          <w:cantSplit/>
        </w:trPr>
        <w:tc>
          <w:tcPr>
            <w:tcW w:w="3815" w:type="dxa"/>
            <w:tcBorders>
              <w:bottom w:val="single" w:sz="12" w:space="0" w:color="auto"/>
            </w:tcBorders>
            <w:shd w:val="clear" w:color="auto" w:fill="auto"/>
            <w:hideMark/>
          </w:tcPr>
          <w:p w14:paraId="17F5FF0C" w14:textId="3ED6B39F" w:rsidR="00BD16F2" w:rsidRPr="00BD16F2" w:rsidRDefault="00BD16F2" w:rsidP="00BD16F2">
            <w:pPr>
              <w:spacing w:before="40" w:after="120"/>
              <w:ind w:right="113"/>
            </w:pPr>
            <w:r w:rsidRPr="00BD16F2">
              <w:rPr>
                <w:lang w:val="fr-FR"/>
              </w:rPr>
              <w:t xml:space="preserve">Les systèmes d’appel d’urgence doivent être mis à l’épreuve (par déclenchement manuel ou automatique à l’aide d’un réseau simulé ou public) avant et après la réalisation des essais définis dans les conditions d’essai du véhicule pour le mode </w:t>
            </w:r>
            <w:r w:rsidRPr="00BD16F2">
              <w:rPr>
                <w:lang w:val="fr-FR"/>
              </w:rPr>
              <w:t>« </w:t>
            </w:r>
            <w:r w:rsidRPr="00BD16F2">
              <w:rPr>
                <w:lang w:val="fr-FR"/>
              </w:rPr>
              <w:t>50 km/</w:t>
            </w:r>
            <w:r w:rsidRPr="00BD16F2">
              <w:rPr>
                <w:lang w:val="fr-FR"/>
              </w:rPr>
              <w:t>h »</w:t>
            </w:r>
            <w:r w:rsidRPr="00BD16F2">
              <w:rPr>
                <w:lang w:val="fr-FR"/>
              </w:rPr>
              <w:t xml:space="preserve"> ou le mode </w:t>
            </w:r>
            <w:r w:rsidRPr="00BD16F2">
              <w:rPr>
                <w:lang w:val="fr-FR"/>
              </w:rPr>
              <w:t>« </w:t>
            </w:r>
            <w:r w:rsidRPr="00BD16F2">
              <w:rPr>
                <w:lang w:val="fr-FR"/>
              </w:rPr>
              <w:t>freinage</w:t>
            </w:r>
            <w:r w:rsidRPr="00BD16F2">
              <w:rPr>
                <w:lang w:val="fr-FR"/>
              </w:rPr>
              <w:t> »</w:t>
            </w:r>
            <w:r w:rsidRPr="00BD16F2">
              <w:rPr>
                <w:lang w:val="fr-FR"/>
              </w:rPr>
              <w:t>.</w:t>
            </w:r>
          </w:p>
        </w:tc>
        <w:tc>
          <w:tcPr>
            <w:tcW w:w="3555" w:type="dxa"/>
            <w:tcBorders>
              <w:bottom w:val="single" w:sz="12" w:space="0" w:color="auto"/>
            </w:tcBorders>
            <w:shd w:val="clear" w:color="auto" w:fill="auto"/>
            <w:hideMark/>
          </w:tcPr>
          <w:p w14:paraId="53462EF9" w14:textId="77777777" w:rsidR="00BD16F2" w:rsidRPr="00BD16F2" w:rsidRDefault="00BD16F2" w:rsidP="00907CFB">
            <w:pPr>
              <w:spacing w:before="40" w:after="120"/>
            </w:pPr>
            <w:r w:rsidRPr="00BD16F2">
              <w:rPr>
                <w:lang w:val="fr-FR"/>
              </w:rPr>
              <w:t>Mauvais fonctionnement des systèmes d’appel d’urgence (réception incorrecte de l’ensemble minimum de données relatives aux urgences (MSD), connexion audio telle que la compréhension est impossible, défaut de fonctionnement du témoin, etc.)</w:t>
            </w:r>
          </w:p>
        </w:tc>
      </w:tr>
    </w:tbl>
    <w:p w14:paraId="166FDAA2" w14:textId="092D8E9E" w:rsidR="00BD16F2" w:rsidRPr="00477FCF" w:rsidRDefault="00BD16F2" w:rsidP="00BD16F2">
      <w:pPr>
        <w:pStyle w:val="SingleTxtG"/>
        <w:keepNext/>
        <w:spacing w:before="240"/>
      </w:pPr>
      <w:r>
        <w:rPr>
          <w:lang w:val="fr-FR"/>
        </w:rPr>
        <w:t>4.</w:t>
      </w:r>
      <w:r>
        <w:rPr>
          <w:lang w:val="fr-FR"/>
        </w:rPr>
        <w:tab/>
        <w:t>Cette proposition ne nécessite pas le déclenchement d’un système d’appel d’urgence en présence de perturbations rayonnées pour les raisons suivantes</w:t>
      </w:r>
      <w:r>
        <w:rPr>
          <w:lang w:val="fr-FR"/>
        </w:rPr>
        <w:t> :</w:t>
      </w:r>
    </w:p>
    <w:p w14:paraId="5C232356" w14:textId="245CD6C7" w:rsidR="00BD16F2" w:rsidRPr="00477FCF" w:rsidRDefault="00BD16F2" w:rsidP="00BD16F2">
      <w:pPr>
        <w:pStyle w:val="SingleTxtG"/>
        <w:ind w:left="2268" w:hanging="567"/>
      </w:pPr>
      <w:r>
        <w:rPr>
          <w:lang w:val="fr-FR"/>
        </w:rPr>
        <w:t>a)</w:t>
      </w:r>
      <w:r>
        <w:rPr>
          <w:lang w:val="fr-FR"/>
        </w:rPr>
        <w:tab/>
        <w:t>La première raison concerne la double certification</w:t>
      </w:r>
      <w:r>
        <w:rPr>
          <w:lang w:val="fr-FR"/>
        </w:rPr>
        <w:t> :</w:t>
      </w:r>
      <w:r>
        <w:rPr>
          <w:lang w:val="fr-FR"/>
        </w:rPr>
        <w:t xml:space="preserve"> les réglementations nationales ou internationales</w:t>
      </w:r>
      <w:r w:rsidRPr="00BD16F2">
        <w:rPr>
          <w:rStyle w:val="Appelnotedebasdep"/>
        </w:rPr>
        <w:footnoteReference w:id="3"/>
      </w:r>
      <w:r>
        <w:rPr>
          <w:lang w:val="fr-FR"/>
        </w:rPr>
        <w:t xml:space="preserve"> exigent déjà que les modems soient certifiés selon les normes de l’Institut européen des normes de télécommunication (ETSI), y compris celles relatives à la CEM (vérification de la capacité à déclencher un système d’appel d’urgence en présence de perturbations rayonnées). L’introduction, dans un Règlement ONU, de prescriptions qui entrent en conflit avec les spécifications principales créerait des complications supplémentaires pour toutes les parties.</w:t>
      </w:r>
    </w:p>
    <w:p w14:paraId="4B0F73B5" w14:textId="65182E09" w:rsidR="00BD16F2" w:rsidRPr="00BD16F2" w:rsidRDefault="00BD16F2" w:rsidP="00BD16F2">
      <w:pPr>
        <w:pStyle w:val="SingleTxtG"/>
        <w:ind w:left="2268" w:hanging="567"/>
      </w:pPr>
      <w:r>
        <w:rPr>
          <w:lang w:val="fr-FR"/>
        </w:rPr>
        <w:t>b)</w:t>
      </w:r>
      <w:r>
        <w:rPr>
          <w:lang w:val="fr-FR"/>
        </w:rPr>
        <w:tab/>
        <w:t xml:space="preserve">En outre, les fabricants d’équipements pour véhicules et systèmes d’appel d’urgence s’inquiètent du fait que les modems cellulaires des véhicules, qui utilisent des puces de communication radio de pointe, ne sont pas conçus pour fonctionner dans les conditions de sévérité des essais définies dans le Règlement ONU </w:t>
      </w:r>
      <w:r w:rsidRPr="00BD16F2">
        <w:rPr>
          <w:rFonts w:eastAsia="MS Mincho"/>
          <w:lang w:val="fr-FR"/>
        </w:rPr>
        <w:t>n</w:t>
      </w:r>
      <w:r w:rsidRPr="00BD16F2">
        <w:rPr>
          <w:rFonts w:eastAsia="MS Mincho"/>
          <w:vertAlign w:val="superscript"/>
          <w:lang w:val="fr-FR"/>
        </w:rPr>
        <w:t>o</w:t>
      </w:r>
      <w:r>
        <w:rPr>
          <w:lang w:val="fr-FR"/>
        </w:rPr>
        <w:t> </w:t>
      </w:r>
      <w:r>
        <w:rPr>
          <w:lang w:val="fr-FR"/>
        </w:rPr>
        <w:t>10. Le niveau prescrit pour les essais d’immunité rayonnée des équipements de communication cellulaire est de 3 V/m</w:t>
      </w:r>
      <w:r w:rsidR="00907CFB" w:rsidRPr="00907CFB">
        <w:rPr>
          <w:vertAlign w:val="superscript"/>
          <w:lang w:val="fr-FR"/>
        </w:rPr>
        <w:t>[</w:t>
      </w:r>
      <w:r w:rsidRPr="00BD16F2">
        <w:rPr>
          <w:rStyle w:val="Appelnotedebasdep"/>
        </w:rPr>
        <w:footnoteReference w:id="4"/>
      </w:r>
      <w:r w:rsidR="00907CFB" w:rsidRPr="00907CFB">
        <w:rPr>
          <w:vertAlign w:val="superscript"/>
          <w:lang w:val="fr-FR"/>
        </w:rPr>
        <w:t>]</w:t>
      </w:r>
      <w:r w:rsidRPr="00907CFB">
        <w:rPr>
          <w:lang w:val="fr-FR"/>
        </w:rPr>
        <w:t xml:space="preserve"> </w:t>
      </w:r>
      <w:r>
        <w:rPr>
          <w:lang w:val="fr-FR"/>
        </w:rPr>
        <w:t xml:space="preserve">alors que le Règlement ONU </w:t>
      </w:r>
      <w:r w:rsidRPr="00BD16F2">
        <w:rPr>
          <w:rFonts w:eastAsia="MS Mincho"/>
          <w:lang w:val="fr-FR"/>
        </w:rPr>
        <w:t>n</w:t>
      </w:r>
      <w:r w:rsidRPr="00BD16F2">
        <w:rPr>
          <w:rFonts w:eastAsia="MS Mincho"/>
          <w:vertAlign w:val="superscript"/>
          <w:lang w:val="fr-FR"/>
        </w:rPr>
        <w:t>o</w:t>
      </w:r>
      <w:r>
        <w:rPr>
          <w:lang w:val="fr-FR"/>
        </w:rPr>
        <w:t xml:space="preserve"> 10 </w:t>
      </w:r>
      <w:r>
        <w:rPr>
          <w:lang w:val="fr-FR"/>
        </w:rPr>
        <w:t>requiert 30 V/m</w:t>
      </w:r>
      <w:r w:rsidR="00907CFB" w:rsidRPr="00907CFB">
        <w:rPr>
          <w:vertAlign w:val="superscript"/>
          <w:lang w:val="fr-FR"/>
        </w:rPr>
        <w:t>[</w:t>
      </w:r>
      <w:r w:rsidRPr="00BD16F2">
        <w:rPr>
          <w:rStyle w:val="Appelnotedebasdep"/>
        </w:rPr>
        <w:footnoteReference w:id="5"/>
      </w:r>
      <w:r w:rsidR="00907CFB">
        <w:rPr>
          <w:vertAlign w:val="superscript"/>
          <w:lang w:val="fr-FR"/>
        </w:rPr>
        <w:t>]</w:t>
      </w:r>
      <w:r>
        <w:rPr>
          <w:lang w:val="fr-FR"/>
        </w:rPr>
        <w:t>.</w:t>
      </w:r>
      <w:r>
        <w:rPr>
          <w:i/>
          <w:iCs/>
          <w:lang w:val="fr-FR"/>
        </w:rPr>
        <w:t xml:space="preserve"> </w:t>
      </w:r>
      <w:r w:rsidRPr="00C91E2D">
        <w:rPr>
          <w:lang w:val="fr-FR"/>
        </w:rPr>
        <w:t>Si la demande de déclenchement d</w:t>
      </w:r>
      <w:r>
        <w:rPr>
          <w:lang w:val="fr-FR"/>
        </w:rPr>
        <w:t>’</w:t>
      </w:r>
      <w:r w:rsidRPr="00C91E2D">
        <w:rPr>
          <w:lang w:val="fr-FR"/>
        </w:rPr>
        <w:t>un système d</w:t>
      </w:r>
      <w:r>
        <w:rPr>
          <w:lang w:val="fr-FR"/>
        </w:rPr>
        <w:t>’</w:t>
      </w:r>
      <w:r w:rsidRPr="00C91E2D">
        <w:rPr>
          <w:lang w:val="fr-FR"/>
        </w:rPr>
        <w:t>appel d</w:t>
      </w:r>
      <w:r>
        <w:rPr>
          <w:lang w:val="fr-FR"/>
        </w:rPr>
        <w:t>’</w:t>
      </w:r>
      <w:r w:rsidRPr="00C91E2D">
        <w:rPr>
          <w:lang w:val="fr-FR"/>
        </w:rPr>
        <w:t>urgence en cas d</w:t>
      </w:r>
      <w:r>
        <w:rPr>
          <w:lang w:val="fr-FR"/>
        </w:rPr>
        <w:t>’</w:t>
      </w:r>
      <w:r w:rsidRPr="00C91E2D">
        <w:rPr>
          <w:lang w:val="fr-FR"/>
        </w:rPr>
        <w:t xml:space="preserve">exposition à </w:t>
      </w:r>
      <w:r>
        <w:rPr>
          <w:lang w:val="fr-FR"/>
        </w:rPr>
        <w:t>un plus haut niveau de</w:t>
      </w:r>
      <w:r w:rsidRPr="00C91E2D">
        <w:rPr>
          <w:lang w:val="fr-FR"/>
        </w:rPr>
        <w:t xml:space="preserve"> </w:t>
      </w:r>
      <w:r w:rsidRPr="00C91E2D">
        <w:rPr>
          <w:lang w:val="fr-FR"/>
        </w:rPr>
        <w:lastRenderedPageBreak/>
        <w:t xml:space="preserve">rayonnement électromagnétique </w:t>
      </w:r>
      <w:r>
        <w:rPr>
          <w:lang w:val="fr-FR"/>
        </w:rPr>
        <w:t>était</w:t>
      </w:r>
      <w:r w:rsidRPr="00C91E2D">
        <w:rPr>
          <w:lang w:val="fr-FR"/>
        </w:rPr>
        <w:t xml:space="preserve"> acceptée, il y a</w:t>
      </w:r>
      <w:r>
        <w:rPr>
          <w:lang w:val="fr-FR"/>
        </w:rPr>
        <w:t>urait</w:t>
      </w:r>
      <w:r w:rsidRPr="00C91E2D">
        <w:rPr>
          <w:lang w:val="fr-FR"/>
        </w:rPr>
        <w:t xml:space="preserve"> un risque que le niveau de puissance à l</w:t>
      </w:r>
      <w:r>
        <w:rPr>
          <w:lang w:val="fr-FR"/>
        </w:rPr>
        <w:t>’</w:t>
      </w:r>
      <w:r w:rsidRPr="00C91E2D">
        <w:rPr>
          <w:lang w:val="fr-FR"/>
        </w:rPr>
        <w:t>entrée du modem dépasse l</w:t>
      </w:r>
      <w:r>
        <w:rPr>
          <w:lang w:val="fr-FR"/>
        </w:rPr>
        <w:t xml:space="preserve">e seuil </w:t>
      </w:r>
      <w:r w:rsidRPr="00C91E2D">
        <w:rPr>
          <w:lang w:val="fr-FR"/>
        </w:rPr>
        <w:t>de blocage défini dans les documents de l</w:t>
      </w:r>
      <w:r>
        <w:rPr>
          <w:lang w:val="fr-FR"/>
        </w:rPr>
        <w:t>’</w:t>
      </w:r>
      <w:r w:rsidRPr="00C91E2D">
        <w:rPr>
          <w:lang w:val="fr-FR"/>
        </w:rPr>
        <w:t>ETSI</w:t>
      </w:r>
      <w:r w:rsidRPr="00BD16F2">
        <w:rPr>
          <w:rStyle w:val="Appelnotedebasdep"/>
        </w:rPr>
        <w:footnoteReference w:id="6"/>
      </w:r>
      <w:r w:rsidRPr="00C91E2D">
        <w:rPr>
          <w:lang w:val="fr-FR"/>
        </w:rPr>
        <w:t>. Cela pourrait entraîner des défaillances qui compromettraient l</w:t>
      </w:r>
      <w:r>
        <w:rPr>
          <w:lang w:val="fr-FR"/>
        </w:rPr>
        <w:t>a conception</w:t>
      </w:r>
      <w:r w:rsidRPr="00C91E2D">
        <w:rPr>
          <w:lang w:val="fr-FR"/>
        </w:rPr>
        <w:t xml:space="preserve"> des puces</w:t>
      </w:r>
      <w:r>
        <w:rPr>
          <w:lang w:val="fr-FR"/>
        </w:rPr>
        <w:t xml:space="preserve"> de radiocommunication destinées aux systèmes d’appel d’urgence, ce qui aurait des conséquences importantes (coût, interruption de la fourniture de systèmes d’appel d’urgence jusqu’à ce que ces appareils puissent être fabriqués, etc.).</w:t>
      </w:r>
    </w:p>
    <w:p w14:paraId="2AD6BBF3" w14:textId="77777777" w:rsidR="00BD16F2" w:rsidRDefault="00BD16F2" w:rsidP="00BD16F2">
      <w:pPr>
        <w:pStyle w:val="Titre1"/>
      </w:pPr>
      <w:r>
        <w:rPr>
          <w:lang w:val="fr-FR"/>
        </w:rPr>
        <w:t>Tableau 2a</w:t>
      </w:r>
    </w:p>
    <w:p w14:paraId="0AF520EA" w14:textId="77777777" w:rsidR="00BD16F2" w:rsidRPr="00BD16F2" w:rsidRDefault="00BD16F2" w:rsidP="00BD16F2">
      <w:pPr>
        <w:pStyle w:val="SingleTxtG"/>
        <w:keepNext/>
        <w:jc w:val="left"/>
        <w:rPr>
          <w:b/>
          <w:bCs/>
        </w:rPr>
      </w:pPr>
      <w:r w:rsidRPr="00BD16F2">
        <w:rPr>
          <w:b/>
          <w:bCs/>
          <w:lang w:val="fr-FR"/>
        </w:rPr>
        <w:t>Déclenchement de l’appel d’urgence avant, pendant et après l’essai d’immunité</w:t>
      </w:r>
    </w:p>
    <w:tbl>
      <w:tblPr>
        <w:tblW w:w="7370" w:type="dxa"/>
        <w:tblInd w:w="1134" w:type="dxa"/>
        <w:tblLayout w:type="fixed"/>
        <w:tblCellMar>
          <w:left w:w="0" w:type="dxa"/>
          <w:right w:w="0" w:type="dxa"/>
        </w:tblCellMar>
        <w:tblLook w:val="04A0" w:firstRow="1" w:lastRow="0" w:firstColumn="1" w:lastColumn="0" w:noHBand="0" w:noVBand="1"/>
      </w:tblPr>
      <w:tblGrid>
        <w:gridCol w:w="3628"/>
        <w:gridCol w:w="3742"/>
      </w:tblGrid>
      <w:tr w:rsidR="00BD16F2" w:rsidRPr="00BD16F2" w14:paraId="05308A11" w14:textId="77777777" w:rsidTr="00BD16F2">
        <w:trPr>
          <w:cantSplit/>
          <w:tblHeader/>
        </w:trPr>
        <w:tc>
          <w:tcPr>
            <w:tcW w:w="3628" w:type="dxa"/>
            <w:tcBorders>
              <w:top w:val="single" w:sz="4" w:space="0" w:color="auto"/>
              <w:bottom w:val="single" w:sz="12" w:space="0" w:color="auto"/>
            </w:tcBorders>
            <w:shd w:val="clear" w:color="auto" w:fill="auto"/>
            <w:vAlign w:val="bottom"/>
            <w:hideMark/>
          </w:tcPr>
          <w:p w14:paraId="78FC56FE" w14:textId="11C4AE0F" w:rsidR="00BD16F2" w:rsidRPr="00BD16F2" w:rsidRDefault="00BD16F2" w:rsidP="00BD16F2">
            <w:pPr>
              <w:spacing w:before="80" w:after="80" w:line="200" w:lineRule="exact"/>
              <w:ind w:right="113"/>
              <w:rPr>
                <w:bCs/>
                <w:i/>
                <w:sz w:val="16"/>
              </w:rPr>
            </w:pPr>
            <w:r w:rsidRPr="00BD16F2">
              <w:rPr>
                <w:i/>
                <w:sz w:val="16"/>
                <w:lang w:val="fr-FR"/>
              </w:rPr>
              <w:t xml:space="preserve">Conditions d’essai du véhicule applicables aux </w:t>
            </w:r>
            <w:r>
              <w:rPr>
                <w:i/>
                <w:sz w:val="16"/>
                <w:lang w:val="fr-FR"/>
              </w:rPr>
              <w:t>« </w:t>
            </w:r>
            <w:r w:rsidRPr="00BD16F2">
              <w:rPr>
                <w:i/>
                <w:sz w:val="16"/>
                <w:lang w:val="fr-FR"/>
              </w:rPr>
              <w:t>systèmes d’appel d’urgence</w:t>
            </w:r>
            <w:r>
              <w:rPr>
                <w:i/>
                <w:sz w:val="16"/>
                <w:lang w:val="fr-FR"/>
              </w:rPr>
              <w:t> »</w:t>
            </w:r>
          </w:p>
        </w:tc>
        <w:tc>
          <w:tcPr>
            <w:tcW w:w="3742" w:type="dxa"/>
            <w:tcBorders>
              <w:top w:val="single" w:sz="4" w:space="0" w:color="auto"/>
              <w:bottom w:val="single" w:sz="12" w:space="0" w:color="auto"/>
            </w:tcBorders>
            <w:shd w:val="clear" w:color="auto" w:fill="auto"/>
            <w:vAlign w:val="bottom"/>
            <w:hideMark/>
          </w:tcPr>
          <w:p w14:paraId="03A25200" w14:textId="77777777" w:rsidR="00BD16F2" w:rsidRPr="00BD16F2" w:rsidRDefault="00BD16F2" w:rsidP="00907CFB">
            <w:pPr>
              <w:spacing w:before="80" w:after="80" w:line="200" w:lineRule="exact"/>
              <w:rPr>
                <w:bCs/>
                <w:i/>
                <w:sz w:val="16"/>
              </w:rPr>
            </w:pPr>
            <w:r w:rsidRPr="00BD16F2">
              <w:rPr>
                <w:i/>
                <w:sz w:val="16"/>
                <w:lang w:val="fr-FR"/>
              </w:rPr>
              <w:t>Critères d’échec</w:t>
            </w:r>
          </w:p>
        </w:tc>
      </w:tr>
      <w:tr w:rsidR="00BD16F2" w:rsidRPr="00BD16F2" w14:paraId="5501FCAD" w14:textId="77777777" w:rsidTr="00BD16F2">
        <w:trPr>
          <w:cantSplit/>
          <w:trHeight w:hRule="exact" w:val="113"/>
          <w:tblHeader/>
        </w:trPr>
        <w:tc>
          <w:tcPr>
            <w:tcW w:w="3628" w:type="dxa"/>
            <w:tcBorders>
              <w:top w:val="single" w:sz="12" w:space="0" w:color="auto"/>
            </w:tcBorders>
            <w:shd w:val="clear" w:color="auto" w:fill="auto"/>
          </w:tcPr>
          <w:p w14:paraId="2A95301B" w14:textId="77777777" w:rsidR="00BD16F2" w:rsidRPr="00BD16F2" w:rsidRDefault="00BD16F2" w:rsidP="00BD16F2">
            <w:pPr>
              <w:spacing w:before="40" w:after="120"/>
              <w:ind w:right="113"/>
              <w:rPr>
                <w:lang w:val="fr-FR"/>
              </w:rPr>
            </w:pPr>
          </w:p>
        </w:tc>
        <w:tc>
          <w:tcPr>
            <w:tcW w:w="3742" w:type="dxa"/>
            <w:tcBorders>
              <w:top w:val="single" w:sz="12" w:space="0" w:color="auto"/>
            </w:tcBorders>
            <w:shd w:val="clear" w:color="auto" w:fill="auto"/>
          </w:tcPr>
          <w:p w14:paraId="38635007" w14:textId="77777777" w:rsidR="00BD16F2" w:rsidRPr="00BD16F2" w:rsidRDefault="00BD16F2" w:rsidP="00907CFB">
            <w:pPr>
              <w:spacing w:before="40" w:after="120"/>
              <w:rPr>
                <w:lang w:val="fr-FR"/>
              </w:rPr>
            </w:pPr>
          </w:p>
        </w:tc>
      </w:tr>
      <w:tr w:rsidR="00BD16F2" w:rsidRPr="00BD16F2" w14:paraId="74C3F90E" w14:textId="77777777" w:rsidTr="00BD16F2">
        <w:trPr>
          <w:cantSplit/>
        </w:trPr>
        <w:tc>
          <w:tcPr>
            <w:tcW w:w="3628" w:type="dxa"/>
            <w:tcBorders>
              <w:bottom w:val="single" w:sz="12" w:space="0" w:color="auto"/>
            </w:tcBorders>
            <w:shd w:val="clear" w:color="auto" w:fill="auto"/>
          </w:tcPr>
          <w:p w14:paraId="15342B4B" w14:textId="089D19FD" w:rsidR="00BD16F2" w:rsidRPr="00BD16F2" w:rsidRDefault="00BD16F2" w:rsidP="00BD16F2">
            <w:pPr>
              <w:spacing w:before="40" w:after="120"/>
              <w:ind w:right="113"/>
            </w:pPr>
            <w:r w:rsidRPr="00BD16F2">
              <w:rPr>
                <w:lang w:val="fr-FR"/>
              </w:rPr>
              <w:t xml:space="preserve">Les systèmes d’appel d’urgence doivent être mis à l’épreuve (par déclenchement manuel ou automatique à l’aide d’un réseau simulé ou public) avant, pendant (en dehors de la bande de fréquences définie au paragraphe 6.10.6) et après la réalisation des essais définis dans les conditions d’essai du véhicule pour le mode </w:t>
            </w:r>
            <w:r>
              <w:rPr>
                <w:lang w:val="fr-FR"/>
              </w:rPr>
              <w:t>« </w:t>
            </w:r>
            <w:r w:rsidRPr="00BD16F2">
              <w:rPr>
                <w:lang w:val="fr-FR"/>
              </w:rPr>
              <w:t>50</w:t>
            </w:r>
            <w:r>
              <w:rPr>
                <w:lang w:val="fr-FR"/>
              </w:rPr>
              <w:t> </w:t>
            </w:r>
            <w:r w:rsidRPr="00BD16F2">
              <w:rPr>
                <w:lang w:val="fr-FR"/>
              </w:rPr>
              <w:t>km/h</w:t>
            </w:r>
            <w:r>
              <w:rPr>
                <w:lang w:val="fr-FR"/>
              </w:rPr>
              <w:t> »</w:t>
            </w:r>
            <w:r w:rsidRPr="00BD16F2">
              <w:rPr>
                <w:lang w:val="fr-FR"/>
              </w:rPr>
              <w:t xml:space="preserve"> ou le mode </w:t>
            </w:r>
            <w:r>
              <w:rPr>
                <w:lang w:val="fr-FR"/>
              </w:rPr>
              <w:t>« </w:t>
            </w:r>
            <w:r w:rsidRPr="00BD16F2">
              <w:rPr>
                <w:lang w:val="fr-FR"/>
              </w:rPr>
              <w:t>freinage</w:t>
            </w:r>
            <w:r>
              <w:rPr>
                <w:lang w:val="fr-FR"/>
              </w:rPr>
              <w:t> »</w:t>
            </w:r>
            <w:r w:rsidRPr="00BD16F2">
              <w:rPr>
                <w:lang w:val="fr-FR"/>
              </w:rPr>
              <w:t>.</w:t>
            </w:r>
          </w:p>
          <w:p w14:paraId="0D6D9F3C" w14:textId="77777777" w:rsidR="00BD16F2" w:rsidRPr="00BD16F2" w:rsidRDefault="00BD16F2" w:rsidP="00BD16F2">
            <w:pPr>
              <w:spacing w:before="40" w:after="120"/>
              <w:ind w:right="113"/>
            </w:pPr>
            <w:r w:rsidRPr="00BD16F2">
              <w:rPr>
                <w:lang w:val="fr-FR"/>
              </w:rPr>
              <w:t>L’essai pendant l’irradiation sur le terrain doit être réalisé par le déclenchement d’un appel d’urgence à chaque fréquence d’essai.</w:t>
            </w:r>
          </w:p>
        </w:tc>
        <w:tc>
          <w:tcPr>
            <w:tcW w:w="3742" w:type="dxa"/>
            <w:tcBorders>
              <w:bottom w:val="single" w:sz="12" w:space="0" w:color="auto"/>
            </w:tcBorders>
            <w:shd w:val="clear" w:color="auto" w:fill="auto"/>
          </w:tcPr>
          <w:p w14:paraId="4182831C" w14:textId="0A706BEA" w:rsidR="00BD16F2" w:rsidRPr="00BD16F2" w:rsidRDefault="00BD16F2" w:rsidP="00907CFB">
            <w:pPr>
              <w:spacing w:before="40" w:after="120"/>
              <w:rPr>
                <w:lang w:val="fr-FR"/>
              </w:rPr>
            </w:pPr>
            <w:r w:rsidRPr="00BD16F2">
              <w:rPr>
                <w:lang w:val="fr-FR"/>
              </w:rPr>
              <w:t>Mauvais fonctionnement des systèmes d’appel d’urgence</w:t>
            </w:r>
            <w:r w:rsidRPr="00BD16F2">
              <w:rPr>
                <w:lang w:val="fr-FR"/>
              </w:rPr>
              <w:t> :</w:t>
            </w:r>
          </w:p>
          <w:p w14:paraId="46EC997F" w14:textId="103832E1" w:rsidR="00BD16F2" w:rsidRPr="00BD16F2" w:rsidRDefault="00BD16F2" w:rsidP="00907CFB">
            <w:pPr>
              <w:spacing w:before="40" w:after="120"/>
            </w:pPr>
            <w:r w:rsidRPr="00BD16F2">
              <w:rPr>
                <w:lang w:val="fr-FR"/>
              </w:rPr>
              <w:t>réception incorrecte du MSD (activation automatique, appel d’essai, position fiable, type de véhicule, numéro d’identification du véhicule (VIN), type de propulsion du véhicule, horodatage, indication de la latitude, indication de la longitude, direction du véhicule)</w:t>
            </w:r>
            <w:r w:rsidRPr="00BD16F2">
              <w:rPr>
                <w:lang w:val="fr-FR"/>
              </w:rPr>
              <w:t> ;</w:t>
            </w:r>
          </w:p>
          <w:p w14:paraId="7DC96C2F" w14:textId="6575B54E" w:rsidR="00BD16F2" w:rsidRPr="00BD16F2" w:rsidRDefault="00BD16F2" w:rsidP="00907CFB">
            <w:pPr>
              <w:spacing w:before="40" w:after="120"/>
            </w:pPr>
            <w:r w:rsidRPr="00BD16F2">
              <w:rPr>
                <w:lang w:val="fr-FR"/>
              </w:rPr>
              <w:t>connexion audio telle que la compréhension est impossible</w:t>
            </w:r>
            <w:r w:rsidRPr="00BD16F2">
              <w:rPr>
                <w:lang w:val="fr-FR"/>
              </w:rPr>
              <w:t> ;</w:t>
            </w:r>
          </w:p>
          <w:p w14:paraId="3348391E" w14:textId="77777777" w:rsidR="00BD16F2" w:rsidRPr="00BD16F2" w:rsidRDefault="00BD16F2" w:rsidP="00907CFB">
            <w:pPr>
              <w:spacing w:before="40" w:after="120"/>
            </w:pPr>
            <w:r w:rsidRPr="00BD16F2">
              <w:rPr>
                <w:lang w:val="fr-FR"/>
              </w:rPr>
              <w:t>défaut de fonctionnement du témoin.</w:t>
            </w:r>
          </w:p>
        </w:tc>
      </w:tr>
    </w:tbl>
    <w:p w14:paraId="4F00B598" w14:textId="77777777" w:rsidR="00BD16F2" w:rsidRPr="00477FCF" w:rsidRDefault="00BD16F2" w:rsidP="00BD16F2">
      <w:pPr>
        <w:pStyle w:val="SingleTxtG"/>
        <w:spacing w:before="240"/>
      </w:pPr>
      <w:r>
        <w:rPr>
          <w:lang w:val="fr-FR"/>
        </w:rPr>
        <w:t>5.</w:t>
      </w:r>
      <w:r>
        <w:rPr>
          <w:lang w:val="fr-FR"/>
        </w:rPr>
        <w:tab/>
        <w:t>Cette proposition suppose de vérifier la capacité du véhicule à déclencher un appel d’urgence en présence de perturbations rayonnées, à chaque fréquence d’essai.</w:t>
      </w:r>
    </w:p>
    <w:p w14:paraId="69437011" w14:textId="3770D660" w:rsidR="00BD16F2" w:rsidRDefault="00BD16F2" w:rsidP="00BD16F2">
      <w:pPr>
        <w:pStyle w:val="SingleTxtG"/>
        <w:rPr>
          <w:lang w:val="fr-FR"/>
        </w:rPr>
      </w:pPr>
      <w:r>
        <w:rPr>
          <w:lang w:val="fr-FR"/>
        </w:rPr>
        <w:t>6.</w:t>
      </w:r>
      <w:r>
        <w:rPr>
          <w:lang w:val="fr-FR"/>
        </w:rPr>
        <w:tab/>
        <w:t xml:space="preserve">Aujourd’hui, il est facile d’acquérir des solutions d’essai des systèmes d’appel d’urgence (par exemple </w:t>
      </w:r>
      <w:r w:rsidRPr="00907CFB">
        <w:rPr>
          <w:lang w:val="en-US"/>
        </w:rPr>
        <w:t>Rohde and Schwarz</w:t>
      </w:r>
      <w:r>
        <w:rPr>
          <w:lang w:val="fr-FR"/>
        </w:rPr>
        <w:t xml:space="preserve">, </w:t>
      </w:r>
      <w:proofErr w:type="spellStart"/>
      <w:r>
        <w:rPr>
          <w:lang w:val="fr-FR"/>
        </w:rPr>
        <w:t>Anritsu</w:t>
      </w:r>
      <w:proofErr w:type="spellEnd"/>
      <w:r>
        <w:rPr>
          <w:lang w:val="fr-FR"/>
        </w:rPr>
        <w:t xml:space="preserve"> et </w:t>
      </w:r>
      <w:proofErr w:type="spellStart"/>
      <w:r>
        <w:rPr>
          <w:lang w:val="fr-FR"/>
        </w:rPr>
        <w:t>Keysight</w:t>
      </w:r>
      <w:proofErr w:type="spellEnd"/>
      <w:r>
        <w:rPr>
          <w:lang w:val="fr-FR"/>
        </w:rPr>
        <w:t>) adaptées à l’environnement CEM du véhicule</w:t>
      </w:r>
      <w:r>
        <w:rPr>
          <w:lang w:val="fr-FR"/>
        </w:rPr>
        <w:t> ;</w:t>
      </w:r>
      <w:r>
        <w:rPr>
          <w:lang w:val="fr-FR"/>
        </w:rPr>
        <w:t xml:space="preserve"> et le suivi du MSD peut être effectué plus facilement grâce à des logiciels CEM couramment utilisés (par exemple BAT EMC, EMC32).</w:t>
      </w:r>
    </w:p>
    <w:p w14:paraId="5B2F32F0" w14:textId="77777777" w:rsidR="00BD16F2" w:rsidRPr="00477FCF" w:rsidRDefault="00BD16F2" w:rsidP="00BD16F2">
      <w:pPr>
        <w:pStyle w:val="SingleTxtG"/>
      </w:pPr>
      <w:r>
        <w:rPr>
          <w:lang w:val="fr-FR"/>
        </w:rPr>
        <w:t>7.</w:t>
      </w:r>
      <w:r>
        <w:rPr>
          <w:lang w:val="fr-FR"/>
        </w:rPr>
        <w:tab/>
        <w:t>De telles solutions d’essai ne nécessitent pas de modification du numéro d’appel d’urgence dans le véhicule et sont totalement isolées du centre de réception des appels d’urgence (PSAP).</w:t>
      </w:r>
    </w:p>
    <w:p w14:paraId="3CC1F735" w14:textId="77777777" w:rsidR="00BD16F2" w:rsidRDefault="00BD16F2" w:rsidP="00BD16F2">
      <w:pPr>
        <w:pStyle w:val="SingleTxtG"/>
        <w:rPr>
          <w:lang w:val="fr-FR"/>
        </w:rPr>
      </w:pPr>
      <w:r>
        <w:rPr>
          <w:lang w:val="fr-FR"/>
        </w:rPr>
        <w:t>8.</w:t>
      </w:r>
      <w:r>
        <w:rPr>
          <w:lang w:val="fr-FR"/>
        </w:rPr>
        <w:tab/>
        <w:t>Elles ont un coût comparable à celui des appareillages d’essai utilisés pour générer des perturbations rayonnées.</w:t>
      </w:r>
    </w:p>
    <w:p w14:paraId="783573CF" w14:textId="77777777" w:rsidR="00BD16F2" w:rsidRPr="0008379A" w:rsidRDefault="00BD16F2" w:rsidP="00BD16F2">
      <w:pPr>
        <w:pStyle w:val="Titre1"/>
      </w:pPr>
      <w:r>
        <w:rPr>
          <w:lang w:val="fr-FR"/>
        </w:rPr>
        <w:lastRenderedPageBreak/>
        <w:t>Tableau 2b</w:t>
      </w:r>
    </w:p>
    <w:p w14:paraId="35A8B7F2" w14:textId="77777777" w:rsidR="00BD16F2" w:rsidRPr="00BD16F2" w:rsidRDefault="00BD16F2" w:rsidP="00BD16F2">
      <w:pPr>
        <w:pStyle w:val="SingleTxtG"/>
        <w:keepNext/>
        <w:jc w:val="left"/>
        <w:rPr>
          <w:b/>
          <w:bCs/>
        </w:rPr>
      </w:pPr>
      <w:r w:rsidRPr="00BD16F2">
        <w:rPr>
          <w:b/>
          <w:bCs/>
          <w:lang w:val="fr-FR"/>
        </w:rPr>
        <w:t>Déclenchement de l’appel d’urgence avant, pendant et après l’essai d’immunité</w:t>
      </w:r>
    </w:p>
    <w:tbl>
      <w:tblPr>
        <w:tblW w:w="7370" w:type="dxa"/>
        <w:tblInd w:w="1134" w:type="dxa"/>
        <w:tblLayout w:type="fixed"/>
        <w:tblCellMar>
          <w:left w:w="0" w:type="dxa"/>
          <w:right w:w="0" w:type="dxa"/>
        </w:tblCellMar>
        <w:tblLook w:val="04A0" w:firstRow="1" w:lastRow="0" w:firstColumn="1" w:lastColumn="0" w:noHBand="0" w:noVBand="1"/>
      </w:tblPr>
      <w:tblGrid>
        <w:gridCol w:w="3628"/>
        <w:gridCol w:w="3742"/>
      </w:tblGrid>
      <w:tr w:rsidR="00BD16F2" w:rsidRPr="00BD16F2" w14:paraId="6739FE09" w14:textId="77777777" w:rsidTr="00BD16F2">
        <w:trPr>
          <w:cantSplit/>
          <w:tblHeader/>
        </w:trPr>
        <w:tc>
          <w:tcPr>
            <w:tcW w:w="3628" w:type="dxa"/>
            <w:tcBorders>
              <w:top w:val="single" w:sz="4" w:space="0" w:color="auto"/>
              <w:bottom w:val="single" w:sz="12" w:space="0" w:color="auto"/>
            </w:tcBorders>
            <w:shd w:val="clear" w:color="auto" w:fill="auto"/>
            <w:vAlign w:val="bottom"/>
            <w:hideMark/>
          </w:tcPr>
          <w:p w14:paraId="24A5A08C" w14:textId="52DD9A72" w:rsidR="00BD16F2" w:rsidRPr="00BD16F2" w:rsidRDefault="00BD16F2" w:rsidP="00BD16F2">
            <w:pPr>
              <w:spacing w:before="80" w:after="80" w:line="200" w:lineRule="exact"/>
              <w:ind w:right="113"/>
              <w:rPr>
                <w:bCs/>
                <w:i/>
                <w:sz w:val="16"/>
              </w:rPr>
            </w:pPr>
            <w:r w:rsidRPr="00BD16F2">
              <w:rPr>
                <w:i/>
                <w:sz w:val="16"/>
                <w:lang w:val="fr-FR"/>
              </w:rPr>
              <w:t xml:space="preserve">Conditions d’essai du véhicule applicables aux </w:t>
            </w:r>
            <w:r>
              <w:rPr>
                <w:i/>
                <w:sz w:val="16"/>
                <w:lang w:val="fr-FR"/>
              </w:rPr>
              <w:t>« </w:t>
            </w:r>
            <w:r w:rsidRPr="00BD16F2">
              <w:rPr>
                <w:i/>
                <w:sz w:val="16"/>
                <w:lang w:val="fr-FR"/>
              </w:rPr>
              <w:t>systèmes d’appel d’urgence</w:t>
            </w:r>
            <w:r>
              <w:rPr>
                <w:i/>
                <w:sz w:val="16"/>
                <w:lang w:val="fr-FR"/>
              </w:rPr>
              <w:t> »</w:t>
            </w:r>
          </w:p>
        </w:tc>
        <w:tc>
          <w:tcPr>
            <w:tcW w:w="3742" w:type="dxa"/>
            <w:tcBorders>
              <w:top w:val="single" w:sz="4" w:space="0" w:color="auto"/>
              <w:bottom w:val="single" w:sz="12" w:space="0" w:color="auto"/>
            </w:tcBorders>
            <w:shd w:val="clear" w:color="auto" w:fill="auto"/>
            <w:vAlign w:val="bottom"/>
            <w:hideMark/>
          </w:tcPr>
          <w:p w14:paraId="010CE857" w14:textId="77777777" w:rsidR="00BD16F2" w:rsidRPr="00BD16F2" w:rsidRDefault="00BD16F2" w:rsidP="00907CFB">
            <w:pPr>
              <w:spacing w:before="80" w:after="80" w:line="200" w:lineRule="exact"/>
              <w:rPr>
                <w:bCs/>
                <w:i/>
                <w:sz w:val="16"/>
              </w:rPr>
            </w:pPr>
            <w:r w:rsidRPr="00BD16F2">
              <w:rPr>
                <w:i/>
                <w:sz w:val="16"/>
                <w:lang w:val="fr-FR"/>
              </w:rPr>
              <w:t>Critères d’échec</w:t>
            </w:r>
          </w:p>
        </w:tc>
      </w:tr>
      <w:tr w:rsidR="00BD16F2" w:rsidRPr="00BD16F2" w14:paraId="13ACE8CE" w14:textId="77777777" w:rsidTr="00BD16F2">
        <w:trPr>
          <w:cantSplit/>
          <w:trHeight w:hRule="exact" w:val="113"/>
          <w:tblHeader/>
        </w:trPr>
        <w:tc>
          <w:tcPr>
            <w:tcW w:w="3628" w:type="dxa"/>
            <w:tcBorders>
              <w:top w:val="single" w:sz="12" w:space="0" w:color="auto"/>
            </w:tcBorders>
            <w:shd w:val="clear" w:color="auto" w:fill="auto"/>
          </w:tcPr>
          <w:p w14:paraId="357745BC" w14:textId="77777777" w:rsidR="00BD16F2" w:rsidRPr="00BD16F2" w:rsidRDefault="00BD16F2" w:rsidP="00BD16F2">
            <w:pPr>
              <w:spacing w:before="40" w:after="120"/>
              <w:ind w:right="113"/>
              <w:rPr>
                <w:lang w:val="fr-FR"/>
              </w:rPr>
            </w:pPr>
          </w:p>
        </w:tc>
        <w:tc>
          <w:tcPr>
            <w:tcW w:w="3742" w:type="dxa"/>
            <w:tcBorders>
              <w:top w:val="single" w:sz="12" w:space="0" w:color="auto"/>
            </w:tcBorders>
            <w:shd w:val="clear" w:color="auto" w:fill="auto"/>
          </w:tcPr>
          <w:p w14:paraId="3BBB18A3" w14:textId="77777777" w:rsidR="00BD16F2" w:rsidRPr="00BD16F2" w:rsidRDefault="00BD16F2" w:rsidP="00907CFB">
            <w:pPr>
              <w:spacing w:before="40" w:after="120"/>
              <w:rPr>
                <w:lang w:val="fr-FR"/>
              </w:rPr>
            </w:pPr>
          </w:p>
        </w:tc>
      </w:tr>
      <w:tr w:rsidR="00BD16F2" w:rsidRPr="00BD16F2" w14:paraId="7379B818" w14:textId="77777777" w:rsidTr="00BD16F2">
        <w:trPr>
          <w:cantSplit/>
        </w:trPr>
        <w:tc>
          <w:tcPr>
            <w:tcW w:w="3628" w:type="dxa"/>
            <w:tcBorders>
              <w:bottom w:val="single" w:sz="12" w:space="0" w:color="auto"/>
            </w:tcBorders>
            <w:shd w:val="clear" w:color="auto" w:fill="auto"/>
          </w:tcPr>
          <w:p w14:paraId="5CE41C80" w14:textId="56E12127" w:rsidR="00BD16F2" w:rsidRPr="00BD16F2" w:rsidRDefault="00BD16F2" w:rsidP="00BD16F2">
            <w:pPr>
              <w:spacing w:before="40" w:after="120"/>
              <w:ind w:right="113"/>
            </w:pPr>
            <w:r w:rsidRPr="00BD16F2">
              <w:rPr>
                <w:lang w:val="fr-FR"/>
              </w:rPr>
              <w:t xml:space="preserve">Les systèmes d’appel d’urgence doivent être mis à l’épreuve (par déclenchement manuel ou automatique à l’aide d’un réseau simulé ou public) avant, pendant (en dehors de la bande de fréquences définie au paragraphe 6.10.6) et après la réalisation des essais définis dans les conditions d’essai du véhicule pour le mode </w:t>
            </w:r>
            <w:r>
              <w:rPr>
                <w:lang w:val="fr-FR"/>
              </w:rPr>
              <w:t>« </w:t>
            </w:r>
            <w:r w:rsidRPr="00BD16F2">
              <w:rPr>
                <w:lang w:val="fr-FR"/>
              </w:rPr>
              <w:t>50</w:t>
            </w:r>
            <w:r>
              <w:rPr>
                <w:lang w:val="fr-FR"/>
              </w:rPr>
              <w:t> </w:t>
            </w:r>
            <w:r w:rsidRPr="00BD16F2">
              <w:rPr>
                <w:lang w:val="fr-FR"/>
              </w:rPr>
              <w:t>km/h</w:t>
            </w:r>
            <w:r>
              <w:rPr>
                <w:lang w:val="fr-FR"/>
              </w:rPr>
              <w:t> »</w:t>
            </w:r>
            <w:r w:rsidRPr="00BD16F2">
              <w:rPr>
                <w:lang w:val="fr-FR"/>
              </w:rPr>
              <w:t xml:space="preserve"> ou le mode </w:t>
            </w:r>
            <w:r>
              <w:rPr>
                <w:lang w:val="fr-FR"/>
              </w:rPr>
              <w:t>« </w:t>
            </w:r>
            <w:r w:rsidRPr="00BD16F2">
              <w:rPr>
                <w:lang w:val="fr-FR"/>
              </w:rPr>
              <w:t>freinage</w:t>
            </w:r>
            <w:r>
              <w:rPr>
                <w:lang w:val="fr-FR"/>
              </w:rPr>
              <w:t> »</w:t>
            </w:r>
            <w:r w:rsidRPr="00BD16F2">
              <w:rPr>
                <w:lang w:val="fr-FR"/>
              </w:rPr>
              <w:t>.</w:t>
            </w:r>
          </w:p>
          <w:p w14:paraId="36265323" w14:textId="77777777" w:rsidR="00BD16F2" w:rsidRPr="00BD16F2" w:rsidRDefault="00BD16F2" w:rsidP="00BD16F2">
            <w:pPr>
              <w:spacing w:before="40" w:after="120"/>
              <w:ind w:right="113"/>
            </w:pPr>
            <w:r w:rsidRPr="00BD16F2">
              <w:rPr>
                <w:lang w:val="fr-FR"/>
              </w:rPr>
              <w:t>L’essai pendant l’irradiation sur le terrain doit être réalisé par le déclenchement et le maintien d’un seul appel d’urgence pendant toute la durée de l’essai.</w:t>
            </w:r>
          </w:p>
        </w:tc>
        <w:tc>
          <w:tcPr>
            <w:tcW w:w="3742" w:type="dxa"/>
            <w:tcBorders>
              <w:bottom w:val="single" w:sz="12" w:space="0" w:color="auto"/>
            </w:tcBorders>
            <w:shd w:val="clear" w:color="auto" w:fill="auto"/>
          </w:tcPr>
          <w:p w14:paraId="77502A1F" w14:textId="43ADD281" w:rsidR="00BD16F2" w:rsidRPr="00BD16F2" w:rsidRDefault="00BD16F2" w:rsidP="00907CFB">
            <w:pPr>
              <w:spacing w:before="40" w:after="120"/>
              <w:rPr>
                <w:lang w:val="fr-FR"/>
              </w:rPr>
            </w:pPr>
            <w:r w:rsidRPr="00BD16F2">
              <w:rPr>
                <w:lang w:val="fr-FR"/>
              </w:rPr>
              <w:t>Mauvais fonctionnement des systèmes d’appel d’urgence</w:t>
            </w:r>
            <w:r>
              <w:rPr>
                <w:lang w:val="fr-FR"/>
              </w:rPr>
              <w:t> :</w:t>
            </w:r>
          </w:p>
          <w:p w14:paraId="596CE13E" w14:textId="412D3F5E" w:rsidR="00BD16F2" w:rsidRPr="00BD16F2" w:rsidRDefault="00BD16F2" w:rsidP="00907CFB">
            <w:pPr>
              <w:spacing w:before="40" w:after="120"/>
            </w:pPr>
            <w:r w:rsidRPr="00BD16F2">
              <w:rPr>
                <w:lang w:val="fr-FR"/>
              </w:rPr>
              <w:t>réception incorrecte du MSD (activation automatique, appel d’essai, position fiable, type de véhicule, VIN, type de propulsion du véhicule, horodatage, indication de la latitude, indication de la longitude, direction du véhicule)</w:t>
            </w:r>
            <w:r>
              <w:rPr>
                <w:lang w:val="fr-FR"/>
              </w:rPr>
              <w:t> ;</w:t>
            </w:r>
          </w:p>
          <w:p w14:paraId="4109FCA3" w14:textId="062360BF" w:rsidR="00BD16F2" w:rsidRPr="00BD16F2" w:rsidRDefault="00BD16F2" w:rsidP="00907CFB">
            <w:pPr>
              <w:spacing w:before="40" w:after="120"/>
            </w:pPr>
            <w:r w:rsidRPr="00BD16F2">
              <w:rPr>
                <w:lang w:val="fr-FR"/>
              </w:rPr>
              <w:t>connexion audio telle que la compréhension est impossible</w:t>
            </w:r>
            <w:r>
              <w:rPr>
                <w:lang w:val="fr-FR"/>
              </w:rPr>
              <w:t> ;</w:t>
            </w:r>
          </w:p>
          <w:p w14:paraId="372DCF62" w14:textId="77777777" w:rsidR="00BD16F2" w:rsidRPr="00BD16F2" w:rsidRDefault="00BD16F2" w:rsidP="00907CFB">
            <w:pPr>
              <w:spacing w:before="40" w:after="120"/>
            </w:pPr>
            <w:r w:rsidRPr="00BD16F2">
              <w:rPr>
                <w:lang w:val="fr-FR"/>
              </w:rPr>
              <w:t>défaut de fonctionnement du témoin.</w:t>
            </w:r>
          </w:p>
        </w:tc>
      </w:tr>
    </w:tbl>
    <w:p w14:paraId="31E3F0F0" w14:textId="77777777" w:rsidR="00BD16F2" w:rsidRPr="00477FCF" w:rsidRDefault="00BD16F2" w:rsidP="00BD16F2">
      <w:pPr>
        <w:pStyle w:val="SingleTxtG"/>
        <w:spacing w:before="240"/>
      </w:pPr>
      <w:r>
        <w:rPr>
          <w:lang w:val="fr-FR"/>
        </w:rPr>
        <w:t>9.</w:t>
      </w:r>
      <w:r>
        <w:rPr>
          <w:lang w:val="fr-FR"/>
        </w:rPr>
        <w:tab/>
        <w:t>Cette proposition suppose de vérifier la capacité du véhicule à déclencher un appel d’urgence en présence de perturbations rayonnées, avec un seul appel d’urgence.</w:t>
      </w:r>
    </w:p>
    <w:p w14:paraId="109F060D" w14:textId="77777777" w:rsidR="00BD16F2" w:rsidRPr="00477FCF" w:rsidRDefault="00BD16F2" w:rsidP="00BD16F2">
      <w:pPr>
        <w:pStyle w:val="SingleTxtG"/>
      </w:pPr>
      <w:r>
        <w:rPr>
          <w:lang w:val="fr-FR"/>
        </w:rPr>
        <w:t>10.</w:t>
      </w:r>
      <w:r>
        <w:rPr>
          <w:lang w:val="fr-FR"/>
        </w:rPr>
        <w:tab/>
        <w:t>Les propositions des tableaux 2a et 2b ont principalement pour objet de simuler le scénario le plus défavorable afin de garantir la fonction de sécurité des systèmes d’appel d’urgence.</w:t>
      </w:r>
    </w:p>
    <w:p w14:paraId="3FB7D28D" w14:textId="5F8A0195" w:rsidR="00BD16F2" w:rsidRPr="00477FCF" w:rsidRDefault="00BD16F2" w:rsidP="00907CFB">
      <w:pPr>
        <w:pStyle w:val="SingleTxtG"/>
        <w:keepNext/>
      </w:pPr>
      <w:r>
        <w:rPr>
          <w:lang w:val="fr-FR"/>
        </w:rPr>
        <w:t>11.</w:t>
      </w:r>
      <w:r>
        <w:rPr>
          <w:lang w:val="fr-FR"/>
        </w:rPr>
        <w:tab/>
        <w:t>Les autres sujets de préoccupation concernent</w:t>
      </w:r>
      <w:r>
        <w:rPr>
          <w:lang w:val="fr-FR"/>
        </w:rPr>
        <w:t> :</w:t>
      </w:r>
    </w:p>
    <w:p w14:paraId="0A153D0C" w14:textId="56B90701" w:rsidR="00BD16F2" w:rsidRPr="00477FCF" w:rsidRDefault="00BD16F2" w:rsidP="00BD16F2">
      <w:pPr>
        <w:pStyle w:val="SingleTxtG"/>
        <w:ind w:left="2268" w:hanging="567"/>
      </w:pPr>
      <w:r w:rsidRPr="00477FCF">
        <w:t>a)</w:t>
      </w:r>
      <w:r w:rsidRPr="00477FCF">
        <w:tab/>
      </w:r>
      <w:r>
        <w:t>L’</w:t>
      </w:r>
      <w:r>
        <w:rPr>
          <w:lang w:val="fr-FR"/>
        </w:rPr>
        <w:t>appel à déclenchement manuel ou automatique (configuration du véhicule)</w:t>
      </w:r>
      <w:r>
        <w:rPr>
          <w:lang w:val="fr-FR"/>
        </w:rPr>
        <w:t> :</w:t>
      </w:r>
    </w:p>
    <w:p w14:paraId="6BD3B652" w14:textId="47B7D621" w:rsidR="00BD16F2" w:rsidRPr="00477FCF" w:rsidRDefault="00BD16F2" w:rsidP="00BD16F2">
      <w:pPr>
        <w:pStyle w:val="SingleTxtG"/>
        <w:ind w:left="2268"/>
      </w:pPr>
      <w:r>
        <w:rPr>
          <w:lang w:val="fr-FR"/>
        </w:rPr>
        <w:t>Risques potentiels</w:t>
      </w:r>
      <w:r>
        <w:rPr>
          <w:lang w:val="fr-FR"/>
        </w:rPr>
        <w:t> :</w:t>
      </w:r>
      <w:r>
        <w:rPr>
          <w:lang w:val="fr-FR"/>
        </w:rPr>
        <w:t xml:space="preserve"> un appel d’urgence, s’il n’est pas isolé de manière adéquate dans le cadre de l’essai, peut parvenir au centre de réception des appels d’urgence (PSAP). Si le numéro d’appel d’urgence est modifié à des fins d’essai, des problèmes peuvent apparaître au moment de la réinitialisation des paramètres de la configuration d’usine.</w:t>
      </w:r>
    </w:p>
    <w:p w14:paraId="34065423" w14:textId="49D7BC22" w:rsidR="00BD16F2" w:rsidRPr="00477FCF" w:rsidRDefault="00BD16F2" w:rsidP="00BD16F2">
      <w:pPr>
        <w:pStyle w:val="SingleTxtG"/>
        <w:ind w:left="2268" w:hanging="567"/>
      </w:pPr>
      <w:r w:rsidRPr="00477FCF">
        <w:t>b)</w:t>
      </w:r>
      <w:r w:rsidRPr="00477FCF">
        <w:tab/>
      </w:r>
      <w:r>
        <w:rPr>
          <w:lang w:val="fr-FR"/>
        </w:rPr>
        <w:t>Les systèmes d’essai PSAP/simulé, le Système mondial de navigation par satellite et la couverture mobile du réseau à l’intérieur d’un laboratoire de CEM</w:t>
      </w:r>
      <w:r>
        <w:rPr>
          <w:lang w:val="fr-FR"/>
        </w:rPr>
        <w:t> :</w:t>
      </w:r>
    </w:p>
    <w:p w14:paraId="71D68F5D" w14:textId="77777777" w:rsidR="00BD16F2" w:rsidRPr="00477FCF" w:rsidRDefault="00BD16F2" w:rsidP="00BD16F2">
      <w:pPr>
        <w:pStyle w:val="SingleTxtG"/>
        <w:ind w:left="2268"/>
      </w:pPr>
      <w:r>
        <w:rPr>
          <w:lang w:val="fr-FR"/>
        </w:rPr>
        <w:t>Coûts d’acquisition et fonctionnalités de ces systèmes.</w:t>
      </w:r>
    </w:p>
    <w:p w14:paraId="4F46DC05" w14:textId="6AB9CAA3" w:rsidR="00BD16F2" w:rsidRPr="00477FCF" w:rsidRDefault="00BD16F2" w:rsidP="00BD16F2">
      <w:pPr>
        <w:pStyle w:val="HChG"/>
      </w:pPr>
      <w:r>
        <w:tab/>
      </w:r>
      <w:r w:rsidRPr="00477FCF">
        <w:t>II.</w:t>
      </w:r>
      <w:r>
        <w:rPr>
          <w:lang w:val="fr-FR"/>
        </w:rPr>
        <w:tab/>
        <w:t>Justification</w:t>
      </w:r>
    </w:p>
    <w:p w14:paraId="6C7381C2" w14:textId="21D6A479" w:rsidR="00BD16F2" w:rsidRDefault="00BD16F2" w:rsidP="00907CFB">
      <w:pPr>
        <w:pStyle w:val="SingleTxtG"/>
        <w:ind w:firstLine="567"/>
        <w:rPr>
          <w:lang w:val="fr-FR"/>
        </w:rPr>
      </w:pPr>
      <w:r>
        <w:rPr>
          <w:lang w:val="fr-FR"/>
        </w:rPr>
        <w:t xml:space="preserve">Le groupe de travail informel a décidé d’inclure un essai d’immunité rayonnée au niveau du véhicule pour les systèmes d’appel d’urgence dans le Règlement ONU </w:t>
      </w:r>
      <w:r w:rsidRPr="00BD16F2">
        <w:rPr>
          <w:rFonts w:eastAsia="MS Mincho"/>
          <w:lang w:val="fr-FR"/>
        </w:rPr>
        <w:t>n</w:t>
      </w:r>
      <w:r w:rsidRPr="00BD16F2">
        <w:rPr>
          <w:rFonts w:eastAsia="MS Mincho"/>
          <w:vertAlign w:val="superscript"/>
          <w:lang w:val="fr-FR"/>
        </w:rPr>
        <w:t>o</w:t>
      </w:r>
      <w:r>
        <w:rPr>
          <w:lang w:val="fr-FR"/>
        </w:rPr>
        <w:t> </w:t>
      </w:r>
      <w:r>
        <w:rPr>
          <w:lang w:val="fr-FR"/>
        </w:rPr>
        <w:t>10. Il a besoin que le GRSG lui donne des orientations concernant certains aspects de l’essai qui ne sont pas encore clairement définis, raison pour laquelle le présent document de travail figure à l’ordre du jour.</w:t>
      </w:r>
    </w:p>
    <w:p w14:paraId="67A58DF7" w14:textId="4EC9FB5E" w:rsidR="00F9573C" w:rsidRPr="00BD16F2" w:rsidRDefault="00BD16F2" w:rsidP="00BD16F2">
      <w:pPr>
        <w:pStyle w:val="SingleTxtG"/>
        <w:spacing w:before="240" w:after="0"/>
        <w:jc w:val="center"/>
        <w:rPr>
          <w:u w:val="single"/>
        </w:rPr>
      </w:pPr>
      <w:r>
        <w:rPr>
          <w:u w:val="single"/>
        </w:rPr>
        <w:tab/>
      </w:r>
      <w:r>
        <w:rPr>
          <w:u w:val="single"/>
        </w:rPr>
        <w:tab/>
      </w:r>
      <w:r>
        <w:rPr>
          <w:u w:val="single"/>
        </w:rPr>
        <w:tab/>
      </w:r>
      <w:r>
        <w:rPr>
          <w:u w:val="single"/>
        </w:rPr>
        <w:tab/>
      </w:r>
    </w:p>
    <w:sectPr w:rsidR="00F9573C" w:rsidRPr="00BD16F2" w:rsidSect="00860702">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446B8" w14:textId="77777777" w:rsidR="001D33C8" w:rsidRDefault="001D33C8" w:rsidP="00F95C08">
      <w:pPr>
        <w:spacing w:line="240" w:lineRule="auto"/>
      </w:pPr>
    </w:p>
  </w:endnote>
  <w:endnote w:type="continuationSeparator" w:id="0">
    <w:p w14:paraId="1B507886" w14:textId="77777777" w:rsidR="001D33C8" w:rsidRPr="00AC3823" w:rsidRDefault="001D33C8" w:rsidP="00AC3823">
      <w:pPr>
        <w:pStyle w:val="Pieddepage"/>
      </w:pPr>
    </w:p>
  </w:endnote>
  <w:endnote w:type="continuationNotice" w:id="1">
    <w:p w14:paraId="36942EA7" w14:textId="77777777" w:rsidR="001D33C8" w:rsidRDefault="001D33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60B90" w14:textId="034B9702" w:rsidR="00860702" w:rsidRPr="00860702" w:rsidRDefault="00860702" w:rsidP="00860702">
    <w:pPr>
      <w:pStyle w:val="Pieddepage"/>
      <w:tabs>
        <w:tab w:val="right" w:pos="9638"/>
      </w:tabs>
    </w:pPr>
    <w:r w:rsidRPr="00860702">
      <w:rPr>
        <w:b/>
        <w:sz w:val="18"/>
      </w:rPr>
      <w:fldChar w:fldCharType="begin"/>
    </w:r>
    <w:r w:rsidRPr="00860702">
      <w:rPr>
        <w:b/>
        <w:sz w:val="18"/>
      </w:rPr>
      <w:instrText xml:space="preserve"> PAGE  \* MERGEFORMAT </w:instrText>
    </w:r>
    <w:r w:rsidRPr="00860702">
      <w:rPr>
        <w:b/>
        <w:sz w:val="18"/>
      </w:rPr>
      <w:fldChar w:fldCharType="separate"/>
    </w:r>
    <w:r w:rsidRPr="00860702">
      <w:rPr>
        <w:b/>
        <w:noProof/>
        <w:sz w:val="18"/>
      </w:rPr>
      <w:t>2</w:t>
    </w:r>
    <w:r w:rsidRPr="00860702">
      <w:rPr>
        <w:b/>
        <w:sz w:val="18"/>
      </w:rPr>
      <w:fldChar w:fldCharType="end"/>
    </w:r>
    <w:r>
      <w:rPr>
        <w:b/>
        <w:sz w:val="18"/>
      </w:rPr>
      <w:tab/>
    </w:r>
    <w:r>
      <w:t>GE.22-11554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373C" w14:textId="2C3F41DA" w:rsidR="00860702" w:rsidRPr="00860702" w:rsidRDefault="00860702" w:rsidP="00860702">
    <w:pPr>
      <w:pStyle w:val="Pieddepage"/>
      <w:tabs>
        <w:tab w:val="right" w:pos="9638"/>
      </w:tabs>
      <w:rPr>
        <w:b/>
        <w:sz w:val="18"/>
      </w:rPr>
    </w:pPr>
    <w:r>
      <w:t>GE.22-11554</w:t>
    </w:r>
    <w:r>
      <w:tab/>
    </w:r>
    <w:r w:rsidRPr="00860702">
      <w:rPr>
        <w:b/>
        <w:sz w:val="18"/>
      </w:rPr>
      <w:fldChar w:fldCharType="begin"/>
    </w:r>
    <w:r w:rsidRPr="00860702">
      <w:rPr>
        <w:b/>
        <w:sz w:val="18"/>
      </w:rPr>
      <w:instrText xml:space="preserve"> PAGE  \* MERGEFORMAT </w:instrText>
    </w:r>
    <w:r w:rsidRPr="00860702">
      <w:rPr>
        <w:b/>
        <w:sz w:val="18"/>
      </w:rPr>
      <w:fldChar w:fldCharType="separate"/>
    </w:r>
    <w:r w:rsidRPr="00860702">
      <w:rPr>
        <w:b/>
        <w:noProof/>
        <w:sz w:val="18"/>
      </w:rPr>
      <w:t>3</w:t>
    </w:r>
    <w:r w:rsidRPr="00860702">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DE8F" w14:textId="04764A48" w:rsidR="007F20FA" w:rsidRPr="00860702" w:rsidRDefault="00860702" w:rsidP="00860702">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12D870AD" wp14:editId="3BDC2D65">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22-11554  (F)</w:t>
    </w:r>
    <w:r>
      <w:rPr>
        <w:noProof/>
        <w:sz w:val="20"/>
      </w:rPr>
      <w:drawing>
        <wp:anchor distT="0" distB="0" distL="114300" distR="114300" simplePos="0" relativeHeight="251660288" behindDoc="0" locked="0" layoutInCell="1" allowOverlap="1" wp14:anchorId="10B7E27A" wp14:editId="107313D0">
          <wp:simplePos x="0" y="0"/>
          <wp:positionH relativeFrom="margin">
            <wp:posOffset>5489575</wp:posOffset>
          </wp:positionH>
          <wp:positionV relativeFrom="margin">
            <wp:posOffset>8891905</wp:posOffset>
          </wp:positionV>
          <wp:extent cx="638175" cy="6381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180822    180822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CAE37" w14:textId="77777777" w:rsidR="001D33C8" w:rsidRPr="00AC3823" w:rsidRDefault="001D33C8" w:rsidP="00AC3823">
      <w:pPr>
        <w:pStyle w:val="Pieddepage"/>
        <w:tabs>
          <w:tab w:val="right" w:pos="2155"/>
        </w:tabs>
        <w:spacing w:after="80" w:line="240" w:lineRule="atLeast"/>
        <w:ind w:left="680"/>
        <w:rPr>
          <w:u w:val="single"/>
        </w:rPr>
      </w:pPr>
      <w:r>
        <w:rPr>
          <w:u w:val="single"/>
        </w:rPr>
        <w:tab/>
      </w:r>
    </w:p>
  </w:footnote>
  <w:footnote w:type="continuationSeparator" w:id="0">
    <w:p w14:paraId="05A3909E" w14:textId="77777777" w:rsidR="001D33C8" w:rsidRPr="00AC3823" w:rsidRDefault="001D33C8" w:rsidP="00AC3823">
      <w:pPr>
        <w:pStyle w:val="Pieddepage"/>
        <w:tabs>
          <w:tab w:val="right" w:pos="2155"/>
        </w:tabs>
        <w:spacing w:after="80" w:line="240" w:lineRule="atLeast"/>
        <w:ind w:left="680"/>
        <w:rPr>
          <w:u w:val="single"/>
        </w:rPr>
      </w:pPr>
      <w:r>
        <w:rPr>
          <w:u w:val="single"/>
        </w:rPr>
        <w:tab/>
      </w:r>
    </w:p>
  </w:footnote>
  <w:footnote w:type="continuationNotice" w:id="1">
    <w:p w14:paraId="7BDD18FE" w14:textId="77777777" w:rsidR="001D33C8" w:rsidRPr="00AC3823" w:rsidRDefault="001D33C8">
      <w:pPr>
        <w:spacing w:line="240" w:lineRule="auto"/>
        <w:rPr>
          <w:sz w:val="2"/>
          <w:szCs w:val="2"/>
        </w:rPr>
      </w:pPr>
    </w:p>
  </w:footnote>
  <w:footnote w:id="2">
    <w:p w14:paraId="2645D66E" w14:textId="373A407E" w:rsidR="00BD16F2" w:rsidRPr="00187B11" w:rsidRDefault="00BD16F2" w:rsidP="00BD16F2">
      <w:pPr>
        <w:pStyle w:val="Notedebasdepage"/>
        <w:rPr>
          <w:szCs w:val="18"/>
        </w:rPr>
      </w:pPr>
      <w:r>
        <w:rPr>
          <w:vertAlign w:val="superscript"/>
          <w:lang w:val="fr-FR"/>
        </w:rPr>
        <w:tab/>
      </w:r>
      <w:r w:rsidRPr="00BD16F2">
        <w:rPr>
          <w:sz w:val="20"/>
          <w:lang w:val="fr-FR"/>
        </w:rPr>
        <w:t>*</w:t>
      </w:r>
      <w:r>
        <w:rPr>
          <w:lang w:val="fr-FR"/>
        </w:rPr>
        <w:tab/>
        <w:t>Conformément au programme de travail du Comité des transports intérieurs pour 2022 tel qu’il figure dans le projet de budget-programme pour 2022 (A/76/6 (Sect.</w:t>
      </w:r>
      <w:r>
        <w:rPr>
          <w:lang w:val="fr-FR"/>
        </w:rPr>
        <w:t> </w:t>
      </w:r>
      <w:r>
        <w:rPr>
          <w:lang w:val="fr-FR"/>
        </w:rPr>
        <w:t>20), par.</w:t>
      </w:r>
      <w:r>
        <w:rPr>
          <w:lang w:val="fr-FR"/>
        </w:rPr>
        <w:t> </w:t>
      </w:r>
      <w:r>
        <w:rPr>
          <w:lang w:val="fr-FR"/>
        </w:rPr>
        <w:t>20.76), le Forum mondial a pour mission d’élaborer, d’harmoniser et de mettre à jour les Règlements ONU en vue d’améliorer les caractéristiques fonctionnelles des véhicules. Le présent document est soumis en vertu de ce mandat.</w:t>
      </w:r>
    </w:p>
  </w:footnote>
  <w:footnote w:id="3">
    <w:p w14:paraId="6040039D" w14:textId="73C99C37" w:rsidR="00BD16F2" w:rsidRPr="000D120C" w:rsidRDefault="00BD16F2" w:rsidP="00BD16F2">
      <w:pPr>
        <w:pStyle w:val="Notedebasdepage"/>
        <w:rPr>
          <w:color w:val="000000" w:themeColor="text1"/>
          <w:szCs w:val="18"/>
        </w:rPr>
      </w:pPr>
      <w:r>
        <w:rPr>
          <w:lang w:val="fr-FR"/>
        </w:rPr>
        <w:tab/>
      </w:r>
      <w:r w:rsidRPr="00BD16F2">
        <w:rPr>
          <w:rStyle w:val="Appelnotedebasdep"/>
        </w:rPr>
        <w:footnoteRef/>
      </w:r>
      <w:r>
        <w:rPr>
          <w:lang w:val="fr-FR"/>
        </w:rPr>
        <w:tab/>
        <w:t>Directive 2014/53/UE sur les équipements radioélectriques.</w:t>
      </w:r>
    </w:p>
  </w:footnote>
  <w:footnote w:id="4">
    <w:p w14:paraId="12D78D15" w14:textId="57F817A4" w:rsidR="00BD16F2" w:rsidRPr="000D120C" w:rsidRDefault="00BD16F2" w:rsidP="00BD16F2">
      <w:pPr>
        <w:pStyle w:val="Notedebasdepage"/>
        <w:rPr>
          <w:color w:val="000000" w:themeColor="text1"/>
          <w:szCs w:val="18"/>
        </w:rPr>
      </w:pPr>
      <w:r>
        <w:rPr>
          <w:lang w:val="fr-FR"/>
        </w:rPr>
        <w:tab/>
      </w:r>
      <w:r w:rsidRPr="00BD16F2">
        <w:rPr>
          <w:rStyle w:val="Appelnotedebasdep"/>
        </w:rPr>
        <w:footnoteRef/>
      </w:r>
      <w:r>
        <w:rPr>
          <w:lang w:val="fr-FR"/>
        </w:rPr>
        <w:tab/>
        <w:t>3GPP TS 36.124 V17.0.0 (2022-03) par.</w:t>
      </w:r>
      <w:r>
        <w:rPr>
          <w:lang w:val="fr-FR"/>
        </w:rPr>
        <w:t> </w:t>
      </w:r>
      <w:r>
        <w:rPr>
          <w:lang w:val="fr-FR"/>
        </w:rPr>
        <w:t>9.2.2</w:t>
      </w:r>
      <w:r>
        <w:rPr>
          <w:i/>
          <w:iCs/>
          <w:lang w:val="fr-FR"/>
        </w:rPr>
        <w:t xml:space="preserve"> </w:t>
      </w:r>
      <w:r w:rsidRPr="00BD16F2">
        <w:rPr>
          <w:i/>
          <w:iCs/>
          <w:lang w:val="en-US"/>
        </w:rPr>
        <w:t>RF electromagnetic field</w:t>
      </w:r>
      <w:r>
        <w:rPr>
          <w:lang w:val="fr-FR"/>
        </w:rPr>
        <w:t>.</w:t>
      </w:r>
    </w:p>
  </w:footnote>
  <w:footnote w:id="5">
    <w:p w14:paraId="724C1972" w14:textId="63AFC498" w:rsidR="00BD16F2" w:rsidRPr="000D120C" w:rsidRDefault="00BD16F2" w:rsidP="00BD16F2">
      <w:pPr>
        <w:pStyle w:val="Notedebasdepage"/>
        <w:rPr>
          <w:color w:val="000000" w:themeColor="text1"/>
          <w:szCs w:val="18"/>
        </w:rPr>
      </w:pPr>
      <w:r>
        <w:rPr>
          <w:lang w:val="fr-FR"/>
        </w:rPr>
        <w:tab/>
      </w:r>
      <w:r w:rsidRPr="00BD16F2">
        <w:rPr>
          <w:rStyle w:val="Appelnotedebasdep"/>
        </w:rPr>
        <w:footnoteRef/>
      </w:r>
      <w:r>
        <w:rPr>
          <w:lang w:val="fr-FR"/>
        </w:rPr>
        <w:tab/>
        <w:t>Règlement ONU n</w:t>
      </w:r>
      <w:r w:rsidRPr="00BD16F2">
        <w:rPr>
          <w:vertAlign w:val="superscript"/>
          <w:lang w:val="fr-FR"/>
        </w:rPr>
        <w:t>o</w:t>
      </w:r>
      <w:r>
        <w:rPr>
          <w:lang w:val="fr-FR"/>
        </w:rPr>
        <w:t> 10, par.</w:t>
      </w:r>
      <w:r>
        <w:rPr>
          <w:lang w:val="fr-FR"/>
        </w:rPr>
        <w:t> </w:t>
      </w:r>
      <w:r>
        <w:rPr>
          <w:lang w:val="fr-FR"/>
        </w:rPr>
        <w:t>6.4</w:t>
      </w:r>
      <w:r>
        <w:rPr>
          <w:lang w:val="fr-FR"/>
        </w:rPr>
        <w:t> :</w:t>
      </w:r>
      <w:r>
        <w:rPr>
          <w:lang w:val="fr-FR"/>
        </w:rPr>
        <w:t xml:space="preserve"> Spécifications relatives à l’immunité des véhicules aux rayonnements électromagnétiques</w:t>
      </w:r>
      <w:r>
        <w:rPr>
          <w:lang w:val="fr-FR"/>
        </w:rPr>
        <w:t>.</w:t>
      </w:r>
    </w:p>
  </w:footnote>
  <w:footnote w:id="6">
    <w:p w14:paraId="6C791ACE" w14:textId="17E007C3" w:rsidR="00BD16F2" w:rsidRPr="000D120C" w:rsidRDefault="00BD16F2" w:rsidP="00BD16F2">
      <w:pPr>
        <w:pStyle w:val="Notedebasdepage"/>
        <w:rPr>
          <w:color w:val="000000" w:themeColor="text1"/>
          <w:szCs w:val="18"/>
        </w:rPr>
      </w:pPr>
      <w:r>
        <w:rPr>
          <w:lang w:val="fr-FR"/>
        </w:rPr>
        <w:tab/>
      </w:r>
      <w:r w:rsidRPr="00BD16F2">
        <w:rPr>
          <w:rStyle w:val="Appelnotedebasdep"/>
        </w:rPr>
        <w:footnoteRef/>
      </w:r>
      <w:r>
        <w:rPr>
          <w:lang w:val="fr-FR"/>
        </w:rPr>
        <w:tab/>
        <w:t>TS</w:t>
      </w:r>
      <w:r>
        <w:rPr>
          <w:lang w:val="fr-FR"/>
        </w:rPr>
        <w:t> </w:t>
      </w:r>
      <w:r>
        <w:rPr>
          <w:lang w:val="fr-FR"/>
        </w:rPr>
        <w:t>136</w:t>
      </w:r>
      <w:r>
        <w:rPr>
          <w:lang w:val="fr-FR"/>
        </w:rPr>
        <w:t> </w:t>
      </w:r>
      <w:r>
        <w:rPr>
          <w:lang w:val="fr-FR"/>
        </w:rPr>
        <w:t>101</w:t>
      </w:r>
      <w:r>
        <w:rPr>
          <w:lang w:val="fr-FR"/>
        </w:rPr>
        <w:t> </w:t>
      </w:r>
      <w:r>
        <w:rPr>
          <w:lang w:val="fr-FR"/>
        </w:rPr>
        <w:t xml:space="preserve">V17.5.0 (2022-05), </w:t>
      </w:r>
      <w:r w:rsidRPr="00BD16F2">
        <w:rPr>
          <w:lang w:val="en-US"/>
        </w:rPr>
        <w:t>Evolved Universal Terrestrial Radio Access</w:t>
      </w:r>
      <w:r>
        <w:rPr>
          <w:lang w:val="fr-FR"/>
        </w:rPr>
        <w:t xml:space="preserve"> (E-UTRA)</w:t>
      </w:r>
      <w:r>
        <w:rPr>
          <w:lang w:val="fr-FR"/>
        </w:rPr>
        <w:t> ;</w:t>
      </w:r>
      <w:r>
        <w:rPr>
          <w:lang w:val="fr-FR"/>
        </w:rPr>
        <w:t xml:space="preserve"> </w:t>
      </w:r>
      <w:r w:rsidRPr="00BD16F2">
        <w:rPr>
          <w:lang w:val="en-US"/>
        </w:rPr>
        <w:t>User Equipment (UE) radio transmission and reception</w:t>
      </w:r>
      <w:r>
        <w:rPr>
          <w:lang w:val="fr-FR"/>
        </w:rPr>
        <w:t>, par.</w:t>
      </w:r>
      <w:r>
        <w:rPr>
          <w:lang w:val="fr-FR"/>
        </w:rPr>
        <w:t> </w:t>
      </w:r>
      <w:r>
        <w:rPr>
          <w:lang w:val="fr-FR"/>
        </w:rPr>
        <w:t>7.6.1(</w:t>
      </w:r>
      <w:r w:rsidRPr="00BD16F2">
        <w:rPr>
          <w:lang w:val="en-US"/>
        </w:rPr>
        <w:t>In-band Blocking</w:t>
      </w:r>
      <w:r>
        <w:rPr>
          <w:lang w:val="fr-FR"/>
        </w:rPr>
        <w:t>) et par.</w:t>
      </w:r>
      <w:r>
        <w:rPr>
          <w:lang w:val="fr-FR"/>
        </w:rPr>
        <w:t> </w:t>
      </w:r>
      <w:r>
        <w:rPr>
          <w:lang w:val="fr-FR"/>
        </w:rPr>
        <w:t>7.6.2 (</w:t>
      </w:r>
      <w:r w:rsidRPr="00BD16F2">
        <w:rPr>
          <w:lang w:val="en-US"/>
        </w:rPr>
        <w:t>Out-of-band Blocking</w:t>
      </w:r>
      <w:r>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4B0D" w14:textId="32AA4129" w:rsidR="00860702" w:rsidRPr="00860702" w:rsidRDefault="00860702">
    <w:pPr>
      <w:pStyle w:val="En-tte"/>
    </w:pPr>
    <w:fldSimple w:instr=" TITLE  \* MERGEFORMAT ">
      <w:r>
        <w:t>ECE/TRANS/WP.29/GRSG/2022/28</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0E9F7" w14:textId="0EBCC5C7" w:rsidR="00860702" w:rsidRPr="00860702" w:rsidRDefault="00860702" w:rsidP="00860702">
    <w:pPr>
      <w:pStyle w:val="En-tte"/>
      <w:jc w:val="right"/>
    </w:pPr>
    <w:fldSimple w:instr=" TITLE  \* MERGEFORMAT ">
      <w:r>
        <w:t>ECE/TRANS/WP.29/GRSG/2022/28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3C8"/>
    <w:rsid w:val="00017F94"/>
    <w:rsid w:val="00023842"/>
    <w:rsid w:val="000334F9"/>
    <w:rsid w:val="00045FEB"/>
    <w:rsid w:val="0007796D"/>
    <w:rsid w:val="000B7790"/>
    <w:rsid w:val="00111F2F"/>
    <w:rsid w:val="0014365E"/>
    <w:rsid w:val="00143C66"/>
    <w:rsid w:val="00176178"/>
    <w:rsid w:val="001D33C8"/>
    <w:rsid w:val="001F525A"/>
    <w:rsid w:val="00201148"/>
    <w:rsid w:val="00223272"/>
    <w:rsid w:val="0024779E"/>
    <w:rsid w:val="00257168"/>
    <w:rsid w:val="002744B8"/>
    <w:rsid w:val="002832AC"/>
    <w:rsid w:val="002D7C93"/>
    <w:rsid w:val="00305801"/>
    <w:rsid w:val="003916DE"/>
    <w:rsid w:val="00421996"/>
    <w:rsid w:val="00441C3B"/>
    <w:rsid w:val="00446FE5"/>
    <w:rsid w:val="00452396"/>
    <w:rsid w:val="00477EB2"/>
    <w:rsid w:val="004837D8"/>
    <w:rsid w:val="004914EE"/>
    <w:rsid w:val="004B5FDF"/>
    <w:rsid w:val="004E2EED"/>
    <w:rsid w:val="004E468C"/>
    <w:rsid w:val="005505B7"/>
    <w:rsid w:val="00573BE5"/>
    <w:rsid w:val="00586ED3"/>
    <w:rsid w:val="00596AA9"/>
    <w:rsid w:val="0071601D"/>
    <w:rsid w:val="007A62E6"/>
    <w:rsid w:val="007F20FA"/>
    <w:rsid w:val="0080684C"/>
    <w:rsid w:val="00860702"/>
    <w:rsid w:val="00871C75"/>
    <w:rsid w:val="008776DC"/>
    <w:rsid w:val="008D5EF9"/>
    <w:rsid w:val="00907CFB"/>
    <w:rsid w:val="009446C0"/>
    <w:rsid w:val="009705C8"/>
    <w:rsid w:val="009C1CF4"/>
    <w:rsid w:val="009F6B74"/>
    <w:rsid w:val="00A3029F"/>
    <w:rsid w:val="00A30353"/>
    <w:rsid w:val="00AC3823"/>
    <w:rsid w:val="00AE323C"/>
    <w:rsid w:val="00AF0CB5"/>
    <w:rsid w:val="00B00181"/>
    <w:rsid w:val="00B00B0D"/>
    <w:rsid w:val="00B45F2E"/>
    <w:rsid w:val="00B765F7"/>
    <w:rsid w:val="00B77993"/>
    <w:rsid w:val="00BA0CA9"/>
    <w:rsid w:val="00BD16F2"/>
    <w:rsid w:val="00C02897"/>
    <w:rsid w:val="00C97039"/>
    <w:rsid w:val="00D3439C"/>
    <w:rsid w:val="00D7622E"/>
    <w:rsid w:val="00DB1831"/>
    <w:rsid w:val="00DD3BFD"/>
    <w:rsid w:val="00DF6678"/>
    <w:rsid w:val="00E0299A"/>
    <w:rsid w:val="00E85C74"/>
    <w:rsid w:val="00EA6547"/>
    <w:rsid w:val="00ED7237"/>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6B1DFA"/>
  <w15:docId w15:val="{7B138AFB-2529-49A8-B663-D4F3D2865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ECE_TRANS.dotm</Template>
  <TotalTime>8</TotalTime>
  <Pages>4</Pages>
  <Words>1131</Words>
  <Characters>7920</Characters>
  <Application>Microsoft Office Word</Application>
  <DocSecurity>0</DocSecurity>
  <Lines>660</Lines>
  <Paragraphs>362</Paragraphs>
  <ScaleCrop>false</ScaleCrop>
  <HeadingPairs>
    <vt:vector size="2" baseType="variant">
      <vt:variant>
        <vt:lpstr>Titre</vt:lpstr>
      </vt:variant>
      <vt:variant>
        <vt:i4>1</vt:i4>
      </vt:variant>
    </vt:vector>
  </HeadingPairs>
  <TitlesOfParts>
    <vt:vector size="1" baseType="lpstr">
      <vt:lpstr/>
    </vt:vector>
  </TitlesOfParts>
  <Company>DCM</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ECE/TRANS/WP.29/GRSG/2022/28</dc:title>
  <dc:subject/>
  <dc:creator>Nicolas MORIN</dc:creator>
  <cp:keywords/>
  <cp:lastModifiedBy>Nicolas Morin</cp:lastModifiedBy>
  <cp:revision>2</cp:revision>
  <cp:lastPrinted>2014-05-14T10:59:00Z</cp:lastPrinted>
  <dcterms:created xsi:type="dcterms:W3CDTF">2022-08-18T08:10:00Z</dcterms:created>
  <dcterms:modified xsi:type="dcterms:W3CDTF">2022-08-18T08:10:00Z</dcterms:modified>
</cp:coreProperties>
</file>