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89FD412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F0F50EB" w14:textId="77777777" w:rsidR="00F35BAF" w:rsidRPr="00DB58B5" w:rsidRDefault="00F35BAF" w:rsidP="006C22B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A031A0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19C6A1D" w14:textId="01813F23" w:rsidR="00F35BAF" w:rsidRPr="00DB58B5" w:rsidRDefault="006C22BD" w:rsidP="006C22BD">
            <w:pPr>
              <w:jc w:val="right"/>
            </w:pPr>
            <w:r w:rsidRPr="006C22BD">
              <w:rPr>
                <w:sz w:val="40"/>
              </w:rPr>
              <w:t>ECE</w:t>
            </w:r>
            <w:r>
              <w:t>/TRANS/WP.29/GRSG/2022/26</w:t>
            </w:r>
          </w:p>
        </w:tc>
      </w:tr>
      <w:tr w:rsidR="00F35BAF" w:rsidRPr="00DB58B5" w14:paraId="5C0D0E3B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9781D8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82FA084" wp14:editId="562DF17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5D03FF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52027FB" w14:textId="77777777" w:rsidR="00F35BAF" w:rsidRDefault="006C22BD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60103880" w14:textId="77777777" w:rsidR="006C22BD" w:rsidRDefault="006C22BD" w:rsidP="006C22BD">
            <w:pPr>
              <w:spacing w:line="240" w:lineRule="exact"/>
            </w:pPr>
            <w:r>
              <w:t>22 juillet 2022</w:t>
            </w:r>
          </w:p>
          <w:p w14:paraId="73A5E1AB" w14:textId="77777777" w:rsidR="006C22BD" w:rsidRDefault="006C22BD" w:rsidP="006C22BD">
            <w:pPr>
              <w:spacing w:line="240" w:lineRule="exact"/>
            </w:pPr>
            <w:r>
              <w:t>Français</w:t>
            </w:r>
          </w:p>
          <w:p w14:paraId="246F473F" w14:textId="5838FF84" w:rsidR="006C22BD" w:rsidRPr="00DB58B5" w:rsidRDefault="006C22BD" w:rsidP="006C22BD">
            <w:pPr>
              <w:spacing w:line="240" w:lineRule="exact"/>
            </w:pPr>
            <w:r>
              <w:t>Original : anglais</w:t>
            </w:r>
          </w:p>
        </w:tc>
      </w:tr>
    </w:tbl>
    <w:p w14:paraId="7BE7DF2C" w14:textId="644B54C9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6C22BD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096990DA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E6355E0" w14:textId="635B2EBD" w:rsidR="006C22BD" w:rsidRDefault="006C22BD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63E23908" w14:textId="23EC3761" w:rsidR="006C22BD" w:rsidRDefault="006C22BD" w:rsidP="00257168">
      <w:pPr>
        <w:spacing w:before="120" w:after="120" w:line="240" w:lineRule="exact"/>
        <w:rPr>
          <w:b/>
        </w:rPr>
      </w:pPr>
      <w:r>
        <w:rPr>
          <w:b/>
          <w:bCs/>
          <w:lang w:val="fr-FR"/>
        </w:rPr>
        <w:t>Groupe de travail des dispositions générales de sécurité</w:t>
      </w:r>
    </w:p>
    <w:p w14:paraId="647C0B6E" w14:textId="77777777" w:rsidR="006C22BD" w:rsidRPr="007E2FB8" w:rsidRDefault="006C22BD" w:rsidP="006C22BD">
      <w:pPr>
        <w:tabs>
          <w:tab w:val="center" w:pos="4819"/>
        </w:tabs>
        <w:spacing w:before="120"/>
        <w:rPr>
          <w:b/>
          <w:lang w:val="fr-FR"/>
        </w:rPr>
      </w:pPr>
      <w:r>
        <w:rPr>
          <w:b/>
          <w:bCs/>
          <w:lang w:val="fr-FR"/>
        </w:rPr>
        <w:t>124</w:t>
      </w:r>
      <w:r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session</w:t>
      </w:r>
    </w:p>
    <w:p w14:paraId="05CF65E3" w14:textId="77777777" w:rsidR="006C22BD" w:rsidRPr="007E2FB8" w:rsidRDefault="006C22BD" w:rsidP="006C22BD">
      <w:pPr>
        <w:rPr>
          <w:rFonts w:asciiTheme="majorBidi" w:hAnsiTheme="majorBidi" w:cstheme="majorBidi"/>
          <w:lang w:val="fr-FR"/>
        </w:rPr>
      </w:pPr>
      <w:r>
        <w:rPr>
          <w:lang w:val="fr-FR"/>
        </w:rPr>
        <w:t>Genève, 11-14 octobre 2022</w:t>
      </w:r>
    </w:p>
    <w:p w14:paraId="008470AA" w14:textId="3CDC26A5" w:rsidR="006C22BD" w:rsidRPr="007E2FB8" w:rsidRDefault="006C22BD" w:rsidP="006C22BD">
      <w:pPr>
        <w:rPr>
          <w:lang w:val="fr-FR"/>
        </w:rPr>
      </w:pPr>
      <w:r>
        <w:rPr>
          <w:lang w:val="fr-FR"/>
        </w:rPr>
        <w:t>Point 9 de l</w:t>
      </w:r>
      <w:r>
        <w:rPr>
          <w:lang w:val="fr-FR"/>
        </w:rPr>
        <w:t>’</w:t>
      </w:r>
      <w:r>
        <w:rPr>
          <w:lang w:val="fr-FR"/>
        </w:rPr>
        <w:t>ordre du jour provisoire</w:t>
      </w:r>
    </w:p>
    <w:p w14:paraId="73E2C9E6" w14:textId="3799F996" w:rsidR="006C22BD" w:rsidRPr="007E2FB8" w:rsidRDefault="006C22BD" w:rsidP="006C22BD">
      <w:pPr>
        <w:ind w:right="4818"/>
        <w:rPr>
          <w:b/>
          <w:bCs/>
          <w:lang w:val="fr-FR"/>
        </w:rPr>
      </w:pPr>
      <w:r>
        <w:rPr>
          <w:b/>
          <w:bCs/>
          <w:lang w:val="fr-FR"/>
        </w:rPr>
        <w:t xml:space="preserve">Règlement ONU </w:t>
      </w:r>
      <w:r w:rsidR="001E2996" w:rsidRPr="001E2996">
        <w:rPr>
          <w:rFonts w:eastAsia="MS Mincho"/>
          <w:b/>
          <w:bCs/>
          <w:szCs w:val="22"/>
          <w:lang w:val="fr-FR"/>
        </w:rPr>
        <w:t>n</w:t>
      </w:r>
      <w:r w:rsidR="001E2996" w:rsidRPr="001E2996">
        <w:rPr>
          <w:rFonts w:eastAsia="MS Mincho"/>
          <w:b/>
          <w:bCs/>
          <w:szCs w:val="22"/>
          <w:vertAlign w:val="superscript"/>
          <w:lang w:val="fr-FR"/>
        </w:rPr>
        <w:t>o</w:t>
      </w:r>
      <w:r w:rsidR="001E2996">
        <w:rPr>
          <w:b/>
          <w:bCs/>
          <w:lang w:val="fr-FR"/>
        </w:rPr>
        <w:t> </w:t>
      </w:r>
      <w:r>
        <w:rPr>
          <w:b/>
          <w:bCs/>
          <w:lang w:val="fr-FR"/>
        </w:rPr>
        <w:t>121 (Identification des commandes manuelles, des témoins et des indicateurs)</w:t>
      </w:r>
    </w:p>
    <w:p w14:paraId="5E6879D6" w14:textId="19008264" w:rsidR="006C22BD" w:rsidRPr="007E2FB8" w:rsidRDefault="006C22BD" w:rsidP="006C22BD">
      <w:pPr>
        <w:pStyle w:val="HChG"/>
        <w:rPr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bCs/>
          <w:lang w:val="fr-FR"/>
        </w:rPr>
        <w:t>Proposition de complément 6 à la série 01 d</w:t>
      </w:r>
      <w:r>
        <w:rPr>
          <w:bCs/>
          <w:lang w:val="fr-FR"/>
        </w:rPr>
        <w:t>’</w:t>
      </w:r>
      <w:r>
        <w:rPr>
          <w:bCs/>
          <w:lang w:val="fr-FR"/>
        </w:rPr>
        <w:t xml:space="preserve">amendements au Règlement ONU </w:t>
      </w:r>
      <w:r w:rsidRPr="006C22BD">
        <w:rPr>
          <w:rFonts w:eastAsia="MS Mincho"/>
          <w:bCs/>
          <w:szCs w:val="22"/>
          <w:lang w:val="fr-FR"/>
        </w:rPr>
        <w:t>n</w:t>
      </w:r>
      <w:r w:rsidRPr="006C22BD">
        <w:rPr>
          <w:rFonts w:eastAsia="MS Mincho"/>
          <w:bCs/>
          <w:szCs w:val="22"/>
          <w:vertAlign w:val="superscript"/>
          <w:lang w:val="fr-FR"/>
        </w:rPr>
        <w:t>o</w:t>
      </w:r>
      <w:r>
        <w:rPr>
          <w:bCs/>
          <w:lang w:val="fr-FR"/>
        </w:rPr>
        <w:t> </w:t>
      </w:r>
      <w:r>
        <w:rPr>
          <w:bCs/>
          <w:lang w:val="fr-FR"/>
        </w:rPr>
        <w:t>121 (Identification des commandes manuelles, des témoins et des indicateurs)</w:t>
      </w:r>
    </w:p>
    <w:p w14:paraId="6916E0BB" w14:textId="61C11C60" w:rsidR="006C22BD" w:rsidRPr="006C22BD" w:rsidRDefault="006C22BD" w:rsidP="006C22BD">
      <w:pPr>
        <w:pStyle w:val="H1G"/>
        <w:tabs>
          <w:tab w:val="clear" w:pos="851"/>
          <w:tab w:val="left" w:pos="8505"/>
        </w:tabs>
        <w:ind w:firstLine="0"/>
        <w:rPr>
          <w:lang w:val="fr-FR"/>
        </w:rPr>
      </w:pPr>
      <w:r>
        <w:rPr>
          <w:bCs/>
          <w:lang w:val="fr-FR"/>
        </w:rPr>
        <w:t>Communication de l</w:t>
      </w:r>
      <w:r>
        <w:rPr>
          <w:bCs/>
          <w:lang w:val="fr-FR"/>
        </w:rPr>
        <w:t>’</w:t>
      </w:r>
      <w:r>
        <w:rPr>
          <w:bCs/>
          <w:lang w:val="fr-FR"/>
        </w:rPr>
        <w:t>expert de la République de Corée</w:t>
      </w:r>
      <w:r w:rsidRPr="006C22BD">
        <w:rPr>
          <w:b w:val="0"/>
          <w:bCs/>
          <w:sz w:val="20"/>
          <w:lang w:val="fr-FR"/>
        </w:rPr>
        <w:footnoteReference w:customMarkFollows="1" w:id="2"/>
        <w:t>*</w:t>
      </w:r>
    </w:p>
    <w:p w14:paraId="2DB8458B" w14:textId="3974405B" w:rsidR="006C22BD" w:rsidRDefault="006C22BD" w:rsidP="006C22BD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texte ci-après, soumis par le représentant de la République de Corée, tend à modifier le Règlement ONU </w:t>
      </w:r>
      <w:r w:rsidR="001E2996" w:rsidRPr="001E2996">
        <w:rPr>
          <w:rFonts w:eastAsia="MS Mincho"/>
          <w:szCs w:val="22"/>
          <w:lang w:val="fr-FR"/>
        </w:rPr>
        <w:t>n</w:t>
      </w:r>
      <w:r w:rsidR="001E2996" w:rsidRPr="001E2996">
        <w:rPr>
          <w:rFonts w:eastAsia="MS Mincho"/>
          <w:szCs w:val="22"/>
          <w:vertAlign w:val="superscript"/>
          <w:lang w:val="fr-FR"/>
        </w:rPr>
        <w:t>o</w:t>
      </w:r>
      <w:r w:rsidR="001E2996">
        <w:rPr>
          <w:rFonts w:eastAsia="MS Mincho"/>
          <w:szCs w:val="22"/>
          <w:lang w:val="fr-FR"/>
        </w:rPr>
        <w:t> </w:t>
      </w:r>
      <w:r>
        <w:rPr>
          <w:lang w:val="fr-FR"/>
        </w:rPr>
        <w:t>121. Il y est proposé de préciser que les indicateurs, leurs identifications et les identifications des commandes manuelles ne doivent pas nécessairement être éclairés lorsque la luminosité est suffisante à l</w:t>
      </w:r>
      <w:r>
        <w:rPr>
          <w:lang w:val="fr-FR"/>
        </w:rPr>
        <w:t>’</w:t>
      </w:r>
      <w:r>
        <w:rPr>
          <w:lang w:val="fr-FR"/>
        </w:rPr>
        <w:t>extérieur du véhicule, par exemple lorsque les feux de circulation diurne fonctionnent. Les modifications qu</w:t>
      </w:r>
      <w:r>
        <w:rPr>
          <w:lang w:val="fr-FR"/>
        </w:rPr>
        <w:t>’</w:t>
      </w:r>
      <w:r>
        <w:rPr>
          <w:lang w:val="fr-FR"/>
        </w:rPr>
        <w:t>il est proposé d</w:t>
      </w:r>
      <w:r>
        <w:rPr>
          <w:lang w:val="fr-FR"/>
        </w:rPr>
        <w:t>’</w:t>
      </w:r>
      <w:r>
        <w:rPr>
          <w:lang w:val="fr-FR"/>
        </w:rPr>
        <w:t>apporter au texte actuel du Règlement figurent en caractères gras pour les ajouts et biffés pour les suppressions.</w:t>
      </w:r>
    </w:p>
    <w:p w14:paraId="0A1D219E" w14:textId="77777777" w:rsidR="006C22BD" w:rsidRDefault="006C22BD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1150B6A6" w14:textId="77777777" w:rsidR="006C22BD" w:rsidRPr="007E2FB8" w:rsidRDefault="006C22BD" w:rsidP="006C22BD">
      <w:pPr>
        <w:pStyle w:val="HChG"/>
        <w:pageBreakBefore/>
        <w:rPr>
          <w:lang w:val="fr-FR"/>
        </w:rPr>
      </w:pPr>
      <w:r>
        <w:rPr>
          <w:bCs/>
          <w:lang w:val="fr-FR"/>
        </w:rPr>
        <w:lastRenderedPageBreak/>
        <w:tab/>
        <w:t>I.</w:t>
      </w:r>
      <w:r>
        <w:rPr>
          <w:lang w:val="fr-FR"/>
        </w:rPr>
        <w:tab/>
      </w:r>
      <w:r>
        <w:rPr>
          <w:bCs/>
          <w:lang w:val="fr-FR"/>
        </w:rPr>
        <w:t>Proposition</w:t>
      </w:r>
    </w:p>
    <w:p w14:paraId="607BA6EA" w14:textId="19F8F7AB" w:rsidR="006C22BD" w:rsidRPr="007E2FB8" w:rsidRDefault="006C22BD" w:rsidP="006C22BD">
      <w:pPr>
        <w:pStyle w:val="SingleTxtG"/>
        <w:rPr>
          <w:rFonts w:eastAsia="Malgun Gothic"/>
          <w:lang w:val="fr-FR"/>
        </w:rPr>
      </w:pPr>
      <w:r>
        <w:rPr>
          <w:i/>
          <w:iCs/>
          <w:lang w:val="fr-FR"/>
        </w:rPr>
        <w:t xml:space="preserve">Paragraphe 5.3.3, </w:t>
      </w:r>
      <w:r>
        <w:rPr>
          <w:lang w:val="fr-FR"/>
        </w:rPr>
        <w:t>lire</w:t>
      </w:r>
      <w:r>
        <w:rPr>
          <w:lang w:val="fr-FR"/>
        </w:rPr>
        <w:t xml:space="preserve"> </w:t>
      </w:r>
      <w:r>
        <w:rPr>
          <w:lang w:val="fr-FR"/>
        </w:rPr>
        <w:t>:</w:t>
      </w:r>
    </w:p>
    <w:p w14:paraId="02BF4A16" w14:textId="2EDA9BD1" w:rsidR="006C22BD" w:rsidRPr="007E2FB8" w:rsidRDefault="006C22BD" w:rsidP="006C22BD">
      <w:pPr>
        <w:pStyle w:val="SingleTxtG"/>
        <w:ind w:left="2268" w:hanging="1134"/>
        <w:rPr>
          <w:rFonts w:eastAsia="Malgun Gothic"/>
          <w:b/>
          <w:color w:val="000000" w:themeColor="text1"/>
          <w:lang w:val="fr-FR"/>
        </w:rPr>
      </w:pPr>
      <w:r>
        <w:rPr>
          <w:lang w:val="fr-FR"/>
        </w:rPr>
        <w:t>« 5.3.3</w:t>
      </w:r>
      <w:r>
        <w:rPr>
          <w:lang w:val="fr-FR"/>
        </w:rPr>
        <w:tab/>
        <w:t>Les indicateurs, leurs moyens d</w:t>
      </w:r>
      <w:r>
        <w:rPr>
          <w:lang w:val="fr-FR"/>
        </w:rPr>
        <w:t>’</w:t>
      </w:r>
      <w:r>
        <w:rPr>
          <w:lang w:val="fr-FR"/>
        </w:rPr>
        <w:t>identification et les moyens d</w:t>
      </w:r>
      <w:r>
        <w:rPr>
          <w:lang w:val="fr-FR"/>
        </w:rPr>
        <w:t>’</w:t>
      </w:r>
      <w:r>
        <w:rPr>
          <w:lang w:val="fr-FR"/>
        </w:rPr>
        <w:t>identification des commandes ne doivent pas nécessairement s</w:t>
      </w:r>
      <w:r>
        <w:rPr>
          <w:lang w:val="fr-FR"/>
        </w:rPr>
        <w:t>’</w:t>
      </w:r>
      <w:r>
        <w:rPr>
          <w:lang w:val="fr-FR"/>
        </w:rPr>
        <w:t>allumer</w:t>
      </w:r>
      <w:r w:rsidRPr="006C22BD">
        <w:rPr>
          <w:strike/>
          <w:lang w:val="fr-FR"/>
        </w:rPr>
        <w:t xml:space="preserve"> </w:t>
      </w:r>
      <w:r>
        <w:rPr>
          <w:strike/>
          <w:lang w:val="fr-FR"/>
        </w:rPr>
        <w:t>lorsque les projecteurs sont utilisés pour faire des appels de phares ou comme feux de circulation diurne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à condition que </w:t>
      </w:r>
      <w:r w:rsidRPr="001E2996">
        <w:rPr>
          <w:b/>
          <w:bCs/>
          <w:lang w:val="fr-FR"/>
        </w:rPr>
        <w:t>:</w:t>
      </w:r>
    </w:p>
    <w:p w14:paraId="7F89D0C1" w14:textId="1398650A" w:rsidR="006C22BD" w:rsidRPr="007E2FB8" w:rsidRDefault="006C22BD" w:rsidP="006C22BD">
      <w:pPr>
        <w:pStyle w:val="SingleTxtG"/>
        <w:ind w:left="2268"/>
        <w:rPr>
          <w:rFonts w:eastAsia="Malgun Gothic"/>
          <w:b/>
          <w:lang w:val="fr-FR"/>
        </w:rPr>
      </w:pPr>
      <w:r>
        <w:rPr>
          <w:b/>
          <w:bCs/>
          <w:lang w:val="fr-FR"/>
        </w:rPr>
        <w:t>a)</w:t>
      </w:r>
      <w:r>
        <w:rPr>
          <w:lang w:val="fr-FR"/>
        </w:rPr>
        <w:tab/>
      </w:r>
      <w:r>
        <w:rPr>
          <w:b/>
          <w:bCs/>
          <w:lang w:val="fr-FR"/>
        </w:rPr>
        <w:t>Les projecteurs soient utilisés pour faire des appels de phares ;</w:t>
      </w:r>
    </w:p>
    <w:p w14:paraId="651A871B" w14:textId="5868E861" w:rsidR="006C22BD" w:rsidRPr="007E2FB8" w:rsidRDefault="006C22BD" w:rsidP="006C22BD">
      <w:pPr>
        <w:pStyle w:val="SingleTxtG"/>
        <w:ind w:left="2268"/>
        <w:rPr>
          <w:rFonts w:eastAsia="Malgun Gothic"/>
          <w:b/>
          <w:lang w:val="fr-FR"/>
        </w:rPr>
      </w:pPr>
      <w:r>
        <w:rPr>
          <w:b/>
          <w:bCs/>
          <w:lang w:val="fr-FR"/>
        </w:rPr>
        <w:t>b)</w:t>
      </w:r>
      <w:r>
        <w:rPr>
          <w:lang w:val="fr-FR"/>
        </w:rPr>
        <w:tab/>
      </w:r>
      <w:r>
        <w:rPr>
          <w:b/>
          <w:bCs/>
          <w:lang w:val="fr-FR"/>
        </w:rPr>
        <w:t>Les feux de circulation diurne soient allumés.</w:t>
      </w:r>
      <w:r>
        <w:rPr>
          <w:lang w:val="fr-FR"/>
        </w:rPr>
        <w:t> »</w:t>
      </w:r>
      <w:r>
        <w:rPr>
          <w:lang w:val="fr-FR"/>
        </w:rPr>
        <w:t>.</w:t>
      </w:r>
    </w:p>
    <w:p w14:paraId="45BE057A" w14:textId="77777777" w:rsidR="006C22BD" w:rsidRPr="007E2FB8" w:rsidRDefault="006C22BD" w:rsidP="006C22BD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bCs/>
          <w:lang w:val="fr-FR"/>
        </w:rPr>
        <w:t>II.</w:t>
      </w:r>
      <w:r>
        <w:rPr>
          <w:lang w:val="fr-FR"/>
        </w:rPr>
        <w:tab/>
      </w:r>
      <w:r>
        <w:rPr>
          <w:bCs/>
          <w:lang w:val="fr-FR"/>
        </w:rPr>
        <w:t>Justification</w:t>
      </w:r>
    </w:p>
    <w:p w14:paraId="25E4FE07" w14:textId="13604259" w:rsidR="006C22BD" w:rsidRPr="007E2FB8" w:rsidRDefault="006C22BD" w:rsidP="006C22BD">
      <w:pPr>
        <w:pStyle w:val="SingleTxtG"/>
        <w:rPr>
          <w:rFonts w:eastAsia="Malgun Gothic"/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 xml:space="preserve">Le texte actuel du Règlement ONU </w:t>
      </w:r>
      <w:r w:rsidRPr="006C22BD">
        <w:rPr>
          <w:rFonts w:eastAsia="MS Mincho"/>
          <w:szCs w:val="22"/>
          <w:lang w:val="fr-FR"/>
        </w:rPr>
        <w:t>n</w:t>
      </w:r>
      <w:r w:rsidRPr="006C22BD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>
        <w:rPr>
          <w:lang w:val="fr-FR"/>
        </w:rPr>
        <w:t>121 stipule que les indicateurs, leurs moyens d</w:t>
      </w:r>
      <w:r>
        <w:rPr>
          <w:lang w:val="fr-FR"/>
        </w:rPr>
        <w:t>’</w:t>
      </w:r>
      <w:r>
        <w:rPr>
          <w:lang w:val="fr-FR"/>
        </w:rPr>
        <w:t>identification et les moyens d</w:t>
      </w:r>
      <w:r>
        <w:rPr>
          <w:lang w:val="fr-FR"/>
        </w:rPr>
        <w:t>’</w:t>
      </w:r>
      <w:r>
        <w:rPr>
          <w:lang w:val="fr-FR"/>
        </w:rPr>
        <w:t>identification des commandes ne doivent pas nécessairement s</w:t>
      </w:r>
      <w:r>
        <w:rPr>
          <w:lang w:val="fr-FR"/>
        </w:rPr>
        <w:t>’</w:t>
      </w:r>
      <w:r>
        <w:rPr>
          <w:lang w:val="fr-FR"/>
        </w:rPr>
        <w:t>allumer lorsque les projecteurs sont utilisés pour faire des appels de phares ou comme feux de circulation diurne.</w:t>
      </w:r>
      <w:bookmarkStart w:id="0" w:name="_Hlk107411454"/>
    </w:p>
    <w:p w14:paraId="5CF20AD0" w14:textId="6DAB8A6F" w:rsidR="006C22BD" w:rsidRPr="007E2FB8" w:rsidRDefault="006C22BD" w:rsidP="006C22BD">
      <w:pPr>
        <w:pStyle w:val="SingleTxtG"/>
        <w:rPr>
          <w:rFonts w:eastAsia="Malgun Gothic"/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  <w:t>Cependant, depuis que les feux de circulation diurne sont devenus obligatoires en 2011 (introduits par la série 04 d</w:t>
      </w:r>
      <w:r>
        <w:rPr>
          <w:lang w:val="fr-FR"/>
        </w:rPr>
        <w:t>’</w:t>
      </w:r>
      <w:r>
        <w:rPr>
          <w:lang w:val="fr-FR"/>
        </w:rPr>
        <w:t xml:space="preserve">amendements au Règlement ONU </w:t>
      </w:r>
      <w:r w:rsidRPr="006C22BD">
        <w:rPr>
          <w:rFonts w:eastAsia="MS Mincho"/>
          <w:szCs w:val="22"/>
          <w:lang w:val="fr-FR"/>
        </w:rPr>
        <w:t>n</w:t>
      </w:r>
      <w:r w:rsidRPr="006C22BD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 xml:space="preserve"> 48), il est devenu nécessaire de modifier le Règlement ONU </w:t>
      </w:r>
      <w:r w:rsidRPr="006C22BD">
        <w:rPr>
          <w:rFonts w:eastAsia="MS Mincho"/>
          <w:szCs w:val="22"/>
          <w:lang w:val="fr-FR"/>
        </w:rPr>
        <w:t>n</w:t>
      </w:r>
      <w:r w:rsidRPr="006C22BD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121 pour le rendre plus clair.</w:t>
      </w:r>
    </w:p>
    <w:p w14:paraId="4FB484B4" w14:textId="3ED64666" w:rsidR="00F9573C" w:rsidRDefault="006C22BD" w:rsidP="006C22BD">
      <w:pPr>
        <w:pStyle w:val="SingleTxtG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  <w:t>En ce qui concerne les feux de circulation diurne, le texte actuel du Règlement ONU ne permet d</w:t>
      </w:r>
      <w:r>
        <w:rPr>
          <w:lang w:val="fr-FR"/>
        </w:rPr>
        <w:t>’</w:t>
      </w:r>
      <w:r>
        <w:rPr>
          <w:lang w:val="fr-FR"/>
        </w:rPr>
        <w:t>exclure l</w:t>
      </w:r>
      <w:r>
        <w:rPr>
          <w:lang w:val="fr-FR"/>
        </w:rPr>
        <w:t>’</w:t>
      </w:r>
      <w:r>
        <w:rPr>
          <w:lang w:val="fr-FR"/>
        </w:rPr>
        <w:t>éclairage qu</w:t>
      </w:r>
      <w:r>
        <w:rPr>
          <w:lang w:val="fr-FR"/>
        </w:rPr>
        <w:t>’</w:t>
      </w:r>
      <w:r>
        <w:rPr>
          <w:lang w:val="fr-FR"/>
        </w:rPr>
        <w:t>à condition que les projecteurs soient utilisés comme feux de circulation diurne. La proposition vise donc à exclure l</w:t>
      </w:r>
      <w:r>
        <w:rPr>
          <w:lang w:val="fr-FR"/>
        </w:rPr>
        <w:t>’</w:t>
      </w:r>
      <w:r>
        <w:rPr>
          <w:lang w:val="fr-FR"/>
        </w:rPr>
        <w:t>éclairage lorsque les feux de circulation diurne sont utilisés.</w:t>
      </w:r>
      <w:bookmarkEnd w:id="0"/>
    </w:p>
    <w:p w14:paraId="48F93CCA" w14:textId="63B78EDA" w:rsidR="006C22BD" w:rsidRPr="006C22BD" w:rsidRDefault="006C22BD" w:rsidP="006C22B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C22BD" w:rsidRPr="006C22BD" w:rsidSect="006C22B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134E" w14:textId="77777777" w:rsidR="00BD3CE0" w:rsidRDefault="00BD3CE0" w:rsidP="00F95C08">
      <w:pPr>
        <w:spacing w:line="240" w:lineRule="auto"/>
      </w:pPr>
    </w:p>
  </w:endnote>
  <w:endnote w:type="continuationSeparator" w:id="0">
    <w:p w14:paraId="7AEC60F4" w14:textId="77777777" w:rsidR="00BD3CE0" w:rsidRPr="00AC3823" w:rsidRDefault="00BD3CE0" w:rsidP="00AC3823">
      <w:pPr>
        <w:pStyle w:val="Pieddepage"/>
      </w:pPr>
    </w:p>
  </w:endnote>
  <w:endnote w:type="continuationNotice" w:id="1">
    <w:p w14:paraId="7C2BAC8E" w14:textId="77777777" w:rsidR="00BD3CE0" w:rsidRDefault="00BD3C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9DE8" w14:textId="48145CE8" w:rsidR="006C22BD" w:rsidRPr="006C22BD" w:rsidRDefault="006C22BD" w:rsidP="006C22BD">
    <w:pPr>
      <w:pStyle w:val="Pieddepage"/>
      <w:tabs>
        <w:tab w:val="right" w:pos="9638"/>
      </w:tabs>
    </w:pPr>
    <w:r w:rsidRPr="006C22BD">
      <w:rPr>
        <w:b/>
        <w:sz w:val="18"/>
      </w:rPr>
      <w:fldChar w:fldCharType="begin"/>
    </w:r>
    <w:r w:rsidRPr="006C22BD">
      <w:rPr>
        <w:b/>
        <w:sz w:val="18"/>
      </w:rPr>
      <w:instrText xml:space="preserve"> PAGE  \* MERGEFORMAT </w:instrText>
    </w:r>
    <w:r w:rsidRPr="006C22BD">
      <w:rPr>
        <w:b/>
        <w:sz w:val="18"/>
      </w:rPr>
      <w:fldChar w:fldCharType="separate"/>
    </w:r>
    <w:r w:rsidRPr="006C22BD">
      <w:rPr>
        <w:b/>
        <w:noProof/>
        <w:sz w:val="18"/>
      </w:rPr>
      <w:t>2</w:t>
    </w:r>
    <w:r w:rsidRPr="006C22BD">
      <w:rPr>
        <w:b/>
        <w:sz w:val="18"/>
      </w:rPr>
      <w:fldChar w:fldCharType="end"/>
    </w:r>
    <w:r>
      <w:rPr>
        <w:b/>
        <w:sz w:val="18"/>
      </w:rPr>
      <w:tab/>
    </w:r>
    <w:r>
      <w:t>GE.22-11536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1A44" w14:textId="1B1DBC05" w:rsidR="006C22BD" w:rsidRPr="006C22BD" w:rsidRDefault="006C22BD" w:rsidP="006C22BD">
    <w:pPr>
      <w:pStyle w:val="Pieddepage"/>
      <w:tabs>
        <w:tab w:val="right" w:pos="9638"/>
      </w:tabs>
      <w:rPr>
        <w:b/>
        <w:sz w:val="18"/>
      </w:rPr>
    </w:pPr>
    <w:r>
      <w:t>GE.22-11536</w:t>
    </w:r>
    <w:r>
      <w:tab/>
    </w:r>
    <w:r w:rsidRPr="006C22BD">
      <w:rPr>
        <w:b/>
        <w:sz w:val="18"/>
      </w:rPr>
      <w:fldChar w:fldCharType="begin"/>
    </w:r>
    <w:r w:rsidRPr="006C22BD">
      <w:rPr>
        <w:b/>
        <w:sz w:val="18"/>
      </w:rPr>
      <w:instrText xml:space="preserve"> PAGE  \* MERGEFORMAT </w:instrText>
    </w:r>
    <w:r w:rsidRPr="006C22BD">
      <w:rPr>
        <w:b/>
        <w:sz w:val="18"/>
      </w:rPr>
      <w:fldChar w:fldCharType="separate"/>
    </w:r>
    <w:r w:rsidRPr="006C22BD">
      <w:rPr>
        <w:b/>
        <w:noProof/>
        <w:sz w:val="18"/>
      </w:rPr>
      <w:t>3</w:t>
    </w:r>
    <w:r w:rsidRPr="006C22B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E4B0" w14:textId="5C3451D2" w:rsidR="007F20FA" w:rsidRPr="006C22BD" w:rsidRDefault="006C22BD" w:rsidP="006C22B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73E330A" wp14:editId="56C6E77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22-11536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A1F3B1C" wp14:editId="3E60D1B3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050822    090822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883E" w14:textId="77777777" w:rsidR="00BD3CE0" w:rsidRPr="00AC3823" w:rsidRDefault="00BD3CE0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2A7476B" w14:textId="77777777" w:rsidR="00BD3CE0" w:rsidRPr="00AC3823" w:rsidRDefault="00BD3CE0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B281CD" w14:textId="77777777" w:rsidR="00BD3CE0" w:rsidRPr="00AC3823" w:rsidRDefault="00BD3CE0">
      <w:pPr>
        <w:spacing w:line="240" w:lineRule="auto"/>
        <w:rPr>
          <w:sz w:val="2"/>
          <w:szCs w:val="2"/>
        </w:rPr>
      </w:pPr>
    </w:p>
  </w:footnote>
  <w:footnote w:id="2">
    <w:p w14:paraId="26A270CE" w14:textId="52B8BE41" w:rsidR="006C22BD" w:rsidRPr="006C22BD" w:rsidRDefault="006C22BD" w:rsidP="006C22BD">
      <w:pPr>
        <w:pStyle w:val="Notedebasdepage"/>
        <w:tabs>
          <w:tab w:val="clear" w:pos="1021"/>
        </w:tabs>
        <w:ind w:hanging="283"/>
        <w:rPr>
          <w:rStyle w:val="Appelnotedebasdep"/>
          <w:szCs w:val="18"/>
          <w:vertAlign w:val="baseline"/>
        </w:rPr>
      </w:pPr>
      <w:r w:rsidRPr="006C22BD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2022 tel qu</w:t>
      </w:r>
      <w:r>
        <w:rPr>
          <w:lang w:val="fr-FR"/>
        </w:rPr>
        <w:t>’</w:t>
      </w:r>
      <w:r>
        <w:rPr>
          <w:lang w:val="fr-FR"/>
        </w:rPr>
        <w:t>il figure dans le projet de budget-programme pour 2022 (A/76/6 (sect. 20), par. 20.76), le Forum mondial a pour mission d</w:t>
      </w:r>
      <w:r>
        <w:rPr>
          <w:lang w:val="fr-FR"/>
        </w:rPr>
        <w:t>’</w:t>
      </w:r>
      <w:r>
        <w:rPr>
          <w:lang w:val="fr-FR"/>
        </w:rPr>
        <w:t>élaborer, d</w:t>
      </w:r>
      <w:r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D0A0" w14:textId="7330EF63" w:rsidR="006C22BD" w:rsidRPr="006C22BD" w:rsidRDefault="006C22BD">
    <w:pPr>
      <w:pStyle w:val="En-tte"/>
    </w:pPr>
    <w:fldSimple w:instr=" TITLE  \* MERGEFORMAT ">
      <w:r>
        <w:t>ECE/TRANS/WP.29/GRSG/2022/26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23C1" w14:textId="74D63633" w:rsidR="006C22BD" w:rsidRPr="006C22BD" w:rsidRDefault="006C22BD" w:rsidP="006C22BD">
    <w:pPr>
      <w:pStyle w:val="En-tte"/>
      <w:jc w:val="right"/>
    </w:pPr>
    <w:fldSimple w:instr=" TITLE  \* MERGEFORMAT ">
      <w:r>
        <w:t>ECE/TRANS/WP.29/GRSG/2022/26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567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E0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E2996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4E4DA0"/>
    <w:rsid w:val="005505B7"/>
    <w:rsid w:val="00573BE5"/>
    <w:rsid w:val="00586ED3"/>
    <w:rsid w:val="00596AA9"/>
    <w:rsid w:val="006C22BD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D3CE0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75D6F"/>
  <w15:docId w15:val="{13327AE8-1FB4-4843-8128-C48E16A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BVI fnr, BVI fnr,Footnote symbol,Footnote,Footnote Reference Superscript,SUPERS,-E Fußnotenzeichen,4_GR,Fußnotenzeichen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6C22BD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321</Words>
  <Characters>2251</Characters>
  <Application>Microsoft Office Word</Application>
  <DocSecurity>0</DocSecurity>
  <Lines>187</Lines>
  <Paragraphs>102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ECE/TRANS/WP.29/GRSG/2022/26</dc:title>
  <dc:subject/>
  <dc:creator>Corinne ROBERT</dc:creator>
  <cp:keywords/>
  <cp:lastModifiedBy>Corinne Robert</cp:lastModifiedBy>
  <cp:revision>2</cp:revision>
  <cp:lastPrinted>2014-05-14T10:59:00Z</cp:lastPrinted>
  <dcterms:created xsi:type="dcterms:W3CDTF">2022-08-09T08:53:00Z</dcterms:created>
  <dcterms:modified xsi:type="dcterms:W3CDTF">2022-08-09T08:53:00Z</dcterms:modified>
</cp:coreProperties>
</file>