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765E98F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EE55912" w14:textId="77777777" w:rsidR="00F35BAF" w:rsidRPr="00DB58B5" w:rsidRDefault="00F35BAF" w:rsidP="0043208B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F96D1F2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800F28E" w14:textId="0645CAB2" w:rsidR="00F35BAF" w:rsidRPr="00DB58B5" w:rsidRDefault="0043208B" w:rsidP="0043208B">
            <w:pPr>
              <w:jc w:val="right"/>
            </w:pPr>
            <w:r w:rsidRPr="0043208B">
              <w:rPr>
                <w:sz w:val="40"/>
              </w:rPr>
              <w:t>ECE</w:t>
            </w:r>
            <w:r>
              <w:t>/TRANS/WP.29/GRSG/2022/25</w:t>
            </w:r>
          </w:p>
        </w:tc>
      </w:tr>
      <w:tr w:rsidR="00F35BAF" w:rsidRPr="00DB58B5" w14:paraId="21603AE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BBDE0BA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6BB2F5C" wp14:editId="26149A0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E6307E1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BB3DE67" w14:textId="77777777" w:rsidR="00F35BAF" w:rsidRDefault="0043208B" w:rsidP="00C97039">
            <w:pPr>
              <w:spacing w:before="240"/>
            </w:pPr>
            <w:r>
              <w:t>Distr. générale</w:t>
            </w:r>
          </w:p>
          <w:p w14:paraId="3E1CBC98" w14:textId="77777777" w:rsidR="0043208B" w:rsidRDefault="0043208B" w:rsidP="0043208B">
            <w:pPr>
              <w:spacing w:line="240" w:lineRule="exact"/>
            </w:pPr>
            <w:r>
              <w:t>22 juillet 2022</w:t>
            </w:r>
          </w:p>
          <w:p w14:paraId="61A55A5E" w14:textId="77777777" w:rsidR="0043208B" w:rsidRDefault="0043208B" w:rsidP="0043208B">
            <w:pPr>
              <w:spacing w:line="240" w:lineRule="exact"/>
            </w:pPr>
            <w:r>
              <w:t>Français</w:t>
            </w:r>
          </w:p>
          <w:p w14:paraId="28320115" w14:textId="59BDD86F" w:rsidR="0043208B" w:rsidRPr="00DB58B5" w:rsidRDefault="0043208B" w:rsidP="0043208B">
            <w:pPr>
              <w:spacing w:line="240" w:lineRule="exact"/>
            </w:pPr>
            <w:r>
              <w:t>Original : anglais</w:t>
            </w:r>
          </w:p>
        </w:tc>
      </w:tr>
    </w:tbl>
    <w:p w14:paraId="03C07335" w14:textId="5D801B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E53375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09107014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7CF5D62" w14:textId="5F6BC0D7" w:rsidR="0043208B" w:rsidRPr="0043208B" w:rsidRDefault="0043208B" w:rsidP="0043208B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43208B">
        <w:rPr>
          <w:b/>
          <w:bCs/>
          <w:sz w:val="24"/>
          <w:szCs w:val="24"/>
          <w:lang w:val="fr-FR"/>
        </w:rPr>
        <w:t>Forum mondial de l</w:t>
      </w:r>
      <w:r w:rsidR="00E53375">
        <w:rPr>
          <w:b/>
          <w:bCs/>
          <w:sz w:val="24"/>
          <w:szCs w:val="24"/>
          <w:lang w:val="fr-FR"/>
        </w:rPr>
        <w:t>’</w:t>
      </w:r>
      <w:r w:rsidRPr="0043208B">
        <w:rPr>
          <w:b/>
          <w:bCs/>
          <w:sz w:val="24"/>
          <w:szCs w:val="24"/>
          <w:lang w:val="fr-FR"/>
        </w:rPr>
        <w:t xml:space="preserve">harmonisation des Règlements </w:t>
      </w:r>
      <w:r w:rsidR="00E53375">
        <w:rPr>
          <w:b/>
          <w:bCs/>
          <w:sz w:val="24"/>
          <w:szCs w:val="24"/>
          <w:lang w:val="fr-FR"/>
        </w:rPr>
        <w:br/>
      </w:r>
      <w:r w:rsidRPr="0043208B">
        <w:rPr>
          <w:b/>
          <w:bCs/>
          <w:sz w:val="24"/>
          <w:szCs w:val="24"/>
          <w:lang w:val="fr-FR"/>
        </w:rPr>
        <w:t>concernant les véhicules</w:t>
      </w:r>
    </w:p>
    <w:p w14:paraId="793E50A4" w14:textId="77777777" w:rsidR="0043208B" w:rsidRPr="0043208B" w:rsidRDefault="0043208B" w:rsidP="0043208B">
      <w:pPr>
        <w:rPr>
          <w:rFonts w:asciiTheme="majorBidi" w:hAnsiTheme="majorBidi" w:cstheme="majorBidi"/>
          <w:b/>
          <w:bCs/>
        </w:rPr>
      </w:pPr>
      <w:r w:rsidRPr="0043208B">
        <w:rPr>
          <w:b/>
          <w:bCs/>
          <w:lang w:val="fr-FR"/>
        </w:rPr>
        <w:t>Groupe de travail des dispositions générales de sécurité</w:t>
      </w:r>
    </w:p>
    <w:p w14:paraId="66A88DD3" w14:textId="639A4FCF" w:rsidR="0043208B" w:rsidRPr="0043208B" w:rsidRDefault="0043208B" w:rsidP="0043208B">
      <w:pPr>
        <w:spacing w:before="120"/>
        <w:rPr>
          <w:rFonts w:asciiTheme="majorBidi" w:hAnsiTheme="majorBidi" w:cstheme="majorBidi"/>
          <w:b/>
          <w:bCs/>
        </w:rPr>
      </w:pPr>
      <w:r w:rsidRPr="0043208B">
        <w:rPr>
          <w:b/>
          <w:bCs/>
          <w:lang w:val="fr-FR"/>
        </w:rPr>
        <w:t>124</w:t>
      </w:r>
      <w:r w:rsidRPr="0043208B">
        <w:rPr>
          <w:b/>
          <w:bCs/>
          <w:vertAlign w:val="superscript"/>
          <w:lang w:val="fr-FR"/>
        </w:rPr>
        <w:t>e</w:t>
      </w:r>
      <w:r w:rsidR="00283A2A" w:rsidRPr="00283A2A">
        <w:rPr>
          <w:b/>
          <w:bCs/>
          <w:lang w:val="fr-FR"/>
        </w:rPr>
        <w:t> </w:t>
      </w:r>
      <w:r w:rsidRPr="0043208B">
        <w:rPr>
          <w:b/>
          <w:bCs/>
          <w:lang w:val="fr-FR"/>
        </w:rPr>
        <w:t>session</w:t>
      </w:r>
    </w:p>
    <w:p w14:paraId="6B55C75E" w14:textId="77777777" w:rsidR="0043208B" w:rsidRPr="00455674" w:rsidRDefault="0043208B" w:rsidP="0043208B">
      <w:pPr>
        <w:rPr>
          <w:rFonts w:asciiTheme="majorBidi" w:hAnsiTheme="majorBidi" w:cstheme="majorBidi"/>
        </w:rPr>
      </w:pPr>
      <w:r>
        <w:rPr>
          <w:lang w:val="fr-FR"/>
        </w:rPr>
        <w:t>Genève, 11-14 octobre 2022</w:t>
      </w:r>
    </w:p>
    <w:p w14:paraId="54CE5AAE" w14:textId="1597A67D" w:rsidR="0043208B" w:rsidRPr="00455674" w:rsidRDefault="0043208B" w:rsidP="0043208B">
      <w:pPr>
        <w:rPr>
          <w:rFonts w:asciiTheme="majorBidi" w:hAnsiTheme="majorBidi" w:cstheme="majorBidi"/>
        </w:rPr>
      </w:pPr>
      <w:r>
        <w:rPr>
          <w:lang w:val="fr-FR"/>
        </w:rPr>
        <w:t>Point 6 b) de l</w:t>
      </w:r>
      <w:r w:rsidR="00E53375">
        <w:rPr>
          <w:lang w:val="fr-FR"/>
        </w:rPr>
        <w:t>’</w:t>
      </w:r>
      <w:r>
        <w:rPr>
          <w:lang w:val="fr-FR"/>
        </w:rPr>
        <w:t>ordre du jour provisoire</w:t>
      </w:r>
    </w:p>
    <w:p w14:paraId="0B79B708" w14:textId="5BB533BF" w:rsidR="0043208B" w:rsidRPr="00E53375" w:rsidRDefault="0043208B" w:rsidP="0043208B">
      <w:pPr>
        <w:rPr>
          <w:b/>
          <w:bCs/>
          <w:spacing w:val="-2"/>
          <w:lang w:val="fr-FR"/>
        </w:rPr>
      </w:pPr>
      <w:r w:rsidRPr="00E53375">
        <w:rPr>
          <w:b/>
          <w:bCs/>
          <w:spacing w:val="-2"/>
          <w:lang w:val="fr-FR"/>
        </w:rPr>
        <w:t>Amendements aux Règlements concernant les véhicules fonctionnant au gaz</w:t>
      </w:r>
      <w:r w:rsidR="00E53375" w:rsidRPr="00E53375">
        <w:rPr>
          <w:b/>
          <w:bCs/>
          <w:spacing w:val="-2"/>
          <w:lang w:val="fr-FR"/>
        </w:rPr>
        <w:t> </w:t>
      </w:r>
      <w:r w:rsidRPr="00E53375">
        <w:rPr>
          <w:b/>
          <w:bCs/>
          <w:spacing w:val="-2"/>
          <w:lang w:val="fr-FR"/>
        </w:rPr>
        <w:t>:</w:t>
      </w:r>
    </w:p>
    <w:p w14:paraId="576F5E02" w14:textId="6C500FA3" w:rsidR="0043208B" w:rsidRPr="00455674" w:rsidRDefault="0043208B" w:rsidP="0043208B">
      <w:r w:rsidRPr="0043208B">
        <w:rPr>
          <w:b/>
          <w:bCs/>
          <w:lang w:val="fr-FR"/>
        </w:rPr>
        <w:t>Règlement ONU n</w:t>
      </w:r>
      <w:r w:rsidRPr="0043208B">
        <w:rPr>
          <w:b/>
          <w:bCs/>
          <w:vertAlign w:val="superscript"/>
          <w:lang w:val="fr-FR"/>
        </w:rPr>
        <w:t>o</w:t>
      </w:r>
      <w:r>
        <w:rPr>
          <w:b/>
          <w:bCs/>
          <w:lang w:val="fr-FR"/>
        </w:rPr>
        <w:t> </w:t>
      </w:r>
      <w:r w:rsidRPr="0043208B">
        <w:rPr>
          <w:b/>
          <w:bCs/>
          <w:lang w:val="fr-FR"/>
        </w:rPr>
        <w:t>110 (Véhicules alimentés au GNC ou au GNL)</w:t>
      </w:r>
    </w:p>
    <w:p w14:paraId="66766417" w14:textId="11C3B694" w:rsidR="0043208B" w:rsidRPr="00455674" w:rsidRDefault="0043208B" w:rsidP="0043208B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Proposition de complément</w:t>
      </w:r>
      <w:r w:rsidR="00283A2A">
        <w:rPr>
          <w:lang w:val="fr-FR"/>
        </w:rPr>
        <w:t> </w:t>
      </w:r>
      <w:r>
        <w:rPr>
          <w:lang w:val="fr-FR"/>
        </w:rPr>
        <w:t>1 à la série 05 d</w:t>
      </w:r>
      <w:r w:rsidR="00E53375">
        <w:rPr>
          <w:lang w:val="fr-FR"/>
        </w:rPr>
        <w:t>’</w:t>
      </w:r>
      <w:r>
        <w:rPr>
          <w:lang w:val="fr-FR"/>
        </w:rPr>
        <w:t>amendements au</w:t>
      </w:r>
      <w:r>
        <w:rPr>
          <w:lang w:val="fr-FR"/>
        </w:rPr>
        <w:t> </w:t>
      </w:r>
      <w:r>
        <w:rPr>
          <w:lang w:val="fr-FR"/>
        </w:rPr>
        <w:t>Règlement ONU n</w:t>
      </w:r>
      <w:r w:rsidR="00E53375" w:rsidRPr="00E53375">
        <w:rPr>
          <w:vertAlign w:val="superscript"/>
          <w:lang w:val="fr-FR"/>
        </w:rPr>
        <w:t>o</w:t>
      </w:r>
      <w:r w:rsidR="00E53375">
        <w:rPr>
          <w:lang w:val="fr-FR"/>
        </w:rPr>
        <w:t> </w:t>
      </w:r>
      <w:r>
        <w:rPr>
          <w:lang w:val="fr-FR"/>
        </w:rPr>
        <w:t xml:space="preserve">110 (véhicules alimentés </w:t>
      </w:r>
      <w:r>
        <w:rPr>
          <w:lang w:val="fr-FR"/>
        </w:rPr>
        <w:br/>
      </w:r>
      <w:r>
        <w:rPr>
          <w:lang w:val="fr-FR"/>
        </w:rPr>
        <w:t>au GNC ou au GNL)</w:t>
      </w:r>
    </w:p>
    <w:p w14:paraId="66EABFBD" w14:textId="16FA3F33" w:rsidR="0043208B" w:rsidRPr="00455674" w:rsidRDefault="0043208B" w:rsidP="0043208B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Communication de l</w:t>
      </w:r>
      <w:r w:rsidR="00E53375">
        <w:rPr>
          <w:lang w:val="fr-FR"/>
        </w:rPr>
        <w:t>’</w:t>
      </w:r>
      <w:r>
        <w:rPr>
          <w:lang w:val="fr-FR"/>
        </w:rPr>
        <w:t>expert des Pays-Bas</w:t>
      </w:r>
      <w:r w:rsidRPr="0043208B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229C4159" w14:textId="60F2DF61" w:rsidR="00F9573C" w:rsidRPr="00283A2A" w:rsidRDefault="0043208B" w:rsidP="0043208B">
      <w:pPr>
        <w:pStyle w:val="SingleTxtG"/>
        <w:ind w:firstLine="567"/>
        <w:rPr>
          <w:spacing w:val="-2"/>
          <w:lang w:val="fr-FR"/>
        </w:rPr>
      </w:pPr>
      <w:r w:rsidRPr="00283A2A">
        <w:rPr>
          <w:spacing w:val="-2"/>
          <w:lang w:val="fr-FR"/>
        </w:rPr>
        <w:t>Le texte ci-après, établi par l</w:t>
      </w:r>
      <w:r w:rsidR="00E53375" w:rsidRPr="00283A2A">
        <w:rPr>
          <w:spacing w:val="-2"/>
          <w:lang w:val="fr-FR"/>
        </w:rPr>
        <w:t>’</w:t>
      </w:r>
      <w:r w:rsidRPr="00283A2A">
        <w:rPr>
          <w:spacing w:val="-2"/>
          <w:lang w:val="fr-FR"/>
        </w:rPr>
        <w:t>équipe spéciale du Règlement ONU n</w:t>
      </w:r>
      <w:r w:rsidRPr="00283A2A">
        <w:rPr>
          <w:spacing w:val="-2"/>
          <w:vertAlign w:val="superscript"/>
          <w:lang w:val="fr-FR"/>
        </w:rPr>
        <w:t>o</w:t>
      </w:r>
      <w:r w:rsidRPr="00283A2A">
        <w:rPr>
          <w:spacing w:val="-2"/>
          <w:lang w:val="fr-FR"/>
        </w:rPr>
        <w:t> </w:t>
      </w:r>
      <w:r w:rsidRPr="00283A2A">
        <w:rPr>
          <w:spacing w:val="-2"/>
          <w:lang w:val="fr-FR"/>
        </w:rPr>
        <w:t>110, vise à mettre à jour les prescriptions qui s</w:t>
      </w:r>
      <w:r w:rsidR="00E53375" w:rsidRPr="00283A2A">
        <w:rPr>
          <w:spacing w:val="-2"/>
          <w:lang w:val="fr-FR"/>
        </w:rPr>
        <w:t>’</w:t>
      </w:r>
      <w:r w:rsidRPr="00283A2A">
        <w:rPr>
          <w:spacing w:val="-2"/>
          <w:lang w:val="fr-FR"/>
        </w:rPr>
        <w:t>appliquent actuellement aux organes alimentés au gaz naturel comprimé (GNC) ou au gaz naturel liquéfié (GNL). Il est fondé sur le document informel GRSG-123-28, distribué à la 123</w:t>
      </w:r>
      <w:r w:rsidRPr="00283A2A">
        <w:rPr>
          <w:spacing w:val="-2"/>
          <w:vertAlign w:val="superscript"/>
          <w:lang w:val="fr-FR"/>
        </w:rPr>
        <w:t>e</w:t>
      </w:r>
      <w:r w:rsidRPr="00283A2A">
        <w:rPr>
          <w:spacing w:val="-2"/>
          <w:lang w:val="fr-FR"/>
        </w:rPr>
        <w:t xml:space="preserve"> session du Groupe de travail des dispositions générales de sécurité (GRSG) (voir document ECE/TRANS/WP.29/GRSG/102, par</w:t>
      </w:r>
      <w:r w:rsidR="00E53375" w:rsidRPr="00283A2A">
        <w:rPr>
          <w:spacing w:val="-2"/>
          <w:lang w:val="fr-FR"/>
        </w:rPr>
        <w:t>. </w:t>
      </w:r>
      <w:r w:rsidRPr="00283A2A">
        <w:rPr>
          <w:spacing w:val="-2"/>
          <w:lang w:val="fr-FR"/>
        </w:rPr>
        <w:t>38). Les</w:t>
      </w:r>
      <w:r w:rsidR="00283A2A" w:rsidRPr="00283A2A">
        <w:rPr>
          <w:spacing w:val="-2"/>
          <w:lang w:val="fr-FR"/>
        </w:rPr>
        <w:t> </w:t>
      </w:r>
      <w:r w:rsidRPr="00283A2A">
        <w:rPr>
          <w:spacing w:val="-2"/>
          <w:lang w:val="fr-FR"/>
        </w:rPr>
        <w:t>modifications qu</w:t>
      </w:r>
      <w:r w:rsidR="00E53375" w:rsidRPr="00283A2A">
        <w:rPr>
          <w:spacing w:val="-2"/>
          <w:lang w:val="fr-FR"/>
        </w:rPr>
        <w:t>’</w:t>
      </w:r>
      <w:r w:rsidRPr="00283A2A">
        <w:rPr>
          <w:spacing w:val="-2"/>
          <w:lang w:val="fr-FR"/>
        </w:rPr>
        <w:t>il est proposé d</w:t>
      </w:r>
      <w:r w:rsidR="00E53375" w:rsidRPr="00283A2A">
        <w:rPr>
          <w:spacing w:val="-2"/>
          <w:lang w:val="fr-FR"/>
        </w:rPr>
        <w:t>’</w:t>
      </w:r>
      <w:r w:rsidRPr="00283A2A">
        <w:rPr>
          <w:spacing w:val="-2"/>
          <w:lang w:val="fr-FR"/>
        </w:rPr>
        <w:t>apporter au texte actuel du Règlement ONU figurent en caractères gras pour les ajouts et biffés pour les suppressions.</w:t>
      </w:r>
    </w:p>
    <w:p w14:paraId="2DE3AA21" w14:textId="067AF607" w:rsidR="0043208B" w:rsidRDefault="0043208B" w:rsidP="0043208B">
      <w:pPr>
        <w:rPr>
          <w:lang w:val="fr-FR"/>
        </w:rPr>
      </w:pPr>
      <w:r>
        <w:rPr>
          <w:lang w:val="fr-FR"/>
        </w:rPr>
        <w:br w:type="page"/>
      </w:r>
    </w:p>
    <w:p w14:paraId="3A3CDAA9" w14:textId="4EF04A4C" w:rsidR="0043208B" w:rsidRPr="00DD3E27" w:rsidRDefault="00F44764" w:rsidP="00F44764">
      <w:pPr>
        <w:pStyle w:val="HChG"/>
        <w:rPr>
          <w:w w:val="101"/>
        </w:rPr>
      </w:pPr>
      <w:r>
        <w:rPr>
          <w:lang w:val="fr-FR"/>
        </w:rPr>
        <w:lastRenderedPageBreak/>
        <w:tab/>
        <w:t>I.</w:t>
      </w:r>
      <w:r>
        <w:rPr>
          <w:lang w:val="fr-FR"/>
        </w:rPr>
        <w:tab/>
      </w:r>
      <w:r w:rsidR="0043208B">
        <w:rPr>
          <w:lang w:val="fr-FR"/>
        </w:rPr>
        <w:t>Proposition</w:t>
      </w:r>
    </w:p>
    <w:p w14:paraId="4B9D51E5" w14:textId="77777777" w:rsidR="0043208B" w:rsidRDefault="0043208B" w:rsidP="00F44764">
      <w:pPr>
        <w:pStyle w:val="SingleTxtG"/>
      </w:pPr>
      <w:r w:rsidRPr="00F44764">
        <w:rPr>
          <w:i/>
          <w:iCs/>
          <w:lang w:val="fr-FR"/>
        </w:rPr>
        <w:t>Paragraphes 8.4 à 8.11</w:t>
      </w:r>
      <w:r>
        <w:rPr>
          <w:lang w:val="fr-FR"/>
        </w:rPr>
        <w:t>, lire :</w:t>
      </w:r>
    </w:p>
    <w:p w14:paraId="6D5BA97C" w14:textId="36A2EF57" w:rsidR="0043208B" w:rsidRPr="00455674" w:rsidRDefault="00F44764" w:rsidP="00987ADC">
      <w:pPr>
        <w:pStyle w:val="SingleTxtG"/>
        <w:ind w:left="2268" w:hanging="1134"/>
      </w:pPr>
      <w:r>
        <w:rPr>
          <w:lang w:val="fr-FR"/>
        </w:rPr>
        <w:t>« </w:t>
      </w:r>
      <w:r w:rsidR="0043208B">
        <w:rPr>
          <w:lang w:val="fr-FR"/>
        </w:rPr>
        <w:t>8.4</w:t>
      </w:r>
      <w:r w:rsidR="00283A2A">
        <w:rPr>
          <w:lang w:val="fr-FR"/>
        </w:rPr>
        <w:t>-</w:t>
      </w:r>
      <w:r w:rsidR="0043208B">
        <w:rPr>
          <w:lang w:val="fr-FR"/>
        </w:rPr>
        <w:t>8.11</w:t>
      </w:r>
      <w:r w:rsidR="0043208B">
        <w:rPr>
          <w:lang w:val="fr-FR"/>
        </w:rPr>
        <w:tab/>
        <w:t>Prescriptions relatives aux autres organes GNC</w:t>
      </w:r>
    </w:p>
    <w:p w14:paraId="363D27AF" w14:textId="01CE46CC" w:rsidR="0043208B" w:rsidRDefault="0043208B" w:rsidP="00F44764">
      <w:pPr>
        <w:pStyle w:val="SingleTxtG"/>
        <w:ind w:left="2268"/>
        <w:rPr>
          <w:lang w:val="fr-FR"/>
        </w:rPr>
      </w:pPr>
      <w:r>
        <w:rPr>
          <w:lang w:val="fr-FR"/>
        </w:rPr>
        <w:t>Les autres organes GNC doivent être homologués conformément aux dispositions des annexes indiquées dans le tableau ci-dessous</w:t>
      </w:r>
      <w:r w:rsidR="00E53375">
        <w:rPr>
          <w:lang w:val="fr-FR"/>
        </w:rPr>
        <w:t> </w:t>
      </w:r>
      <w:r>
        <w:rPr>
          <w:lang w:val="fr-FR"/>
        </w:rPr>
        <w:t>:</w:t>
      </w:r>
    </w:p>
    <w:tbl>
      <w:tblPr>
        <w:tblW w:w="623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8"/>
        <w:gridCol w:w="4315"/>
        <w:gridCol w:w="934"/>
      </w:tblGrid>
      <w:tr w:rsidR="00F44764" w:rsidRPr="004328FB" w14:paraId="2EC81624" w14:textId="77777777" w:rsidTr="00987ADC">
        <w:tc>
          <w:tcPr>
            <w:tcW w:w="79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EF0BF4" w14:textId="56090AFF" w:rsidR="00F44764" w:rsidRPr="004328FB" w:rsidRDefault="00F44764" w:rsidP="006C1D5F">
            <w:pPr>
              <w:keepNext/>
              <w:keepLines/>
              <w:spacing w:before="80" w:after="80" w:line="200" w:lineRule="exact"/>
              <w:ind w:left="57"/>
              <w:rPr>
                <w:i/>
                <w:sz w:val="16"/>
              </w:rPr>
            </w:pPr>
            <w:r w:rsidRPr="00F44764">
              <w:rPr>
                <w:i/>
                <w:iCs/>
                <w:sz w:val="16"/>
                <w:lang w:val="fr-FR"/>
              </w:rPr>
              <w:t>Paragraphe</w:t>
            </w:r>
          </w:p>
        </w:tc>
        <w:tc>
          <w:tcPr>
            <w:tcW w:w="345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AA73F8" w14:textId="6E4CA2A2" w:rsidR="00F44764" w:rsidRPr="004328FB" w:rsidRDefault="00F44764" w:rsidP="006C1D5F">
            <w:pPr>
              <w:keepNext/>
              <w:keepLines/>
              <w:spacing w:before="80" w:after="80" w:line="200" w:lineRule="exact"/>
              <w:ind w:left="57"/>
              <w:rPr>
                <w:i/>
                <w:sz w:val="16"/>
              </w:rPr>
            </w:pPr>
            <w:r w:rsidRPr="00F44764">
              <w:rPr>
                <w:i/>
                <w:iCs/>
                <w:sz w:val="16"/>
                <w:lang w:val="fr-FR"/>
              </w:rPr>
              <w:t>Composant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2FD33F" w14:textId="42AA858A" w:rsidR="00F44764" w:rsidRPr="004328FB" w:rsidRDefault="00F44764" w:rsidP="006C1D5F">
            <w:pPr>
              <w:keepNext/>
              <w:keepLines/>
              <w:spacing w:before="80" w:after="80" w:line="200" w:lineRule="exact"/>
              <w:ind w:left="57"/>
              <w:jc w:val="center"/>
              <w:rPr>
                <w:i/>
                <w:sz w:val="16"/>
              </w:rPr>
            </w:pPr>
            <w:r w:rsidRPr="00F44764">
              <w:rPr>
                <w:i/>
                <w:iCs/>
                <w:sz w:val="16"/>
                <w:lang w:val="fr-FR"/>
              </w:rPr>
              <w:t>Annexe</w:t>
            </w:r>
          </w:p>
        </w:tc>
      </w:tr>
      <w:tr w:rsidR="00F44764" w:rsidRPr="004328FB" w14:paraId="2781E0A4" w14:textId="77777777" w:rsidTr="00987ADC">
        <w:trPr>
          <w:trHeight w:val="434"/>
        </w:trPr>
        <w:tc>
          <w:tcPr>
            <w:tcW w:w="7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3F77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8.4</w:t>
            </w:r>
          </w:p>
        </w:tc>
        <w:tc>
          <w:tcPr>
            <w:tcW w:w="3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D90A6" w14:textId="535A67BA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Vanne automatique</w:t>
            </w:r>
          </w:p>
          <w:p w14:paraId="1A62F0AC" w14:textId="20698CE8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Clapet antiretour</w:t>
            </w:r>
          </w:p>
          <w:p w14:paraId="60B7AB15" w14:textId="694EFA66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Soupape de surpression</w:t>
            </w:r>
          </w:p>
          <w:p w14:paraId="012B321A" w14:textId="18EBCE38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Dispositif de surpression (à déclenchement thermique)</w:t>
            </w:r>
          </w:p>
          <w:p w14:paraId="712DD161" w14:textId="3069FCF9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b/>
                <w:bCs/>
                <w:sz w:val="18"/>
                <w:szCs w:val="18"/>
              </w:rPr>
            </w:pPr>
            <w:r w:rsidRPr="00F44764">
              <w:rPr>
                <w:b/>
                <w:bCs/>
                <w:sz w:val="18"/>
                <w:szCs w:val="18"/>
                <w:lang w:val="fr-FR"/>
              </w:rPr>
              <w:t>Vanne manuelle</w:t>
            </w:r>
          </w:p>
          <w:p w14:paraId="05C67074" w14:textId="698C7AD3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Limiteur de débit</w:t>
            </w:r>
          </w:p>
          <w:p w14:paraId="28D4B4AF" w14:textId="28B34595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Dispositif de surpression (à déclenchement manométrique)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6D4D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4A</w:t>
            </w:r>
          </w:p>
        </w:tc>
      </w:tr>
      <w:tr w:rsidR="00F44764" w:rsidRPr="004328FB" w14:paraId="32600E34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B9DD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8.5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2C4E" w14:textId="5E0CFD4A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Flexible d</w:t>
            </w:r>
            <w:r w:rsidR="00E53375">
              <w:rPr>
                <w:sz w:val="18"/>
                <w:szCs w:val="18"/>
                <w:lang w:val="fr-FR"/>
              </w:rPr>
              <w:t>’</w:t>
            </w:r>
            <w:r w:rsidRPr="00F44764">
              <w:rPr>
                <w:sz w:val="18"/>
                <w:szCs w:val="18"/>
                <w:lang w:val="fr-FR"/>
              </w:rPr>
              <w:t>alimentation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57B7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4В</w:t>
            </w:r>
          </w:p>
        </w:tc>
      </w:tr>
      <w:tr w:rsidR="00F44764" w:rsidRPr="004328FB" w14:paraId="6073CF13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AB25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8.6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8481" w14:textId="3174611A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F44764">
              <w:rPr>
                <w:sz w:val="18"/>
                <w:szCs w:val="18"/>
                <w:lang w:val="fr-FR"/>
              </w:rPr>
              <w:t>Filtre à GNC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C72F70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4C</w:t>
            </w:r>
          </w:p>
        </w:tc>
      </w:tr>
      <w:tr w:rsidR="00F44764" w:rsidRPr="004328FB" w14:paraId="3AC62607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019D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8.7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CB95" w14:textId="4B43D805" w:rsidR="00F44764" w:rsidRPr="00F44764" w:rsidRDefault="00F44764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  <w:lang w:val="ru-RU"/>
              </w:rPr>
            </w:pPr>
            <w:r w:rsidRPr="00F44764">
              <w:rPr>
                <w:sz w:val="18"/>
                <w:szCs w:val="18"/>
                <w:lang w:val="fr-FR"/>
              </w:rPr>
              <w:t>Détendeur GNC</w:t>
            </w:r>
          </w:p>
          <w:p w14:paraId="752D1461" w14:textId="30C5BE6E" w:rsidR="00F44764" w:rsidRPr="00F44764" w:rsidRDefault="00CA7D2B" w:rsidP="006C1D5F">
            <w:pPr>
              <w:keepNext/>
              <w:keepLines/>
              <w:spacing w:before="60" w:after="60" w:line="240" w:lineRule="auto"/>
              <w:ind w:left="57"/>
              <w:rPr>
                <w:sz w:val="18"/>
                <w:szCs w:val="18"/>
                <w:lang w:val="ru-RU"/>
              </w:rPr>
            </w:pPr>
            <w:r w:rsidRPr="00CA7D2B">
              <w:rPr>
                <w:sz w:val="18"/>
                <w:szCs w:val="18"/>
                <w:shd w:val="clear" w:color="auto" w:fill="FFFFFF"/>
                <w:lang w:val="fr-FR"/>
              </w:rPr>
              <w:t>Compresseur GNC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73B3D0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4D</w:t>
            </w:r>
          </w:p>
        </w:tc>
      </w:tr>
      <w:tr w:rsidR="00F44764" w:rsidRPr="004328FB" w14:paraId="0E4197FD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B0DC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8.8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B5A" w14:textId="1BCB36EC" w:rsidR="00F44764" w:rsidRPr="004328FB" w:rsidRDefault="00CA7D2B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CA7D2B">
              <w:rPr>
                <w:sz w:val="18"/>
                <w:szCs w:val="18"/>
                <w:lang w:val="fr-FR"/>
              </w:rPr>
              <w:t>Capteurs de pression et de température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9416F6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4E</w:t>
            </w:r>
          </w:p>
        </w:tc>
      </w:tr>
      <w:tr w:rsidR="00F44764" w:rsidRPr="004328FB" w14:paraId="53F9780F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765E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8.9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A321" w14:textId="645C2458" w:rsidR="00F44764" w:rsidRPr="004328FB" w:rsidRDefault="00CA7D2B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CA7D2B">
              <w:rPr>
                <w:sz w:val="18"/>
                <w:szCs w:val="18"/>
                <w:lang w:val="fr-FR"/>
              </w:rPr>
              <w:t>Embout ou réceptacle de remplissage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73FE8E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4F</w:t>
            </w:r>
          </w:p>
        </w:tc>
      </w:tr>
      <w:tr w:rsidR="00F44764" w:rsidRPr="004328FB" w14:paraId="23295D9B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B590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8.10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0E2F" w14:textId="349B672E" w:rsidR="00F44764" w:rsidRPr="00CA7D2B" w:rsidRDefault="00CA7D2B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CA7D2B">
              <w:rPr>
                <w:sz w:val="18"/>
                <w:szCs w:val="18"/>
                <w:lang w:val="fr-FR"/>
              </w:rPr>
              <w:t>Régulateur de débit de gaz et mélangeur gaz/air, injecteur ou rampe d</w:t>
            </w:r>
            <w:r w:rsidR="00E53375">
              <w:rPr>
                <w:sz w:val="18"/>
                <w:szCs w:val="18"/>
                <w:lang w:val="fr-FR"/>
              </w:rPr>
              <w:t>’</w:t>
            </w:r>
            <w:r w:rsidRPr="00CA7D2B">
              <w:rPr>
                <w:sz w:val="18"/>
                <w:szCs w:val="18"/>
                <w:lang w:val="fr-FR"/>
              </w:rPr>
              <w:t>alimentation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DDF5BF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4G</w:t>
            </w:r>
          </w:p>
        </w:tc>
      </w:tr>
      <w:tr w:rsidR="00F44764" w:rsidRPr="004328FB" w14:paraId="759D0F17" w14:textId="77777777" w:rsidTr="00987ADC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F8C626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8.11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D6542E" w14:textId="01931ECF" w:rsidR="00F44764" w:rsidRPr="004328FB" w:rsidRDefault="00CA7D2B" w:rsidP="006C1D5F">
            <w:pPr>
              <w:keepNext/>
              <w:keepLines/>
              <w:spacing w:before="60" w:after="60"/>
              <w:ind w:left="57"/>
              <w:rPr>
                <w:sz w:val="18"/>
                <w:szCs w:val="18"/>
              </w:rPr>
            </w:pPr>
            <w:r w:rsidRPr="00CA7D2B">
              <w:rPr>
                <w:sz w:val="18"/>
                <w:szCs w:val="18"/>
                <w:lang w:val="fr-FR"/>
              </w:rPr>
              <w:t>Module électronique de commande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684146" w14:textId="77777777" w:rsidR="00F44764" w:rsidRPr="004328FB" w:rsidRDefault="00F44764" w:rsidP="006C1D5F">
            <w:pPr>
              <w:keepNext/>
              <w:keepLines/>
              <w:spacing w:before="60" w:after="60"/>
              <w:ind w:left="57"/>
              <w:jc w:val="center"/>
              <w:rPr>
                <w:sz w:val="18"/>
                <w:szCs w:val="18"/>
              </w:rPr>
            </w:pPr>
            <w:r w:rsidRPr="004328FB">
              <w:rPr>
                <w:sz w:val="18"/>
                <w:szCs w:val="18"/>
              </w:rPr>
              <w:t>4H</w:t>
            </w:r>
          </w:p>
        </w:tc>
      </w:tr>
    </w:tbl>
    <w:p w14:paraId="12C1AA60" w14:textId="77777777" w:rsidR="0043208B" w:rsidRDefault="0043208B" w:rsidP="00987ADC">
      <w:pPr>
        <w:pStyle w:val="SingleTxtG"/>
        <w:spacing w:before="240"/>
      </w:pPr>
      <w:r>
        <w:rPr>
          <w:i/>
          <w:iCs/>
          <w:lang w:val="fr-FR"/>
        </w:rPr>
        <w:t>Annexe 4A, paragraphe 3.2.3</w:t>
      </w:r>
      <w:r>
        <w:rPr>
          <w:lang w:val="fr-FR"/>
        </w:rPr>
        <w:t>, lire :</w:t>
      </w:r>
    </w:p>
    <w:p w14:paraId="2AB1DD5F" w14:textId="6971B32A" w:rsidR="0043208B" w:rsidRPr="00455674" w:rsidRDefault="00987ADC" w:rsidP="00987ADC">
      <w:pPr>
        <w:pStyle w:val="SingleTxtG"/>
        <w:ind w:left="2268" w:hanging="1134"/>
      </w:pPr>
      <w:r>
        <w:rPr>
          <w:lang w:val="fr-FR"/>
        </w:rPr>
        <w:t>« </w:t>
      </w:r>
      <w:r w:rsidR="0043208B">
        <w:rPr>
          <w:lang w:val="fr-FR"/>
        </w:rPr>
        <w:t>3.2.3</w:t>
      </w:r>
      <w:r w:rsidR="0043208B">
        <w:rPr>
          <w:lang w:val="fr-FR"/>
        </w:rPr>
        <w:tab/>
        <w:t>Le clapet antiretour, étant placé dans la position normale d</w:t>
      </w:r>
      <w:r w:rsidR="00E53375">
        <w:rPr>
          <w:lang w:val="fr-FR"/>
        </w:rPr>
        <w:t>’</w:t>
      </w:r>
      <w:r w:rsidR="0043208B">
        <w:rPr>
          <w:lang w:val="fr-FR"/>
        </w:rPr>
        <w:t xml:space="preserve">utilisation spécifiée par le fabricant, est soumis à 20 000 déplacements, puis désactivé. </w:t>
      </w:r>
      <w:r w:rsidR="0043208B" w:rsidRPr="00283A2A">
        <w:rPr>
          <w:b/>
          <w:bCs/>
          <w:lang w:val="fr-FR"/>
        </w:rPr>
        <w:t>Il est ensuite soumis pendant 240 h au débit produisant le battement maximal. Toute défaillance durant l</w:t>
      </w:r>
      <w:r w:rsidR="00E53375" w:rsidRPr="00283A2A">
        <w:rPr>
          <w:b/>
          <w:bCs/>
          <w:lang w:val="fr-FR"/>
        </w:rPr>
        <w:t>’</w:t>
      </w:r>
      <w:r w:rsidR="0043208B" w:rsidRPr="00283A2A">
        <w:rPr>
          <w:b/>
          <w:bCs/>
          <w:lang w:val="fr-FR"/>
        </w:rPr>
        <w:t>essai, quelle qu</w:t>
      </w:r>
      <w:r w:rsidR="00E53375" w:rsidRPr="00283A2A">
        <w:rPr>
          <w:b/>
          <w:bCs/>
          <w:lang w:val="fr-FR"/>
        </w:rPr>
        <w:t>’</w:t>
      </w:r>
      <w:r w:rsidR="0043208B" w:rsidRPr="00283A2A">
        <w:rPr>
          <w:b/>
          <w:bCs/>
          <w:lang w:val="fr-FR"/>
        </w:rPr>
        <w:t>elle soit, entraîne l</w:t>
      </w:r>
      <w:r w:rsidR="00E53375" w:rsidRPr="00283A2A">
        <w:rPr>
          <w:b/>
          <w:bCs/>
          <w:lang w:val="fr-FR"/>
        </w:rPr>
        <w:t>’</w:t>
      </w:r>
      <w:r w:rsidR="0043208B" w:rsidRPr="00283A2A">
        <w:rPr>
          <w:b/>
          <w:bCs/>
          <w:lang w:val="fr-FR"/>
        </w:rPr>
        <w:t>échec de ce dernier. Après l</w:t>
      </w:r>
      <w:r w:rsidR="00E53375" w:rsidRPr="00283A2A">
        <w:rPr>
          <w:b/>
          <w:bCs/>
          <w:lang w:val="fr-FR"/>
        </w:rPr>
        <w:t>’</w:t>
      </w:r>
      <w:r w:rsidR="0043208B" w:rsidRPr="00283A2A">
        <w:rPr>
          <w:b/>
          <w:bCs/>
          <w:lang w:val="fr-FR"/>
        </w:rPr>
        <w:t>essai, toutes les pièces du dispositif doivent être à leur place et fonctionner correctement.</w:t>
      </w:r>
      <w:r w:rsidR="0043208B">
        <w:rPr>
          <w:lang w:val="fr-FR"/>
        </w:rPr>
        <w:t xml:space="preserve"> Le clapet antiretour doit rester étanche (vers l</w:t>
      </w:r>
      <w:r w:rsidR="00E53375">
        <w:rPr>
          <w:lang w:val="fr-FR"/>
        </w:rPr>
        <w:t>’</w:t>
      </w:r>
      <w:r w:rsidR="0043208B">
        <w:rPr>
          <w:lang w:val="fr-FR"/>
        </w:rPr>
        <w:t>extérieur) à une pression égale à 1,5 fois la pression maximale de fonctionnement (en MPa) (voir annexe 5B).</w:t>
      </w:r>
      <w:r>
        <w:rPr>
          <w:lang w:val="fr-FR"/>
        </w:rPr>
        <w:t> ».</w:t>
      </w:r>
    </w:p>
    <w:p w14:paraId="04865DB5" w14:textId="481F94C1" w:rsidR="0043208B" w:rsidRPr="00455674" w:rsidRDefault="0043208B" w:rsidP="00EC2BEA">
      <w:pPr>
        <w:pStyle w:val="SingleTxtG"/>
        <w:keepNext/>
        <w:keepLines/>
        <w:spacing w:before="240"/>
      </w:pPr>
      <w:r>
        <w:rPr>
          <w:i/>
          <w:iCs/>
          <w:lang w:val="fr-FR"/>
        </w:rPr>
        <w:lastRenderedPageBreak/>
        <w:t>Annexe 5L</w:t>
      </w:r>
      <w:r>
        <w:rPr>
          <w:lang w:val="fr-FR"/>
        </w:rPr>
        <w:t>, lire</w:t>
      </w:r>
      <w:r w:rsidR="00987ADC">
        <w:rPr>
          <w:lang w:val="fr-FR"/>
        </w:rPr>
        <w:t> </w:t>
      </w:r>
      <w:r>
        <w:rPr>
          <w:lang w:val="fr-FR"/>
        </w:rPr>
        <w:t>:</w:t>
      </w:r>
    </w:p>
    <w:p w14:paraId="31C59437" w14:textId="06391537" w:rsidR="0043208B" w:rsidRPr="00455674" w:rsidRDefault="00987ADC" w:rsidP="00EC2BEA">
      <w:pPr>
        <w:pStyle w:val="HChG"/>
      </w:pPr>
      <w:bookmarkStart w:id="0" w:name="_Toc384289003"/>
      <w:r w:rsidRPr="00987ADC">
        <w:rPr>
          <w:b w:val="0"/>
          <w:bCs/>
          <w:sz w:val="20"/>
          <w:lang w:val="fr-FR"/>
        </w:rPr>
        <w:t>« </w:t>
      </w:r>
      <w:r w:rsidR="0043208B">
        <w:rPr>
          <w:lang w:val="fr-FR"/>
        </w:rPr>
        <w:t>Annexe 5L</w:t>
      </w:r>
      <w:bookmarkEnd w:id="0"/>
    </w:p>
    <w:p w14:paraId="03D3C2F3" w14:textId="77777777" w:rsidR="0043208B" w:rsidRPr="00455674" w:rsidRDefault="0043208B" w:rsidP="00EC2BEA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Essai de stabilité (fonctionnement continu)</w:t>
      </w:r>
      <w:bookmarkStart w:id="1" w:name="_Toc384289004"/>
      <w:bookmarkEnd w:id="1"/>
    </w:p>
    <w:p w14:paraId="6DEA83E5" w14:textId="1D29EDFD" w:rsidR="0043208B" w:rsidRPr="00455674" w:rsidRDefault="0043208B" w:rsidP="00EC2BEA">
      <w:pPr>
        <w:pStyle w:val="SingleTxtG"/>
        <w:keepNext/>
        <w:keepLines/>
        <w:ind w:left="2268" w:hanging="1134"/>
      </w:pPr>
      <w:r>
        <w:rPr>
          <w:lang w:val="fr-FR"/>
        </w:rPr>
        <w:t>1.</w:t>
      </w:r>
      <w:r>
        <w:rPr>
          <w:lang w:val="fr-FR"/>
        </w:rPr>
        <w:tab/>
        <w:t>Méthode d</w:t>
      </w:r>
      <w:r w:rsidR="00E53375">
        <w:rPr>
          <w:lang w:val="fr-FR"/>
        </w:rPr>
        <w:t>’</w:t>
      </w:r>
      <w:r>
        <w:rPr>
          <w:lang w:val="fr-FR"/>
        </w:rPr>
        <w:t>essai pour les organes GNC</w:t>
      </w:r>
    </w:p>
    <w:p w14:paraId="58D2DB0E" w14:textId="5CD268A2" w:rsidR="0043208B" w:rsidRPr="00455674" w:rsidRDefault="0043208B" w:rsidP="00EC2BEA">
      <w:pPr>
        <w:pStyle w:val="SingleTxtG"/>
        <w:keepNext/>
        <w:keepLines/>
        <w:ind w:left="2268" w:hanging="1134"/>
      </w:pPr>
      <w:r>
        <w:rPr>
          <w:lang w:val="fr-FR"/>
        </w:rPr>
        <w:t>1.1</w:t>
      </w:r>
      <w:r>
        <w:rPr>
          <w:lang w:val="fr-FR"/>
        </w:rPr>
        <w:tab/>
        <w:t>L</w:t>
      </w:r>
      <w:r w:rsidR="00E53375">
        <w:rPr>
          <w:lang w:val="fr-FR"/>
        </w:rPr>
        <w:t>’</w:t>
      </w:r>
      <w:r>
        <w:rPr>
          <w:lang w:val="fr-FR"/>
        </w:rPr>
        <w:t>organe doit être relié à une source d</w:t>
      </w:r>
      <w:r w:rsidR="00E53375">
        <w:rPr>
          <w:lang w:val="fr-FR"/>
        </w:rPr>
        <w:t>’</w:t>
      </w:r>
      <w:r>
        <w:rPr>
          <w:lang w:val="fr-FR"/>
        </w:rPr>
        <w:t>air ou d</w:t>
      </w:r>
      <w:r w:rsidR="00E53375">
        <w:rPr>
          <w:lang w:val="fr-FR"/>
        </w:rPr>
        <w:t>’</w:t>
      </w:r>
      <w:r>
        <w:rPr>
          <w:lang w:val="fr-FR"/>
        </w:rPr>
        <w:t>azote sec sous pression, au moyen d</w:t>
      </w:r>
      <w:r w:rsidR="00E53375">
        <w:rPr>
          <w:lang w:val="fr-FR"/>
        </w:rPr>
        <w:t>’</w:t>
      </w:r>
      <w:r>
        <w:rPr>
          <w:lang w:val="fr-FR"/>
        </w:rPr>
        <w:t>un raccord d</w:t>
      </w:r>
      <w:r w:rsidR="00E53375">
        <w:rPr>
          <w:lang w:val="fr-FR"/>
        </w:rPr>
        <w:t>’</w:t>
      </w:r>
      <w:r>
        <w:rPr>
          <w:lang w:val="fr-FR"/>
        </w:rPr>
        <w:t>une résistance suffisante, et soumis au nombre de cycles spécifié pour ledit organe. Un cycle consiste en une ouverture et une fermeture de l</w:t>
      </w:r>
      <w:r w:rsidR="00E53375">
        <w:rPr>
          <w:lang w:val="fr-FR"/>
        </w:rPr>
        <w:t>’</w:t>
      </w:r>
      <w:r>
        <w:rPr>
          <w:lang w:val="fr-FR"/>
        </w:rPr>
        <w:t>organe pendant une période qui ne doit pas être inférieure à 10 ± 2 s.</w:t>
      </w:r>
    </w:p>
    <w:p w14:paraId="2C2A9376" w14:textId="77777777" w:rsidR="0043208B" w:rsidRPr="00455674" w:rsidRDefault="0043208B" w:rsidP="00EC2BEA">
      <w:pPr>
        <w:pStyle w:val="SingleTxtG"/>
        <w:keepNext/>
        <w:keepLines/>
        <w:ind w:left="2268"/>
      </w:pPr>
      <w:r>
        <w:rPr>
          <w:lang w:val="fr-FR"/>
        </w:rPr>
        <w:t>a)</w:t>
      </w:r>
      <w:r>
        <w:rPr>
          <w:lang w:val="fr-FR"/>
        </w:rPr>
        <w:tab/>
        <w:t>Cycles à température ambiante</w:t>
      </w:r>
    </w:p>
    <w:p w14:paraId="7867D481" w14:textId="0B1223EF" w:rsidR="0043208B" w:rsidRPr="00455674" w:rsidRDefault="0043208B" w:rsidP="00987ADC">
      <w:pPr>
        <w:pStyle w:val="SingleTxtG"/>
        <w:keepNext/>
        <w:keepLines/>
        <w:ind w:left="2835"/>
      </w:pPr>
      <w:r>
        <w:rPr>
          <w:lang w:val="fr-FR"/>
        </w:rPr>
        <w:t>L</w:t>
      </w:r>
      <w:r w:rsidR="00E53375">
        <w:rPr>
          <w:lang w:val="fr-FR"/>
        </w:rPr>
        <w:t>’</w:t>
      </w:r>
      <w:r>
        <w:rPr>
          <w:lang w:val="fr-FR"/>
        </w:rPr>
        <w:t>organe doit fonctionner pendant 96</w:t>
      </w:r>
      <w:r w:rsidR="00EC2BEA">
        <w:rPr>
          <w:lang w:val="fr-FR"/>
        </w:rPr>
        <w:t> </w:t>
      </w:r>
      <w:r>
        <w:rPr>
          <w:lang w:val="fr-FR"/>
        </w:rPr>
        <w:t>% de la totalité des cycles à la température ambiante et à la pression de service nominale. Pendant la fermeture, la pression en aval de l</w:t>
      </w:r>
      <w:r w:rsidR="00E53375">
        <w:rPr>
          <w:lang w:val="fr-FR"/>
        </w:rPr>
        <w:t>’</w:t>
      </w:r>
      <w:r>
        <w:rPr>
          <w:lang w:val="fr-FR"/>
        </w:rPr>
        <w:t>appareil d</w:t>
      </w:r>
      <w:r w:rsidR="00E53375">
        <w:rPr>
          <w:lang w:val="fr-FR"/>
        </w:rPr>
        <w:t>’</w:t>
      </w:r>
      <w:r>
        <w:rPr>
          <w:lang w:val="fr-FR"/>
        </w:rPr>
        <w:t>essai doit pouvoir être ramenée jusqu</w:t>
      </w:r>
      <w:r w:rsidR="00E53375">
        <w:rPr>
          <w:lang w:val="fr-FR"/>
        </w:rPr>
        <w:t>’</w:t>
      </w:r>
      <w:r>
        <w:rPr>
          <w:lang w:val="fr-FR"/>
        </w:rPr>
        <w:t>à 50</w:t>
      </w:r>
      <w:r w:rsidR="00EC2BEA">
        <w:rPr>
          <w:lang w:val="fr-FR"/>
        </w:rPr>
        <w:t> </w:t>
      </w:r>
      <w:r>
        <w:rPr>
          <w:lang w:val="fr-FR"/>
        </w:rPr>
        <w:t>% de la pression d</w:t>
      </w:r>
      <w:r w:rsidR="00E53375">
        <w:rPr>
          <w:lang w:val="fr-FR"/>
        </w:rPr>
        <w:t>’</w:t>
      </w:r>
      <w:r>
        <w:rPr>
          <w:lang w:val="fr-FR"/>
        </w:rPr>
        <w:t>essai. Après cela, l</w:t>
      </w:r>
      <w:r w:rsidR="00E53375">
        <w:rPr>
          <w:lang w:val="fr-FR"/>
        </w:rPr>
        <w:t>’</w:t>
      </w:r>
      <w:r>
        <w:rPr>
          <w:lang w:val="fr-FR"/>
        </w:rPr>
        <w:t>organe doit satisfaire à l</w:t>
      </w:r>
      <w:r w:rsidR="00E53375">
        <w:rPr>
          <w:lang w:val="fr-FR"/>
        </w:rPr>
        <w:t>’</w:t>
      </w:r>
      <w:r>
        <w:rPr>
          <w:lang w:val="fr-FR"/>
        </w:rPr>
        <w:t>essai d</w:t>
      </w:r>
      <w:r w:rsidR="00E53375">
        <w:rPr>
          <w:lang w:val="fr-FR"/>
        </w:rPr>
        <w:t>’</w:t>
      </w:r>
      <w:r>
        <w:rPr>
          <w:lang w:val="fr-FR"/>
        </w:rPr>
        <w:t>étanchéité de l</w:t>
      </w:r>
      <w:r w:rsidR="00E53375">
        <w:rPr>
          <w:lang w:val="fr-FR"/>
        </w:rPr>
        <w:t>’</w:t>
      </w:r>
      <w:r>
        <w:rPr>
          <w:lang w:val="fr-FR"/>
        </w:rPr>
        <w:t>annexe</w:t>
      </w:r>
      <w:r w:rsidR="00EC2BEA">
        <w:rPr>
          <w:lang w:val="fr-FR"/>
        </w:rPr>
        <w:t> </w:t>
      </w:r>
      <w:r>
        <w:rPr>
          <w:lang w:val="fr-FR"/>
        </w:rPr>
        <w:t>5B à la température ambiante. Il est permis d</w:t>
      </w:r>
      <w:r w:rsidR="00E53375">
        <w:rPr>
          <w:lang w:val="fr-FR"/>
        </w:rPr>
        <w:t>’</w:t>
      </w:r>
      <w:r>
        <w:rPr>
          <w:lang w:val="fr-FR"/>
        </w:rPr>
        <w:t>interrompre cette partie de l</w:t>
      </w:r>
      <w:r w:rsidR="00E53375">
        <w:rPr>
          <w:lang w:val="fr-FR"/>
        </w:rPr>
        <w:t>’</w:t>
      </w:r>
      <w:r>
        <w:rPr>
          <w:lang w:val="fr-FR"/>
        </w:rPr>
        <w:t>essai à des intervalles de 20</w:t>
      </w:r>
      <w:r w:rsidR="00EC2BEA">
        <w:rPr>
          <w:lang w:val="fr-FR"/>
        </w:rPr>
        <w:t> </w:t>
      </w:r>
      <w:r>
        <w:rPr>
          <w:lang w:val="fr-FR"/>
        </w:rPr>
        <w:t>% afin de vérifier l</w:t>
      </w:r>
      <w:r w:rsidR="00E53375">
        <w:rPr>
          <w:lang w:val="fr-FR"/>
        </w:rPr>
        <w:t>’</w:t>
      </w:r>
      <w:r>
        <w:rPr>
          <w:lang w:val="fr-FR"/>
        </w:rPr>
        <w:t>étanchéité.</w:t>
      </w:r>
    </w:p>
    <w:p w14:paraId="4250535F" w14:textId="77777777" w:rsidR="0043208B" w:rsidRPr="00455674" w:rsidRDefault="0043208B" w:rsidP="00987ADC">
      <w:pPr>
        <w:pStyle w:val="SingleTxtG"/>
        <w:ind w:left="2268"/>
      </w:pPr>
      <w:r>
        <w:rPr>
          <w:lang w:val="fr-FR"/>
        </w:rPr>
        <w:t>b)</w:t>
      </w:r>
      <w:r>
        <w:rPr>
          <w:lang w:val="fr-FR"/>
        </w:rPr>
        <w:tab/>
        <w:t>Cycles à haute température</w:t>
      </w:r>
    </w:p>
    <w:p w14:paraId="1E9B3CC1" w14:textId="01AA446E" w:rsidR="0043208B" w:rsidRPr="00455674" w:rsidRDefault="0043208B" w:rsidP="00987ADC">
      <w:pPr>
        <w:pStyle w:val="SingleTxtG"/>
        <w:ind w:left="2835"/>
      </w:pPr>
      <w:r>
        <w:rPr>
          <w:lang w:val="fr-FR"/>
        </w:rPr>
        <w:t>L</w:t>
      </w:r>
      <w:r w:rsidR="00E53375">
        <w:rPr>
          <w:lang w:val="fr-FR"/>
        </w:rPr>
        <w:t>’</w:t>
      </w:r>
      <w:r>
        <w:rPr>
          <w:lang w:val="fr-FR"/>
        </w:rPr>
        <w:t>organe doit fonctionner pendant 2 % de la totalité des cycles à la température maximale appropriée fixée pour la pression de service nominale. À la fin des cycles à haute température, l</w:t>
      </w:r>
      <w:r w:rsidR="00E53375">
        <w:rPr>
          <w:lang w:val="fr-FR"/>
        </w:rPr>
        <w:t>’</w:t>
      </w:r>
      <w:r>
        <w:rPr>
          <w:lang w:val="fr-FR"/>
        </w:rPr>
        <w:t>organe doit satisfaire à l</w:t>
      </w:r>
      <w:r w:rsidR="00E53375">
        <w:rPr>
          <w:lang w:val="fr-FR"/>
        </w:rPr>
        <w:t>’</w:t>
      </w:r>
      <w:r>
        <w:rPr>
          <w:lang w:val="fr-FR"/>
        </w:rPr>
        <w:t>essai d</w:t>
      </w:r>
      <w:r w:rsidR="00E53375">
        <w:rPr>
          <w:lang w:val="fr-FR"/>
        </w:rPr>
        <w:t>’</w:t>
      </w:r>
      <w:r>
        <w:rPr>
          <w:lang w:val="fr-FR"/>
        </w:rPr>
        <w:t>étanchéité de l</w:t>
      </w:r>
      <w:r w:rsidR="00E53375">
        <w:rPr>
          <w:lang w:val="fr-FR"/>
        </w:rPr>
        <w:t>’</w:t>
      </w:r>
      <w:r>
        <w:rPr>
          <w:lang w:val="fr-FR"/>
        </w:rPr>
        <w:t>annexe 5B à la température maximale appropriée.</w:t>
      </w:r>
    </w:p>
    <w:p w14:paraId="44767867" w14:textId="77777777" w:rsidR="0043208B" w:rsidRPr="00455674" w:rsidRDefault="0043208B" w:rsidP="00987ADC">
      <w:pPr>
        <w:pStyle w:val="SingleTxtG"/>
        <w:ind w:left="2268"/>
      </w:pPr>
      <w:r>
        <w:rPr>
          <w:lang w:val="fr-FR"/>
        </w:rPr>
        <w:t>c)</w:t>
      </w:r>
      <w:r>
        <w:rPr>
          <w:lang w:val="fr-FR"/>
        </w:rPr>
        <w:tab/>
        <w:t>Cycles à basse température</w:t>
      </w:r>
    </w:p>
    <w:p w14:paraId="0FF5DB6A" w14:textId="641C6B59" w:rsidR="0043208B" w:rsidRPr="00455674" w:rsidRDefault="0043208B" w:rsidP="00987ADC">
      <w:pPr>
        <w:pStyle w:val="SingleTxtG"/>
        <w:ind w:left="2835"/>
      </w:pPr>
      <w:r>
        <w:rPr>
          <w:lang w:val="fr-FR"/>
        </w:rPr>
        <w:t>Pendant 2 % de la totalité des cycles, l</w:t>
      </w:r>
      <w:r w:rsidR="00E53375">
        <w:rPr>
          <w:lang w:val="fr-FR"/>
        </w:rPr>
        <w:t>’</w:t>
      </w:r>
      <w:r>
        <w:rPr>
          <w:lang w:val="fr-FR"/>
        </w:rPr>
        <w:t>organe doit fonctionner à la température minimale appropriée fixée pour la pression de service nominale. À la fin des cycles à basse température, l</w:t>
      </w:r>
      <w:r w:rsidR="00E53375">
        <w:rPr>
          <w:lang w:val="fr-FR"/>
        </w:rPr>
        <w:t>’</w:t>
      </w:r>
      <w:r>
        <w:rPr>
          <w:lang w:val="fr-FR"/>
        </w:rPr>
        <w:t>organe doit satisfaire à l</w:t>
      </w:r>
      <w:r w:rsidR="00E53375">
        <w:rPr>
          <w:lang w:val="fr-FR"/>
        </w:rPr>
        <w:t>’</w:t>
      </w:r>
      <w:r>
        <w:rPr>
          <w:lang w:val="fr-FR"/>
        </w:rPr>
        <w:t>essai d</w:t>
      </w:r>
      <w:r w:rsidR="00E53375">
        <w:rPr>
          <w:lang w:val="fr-FR"/>
        </w:rPr>
        <w:t>’</w:t>
      </w:r>
      <w:r>
        <w:rPr>
          <w:lang w:val="fr-FR"/>
        </w:rPr>
        <w:t>étanchéité de l</w:t>
      </w:r>
      <w:r w:rsidR="00E53375">
        <w:rPr>
          <w:lang w:val="fr-FR"/>
        </w:rPr>
        <w:t>’</w:t>
      </w:r>
      <w:r>
        <w:rPr>
          <w:lang w:val="fr-FR"/>
        </w:rPr>
        <w:t>annexe</w:t>
      </w:r>
      <w:r w:rsidR="00EC2BEA">
        <w:rPr>
          <w:lang w:val="fr-FR"/>
        </w:rPr>
        <w:t> </w:t>
      </w:r>
      <w:r>
        <w:rPr>
          <w:lang w:val="fr-FR"/>
        </w:rPr>
        <w:t>5B à la température minimale appropriée.</w:t>
      </w:r>
    </w:p>
    <w:p w14:paraId="65EF3CBC" w14:textId="14A5A6A7" w:rsidR="0043208B" w:rsidRPr="00455674" w:rsidRDefault="0043208B" w:rsidP="00987ADC">
      <w:pPr>
        <w:pStyle w:val="SingleTxtG"/>
        <w:ind w:left="2835"/>
      </w:pPr>
      <w:r>
        <w:rPr>
          <w:lang w:val="fr-FR"/>
        </w:rPr>
        <w:t>À la suite de tous les cycles et d</w:t>
      </w:r>
      <w:r w:rsidR="00E53375">
        <w:rPr>
          <w:lang w:val="fr-FR"/>
        </w:rPr>
        <w:t>’</w:t>
      </w:r>
      <w:r>
        <w:rPr>
          <w:lang w:val="fr-FR"/>
        </w:rPr>
        <w:t>un nouvel essai d</w:t>
      </w:r>
      <w:r w:rsidR="00E53375">
        <w:rPr>
          <w:lang w:val="fr-FR"/>
        </w:rPr>
        <w:t>’</w:t>
      </w:r>
      <w:r>
        <w:rPr>
          <w:lang w:val="fr-FR"/>
        </w:rPr>
        <w:t>étanchéité, l</w:t>
      </w:r>
      <w:r w:rsidR="00E53375">
        <w:rPr>
          <w:lang w:val="fr-FR"/>
        </w:rPr>
        <w:t>’</w:t>
      </w:r>
      <w:r>
        <w:rPr>
          <w:lang w:val="fr-FR"/>
        </w:rPr>
        <w:t>organe doit pouvoir s</w:t>
      </w:r>
      <w:r w:rsidR="00E53375">
        <w:rPr>
          <w:lang w:val="fr-FR"/>
        </w:rPr>
        <w:t>’</w:t>
      </w:r>
      <w:r>
        <w:rPr>
          <w:lang w:val="fr-FR"/>
        </w:rPr>
        <w:t>ouvrir et se fermer complètement lorsqu</w:t>
      </w:r>
      <w:r w:rsidR="00E53375">
        <w:rPr>
          <w:lang w:val="fr-FR"/>
        </w:rPr>
        <w:t>’</w:t>
      </w:r>
      <w:r>
        <w:rPr>
          <w:lang w:val="fr-FR"/>
        </w:rPr>
        <w:t>un couple dont la valeur maximale n</w:t>
      </w:r>
      <w:r w:rsidR="00E53375">
        <w:rPr>
          <w:lang w:val="fr-FR"/>
        </w:rPr>
        <w:t>’</w:t>
      </w:r>
      <w:r>
        <w:rPr>
          <w:lang w:val="fr-FR"/>
        </w:rPr>
        <w:t>est pas supérieure à celle indiquée dans le tableau</w:t>
      </w:r>
      <w:r w:rsidR="00EC2BEA">
        <w:rPr>
          <w:lang w:val="fr-FR"/>
        </w:rPr>
        <w:t> </w:t>
      </w:r>
      <w:r>
        <w:rPr>
          <w:lang w:val="fr-FR"/>
        </w:rPr>
        <w:t>5.3 ci-dessous est appliqué à la manette de l</w:t>
      </w:r>
      <w:r w:rsidR="00E53375">
        <w:rPr>
          <w:lang w:val="fr-FR"/>
        </w:rPr>
        <w:t>’</w:t>
      </w:r>
      <w:r>
        <w:rPr>
          <w:lang w:val="fr-FR"/>
        </w:rPr>
        <w:t xml:space="preserve">organe dans un sens permettant son ouverture complète et inversement. </w:t>
      </w:r>
      <w:r w:rsidRPr="00EC2BEA">
        <w:rPr>
          <w:b/>
          <w:bCs/>
          <w:lang w:val="fr-FR"/>
        </w:rPr>
        <w:t>Dans le cas d</w:t>
      </w:r>
      <w:r w:rsidR="00E53375" w:rsidRPr="00EC2BEA">
        <w:rPr>
          <w:b/>
          <w:bCs/>
          <w:lang w:val="fr-FR"/>
        </w:rPr>
        <w:t>’</w:t>
      </w:r>
      <w:r w:rsidRPr="00EC2BEA">
        <w:rPr>
          <w:b/>
          <w:bCs/>
          <w:lang w:val="fr-FR"/>
        </w:rPr>
        <w:t>une vanne à levier, le couple maximal approprié doit être déterminé en appliquant une force de traction pouvant aller jusqu</w:t>
      </w:r>
      <w:r w:rsidR="00E53375" w:rsidRPr="00EC2BEA">
        <w:rPr>
          <w:b/>
          <w:bCs/>
          <w:lang w:val="fr-FR"/>
        </w:rPr>
        <w:t>’</w:t>
      </w:r>
      <w:r w:rsidRPr="00EC2BEA">
        <w:rPr>
          <w:b/>
          <w:bCs/>
          <w:lang w:val="fr-FR"/>
        </w:rPr>
        <w:t>à 150</w:t>
      </w:r>
      <w:r w:rsidR="00EC2BEA">
        <w:rPr>
          <w:b/>
          <w:bCs/>
          <w:lang w:val="fr-FR"/>
        </w:rPr>
        <w:t> </w:t>
      </w:r>
      <w:r w:rsidRPr="00EC2BEA">
        <w:rPr>
          <w:b/>
          <w:bCs/>
          <w:lang w:val="fr-FR"/>
        </w:rPr>
        <w:t>N à l</w:t>
      </w:r>
      <w:r w:rsidR="00E53375" w:rsidRPr="00EC2BEA">
        <w:rPr>
          <w:b/>
          <w:bCs/>
          <w:lang w:val="fr-FR"/>
        </w:rPr>
        <w:t>’</w:t>
      </w:r>
      <w:r w:rsidRPr="00EC2BEA">
        <w:rPr>
          <w:b/>
          <w:bCs/>
          <w:lang w:val="fr-FR"/>
        </w:rPr>
        <w:t>extrémité du mécanisme de commande.</w:t>
      </w:r>
    </w:p>
    <w:p w14:paraId="25F9E039" w14:textId="307860FF" w:rsidR="0043208B" w:rsidRDefault="0043208B" w:rsidP="00F96F29">
      <w:pPr>
        <w:pStyle w:val="Titre1"/>
        <w:spacing w:before="240" w:after="120"/>
        <w:ind w:left="2268"/>
        <w:rPr>
          <w:lang w:val="fr-FR"/>
        </w:rPr>
      </w:pPr>
      <w:bookmarkStart w:id="2" w:name="_Toc343849610"/>
      <w:r>
        <w:rPr>
          <w:lang w:val="fr-FR"/>
        </w:rPr>
        <w:t>Tableau 5.3</w:t>
      </w:r>
      <w:bookmarkEnd w:id="2"/>
    </w:p>
    <w:tbl>
      <w:tblPr>
        <w:tblW w:w="6192" w:type="dxa"/>
        <w:tblInd w:w="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6"/>
        <w:gridCol w:w="3096"/>
      </w:tblGrid>
      <w:tr w:rsidR="00F96F29" w:rsidRPr="004328FB" w14:paraId="6D315456" w14:textId="77777777" w:rsidTr="006C1D5F">
        <w:trPr>
          <w:trHeight w:val="340"/>
          <w:tblHeader/>
        </w:trPr>
        <w:tc>
          <w:tcPr>
            <w:tcW w:w="3096" w:type="dxa"/>
            <w:tcBorders>
              <w:bottom w:val="single" w:sz="12" w:space="0" w:color="auto"/>
            </w:tcBorders>
            <w:shd w:val="clear" w:color="auto" w:fill="auto"/>
          </w:tcPr>
          <w:p w14:paraId="02EFCACB" w14:textId="702D989A" w:rsidR="00F96F29" w:rsidRPr="00F96F29" w:rsidRDefault="00F96F29" w:rsidP="006C1D5F">
            <w:pPr>
              <w:keepNext/>
              <w:keepLines/>
              <w:spacing w:before="80" w:after="80" w:line="200" w:lineRule="exact"/>
              <w:ind w:left="57"/>
              <w:jc w:val="center"/>
              <w:rPr>
                <w:i/>
                <w:sz w:val="16"/>
              </w:rPr>
            </w:pPr>
            <w:r w:rsidRPr="00F96F29">
              <w:rPr>
                <w:i/>
                <w:iCs/>
                <w:sz w:val="16"/>
                <w:lang w:val="fr-FR"/>
              </w:rPr>
              <w:t>Dimension du tuyau d</w:t>
            </w:r>
            <w:r w:rsidR="00E53375">
              <w:rPr>
                <w:i/>
                <w:iCs/>
                <w:sz w:val="16"/>
                <w:lang w:val="fr-FR"/>
              </w:rPr>
              <w:t>’</w:t>
            </w:r>
            <w:r w:rsidRPr="00F96F29">
              <w:rPr>
                <w:i/>
                <w:iCs/>
                <w:sz w:val="16"/>
                <w:lang w:val="fr-FR"/>
              </w:rPr>
              <w:t xml:space="preserve">admission </w:t>
            </w:r>
            <w:r>
              <w:rPr>
                <w:i/>
                <w:iCs/>
                <w:sz w:val="16"/>
                <w:lang w:val="fr-FR"/>
              </w:rPr>
              <w:br/>
            </w:r>
            <w:r w:rsidRPr="00F96F29">
              <w:rPr>
                <w:i/>
                <w:iCs/>
                <w:sz w:val="16"/>
                <w:lang w:val="fr-FR"/>
              </w:rPr>
              <w:t>de l</w:t>
            </w:r>
            <w:r w:rsidR="00E53375">
              <w:rPr>
                <w:i/>
                <w:iCs/>
                <w:sz w:val="16"/>
                <w:lang w:val="fr-FR"/>
              </w:rPr>
              <w:t>’</w:t>
            </w:r>
            <w:r w:rsidRPr="00F96F29">
              <w:rPr>
                <w:i/>
                <w:iCs/>
                <w:sz w:val="16"/>
                <w:lang w:val="fr-FR"/>
              </w:rPr>
              <w:t>organe (mm)</w:t>
            </w:r>
          </w:p>
        </w:tc>
        <w:tc>
          <w:tcPr>
            <w:tcW w:w="3096" w:type="dxa"/>
            <w:tcBorders>
              <w:bottom w:val="single" w:sz="12" w:space="0" w:color="auto"/>
            </w:tcBorders>
            <w:shd w:val="clear" w:color="auto" w:fill="auto"/>
          </w:tcPr>
          <w:p w14:paraId="44438425" w14:textId="21B21372" w:rsidR="00F96F29" w:rsidRPr="004328FB" w:rsidRDefault="00F96F29" w:rsidP="006C1D5F">
            <w:pPr>
              <w:keepNext/>
              <w:keepLines/>
              <w:spacing w:before="80" w:after="80" w:line="200" w:lineRule="exact"/>
              <w:ind w:left="57"/>
              <w:jc w:val="center"/>
              <w:rPr>
                <w:i/>
                <w:sz w:val="16"/>
              </w:rPr>
            </w:pPr>
            <w:r w:rsidRPr="00F96F29">
              <w:rPr>
                <w:i/>
                <w:iCs/>
                <w:sz w:val="16"/>
                <w:lang w:val="fr-FR"/>
              </w:rPr>
              <w:t>Couple maximal (Nm)</w:t>
            </w:r>
          </w:p>
        </w:tc>
      </w:tr>
      <w:tr w:rsidR="00F96F29" w:rsidRPr="004328FB" w14:paraId="610368ED" w14:textId="77777777" w:rsidTr="006C1D5F">
        <w:trPr>
          <w:trHeight w:val="340"/>
        </w:trPr>
        <w:tc>
          <w:tcPr>
            <w:tcW w:w="3096" w:type="dxa"/>
            <w:tcBorders>
              <w:top w:val="single" w:sz="12" w:space="0" w:color="auto"/>
            </w:tcBorders>
            <w:shd w:val="clear" w:color="auto" w:fill="auto"/>
          </w:tcPr>
          <w:p w14:paraId="187D505F" w14:textId="77777777" w:rsidR="00F96F29" w:rsidRPr="004328FB" w:rsidRDefault="00F96F29" w:rsidP="006C1D5F">
            <w:pPr>
              <w:keepNext/>
              <w:keepLines/>
              <w:spacing w:before="40" w:after="80"/>
              <w:ind w:left="57"/>
              <w:jc w:val="center"/>
              <w:rPr>
                <w:sz w:val="18"/>
              </w:rPr>
            </w:pPr>
            <w:r w:rsidRPr="004328FB">
              <w:rPr>
                <w:sz w:val="18"/>
              </w:rPr>
              <w:t>6</w:t>
            </w:r>
          </w:p>
        </w:tc>
        <w:tc>
          <w:tcPr>
            <w:tcW w:w="3096" w:type="dxa"/>
            <w:tcBorders>
              <w:top w:val="single" w:sz="12" w:space="0" w:color="auto"/>
            </w:tcBorders>
            <w:shd w:val="clear" w:color="auto" w:fill="auto"/>
          </w:tcPr>
          <w:p w14:paraId="1A80F9FF" w14:textId="77777777" w:rsidR="00F96F29" w:rsidRPr="004328FB" w:rsidRDefault="00F96F29" w:rsidP="006C1D5F">
            <w:pPr>
              <w:keepNext/>
              <w:keepLines/>
              <w:spacing w:before="40" w:after="80"/>
              <w:ind w:left="57"/>
              <w:jc w:val="center"/>
              <w:rPr>
                <w:sz w:val="18"/>
              </w:rPr>
            </w:pPr>
            <w:r w:rsidRPr="004328FB">
              <w:rPr>
                <w:sz w:val="18"/>
              </w:rPr>
              <w:t>1,7</w:t>
            </w:r>
          </w:p>
        </w:tc>
      </w:tr>
      <w:tr w:rsidR="00F96F29" w:rsidRPr="004328FB" w14:paraId="4E80C9BA" w14:textId="77777777" w:rsidTr="006C1D5F">
        <w:trPr>
          <w:trHeight w:val="340"/>
        </w:trPr>
        <w:tc>
          <w:tcPr>
            <w:tcW w:w="3096" w:type="dxa"/>
            <w:shd w:val="clear" w:color="auto" w:fill="auto"/>
          </w:tcPr>
          <w:p w14:paraId="5ADD3C44" w14:textId="7105DBC0" w:rsidR="00F96F29" w:rsidRPr="004328FB" w:rsidRDefault="00F96F29" w:rsidP="006C1D5F">
            <w:pPr>
              <w:keepNext/>
              <w:keepLines/>
              <w:spacing w:before="40" w:after="80"/>
              <w:ind w:left="57"/>
              <w:jc w:val="center"/>
              <w:rPr>
                <w:sz w:val="18"/>
              </w:rPr>
            </w:pPr>
            <w:r w:rsidRPr="004328FB">
              <w:rPr>
                <w:sz w:val="18"/>
              </w:rPr>
              <w:t xml:space="preserve">8 </w:t>
            </w:r>
            <w:r>
              <w:rPr>
                <w:sz w:val="18"/>
              </w:rPr>
              <w:t>ou</w:t>
            </w:r>
            <w:r w:rsidRPr="004328FB">
              <w:rPr>
                <w:sz w:val="18"/>
              </w:rPr>
              <w:t xml:space="preserve"> 10</w:t>
            </w:r>
          </w:p>
        </w:tc>
        <w:tc>
          <w:tcPr>
            <w:tcW w:w="3096" w:type="dxa"/>
            <w:shd w:val="clear" w:color="auto" w:fill="auto"/>
          </w:tcPr>
          <w:p w14:paraId="745DD351" w14:textId="77777777" w:rsidR="00F96F29" w:rsidRPr="004328FB" w:rsidRDefault="00F96F29" w:rsidP="006C1D5F">
            <w:pPr>
              <w:keepNext/>
              <w:keepLines/>
              <w:spacing w:before="40" w:after="80"/>
              <w:ind w:left="57"/>
              <w:jc w:val="center"/>
              <w:rPr>
                <w:sz w:val="18"/>
              </w:rPr>
            </w:pPr>
            <w:r w:rsidRPr="004328FB">
              <w:rPr>
                <w:sz w:val="18"/>
              </w:rPr>
              <w:t>2,3</w:t>
            </w:r>
          </w:p>
        </w:tc>
      </w:tr>
      <w:tr w:rsidR="00F96F29" w:rsidRPr="004328FB" w14:paraId="5264A034" w14:textId="77777777" w:rsidTr="006C1D5F">
        <w:trPr>
          <w:trHeight w:val="340"/>
        </w:trPr>
        <w:tc>
          <w:tcPr>
            <w:tcW w:w="3096" w:type="dxa"/>
            <w:tcBorders>
              <w:bottom w:val="single" w:sz="12" w:space="0" w:color="auto"/>
            </w:tcBorders>
            <w:shd w:val="clear" w:color="auto" w:fill="auto"/>
          </w:tcPr>
          <w:p w14:paraId="3DC7D5CA" w14:textId="77777777" w:rsidR="00F96F29" w:rsidRPr="004328FB" w:rsidRDefault="00F96F29" w:rsidP="006C1D5F">
            <w:pPr>
              <w:keepNext/>
              <w:keepLines/>
              <w:spacing w:before="40" w:after="80"/>
              <w:ind w:left="57"/>
              <w:jc w:val="center"/>
              <w:rPr>
                <w:sz w:val="18"/>
              </w:rPr>
            </w:pPr>
            <w:r w:rsidRPr="004328FB">
              <w:rPr>
                <w:sz w:val="18"/>
              </w:rPr>
              <w:t>12</w:t>
            </w:r>
          </w:p>
        </w:tc>
        <w:tc>
          <w:tcPr>
            <w:tcW w:w="3096" w:type="dxa"/>
            <w:tcBorders>
              <w:bottom w:val="single" w:sz="12" w:space="0" w:color="auto"/>
            </w:tcBorders>
            <w:shd w:val="clear" w:color="auto" w:fill="auto"/>
          </w:tcPr>
          <w:p w14:paraId="36616B78" w14:textId="77777777" w:rsidR="00F96F29" w:rsidRPr="004328FB" w:rsidRDefault="00F96F29" w:rsidP="006C1D5F">
            <w:pPr>
              <w:keepNext/>
              <w:keepLines/>
              <w:spacing w:before="40" w:after="80"/>
              <w:ind w:left="57"/>
              <w:jc w:val="center"/>
              <w:rPr>
                <w:sz w:val="18"/>
              </w:rPr>
            </w:pPr>
            <w:r w:rsidRPr="004328FB">
              <w:rPr>
                <w:sz w:val="18"/>
              </w:rPr>
              <w:t>2,8</w:t>
            </w:r>
          </w:p>
        </w:tc>
      </w:tr>
    </w:tbl>
    <w:p w14:paraId="4A3A1194" w14:textId="77777777" w:rsidR="0043208B" w:rsidRPr="00455674" w:rsidRDefault="0043208B" w:rsidP="00F96F29">
      <w:pPr>
        <w:pStyle w:val="SingleTxtG"/>
        <w:spacing w:before="240"/>
        <w:ind w:left="2268" w:hanging="1134"/>
      </w:pPr>
      <w:r>
        <w:rPr>
          <w:lang w:val="fr-FR"/>
        </w:rPr>
        <w:t>1.2</w:t>
      </w:r>
      <w:r>
        <w:rPr>
          <w:lang w:val="fr-FR"/>
        </w:rPr>
        <w:tab/>
        <w:t>Cet essai doit être effectué à la température maximale appropriée spécifiée et doit être répété à la température de -40 °C.</w:t>
      </w:r>
    </w:p>
    <w:p w14:paraId="30C14757" w14:textId="75AEB09F" w:rsidR="0043208B" w:rsidRPr="00455674" w:rsidRDefault="0043208B" w:rsidP="00987ADC">
      <w:pPr>
        <w:pStyle w:val="SingleTxtG"/>
        <w:ind w:left="2268" w:hanging="1134"/>
      </w:pPr>
      <w:r>
        <w:rPr>
          <w:lang w:val="fr-FR"/>
        </w:rPr>
        <w:lastRenderedPageBreak/>
        <w:t>1.3</w:t>
      </w:r>
      <w:r>
        <w:rPr>
          <w:lang w:val="fr-FR"/>
        </w:rPr>
        <w:tab/>
        <w:t>L</w:t>
      </w:r>
      <w:r w:rsidR="00E53375">
        <w:rPr>
          <w:lang w:val="fr-FR"/>
        </w:rPr>
        <w:t>’</w:t>
      </w:r>
      <w:r>
        <w:rPr>
          <w:lang w:val="fr-FR"/>
        </w:rPr>
        <w:t>essai de stabilité pour les organes GNL est présenté aux annexes 4I à 4O selon le cas.</w:t>
      </w:r>
    </w:p>
    <w:p w14:paraId="01DA8FA7" w14:textId="21ECF585" w:rsidR="0043208B" w:rsidRPr="00455674" w:rsidRDefault="00F96F29" w:rsidP="00F96F29">
      <w:pPr>
        <w:pStyle w:val="HChG"/>
      </w:pPr>
      <w:r>
        <w:rPr>
          <w:lang w:val="fr-FR"/>
        </w:rPr>
        <w:tab/>
      </w:r>
      <w:r w:rsidR="0043208B">
        <w:rPr>
          <w:lang w:val="fr-FR"/>
        </w:rPr>
        <w:t>II.</w:t>
      </w:r>
      <w:r w:rsidR="0043208B">
        <w:rPr>
          <w:lang w:val="fr-FR"/>
        </w:rPr>
        <w:tab/>
        <w:t>Justification</w:t>
      </w:r>
    </w:p>
    <w:p w14:paraId="38C5B23D" w14:textId="51450307" w:rsidR="0043208B" w:rsidRPr="00455674" w:rsidRDefault="0043208B" w:rsidP="00F96F29">
      <w:pPr>
        <w:pStyle w:val="SingleTxtG"/>
      </w:pPr>
      <w:r>
        <w:rPr>
          <w:lang w:val="fr-FR"/>
        </w:rPr>
        <w:t>1.</w:t>
      </w:r>
      <w:r>
        <w:rPr>
          <w:lang w:val="fr-FR"/>
        </w:rPr>
        <w:tab/>
        <w:t>La proposition ci-dessus a pour but</w:t>
      </w:r>
      <w:r w:rsidR="00F96F29">
        <w:rPr>
          <w:lang w:val="fr-FR"/>
        </w:rPr>
        <w:t> </w:t>
      </w:r>
      <w:r>
        <w:rPr>
          <w:lang w:val="fr-FR"/>
        </w:rPr>
        <w:t>:</w:t>
      </w:r>
    </w:p>
    <w:p w14:paraId="1353AD53" w14:textId="58C5ADA6" w:rsidR="0043208B" w:rsidRPr="00455674" w:rsidRDefault="0043208B" w:rsidP="00F96F29">
      <w:pPr>
        <w:pStyle w:val="SingleTxtG"/>
        <w:ind w:firstLine="567"/>
      </w:pPr>
      <w:r>
        <w:rPr>
          <w:lang w:val="fr-FR"/>
        </w:rPr>
        <w:t>a)</w:t>
      </w:r>
      <w:r>
        <w:rPr>
          <w:lang w:val="fr-FR"/>
        </w:rPr>
        <w:tab/>
        <w:t>De corriger les erreurs présentes dans la version actuelle du Règlement ONU n</w:t>
      </w:r>
      <w:r w:rsidR="00F96F29" w:rsidRPr="00F96F29">
        <w:rPr>
          <w:vertAlign w:val="superscript"/>
          <w:lang w:val="fr-FR"/>
        </w:rPr>
        <w:t>o</w:t>
      </w:r>
      <w:r w:rsidR="00F96F29">
        <w:rPr>
          <w:lang w:val="fr-FR"/>
        </w:rPr>
        <w:t> </w:t>
      </w:r>
      <w:r>
        <w:rPr>
          <w:lang w:val="fr-FR"/>
        </w:rPr>
        <w:t>110 ;</w:t>
      </w:r>
    </w:p>
    <w:p w14:paraId="0C2D077F" w14:textId="06552453" w:rsidR="0043208B" w:rsidRPr="00455674" w:rsidRDefault="0043208B" w:rsidP="00F96F29">
      <w:pPr>
        <w:pStyle w:val="SingleTxtG"/>
        <w:ind w:firstLine="567"/>
      </w:pPr>
      <w:r>
        <w:rPr>
          <w:lang w:val="fr-FR"/>
        </w:rPr>
        <w:t>b)</w:t>
      </w:r>
      <w:r>
        <w:rPr>
          <w:lang w:val="fr-FR"/>
        </w:rPr>
        <w:tab/>
        <w:t>De mettre à jour les dispositions afin qu</w:t>
      </w:r>
      <w:r w:rsidR="00E53375">
        <w:rPr>
          <w:lang w:val="fr-FR"/>
        </w:rPr>
        <w:t>’</w:t>
      </w:r>
      <w:r>
        <w:rPr>
          <w:lang w:val="fr-FR"/>
        </w:rPr>
        <w:t>elles soient conformes à celles des normes</w:t>
      </w:r>
      <w:r w:rsidR="0076620C">
        <w:rPr>
          <w:lang w:val="fr-FR"/>
        </w:rPr>
        <w:t> </w:t>
      </w:r>
      <w:r>
        <w:rPr>
          <w:lang w:val="fr-FR"/>
        </w:rPr>
        <w:t>ISO</w:t>
      </w:r>
      <w:r w:rsidR="0076620C">
        <w:rPr>
          <w:lang w:val="fr-FR"/>
        </w:rPr>
        <w:t> </w:t>
      </w:r>
      <w:r>
        <w:rPr>
          <w:lang w:val="fr-FR"/>
        </w:rPr>
        <w:t>15500 et NGV</w:t>
      </w:r>
      <w:r w:rsidR="0076620C">
        <w:rPr>
          <w:lang w:val="fr-FR"/>
        </w:rPr>
        <w:t> </w:t>
      </w:r>
      <w:r>
        <w:rPr>
          <w:lang w:val="fr-FR"/>
        </w:rPr>
        <w:t>3.1 (normes industrielles pour le GNC)</w:t>
      </w:r>
      <w:r w:rsidR="00E53375">
        <w:rPr>
          <w:lang w:val="fr-FR"/>
        </w:rPr>
        <w:t> </w:t>
      </w:r>
      <w:r>
        <w:rPr>
          <w:lang w:val="fr-FR"/>
        </w:rPr>
        <w:t>:</w:t>
      </w:r>
    </w:p>
    <w:p w14:paraId="36854B69" w14:textId="1DC2FD3A" w:rsidR="0043208B" w:rsidRPr="00455674" w:rsidRDefault="0043208B" w:rsidP="00F96F29">
      <w:pPr>
        <w:pStyle w:val="SingleTxtG"/>
        <w:ind w:left="1701"/>
      </w:pPr>
      <w:r>
        <w:rPr>
          <w:lang w:val="fr-FR"/>
        </w:rPr>
        <w:t>i)</w:t>
      </w:r>
      <w:r>
        <w:rPr>
          <w:lang w:val="fr-FR"/>
        </w:rPr>
        <w:tab/>
        <w:t>Annexe 4A : À la suite d</w:t>
      </w:r>
      <w:r w:rsidR="00E53375">
        <w:rPr>
          <w:lang w:val="fr-FR"/>
        </w:rPr>
        <w:t>’</w:t>
      </w:r>
      <w:r>
        <w:rPr>
          <w:lang w:val="fr-FR"/>
        </w:rPr>
        <w:t>un essai de longue durée sur un clapet antiretour, il</w:t>
      </w:r>
      <w:r w:rsidR="0076620C">
        <w:rPr>
          <w:lang w:val="fr-FR"/>
        </w:rPr>
        <w:t> </w:t>
      </w:r>
      <w:r>
        <w:rPr>
          <w:lang w:val="fr-FR"/>
        </w:rPr>
        <w:t>est courant de soumettre celui-ci au débit produisant le battement maximal. Ce</w:t>
      </w:r>
      <w:r w:rsidR="0076620C">
        <w:rPr>
          <w:lang w:val="fr-FR"/>
        </w:rPr>
        <w:t> </w:t>
      </w:r>
      <w:r>
        <w:rPr>
          <w:lang w:val="fr-FR"/>
        </w:rPr>
        <w:t>battement peut se manifester dans une station-service. On exécute cet autre essai à la suite de l</w:t>
      </w:r>
      <w:r w:rsidR="00E53375">
        <w:rPr>
          <w:lang w:val="fr-FR"/>
        </w:rPr>
        <w:t>’</w:t>
      </w:r>
      <w:r>
        <w:rPr>
          <w:lang w:val="fr-FR"/>
        </w:rPr>
        <w:t>essai de longue durée afin de contrôler la fonction de fermeture (conformément aux normes ISO</w:t>
      </w:r>
      <w:r w:rsidR="0076620C">
        <w:rPr>
          <w:lang w:val="fr-FR"/>
        </w:rPr>
        <w:t> </w:t>
      </w:r>
      <w:r>
        <w:rPr>
          <w:lang w:val="fr-FR"/>
        </w:rPr>
        <w:t>15500 et NGV</w:t>
      </w:r>
      <w:r w:rsidR="0076620C">
        <w:rPr>
          <w:lang w:val="fr-FR"/>
        </w:rPr>
        <w:t> </w:t>
      </w:r>
      <w:r>
        <w:rPr>
          <w:lang w:val="fr-FR"/>
        </w:rPr>
        <w:t>3.1) ;</w:t>
      </w:r>
    </w:p>
    <w:p w14:paraId="32AABE6E" w14:textId="37FC3EDD" w:rsidR="0043208B" w:rsidRPr="00455674" w:rsidRDefault="0043208B" w:rsidP="00F96F29">
      <w:pPr>
        <w:pStyle w:val="SingleTxtG"/>
        <w:ind w:left="1701"/>
      </w:pPr>
      <w:r>
        <w:rPr>
          <w:lang w:val="fr-FR"/>
        </w:rPr>
        <w:t>ii)</w:t>
      </w:r>
      <w:r>
        <w:rPr>
          <w:lang w:val="fr-FR"/>
        </w:rPr>
        <w:tab/>
        <w:t>Annexe 5L</w:t>
      </w:r>
      <w:r w:rsidR="00E53375">
        <w:rPr>
          <w:lang w:val="fr-FR"/>
        </w:rPr>
        <w:t> </w:t>
      </w:r>
      <w:r>
        <w:rPr>
          <w:lang w:val="fr-FR"/>
        </w:rPr>
        <w:t xml:space="preserve">: </w:t>
      </w:r>
      <w:r w:rsidR="0076620C">
        <w:rPr>
          <w:lang w:val="fr-FR"/>
        </w:rPr>
        <w:t xml:space="preserve">Pour </w:t>
      </w:r>
      <w:r>
        <w:rPr>
          <w:lang w:val="fr-FR"/>
        </w:rPr>
        <w:t>l</w:t>
      </w:r>
      <w:r w:rsidR="00E53375">
        <w:rPr>
          <w:lang w:val="fr-FR"/>
        </w:rPr>
        <w:t>’</w:t>
      </w:r>
      <w:r>
        <w:rPr>
          <w:lang w:val="fr-FR"/>
        </w:rPr>
        <w:t>essai de stabilité sur vanne manuelle de l</w:t>
      </w:r>
      <w:r w:rsidR="00E53375">
        <w:rPr>
          <w:lang w:val="fr-FR"/>
        </w:rPr>
        <w:t>’</w:t>
      </w:r>
      <w:r>
        <w:rPr>
          <w:lang w:val="fr-FR"/>
        </w:rPr>
        <w:t>annexe 5L, une distinction est faite entre une vanne à volant et une vanne à levier. Dans la version actuelle du Règlement, les prescriptions applicables aux deux types de vanne sont les mêmes. La nouvelle disposition proposée est plus précise.</w:t>
      </w:r>
    </w:p>
    <w:p w14:paraId="762C5B4A" w14:textId="49C1B1C5" w:rsidR="0043208B" w:rsidRDefault="0043208B" w:rsidP="00F96F29">
      <w:pPr>
        <w:pStyle w:val="SingleTxtG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Par la présente proposition, les Pays-Bas souhaitent mettre à jour le Règlement ONU visé tout en visant un niveau de sécurité approprié.</w:t>
      </w:r>
    </w:p>
    <w:p w14:paraId="26CDA2E4" w14:textId="1A432A6B" w:rsidR="00F96F29" w:rsidRPr="00F96F29" w:rsidRDefault="00F96F29" w:rsidP="00F96F29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6F29" w:rsidRPr="00F96F29" w:rsidSect="004320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5D6" w14:textId="77777777" w:rsidR="00D4311E" w:rsidRDefault="00D4311E" w:rsidP="00F95C08">
      <w:pPr>
        <w:spacing w:line="240" w:lineRule="auto"/>
      </w:pPr>
    </w:p>
  </w:endnote>
  <w:endnote w:type="continuationSeparator" w:id="0">
    <w:p w14:paraId="04E89F38" w14:textId="77777777" w:rsidR="00D4311E" w:rsidRPr="00AC3823" w:rsidRDefault="00D4311E" w:rsidP="00AC3823">
      <w:pPr>
        <w:pStyle w:val="Pieddepage"/>
      </w:pPr>
    </w:p>
  </w:endnote>
  <w:endnote w:type="continuationNotice" w:id="1">
    <w:p w14:paraId="4B5BC691" w14:textId="77777777" w:rsidR="00D4311E" w:rsidRDefault="00D431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CCAF" w14:textId="38F27F3A" w:rsidR="0043208B" w:rsidRPr="0043208B" w:rsidRDefault="0043208B" w:rsidP="0043208B">
    <w:pPr>
      <w:pStyle w:val="Pieddepage"/>
      <w:tabs>
        <w:tab w:val="right" w:pos="9638"/>
      </w:tabs>
    </w:pPr>
    <w:r w:rsidRPr="0043208B">
      <w:rPr>
        <w:b/>
        <w:sz w:val="18"/>
      </w:rPr>
      <w:fldChar w:fldCharType="begin"/>
    </w:r>
    <w:r w:rsidRPr="0043208B">
      <w:rPr>
        <w:b/>
        <w:sz w:val="18"/>
      </w:rPr>
      <w:instrText xml:space="preserve"> PAGE  \* MERGEFORMAT </w:instrText>
    </w:r>
    <w:r w:rsidRPr="0043208B">
      <w:rPr>
        <w:b/>
        <w:sz w:val="18"/>
      </w:rPr>
      <w:fldChar w:fldCharType="separate"/>
    </w:r>
    <w:r w:rsidRPr="0043208B">
      <w:rPr>
        <w:b/>
        <w:noProof/>
        <w:sz w:val="18"/>
      </w:rPr>
      <w:t>2</w:t>
    </w:r>
    <w:r w:rsidRPr="0043208B">
      <w:rPr>
        <w:b/>
        <w:sz w:val="18"/>
      </w:rPr>
      <w:fldChar w:fldCharType="end"/>
    </w:r>
    <w:r>
      <w:rPr>
        <w:b/>
        <w:sz w:val="18"/>
      </w:rPr>
      <w:tab/>
    </w:r>
    <w:r>
      <w:t>GE.22-11523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7B03" w14:textId="3EA76DEE" w:rsidR="0043208B" w:rsidRPr="0043208B" w:rsidRDefault="0043208B" w:rsidP="0043208B">
    <w:pPr>
      <w:pStyle w:val="Pieddepage"/>
      <w:tabs>
        <w:tab w:val="right" w:pos="9638"/>
      </w:tabs>
      <w:rPr>
        <w:b/>
        <w:sz w:val="18"/>
      </w:rPr>
    </w:pPr>
    <w:r>
      <w:t>GE.22-11523</w:t>
    </w:r>
    <w:r>
      <w:tab/>
    </w:r>
    <w:r w:rsidRPr="0043208B">
      <w:rPr>
        <w:b/>
        <w:sz w:val="18"/>
      </w:rPr>
      <w:fldChar w:fldCharType="begin"/>
    </w:r>
    <w:r w:rsidRPr="0043208B">
      <w:rPr>
        <w:b/>
        <w:sz w:val="18"/>
      </w:rPr>
      <w:instrText xml:space="preserve"> PAGE  \* MERGEFORMAT </w:instrText>
    </w:r>
    <w:r w:rsidRPr="0043208B">
      <w:rPr>
        <w:b/>
        <w:sz w:val="18"/>
      </w:rPr>
      <w:fldChar w:fldCharType="separate"/>
    </w:r>
    <w:r w:rsidRPr="0043208B">
      <w:rPr>
        <w:b/>
        <w:noProof/>
        <w:sz w:val="18"/>
      </w:rPr>
      <w:t>3</w:t>
    </w:r>
    <w:r w:rsidRPr="0043208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E113" w14:textId="2D00B707" w:rsidR="007F20FA" w:rsidRPr="0043208B" w:rsidRDefault="0043208B" w:rsidP="0043208B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FD77A16" wp14:editId="6ACB117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22-11523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93BF885" wp14:editId="3E135B6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4B9">
      <w:rPr>
        <w:sz w:val="20"/>
      </w:rPr>
      <w:t xml:space="preserve">    110822    110822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4AC4" w14:textId="77777777" w:rsidR="00D4311E" w:rsidRPr="00AC3823" w:rsidRDefault="00D4311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4D00677" w14:textId="77777777" w:rsidR="00D4311E" w:rsidRPr="00AC3823" w:rsidRDefault="00D4311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A563D2D" w14:textId="77777777" w:rsidR="00D4311E" w:rsidRPr="00AC3823" w:rsidRDefault="00D4311E">
      <w:pPr>
        <w:spacing w:line="240" w:lineRule="auto"/>
        <w:rPr>
          <w:sz w:val="2"/>
          <w:szCs w:val="2"/>
        </w:rPr>
      </w:pPr>
    </w:p>
  </w:footnote>
  <w:footnote w:id="2">
    <w:p w14:paraId="0F8E96BE" w14:textId="34D2617B" w:rsidR="0043208B" w:rsidRPr="0043208B" w:rsidRDefault="0043208B">
      <w:pPr>
        <w:pStyle w:val="Notedebasdepage"/>
      </w:pPr>
      <w:r>
        <w:rPr>
          <w:rStyle w:val="Appelnotedebasdep"/>
        </w:rPr>
        <w:tab/>
      </w:r>
      <w:r w:rsidRPr="0043208B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2022 tel qu</w:t>
      </w:r>
      <w:r w:rsidR="00E53375">
        <w:rPr>
          <w:lang w:val="fr-FR"/>
        </w:rPr>
        <w:t>’</w:t>
      </w:r>
      <w:r>
        <w:rPr>
          <w:lang w:val="fr-FR"/>
        </w:rPr>
        <w:t>il figure dans le projet de budget-programme pour 2022 (A/76/6 (Sect. 20), par. 20.76), le Forum mondial a pour mission d</w:t>
      </w:r>
      <w:r w:rsidR="00E53375">
        <w:rPr>
          <w:lang w:val="fr-FR"/>
        </w:rPr>
        <w:t>’</w:t>
      </w:r>
      <w:r>
        <w:rPr>
          <w:lang w:val="fr-FR"/>
        </w:rPr>
        <w:t>élaborer, d</w:t>
      </w:r>
      <w:r w:rsidR="00E53375"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 w:rsidR="00E53375"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DBF7" w14:textId="00DE65DF" w:rsidR="0043208B" w:rsidRPr="0043208B" w:rsidRDefault="0043208B">
    <w:pPr>
      <w:pStyle w:val="En-tte"/>
    </w:pPr>
    <w:fldSimple w:instr=" TITLE  \* MERGEFORMAT ">
      <w:r w:rsidR="0018730B">
        <w:t>ECE/TRANS/WP.29/GRSG/2022/25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864B" w14:textId="0F8548F0" w:rsidR="0043208B" w:rsidRPr="0043208B" w:rsidRDefault="0043208B" w:rsidP="0043208B">
    <w:pPr>
      <w:pStyle w:val="En-tte"/>
      <w:jc w:val="right"/>
    </w:pPr>
    <w:fldSimple w:instr=" TITLE  \* MERGEFORMAT ">
      <w:r w:rsidR="0018730B">
        <w:t>ECE/TRANS/WP.29/GRSG/2022/25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C7457"/>
    <w:multiLevelType w:val="hybridMultilevel"/>
    <w:tmpl w:val="B4D61F6E"/>
    <w:lvl w:ilvl="0" w:tplc="919CA86C">
      <w:start w:val="1"/>
      <w:numFmt w:val="upperRoman"/>
      <w:lvlText w:val="%1."/>
      <w:lvlJc w:val="left"/>
      <w:pPr>
        <w:ind w:left="1215" w:hanging="85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763381055">
    <w:abstractNumId w:val="13"/>
  </w:num>
  <w:num w:numId="2" w16cid:durableId="114756853">
    <w:abstractNumId w:val="12"/>
  </w:num>
  <w:num w:numId="3" w16cid:durableId="294457762">
    <w:abstractNumId w:val="10"/>
  </w:num>
  <w:num w:numId="4" w16cid:durableId="1897157224">
    <w:abstractNumId w:val="8"/>
  </w:num>
  <w:num w:numId="5" w16cid:durableId="1088695058">
    <w:abstractNumId w:val="3"/>
  </w:num>
  <w:num w:numId="6" w16cid:durableId="1810056022">
    <w:abstractNumId w:val="2"/>
  </w:num>
  <w:num w:numId="7" w16cid:durableId="2140487508">
    <w:abstractNumId w:val="1"/>
  </w:num>
  <w:num w:numId="8" w16cid:durableId="870188727">
    <w:abstractNumId w:val="0"/>
  </w:num>
  <w:num w:numId="9" w16cid:durableId="1378435742">
    <w:abstractNumId w:val="9"/>
  </w:num>
  <w:num w:numId="10" w16cid:durableId="2009870619">
    <w:abstractNumId w:val="7"/>
  </w:num>
  <w:num w:numId="11" w16cid:durableId="921373637">
    <w:abstractNumId w:val="6"/>
  </w:num>
  <w:num w:numId="12" w16cid:durableId="519012122">
    <w:abstractNumId w:val="5"/>
  </w:num>
  <w:num w:numId="13" w16cid:durableId="46953734">
    <w:abstractNumId w:val="4"/>
  </w:num>
  <w:num w:numId="14" w16cid:durableId="627972790">
    <w:abstractNumId w:val="13"/>
  </w:num>
  <w:num w:numId="15" w16cid:durableId="1987583415">
    <w:abstractNumId w:val="12"/>
  </w:num>
  <w:num w:numId="16" w16cid:durableId="1444113094">
    <w:abstractNumId w:val="10"/>
  </w:num>
  <w:num w:numId="17" w16cid:durableId="1577939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1E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8730B"/>
    <w:rsid w:val="001F525A"/>
    <w:rsid w:val="00201148"/>
    <w:rsid w:val="00223272"/>
    <w:rsid w:val="0024779E"/>
    <w:rsid w:val="00257168"/>
    <w:rsid w:val="002744B8"/>
    <w:rsid w:val="002832AC"/>
    <w:rsid w:val="00283A2A"/>
    <w:rsid w:val="002D7C93"/>
    <w:rsid w:val="00305801"/>
    <w:rsid w:val="003916DE"/>
    <w:rsid w:val="00421996"/>
    <w:rsid w:val="0043208B"/>
    <w:rsid w:val="00441C3B"/>
    <w:rsid w:val="00446FE5"/>
    <w:rsid w:val="00452396"/>
    <w:rsid w:val="00477EB2"/>
    <w:rsid w:val="004837D8"/>
    <w:rsid w:val="004E2EED"/>
    <w:rsid w:val="004E468C"/>
    <w:rsid w:val="005505B7"/>
    <w:rsid w:val="005574B9"/>
    <w:rsid w:val="00573BE5"/>
    <w:rsid w:val="00586ED3"/>
    <w:rsid w:val="00596AA9"/>
    <w:rsid w:val="0071601D"/>
    <w:rsid w:val="0076620C"/>
    <w:rsid w:val="007A62E6"/>
    <w:rsid w:val="007F20FA"/>
    <w:rsid w:val="0080684C"/>
    <w:rsid w:val="00871C75"/>
    <w:rsid w:val="008776DC"/>
    <w:rsid w:val="008D5EF9"/>
    <w:rsid w:val="009446C0"/>
    <w:rsid w:val="009705C8"/>
    <w:rsid w:val="00987ADC"/>
    <w:rsid w:val="009C1CF4"/>
    <w:rsid w:val="009F6B74"/>
    <w:rsid w:val="00A3029F"/>
    <w:rsid w:val="00A30353"/>
    <w:rsid w:val="00A53C20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CA7D2B"/>
    <w:rsid w:val="00D3439C"/>
    <w:rsid w:val="00D4311E"/>
    <w:rsid w:val="00D7622E"/>
    <w:rsid w:val="00DB1831"/>
    <w:rsid w:val="00DD3BFD"/>
    <w:rsid w:val="00DF6678"/>
    <w:rsid w:val="00E0299A"/>
    <w:rsid w:val="00E53375"/>
    <w:rsid w:val="00E85C74"/>
    <w:rsid w:val="00EA6547"/>
    <w:rsid w:val="00EC2BEA"/>
    <w:rsid w:val="00ED7237"/>
    <w:rsid w:val="00EF2E22"/>
    <w:rsid w:val="00F35BAF"/>
    <w:rsid w:val="00F44764"/>
    <w:rsid w:val="00F660DF"/>
    <w:rsid w:val="00F94664"/>
    <w:rsid w:val="00F9573C"/>
    <w:rsid w:val="00F95C08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1DF9"/>
  <w15:docId w15:val="{D94FEAB3-5264-44E3-8187-2C94C6E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5_GR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5_GR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4</Pages>
  <Words>781</Words>
  <Characters>5469</Characters>
  <Application>Microsoft Office Word</Application>
  <DocSecurity>0</DocSecurity>
  <Lines>455</Lines>
  <Paragraphs>249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ECE/TRANS/WP.29/GRSG/2022/25</vt:lpstr>
    </vt:vector>
  </TitlesOfParts>
  <Company>DCM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ECE/TRANS/WP.29/GRSG/2022/25</dc:title>
  <dc:subject/>
  <dc:creator>Julien OKRZESIK</dc:creator>
  <cp:keywords/>
  <cp:lastModifiedBy>Julien Okrzesik</cp:lastModifiedBy>
  <cp:revision>3</cp:revision>
  <cp:lastPrinted>2022-08-11T13:48:00Z</cp:lastPrinted>
  <dcterms:created xsi:type="dcterms:W3CDTF">2022-08-11T13:48:00Z</dcterms:created>
  <dcterms:modified xsi:type="dcterms:W3CDTF">2022-08-11T13:48:00Z</dcterms:modified>
</cp:coreProperties>
</file>