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3F2704" w14:textId="77777777" w:rsidTr="00C97039">
        <w:trPr>
          <w:trHeight w:hRule="exact" w:val="851"/>
        </w:trPr>
        <w:tc>
          <w:tcPr>
            <w:tcW w:w="1276" w:type="dxa"/>
            <w:tcBorders>
              <w:bottom w:val="single" w:sz="4" w:space="0" w:color="auto"/>
            </w:tcBorders>
          </w:tcPr>
          <w:p w14:paraId="2491970E" w14:textId="77777777" w:rsidR="00F35BAF" w:rsidRPr="00DB58B5" w:rsidRDefault="00F35BAF" w:rsidP="00B43665"/>
        </w:tc>
        <w:tc>
          <w:tcPr>
            <w:tcW w:w="2268" w:type="dxa"/>
            <w:tcBorders>
              <w:bottom w:val="single" w:sz="4" w:space="0" w:color="auto"/>
            </w:tcBorders>
            <w:vAlign w:val="bottom"/>
          </w:tcPr>
          <w:p w14:paraId="005CC70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4C5AAC" w14:textId="3C008BE6" w:rsidR="00F35BAF" w:rsidRPr="00DB58B5" w:rsidRDefault="00B43665" w:rsidP="00B43665">
            <w:pPr>
              <w:jc w:val="right"/>
            </w:pPr>
            <w:r w:rsidRPr="00B43665">
              <w:rPr>
                <w:sz w:val="40"/>
              </w:rPr>
              <w:t>ECE</w:t>
            </w:r>
            <w:r>
              <w:t>/TRANS/WP.29/GRSG/2022/24</w:t>
            </w:r>
          </w:p>
        </w:tc>
      </w:tr>
      <w:tr w:rsidR="00F35BAF" w:rsidRPr="00DB58B5" w14:paraId="79E6DEF1" w14:textId="77777777" w:rsidTr="00C97039">
        <w:trPr>
          <w:trHeight w:hRule="exact" w:val="2835"/>
        </w:trPr>
        <w:tc>
          <w:tcPr>
            <w:tcW w:w="1276" w:type="dxa"/>
            <w:tcBorders>
              <w:top w:val="single" w:sz="4" w:space="0" w:color="auto"/>
              <w:bottom w:val="single" w:sz="12" w:space="0" w:color="auto"/>
            </w:tcBorders>
          </w:tcPr>
          <w:p w14:paraId="7FC8A4F2" w14:textId="77777777" w:rsidR="00F35BAF" w:rsidRPr="00DB58B5" w:rsidRDefault="00F35BAF" w:rsidP="00C97039">
            <w:pPr>
              <w:spacing w:before="120"/>
              <w:jc w:val="center"/>
            </w:pPr>
            <w:r>
              <w:rPr>
                <w:noProof/>
                <w:lang w:eastAsia="fr-CH"/>
              </w:rPr>
              <w:drawing>
                <wp:inline distT="0" distB="0" distL="0" distR="0" wp14:anchorId="6C0BA983" wp14:editId="1672F0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6CD66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B70C07" w14:textId="77777777" w:rsidR="00F35BAF" w:rsidRDefault="00B43665" w:rsidP="00C97039">
            <w:pPr>
              <w:spacing w:before="240"/>
            </w:pPr>
            <w:proofErr w:type="spellStart"/>
            <w:r>
              <w:t>Distr</w:t>
            </w:r>
            <w:proofErr w:type="spellEnd"/>
            <w:r>
              <w:t>. générale</w:t>
            </w:r>
          </w:p>
          <w:p w14:paraId="08533226" w14:textId="77777777" w:rsidR="00B43665" w:rsidRDefault="00B43665" w:rsidP="00B43665">
            <w:pPr>
              <w:spacing w:line="240" w:lineRule="exact"/>
            </w:pPr>
            <w:r>
              <w:t>22 juillet 2022</w:t>
            </w:r>
          </w:p>
          <w:p w14:paraId="715D471F" w14:textId="77777777" w:rsidR="00B43665" w:rsidRDefault="00B43665" w:rsidP="00B43665">
            <w:pPr>
              <w:spacing w:line="240" w:lineRule="exact"/>
            </w:pPr>
            <w:r>
              <w:t>Français</w:t>
            </w:r>
          </w:p>
          <w:p w14:paraId="1D69AB8C" w14:textId="678AD887" w:rsidR="00B43665" w:rsidRPr="00DB58B5" w:rsidRDefault="00B43665" w:rsidP="00B43665">
            <w:pPr>
              <w:spacing w:line="240" w:lineRule="exact"/>
            </w:pPr>
            <w:r>
              <w:t>Original : anglais</w:t>
            </w:r>
          </w:p>
        </w:tc>
      </w:tr>
    </w:tbl>
    <w:p w14:paraId="2903AF86" w14:textId="77777777" w:rsidR="007F20FA" w:rsidRPr="000312C0" w:rsidRDefault="007F20FA" w:rsidP="007F20FA">
      <w:pPr>
        <w:spacing w:before="120"/>
        <w:rPr>
          <w:b/>
          <w:sz w:val="28"/>
          <w:szCs w:val="28"/>
        </w:rPr>
      </w:pPr>
      <w:r w:rsidRPr="000312C0">
        <w:rPr>
          <w:b/>
          <w:sz w:val="28"/>
          <w:szCs w:val="28"/>
        </w:rPr>
        <w:t>Commission économique pour l’Europe</w:t>
      </w:r>
    </w:p>
    <w:p w14:paraId="0D7177C8" w14:textId="77777777" w:rsidR="007F20FA" w:rsidRDefault="007F20FA" w:rsidP="007F20FA">
      <w:pPr>
        <w:spacing w:before="120"/>
        <w:rPr>
          <w:sz w:val="28"/>
          <w:szCs w:val="28"/>
        </w:rPr>
      </w:pPr>
      <w:r w:rsidRPr="00685843">
        <w:rPr>
          <w:sz w:val="28"/>
          <w:szCs w:val="28"/>
        </w:rPr>
        <w:t>Comité des transports intérieurs</w:t>
      </w:r>
    </w:p>
    <w:p w14:paraId="544F88AD" w14:textId="04871F18" w:rsidR="00AA7C91" w:rsidRPr="00C658D3" w:rsidRDefault="00AA7C91" w:rsidP="00AA7C91">
      <w:pPr>
        <w:spacing w:before="120"/>
        <w:rPr>
          <w:rFonts w:asciiTheme="majorBidi" w:hAnsiTheme="majorBidi" w:cstheme="majorBidi"/>
          <w:b/>
          <w:sz w:val="24"/>
          <w:szCs w:val="24"/>
        </w:rPr>
      </w:pPr>
      <w:r w:rsidRPr="00C658D3">
        <w:rPr>
          <w:b/>
          <w:bCs/>
          <w:sz w:val="24"/>
          <w:szCs w:val="24"/>
          <w:lang w:val="fr-FR"/>
        </w:rPr>
        <w:t xml:space="preserve">Forum mondial de l’harmonisation des Règlements </w:t>
      </w:r>
      <w:r w:rsidR="00C658D3">
        <w:rPr>
          <w:b/>
          <w:bCs/>
          <w:sz w:val="24"/>
          <w:szCs w:val="24"/>
          <w:lang w:val="fr-FR"/>
        </w:rPr>
        <w:br/>
      </w:r>
      <w:r w:rsidRPr="00C658D3">
        <w:rPr>
          <w:b/>
          <w:bCs/>
          <w:sz w:val="24"/>
          <w:szCs w:val="24"/>
          <w:lang w:val="fr-FR"/>
        </w:rPr>
        <w:t>concernant les véhicules</w:t>
      </w:r>
    </w:p>
    <w:p w14:paraId="0A3B44CB" w14:textId="77777777" w:rsidR="00AA7C91" w:rsidRPr="00A00630" w:rsidRDefault="00AA7C91" w:rsidP="00AA7C91">
      <w:pPr>
        <w:spacing w:before="120"/>
        <w:rPr>
          <w:rFonts w:asciiTheme="majorBidi" w:hAnsiTheme="majorBidi" w:cstheme="majorBidi"/>
          <w:b/>
        </w:rPr>
      </w:pPr>
      <w:r>
        <w:rPr>
          <w:b/>
          <w:bCs/>
          <w:lang w:val="fr-FR"/>
        </w:rPr>
        <w:t>Groupe de travail des dispositions générales de sécurité</w:t>
      </w:r>
    </w:p>
    <w:p w14:paraId="1ECAE176" w14:textId="77777777" w:rsidR="00AA7C91" w:rsidRPr="00A00630" w:rsidRDefault="00AA7C91" w:rsidP="00AA7C91">
      <w:pPr>
        <w:spacing w:before="120"/>
        <w:rPr>
          <w:rFonts w:asciiTheme="majorBidi" w:hAnsiTheme="majorBidi" w:cstheme="majorBidi"/>
          <w:b/>
        </w:rPr>
      </w:pPr>
      <w:r>
        <w:rPr>
          <w:b/>
          <w:bCs/>
          <w:lang w:val="fr-FR"/>
        </w:rPr>
        <w:t>124</w:t>
      </w:r>
      <w:r>
        <w:rPr>
          <w:b/>
          <w:bCs/>
          <w:vertAlign w:val="superscript"/>
          <w:lang w:val="fr-FR"/>
        </w:rPr>
        <w:t>e</w:t>
      </w:r>
      <w:r>
        <w:rPr>
          <w:b/>
          <w:bCs/>
          <w:lang w:val="fr-FR"/>
        </w:rPr>
        <w:t xml:space="preserve"> session</w:t>
      </w:r>
    </w:p>
    <w:p w14:paraId="68382ACE" w14:textId="77777777" w:rsidR="00AA7C91" w:rsidRPr="00A00630" w:rsidRDefault="00AA7C91" w:rsidP="00AA7C91">
      <w:pPr>
        <w:rPr>
          <w:rFonts w:asciiTheme="majorBidi" w:hAnsiTheme="majorBidi" w:cstheme="majorBidi"/>
        </w:rPr>
      </w:pPr>
      <w:r>
        <w:rPr>
          <w:lang w:val="fr-FR"/>
        </w:rPr>
        <w:t>Genève, 11-14 octobre 2022</w:t>
      </w:r>
    </w:p>
    <w:p w14:paraId="4DCF10DA" w14:textId="77777777" w:rsidR="00AA7C91" w:rsidRPr="00A00630" w:rsidRDefault="00AA7C91" w:rsidP="00AA7C91">
      <w:pPr>
        <w:rPr>
          <w:rFonts w:asciiTheme="majorBidi" w:hAnsiTheme="majorBidi" w:cstheme="majorBidi"/>
        </w:rPr>
      </w:pPr>
      <w:r>
        <w:rPr>
          <w:lang w:val="fr-FR"/>
        </w:rPr>
        <w:t>Point 6 b) de l’ordre du jour provisoire</w:t>
      </w:r>
    </w:p>
    <w:p w14:paraId="1BC66A3E" w14:textId="762E6087" w:rsidR="00AA7C91" w:rsidRDefault="00AA7C91" w:rsidP="00AA7C91">
      <w:pPr>
        <w:rPr>
          <w:b/>
          <w:bCs/>
          <w:lang w:val="fr-FR"/>
        </w:rPr>
      </w:pPr>
      <w:r>
        <w:rPr>
          <w:b/>
          <w:bCs/>
          <w:lang w:val="fr-FR"/>
        </w:rPr>
        <w:t xml:space="preserve">Amendements aux Règlements concernant les véhicules </w:t>
      </w:r>
      <w:r w:rsidR="00C658D3">
        <w:rPr>
          <w:b/>
          <w:bCs/>
          <w:lang w:val="fr-FR"/>
        </w:rPr>
        <w:br/>
      </w:r>
      <w:r>
        <w:rPr>
          <w:b/>
          <w:bCs/>
          <w:lang w:val="fr-FR"/>
        </w:rPr>
        <w:t>fonctionnant au gaz</w:t>
      </w:r>
      <w:r w:rsidR="00C658D3">
        <w:rPr>
          <w:b/>
          <w:bCs/>
          <w:lang w:val="fr-FR"/>
        </w:rPr>
        <w:t> </w:t>
      </w:r>
      <w:r>
        <w:rPr>
          <w:b/>
          <w:bCs/>
          <w:lang w:val="fr-FR"/>
        </w:rPr>
        <w:t xml:space="preserve">: </w:t>
      </w:r>
    </w:p>
    <w:p w14:paraId="25E68758" w14:textId="6F5F93FD" w:rsidR="00AA7C91" w:rsidRPr="00A00630" w:rsidRDefault="00AA7C91" w:rsidP="00AA7C91">
      <w:pPr>
        <w:rPr>
          <w:b/>
        </w:rPr>
      </w:pPr>
      <w:r>
        <w:rPr>
          <w:b/>
          <w:bCs/>
          <w:lang w:val="fr-FR"/>
        </w:rPr>
        <w:t xml:space="preserve">Règlement ONU </w:t>
      </w:r>
      <w:r w:rsidR="00C658D3" w:rsidRPr="00C658D3">
        <w:rPr>
          <w:rFonts w:eastAsia="MS Mincho"/>
          <w:b/>
          <w:bCs/>
          <w:lang w:val="fr-FR"/>
        </w:rPr>
        <w:t>n</w:t>
      </w:r>
      <w:r w:rsidR="00C658D3" w:rsidRPr="00C658D3">
        <w:rPr>
          <w:rFonts w:eastAsia="MS Mincho"/>
          <w:b/>
          <w:bCs/>
          <w:vertAlign w:val="superscript"/>
          <w:lang w:val="fr-FR"/>
        </w:rPr>
        <w:t>o</w:t>
      </w:r>
      <w:r w:rsidR="00C658D3">
        <w:rPr>
          <w:b/>
          <w:bCs/>
          <w:lang w:val="fr-FR"/>
        </w:rPr>
        <w:t> </w:t>
      </w:r>
      <w:r>
        <w:rPr>
          <w:b/>
          <w:bCs/>
          <w:lang w:val="fr-FR"/>
        </w:rPr>
        <w:t>110 (Véhicules alimentés au GNC ou au GNL)</w:t>
      </w:r>
    </w:p>
    <w:p w14:paraId="17E30500" w14:textId="715E5922" w:rsidR="00AA7C91" w:rsidRPr="00A00630" w:rsidRDefault="00AA7C91" w:rsidP="00C658D3">
      <w:pPr>
        <w:pStyle w:val="HChG"/>
      </w:pPr>
      <w:r>
        <w:rPr>
          <w:lang w:val="fr-FR"/>
        </w:rPr>
        <w:tab/>
      </w:r>
      <w:r>
        <w:rPr>
          <w:lang w:val="fr-FR"/>
        </w:rPr>
        <w:tab/>
        <w:t xml:space="preserve">Proposition de complément 1 à la série 05 d’amendements </w:t>
      </w:r>
      <w:r w:rsidR="00C658D3">
        <w:rPr>
          <w:lang w:val="fr-FR"/>
        </w:rPr>
        <w:br/>
      </w:r>
      <w:r>
        <w:rPr>
          <w:lang w:val="fr-FR"/>
        </w:rPr>
        <w:t xml:space="preserve">au Règlement ONU </w:t>
      </w:r>
      <w:r w:rsidR="00C658D3" w:rsidRPr="00C658D3">
        <w:rPr>
          <w:rFonts w:eastAsia="MS Mincho"/>
          <w:lang w:val="fr-FR"/>
        </w:rPr>
        <w:t>n</w:t>
      </w:r>
      <w:r w:rsidR="00C658D3" w:rsidRPr="00C658D3">
        <w:rPr>
          <w:rFonts w:eastAsia="MS Mincho"/>
          <w:vertAlign w:val="superscript"/>
          <w:lang w:val="fr-FR"/>
        </w:rPr>
        <w:t>o</w:t>
      </w:r>
      <w:r w:rsidR="00C658D3">
        <w:rPr>
          <w:lang w:val="fr-FR"/>
        </w:rPr>
        <w:t> </w:t>
      </w:r>
      <w:r>
        <w:rPr>
          <w:lang w:val="fr-FR"/>
        </w:rPr>
        <w:t>110 (</w:t>
      </w:r>
      <w:r w:rsidR="000B679F">
        <w:rPr>
          <w:lang w:val="fr-FR"/>
        </w:rPr>
        <w:t>V</w:t>
      </w:r>
      <w:r>
        <w:rPr>
          <w:lang w:val="fr-FR"/>
        </w:rPr>
        <w:t xml:space="preserve">éhicules alimentés au GNC </w:t>
      </w:r>
      <w:r w:rsidR="00C658D3">
        <w:rPr>
          <w:lang w:val="fr-FR"/>
        </w:rPr>
        <w:br/>
      </w:r>
      <w:r>
        <w:rPr>
          <w:lang w:val="fr-FR"/>
        </w:rPr>
        <w:t>ou au GNL)</w:t>
      </w:r>
    </w:p>
    <w:p w14:paraId="7B439628" w14:textId="5D52BA0C" w:rsidR="00AA7C91" w:rsidRPr="00A00630" w:rsidRDefault="00AA7C91" w:rsidP="00C658D3">
      <w:pPr>
        <w:pStyle w:val="H1G"/>
      </w:pPr>
      <w:r>
        <w:rPr>
          <w:lang w:val="fr-FR"/>
        </w:rPr>
        <w:tab/>
      </w:r>
      <w:r>
        <w:rPr>
          <w:lang w:val="fr-FR"/>
        </w:rPr>
        <w:tab/>
        <w:t>Communication des experts de l’</w:t>
      </w:r>
      <w:r w:rsidRPr="00583C82">
        <w:rPr>
          <w:lang w:val="fr-FR"/>
        </w:rPr>
        <w:t xml:space="preserve">International Association </w:t>
      </w:r>
      <w:r w:rsidR="0005606F">
        <w:rPr>
          <w:lang w:val="fr-FR"/>
        </w:rPr>
        <w:br/>
      </w:r>
      <w:r w:rsidRPr="00583C82">
        <w:rPr>
          <w:lang w:val="fr-FR"/>
        </w:rPr>
        <w:t xml:space="preserve">for Natural Gas </w:t>
      </w:r>
      <w:proofErr w:type="spellStart"/>
      <w:r w:rsidRPr="00583C82">
        <w:rPr>
          <w:lang w:val="fr-FR"/>
        </w:rPr>
        <w:t>Vehicles</w:t>
      </w:r>
      <w:proofErr w:type="spellEnd"/>
      <w:r w:rsidRPr="00583C82" w:rsidDel="00583C82">
        <w:rPr>
          <w:lang w:val="fr-FR"/>
        </w:rPr>
        <w:t xml:space="preserve"> </w:t>
      </w:r>
      <w:r>
        <w:rPr>
          <w:lang w:val="fr-FR"/>
        </w:rPr>
        <w:t>et des Pays-Bas</w:t>
      </w:r>
      <w:r w:rsidRPr="0005606F">
        <w:rPr>
          <w:b w:val="0"/>
          <w:bCs/>
          <w:sz w:val="20"/>
          <w:lang w:val="fr-FR"/>
        </w:rPr>
        <w:footnoteReference w:customMarkFollows="1" w:id="2"/>
        <w:t>*</w:t>
      </w:r>
    </w:p>
    <w:p w14:paraId="6AE46F78" w14:textId="79311AAD" w:rsidR="00AA7C91" w:rsidRPr="00A00630" w:rsidRDefault="00AA7C91" w:rsidP="0005606F">
      <w:pPr>
        <w:pStyle w:val="SingleTxtG"/>
        <w:ind w:firstLine="567"/>
      </w:pPr>
      <w:r>
        <w:rPr>
          <w:lang w:val="fr-FR"/>
        </w:rPr>
        <w:t xml:space="preserve">Le texte ci-après, établi par l’équipe spéciale du Règlement ONU </w:t>
      </w:r>
      <w:r w:rsidR="0005606F" w:rsidRPr="0005606F">
        <w:rPr>
          <w:rFonts w:eastAsia="MS Mincho"/>
          <w:lang w:val="fr-FR"/>
        </w:rPr>
        <w:t>n</w:t>
      </w:r>
      <w:r w:rsidR="0005606F" w:rsidRPr="0005606F">
        <w:rPr>
          <w:rFonts w:eastAsia="MS Mincho"/>
          <w:vertAlign w:val="superscript"/>
          <w:lang w:val="fr-FR"/>
        </w:rPr>
        <w:t>o</w:t>
      </w:r>
      <w:r w:rsidR="0005606F" w:rsidRPr="0005606F">
        <w:rPr>
          <w:rFonts w:eastAsia="MS Mincho"/>
          <w:lang w:val="fr-FR"/>
        </w:rPr>
        <w:t> </w:t>
      </w:r>
      <w:r>
        <w:rPr>
          <w:lang w:val="fr-FR"/>
        </w:rPr>
        <w:t>110, est fondé sur le document de travail ECE/TRANS/WP.29/GRSG/2022/12 et sur les documents informels GRSG-123-28 et GRSG-123-02, distribués à la 123</w:t>
      </w:r>
      <w:r>
        <w:rPr>
          <w:vertAlign w:val="superscript"/>
          <w:lang w:val="fr-FR"/>
        </w:rPr>
        <w:t>e</w:t>
      </w:r>
      <w:r w:rsidR="0005606F">
        <w:rPr>
          <w:lang w:val="fr-FR"/>
        </w:rPr>
        <w:t> </w:t>
      </w:r>
      <w:r>
        <w:rPr>
          <w:lang w:val="fr-FR"/>
        </w:rPr>
        <w:t>session du Groupe de travail des dispositions générales de sécurité (GRSG). Les modifications qu’il est proposé d’apporter au texte actuel figurent en caractères gras pour les ajouts et biffés pour les suppressions.</w:t>
      </w:r>
    </w:p>
    <w:p w14:paraId="58954102" w14:textId="77777777" w:rsidR="00AA7C91" w:rsidRPr="00A00630" w:rsidRDefault="00AA7C91" w:rsidP="00AA7C91">
      <w:pPr>
        <w:pStyle w:val="HChG"/>
        <w:tabs>
          <w:tab w:val="left" w:pos="8505"/>
        </w:tabs>
        <w:spacing w:before="0" w:after="0" w:line="240" w:lineRule="auto"/>
        <w:ind w:firstLine="425"/>
        <w:jc w:val="lowKashida"/>
        <w:rPr>
          <w:rFonts w:asciiTheme="majorBidi" w:hAnsiTheme="majorBidi" w:cstheme="majorBidi"/>
        </w:rPr>
      </w:pPr>
      <w:r w:rsidRPr="00A00630">
        <w:rPr>
          <w:rFonts w:asciiTheme="majorBidi" w:hAnsiTheme="majorBidi" w:cstheme="majorBidi"/>
        </w:rPr>
        <w:br w:type="page"/>
      </w:r>
    </w:p>
    <w:p w14:paraId="70EBD1A6" w14:textId="45F2AC98" w:rsidR="00AA7C91" w:rsidRPr="00180427" w:rsidRDefault="00326F83" w:rsidP="00326F83">
      <w:pPr>
        <w:pStyle w:val="HChG"/>
        <w:rPr>
          <w:rFonts w:asciiTheme="majorBidi" w:hAnsiTheme="majorBidi" w:cstheme="majorBidi"/>
        </w:rPr>
      </w:pPr>
      <w:r>
        <w:lastRenderedPageBreak/>
        <w:tab/>
      </w:r>
      <w:r w:rsidR="00AA7C91" w:rsidRPr="00180427">
        <w:t>I.</w:t>
      </w:r>
      <w:r w:rsidR="00AA7C91" w:rsidRPr="00180427">
        <w:tab/>
      </w:r>
      <w:r w:rsidR="00AA7C91">
        <w:rPr>
          <w:lang w:val="fr-FR"/>
        </w:rPr>
        <w:t>Proposition</w:t>
      </w:r>
    </w:p>
    <w:p w14:paraId="21D6CB09" w14:textId="2812A9A4" w:rsidR="00AA7C91" w:rsidRPr="00A00630" w:rsidRDefault="00AA7C91" w:rsidP="00AA7C91">
      <w:pPr>
        <w:pStyle w:val="SingleTxtG"/>
      </w:pPr>
      <w:r>
        <w:rPr>
          <w:i/>
          <w:iCs/>
          <w:lang w:val="fr-FR"/>
        </w:rPr>
        <w:t>Section 3</w:t>
      </w:r>
      <w:r>
        <w:rPr>
          <w:lang w:val="fr-FR"/>
        </w:rPr>
        <w:t xml:space="preserve">, </w:t>
      </w:r>
      <w:r>
        <w:rPr>
          <w:i/>
          <w:iCs/>
          <w:lang w:val="fr-FR"/>
        </w:rPr>
        <w:t>figure 1-2</w:t>
      </w:r>
      <w:r>
        <w:rPr>
          <w:lang w:val="fr-FR"/>
        </w:rPr>
        <w:t>, ajouter une référence à l’annexe 5R, comme suit</w:t>
      </w:r>
      <w:r w:rsidR="00326F83">
        <w:rPr>
          <w:lang w:val="fr-FR"/>
        </w:rPr>
        <w:t> </w:t>
      </w:r>
      <w:r>
        <w:rPr>
          <w:lang w:val="fr-FR"/>
        </w:rPr>
        <w:t>:</w:t>
      </w:r>
    </w:p>
    <w:p w14:paraId="2424FB4C" w14:textId="6588DB1E" w:rsidR="00AA7C91" w:rsidRDefault="00326F83" w:rsidP="00326F83">
      <w:pPr>
        <w:pStyle w:val="Titre1"/>
        <w:spacing w:after="120"/>
      </w:pPr>
      <w:r>
        <w:rPr>
          <w:lang w:val="fr-FR"/>
        </w:rPr>
        <w:t>« </w:t>
      </w:r>
      <w:r w:rsidR="00AA7C91">
        <w:rPr>
          <w:lang w:val="fr-FR"/>
        </w:rPr>
        <w:t>Figure 1-2</w:t>
      </w:r>
      <w:r>
        <w:rPr>
          <w:lang w:val="fr-FR"/>
        </w:rPr>
        <w:br/>
      </w:r>
      <w:r w:rsidR="00AA7C91" w:rsidRPr="00326F83">
        <w:rPr>
          <w:b/>
          <w:bCs/>
        </w:rPr>
        <w:t xml:space="preserve">Essais applicables aux différentes classes d’organes (à l’exclusion des bouteilles pour GNC </w:t>
      </w:r>
      <w:r w:rsidR="00AA7C91" w:rsidRPr="00326F83">
        <w:rPr>
          <w:b/>
          <w:bCs/>
        </w:rPr>
        <w:br/>
        <w:t>et des réservoirs pour GNL)</w:t>
      </w:r>
    </w:p>
    <w:tbl>
      <w:tblPr>
        <w:tblW w:w="850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3"/>
        <w:gridCol w:w="710"/>
        <w:gridCol w:w="711"/>
        <w:gridCol w:w="710"/>
        <w:gridCol w:w="711"/>
        <w:gridCol w:w="710"/>
        <w:gridCol w:w="711"/>
        <w:gridCol w:w="710"/>
        <w:gridCol w:w="711"/>
      </w:tblGrid>
      <w:tr w:rsidR="00302311" w:rsidRPr="00160A79" w14:paraId="57F0DC8E" w14:textId="77777777" w:rsidTr="00302311">
        <w:trPr>
          <w:trHeight w:val="384"/>
        </w:trPr>
        <w:tc>
          <w:tcPr>
            <w:tcW w:w="2823" w:type="dxa"/>
            <w:tcBorders>
              <w:bottom w:val="single" w:sz="12" w:space="0" w:color="auto"/>
            </w:tcBorders>
            <w:vAlign w:val="center"/>
          </w:tcPr>
          <w:p w14:paraId="39C94C3B" w14:textId="77777777" w:rsidR="00AA7C91" w:rsidRPr="00160A79" w:rsidRDefault="00AA7C91" w:rsidP="00BF4F27">
            <w:pPr>
              <w:spacing w:before="60" w:after="60" w:line="240" w:lineRule="auto"/>
              <w:ind w:left="57" w:right="57"/>
              <w:rPr>
                <w:rFonts w:eastAsia="Times New Roman"/>
                <w:i/>
                <w:sz w:val="16"/>
                <w:szCs w:val="16"/>
              </w:rPr>
            </w:pPr>
            <w:r w:rsidRPr="00160A79">
              <w:rPr>
                <w:i/>
                <w:iCs/>
                <w:sz w:val="16"/>
                <w:szCs w:val="16"/>
                <w:lang w:val="fr-FR"/>
              </w:rPr>
              <w:t>Essai</w:t>
            </w:r>
          </w:p>
        </w:tc>
        <w:tc>
          <w:tcPr>
            <w:tcW w:w="710" w:type="dxa"/>
            <w:tcBorders>
              <w:bottom w:val="single" w:sz="12" w:space="0" w:color="auto"/>
            </w:tcBorders>
            <w:vAlign w:val="center"/>
          </w:tcPr>
          <w:p w14:paraId="7A7E410E"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Classe 0</w:t>
            </w:r>
          </w:p>
        </w:tc>
        <w:tc>
          <w:tcPr>
            <w:tcW w:w="711" w:type="dxa"/>
            <w:tcBorders>
              <w:bottom w:val="single" w:sz="12" w:space="0" w:color="auto"/>
            </w:tcBorders>
            <w:vAlign w:val="center"/>
          </w:tcPr>
          <w:p w14:paraId="5892BD2E"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Classe 1</w:t>
            </w:r>
          </w:p>
        </w:tc>
        <w:tc>
          <w:tcPr>
            <w:tcW w:w="710" w:type="dxa"/>
            <w:tcBorders>
              <w:bottom w:val="single" w:sz="12" w:space="0" w:color="auto"/>
            </w:tcBorders>
            <w:vAlign w:val="center"/>
          </w:tcPr>
          <w:p w14:paraId="10707ABC"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Classe 2</w:t>
            </w:r>
          </w:p>
        </w:tc>
        <w:tc>
          <w:tcPr>
            <w:tcW w:w="711" w:type="dxa"/>
            <w:tcBorders>
              <w:bottom w:val="single" w:sz="12" w:space="0" w:color="auto"/>
            </w:tcBorders>
            <w:vAlign w:val="center"/>
          </w:tcPr>
          <w:p w14:paraId="46213CC9"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Classe 3</w:t>
            </w:r>
          </w:p>
        </w:tc>
        <w:tc>
          <w:tcPr>
            <w:tcW w:w="710" w:type="dxa"/>
            <w:tcBorders>
              <w:bottom w:val="single" w:sz="12" w:space="0" w:color="auto"/>
            </w:tcBorders>
            <w:vAlign w:val="center"/>
          </w:tcPr>
          <w:p w14:paraId="0425D798"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Classe 4</w:t>
            </w:r>
          </w:p>
        </w:tc>
        <w:tc>
          <w:tcPr>
            <w:tcW w:w="711" w:type="dxa"/>
            <w:tcBorders>
              <w:bottom w:val="single" w:sz="12" w:space="0" w:color="auto"/>
            </w:tcBorders>
            <w:vAlign w:val="center"/>
          </w:tcPr>
          <w:p w14:paraId="3ACC9D43"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Classe 5</w:t>
            </w:r>
          </w:p>
        </w:tc>
        <w:tc>
          <w:tcPr>
            <w:tcW w:w="710" w:type="dxa"/>
            <w:tcBorders>
              <w:bottom w:val="single" w:sz="12" w:space="0" w:color="auto"/>
            </w:tcBorders>
            <w:vAlign w:val="center"/>
          </w:tcPr>
          <w:p w14:paraId="56B9F246"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Classe 6</w:t>
            </w:r>
          </w:p>
        </w:tc>
        <w:tc>
          <w:tcPr>
            <w:tcW w:w="711" w:type="dxa"/>
            <w:tcBorders>
              <w:bottom w:val="single" w:sz="12" w:space="0" w:color="auto"/>
            </w:tcBorders>
            <w:vAlign w:val="center"/>
          </w:tcPr>
          <w:p w14:paraId="36904697" w14:textId="77777777" w:rsidR="00AA7C91" w:rsidRPr="00160A79" w:rsidRDefault="00AA7C91" w:rsidP="00BF4F27">
            <w:pPr>
              <w:spacing w:before="60" w:after="60" w:line="240" w:lineRule="auto"/>
              <w:ind w:left="57" w:right="57"/>
              <w:jc w:val="center"/>
              <w:rPr>
                <w:rFonts w:eastAsia="Times New Roman"/>
                <w:i/>
                <w:sz w:val="16"/>
                <w:szCs w:val="16"/>
              </w:rPr>
            </w:pPr>
            <w:r w:rsidRPr="00160A79">
              <w:rPr>
                <w:i/>
                <w:iCs/>
                <w:sz w:val="16"/>
                <w:szCs w:val="16"/>
                <w:lang w:val="fr-FR"/>
              </w:rPr>
              <w:t>Annexe</w:t>
            </w:r>
          </w:p>
        </w:tc>
      </w:tr>
      <w:tr w:rsidR="00302311" w:rsidRPr="005973A3" w14:paraId="34855EDA" w14:textId="77777777" w:rsidTr="00302311">
        <w:tc>
          <w:tcPr>
            <w:tcW w:w="2823" w:type="dxa"/>
            <w:tcBorders>
              <w:top w:val="single" w:sz="12" w:space="0" w:color="auto"/>
            </w:tcBorders>
          </w:tcPr>
          <w:p w14:paraId="4E4A1B49" w14:textId="77777777" w:rsidR="00AA7C91" w:rsidRPr="00BF4F27" w:rsidRDefault="00AA7C91" w:rsidP="00BF4F27">
            <w:pPr>
              <w:spacing w:before="60" w:after="60" w:line="240" w:lineRule="auto"/>
              <w:ind w:left="57" w:right="57"/>
              <w:rPr>
                <w:rFonts w:eastAsia="Times New Roman"/>
                <w:sz w:val="18"/>
                <w:szCs w:val="18"/>
              </w:rPr>
            </w:pPr>
            <w:r w:rsidRPr="00BF4F27">
              <w:rPr>
                <w:sz w:val="18"/>
                <w:szCs w:val="18"/>
                <w:lang w:val="fr-FR"/>
              </w:rPr>
              <w:t>Essai de surpression</w:t>
            </w:r>
          </w:p>
        </w:tc>
        <w:tc>
          <w:tcPr>
            <w:tcW w:w="710" w:type="dxa"/>
            <w:tcBorders>
              <w:top w:val="single" w:sz="12" w:space="0" w:color="auto"/>
            </w:tcBorders>
          </w:tcPr>
          <w:p w14:paraId="0C05A85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Borders>
              <w:top w:val="single" w:sz="12" w:space="0" w:color="auto"/>
            </w:tcBorders>
          </w:tcPr>
          <w:p w14:paraId="5018163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Borders>
              <w:top w:val="single" w:sz="12" w:space="0" w:color="auto"/>
            </w:tcBorders>
          </w:tcPr>
          <w:p w14:paraId="47199C3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Borders>
              <w:top w:val="single" w:sz="12" w:space="0" w:color="auto"/>
            </w:tcBorders>
          </w:tcPr>
          <w:p w14:paraId="3C8BC2F3"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Borders>
              <w:top w:val="single" w:sz="12" w:space="0" w:color="auto"/>
            </w:tcBorders>
          </w:tcPr>
          <w:p w14:paraId="58C2C89B"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Borders>
              <w:top w:val="single" w:sz="12" w:space="0" w:color="auto"/>
            </w:tcBorders>
          </w:tcPr>
          <w:p w14:paraId="4396C477"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Borders>
              <w:top w:val="single" w:sz="12" w:space="0" w:color="auto"/>
            </w:tcBorders>
          </w:tcPr>
          <w:p w14:paraId="09FBE120"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Borders>
              <w:top w:val="single" w:sz="12" w:space="0" w:color="auto"/>
            </w:tcBorders>
          </w:tcPr>
          <w:p w14:paraId="1EF83E93"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5A</w:t>
            </w:r>
          </w:p>
        </w:tc>
      </w:tr>
      <w:tr w:rsidR="00302311" w:rsidRPr="005973A3" w14:paraId="4BC33980" w14:textId="77777777" w:rsidTr="00302311">
        <w:tc>
          <w:tcPr>
            <w:tcW w:w="2823" w:type="dxa"/>
          </w:tcPr>
          <w:p w14:paraId="7B9495AD" w14:textId="77777777" w:rsidR="00AA7C91" w:rsidRPr="00BF4F27" w:rsidRDefault="00AA7C91" w:rsidP="00BF4F27">
            <w:pPr>
              <w:spacing w:before="60" w:after="60" w:line="240" w:lineRule="auto"/>
              <w:ind w:left="57" w:right="57"/>
              <w:rPr>
                <w:rFonts w:eastAsia="Times New Roman"/>
                <w:sz w:val="18"/>
                <w:szCs w:val="18"/>
              </w:rPr>
            </w:pPr>
            <w:r w:rsidRPr="00BF4F27">
              <w:rPr>
                <w:sz w:val="18"/>
                <w:szCs w:val="18"/>
                <w:lang w:val="fr-FR"/>
              </w:rPr>
              <w:t>Essai d’étanchéité vers l’extérieur</w:t>
            </w:r>
          </w:p>
        </w:tc>
        <w:tc>
          <w:tcPr>
            <w:tcW w:w="710" w:type="dxa"/>
          </w:tcPr>
          <w:p w14:paraId="0E3F0ECD"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2427992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1E2C30DC"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205B35C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662ABC3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1082F77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0B5CBBF8"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7FA3D8DB"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5B</w:t>
            </w:r>
          </w:p>
        </w:tc>
      </w:tr>
      <w:tr w:rsidR="00302311" w:rsidRPr="005973A3" w14:paraId="0CB9CB70" w14:textId="77777777" w:rsidTr="00302311">
        <w:tc>
          <w:tcPr>
            <w:tcW w:w="2823" w:type="dxa"/>
          </w:tcPr>
          <w:p w14:paraId="1B81CBBA" w14:textId="77777777" w:rsidR="00AA7C91" w:rsidRPr="00BF4F27" w:rsidRDefault="00AA7C91" w:rsidP="00BF4F27">
            <w:pPr>
              <w:spacing w:before="60" w:after="60" w:line="240" w:lineRule="auto"/>
              <w:ind w:left="57" w:right="57"/>
              <w:rPr>
                <w:rFonts w:eastAsia="Times New Roman"/>
                <w:sz w:val="18"/>
                <w:szCs w:val="18"/>
              </w:rPr>
            </w:pPr>
            <w:r w:rsidRPr="00BF4F27">
              <w:rPr>
                <w:sz w:val="18"/>
                <w:szCs w:val="18"/>
                <w:lang w:val="fr-FR"/>
              </w:rPr>
              <w:t>Essai d’étanchéité vers l’intérieur</w:t>
            </w:r>
          </w:p>
        </w:tc>
        <w:tc>
          <w:tcPr>
            <w:tcW w:w="710" w:type="dxa"/>
          </w:tcPr>
          <w:p w14:paraId="5D716B72"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6333DC30"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57930D3B"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3F6F6A93"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3058509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4718536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0B443FC8"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544F9952"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5C</w:t>
            </w:r>
          </w:p>
        </w:tc>
      </w:tr>
      <w:tr w:rsidR="00302311" w:rsidRPr="005973A3" w14:paraId="0015DC92" w14:textId="77777777" w:rsidTr="00302311">
        <w:tc>
          <w:tcPr>
            <w:tcW w:w="2823" w:type="dxa"/>
          </w:tcPr>
          <w:p w14:paraId="4EBE49B3" w14:textId="77777777" w:rsidR="00AA7C91" w:rsidRPr="00BF4F27" w:rsidRDefault="00AA7C91" w:rsidP="00BF4F27">
            <w:pPr>
              <w:spacing w:before="60" w:after="60" w:line="240" w:lineRule="auto"/>
              <w:ind w:left="57" w:right="57"/>
              <w:rPr>
                <w:rFonts w:eastAsia="Times New Roman"/>
                <w:sz w:val="18"/>
                <w:szCs w:val="18"/>
              </w:rPr>
            </w:pPr>
            <w:r w:rsidRPr="00BF4F27">
              <w:rPr>
                <w:sz w:val="18"/>
                <w:szCs w:val="18"/>
                <w:lang w:val="fr-FR"/>
              </w:rPr>
              <w:t>Essai de stabilité</w:t>
            </w:r>
          </w:p>
        </w:tc>
        <w:tc>
          <w:tcPr>
            <w:tcW w:w="710" w:type="dxa"/>
          </w:tcPr>
          <w:p w14:paraId="751E32D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229141A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398FFAD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6396977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233CB0A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6A50DD83"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3B4EE04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5BFFD18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5L</w:t>
            </w:r>
          </w:p>
        </w:tc>
      </w:tr>
      <w:tr w:rsidR="00302311" w:rsidRPr="005973A3" w14:paraId="10E8415A" w14:textId="77777777" w:rsidTr="00302311">
        <w:tc>
          <w:tcPr>
            <w:tcW w:w="2823" w:type="dxa"/>
          </w:tcPr>
          <w:p w14:paraId="61BB8D2D" w14:textId="77777777" w:rsidR="00AA7C91" w:rsidRPr="00BF4F27" w:rsidRDefault="00AA7C91" w:rsidP="00BF4F27">
            <w:pPr>
              <w:spacing w:before="60" w:after="60" w:line="240" w:lineRule="auto"/>
              <w:ind w:left="57" w:right="57"/>
              <w:rPr>
                <w:rFonts w:eastAsia="Times New Roman"/>
                <w:sz w:val="18"/>
                <w:szCs w:val="18"/>
                <w:lang w:val="fr-FR"/>
              </w:rPr>
            </w:pPr>
            <w:r w:rsidRPr="00BF4F27">
              <w:rPr>
                <w:sz w:val="18"/>
                <w:szCs w:val="18"/>
                <w:lang w:val="fr-FR"/>
              </w:rPr>
              <w:t>Essai de compatibilité GNC/GNL</w:t>
            </w:r>
          </w:p>
        </w:tc>
        <w:tc>
          <w:tcPr>
            <w:tcW w:w="710" w:type="dxa"/>
          </w:tcPr>
          <w:p w14:paraId="7323E3C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42E5DDAC"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0775F8E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53DACBEC"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0BCE0F4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7B2DCC6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27072D3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595E477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5D</w:t>
            </w:r>
          </w:p>
        </w:tc>
      </w:tr>
      <w:tr w:rsidR="00302311" w:rsidRPr="005973A3" w14:paraId="7682C661" w14:textId="77777777" w:rsidTr="00302311">
        <w:tc>
          <w:tcPr>
            <w:tcW w:w="2823" w:type="dxa"/>
          </w:tcPr>
          <w:p w14:paraId="391FD81D" w14:textId="77777777" w:rsidR="00AA7C91" w:rsidRPr="00BF4F27" w:rsidRDefault="00AA7C91" w:rsidP="00BF4F27">
            <w:pPr>
              <w:spacing w:before="60" w:after="60" w:line="240" w:lineRule="auto"/>
              <w:ind w:left="57" w:right="57"/>
              <w:rPr>
                <w:rFonts w:eastAsia="Times New Roman"/>
                <w:sz w:val="18"/>
                <w:szCs w:val="18"/>
                <w:lang w:val="fr-FR"/>
              </w:rPr>
            </w:pPr>
            <w:r w:rsidRPr="00BF4F27">
              <w:rPr>
                <w:sz w:val="18"/>
                <w:szCs w:val="18"/>
                <w:lang w:val="fr-FR"/>
              </w:rPr>
              <w:t>Essai de résistance à la corrosion</w:t>
            </w:r>
          </w:p>
        </w:tc>
        <w:tc>
          <w:tcPr>
            <w:tcW w:w="710" w:type="dxa"/>
          </w:tcPr>
          <w:p w14:paraId="15B28FC7"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7E42847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58E05B10"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321257A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04B91ED3"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4CE03BE0"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5165D53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4AB0AA5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5E</w:t>
            </w:r>
          </w:p>
        </w:tc>
      </w:tr>
      <w:tr w:rsidR="00302311" w:rsidRPr="005973A3" w14:paraId="649C371B" w14:textId="77777777" w:rsidTr="00302311">
        <w:tc>
          <w:tcPr>
            <w:tcW w:w="2823" w:type="dxa"/>
          </w:tcPr>
          <w:p w14:paraId="12017918" w14:textId="77777777" w:rsidR="00AA7C91" w:rsidRPr="00BF4F27" w:rsidRDefault="00AA7C91" w:rsidP="00BF4F27">
            <w:pPr>
              <w:spacing w:before="60" w:after="60" w:line="240" w:lineRule="auto"/>
              <w:ind w:left="57" w:right="57"/>
              <w:rPr>
                <w:rFonts w:eastAsia="Times New Roman"/>
                <w:sz w:val="18"/>
                <w:szCs w:val="18"/>
                <w:lang w:val="fr-FR"/>
              </w:rPr>
            </w:pPr>
            <w:r w:rsidRPr="00BF4F27">
              <w:rPr>
                <w:sz w:val="18"/>
                <w:szCs w:val="18"/>
                <w:lang w:val="fr-FR"/>
              </w:rPr>
              <w:t>Essai de résistance à la chaleur sèche</w:t>
            </w:r>
          </w:p>
        </w:tc>
        <w:tc>
          <w:tcPr>
            <w:tcW w:w="710" w:type="dxa"/>
          </w:tcPr>
          <w:p w14:paraId="5D8F38F3"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5A88BB0F"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4A7D272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3E541B4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3BA71BE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14E74897"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07D8752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1612A6F8"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5F</w:t>
            </w:r>
          </w:p>
        </w:tc>
      </w:tr>
      <w:tr w:rsidR="00302311" w:rsidRPr="005973A3" w14:paraId="2ED4DA2C" w14:textId="77777777" w:rsidTr="00302311">
        <w:tc>
          <w:tcPr>
            <w:tcW w:w="2823" w:type="dxa"/>
          </w:tcPr>
          <w:p w14:paraId="57FAFDCB" w14:textId="77777777" w:rsidR="00AA7C91" w:rsidRPr="00BF4F27" w:rsidRDefault="00AA7C91" w:rsidP="00BF4F27">
            <w:pPr>
              <w:spacing w:before="60" w:after="60" w:line="240" w:lineRule="auto"/>
              <w:ind w:left="57" w:right="57"/>
              <w:rPr>
                <w:rFonts w:eastAsia="Times New Roman"/>
                <w:sz w:val="18"/>
                <w:szCs w:val="18"/>
                <w:lang w:val="fr-FR"/>
              </w:rPr>
            </w:pPr>
            <w:r w:rsidRPr="00BF4F27">
              <w:rPr>
                <w:sz w:val="18"/>
                <w:szCs w:val="18"/>
                <w:lang w:val="fr-FR"/>
              </w:rPr>
              <w:t>Essai de tenue à l’ozone</w:t>
            </w:r>
          </w:p>
        </w:tc>
        <w:tc>
          <w:tcPr>
            <w:tcW w:w="710" w:type="dxa"/>
          </w:tcPr>
          <w:p w14:paraId="52E73FAB"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0C8264A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015D2DB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6EAFC2C2"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67CF814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1E9FE028"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76672410"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6DDF693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5G</w:t>
            </w:r>
          </w:p>
        </w:tc>
      </w:tr>
      <w:tr w:rsidR="00302311" w:rsidRPr="005973A3" w14:paraId="772D8057" w14:textId="77777777" w:rsidTr="00302311">
        <w:tc>
          <w:tcPr>
            <w:tcW w:w="2823" w:type="dxa"/>
          </w:tcPr>
          <w:p w14:paraId="36C28674" w14:textId="5160D3A7" w:rsidR="00AA7C91" w:rsidRPr="00BF4F27" w:rsidRDefault="00AA7C91" w:rsidP="00BF4F27">
            <w:pPr>
              <w:spacing w:before="60" w:after="60" w:line="240" w:lineRule="auto"/>
              <w:ind w:left="57" w:right="57"/>
              <w:rPr>
                <w:rFonts w:eastAsia="Times New Roman"/>
                <w:sz w:val="18"/>
                <w:szCs w:val="18"/>
              </w:rPr>
            </w:pPr>
            <w:r w:rsidRPr="00BF4F27">
              <w:rPr>
                <w:sz w:val="18"/>
                <w:szCs w:val="18"/>
                <w:lang w:val="fr-FR"/>
              </w:rPr>
              <w:t>Essai d’éclatement/de</w:t>
            </w:r>
            <w:r w:rsidR="00807E35">
              <w:rPr>
                <w:sz w:val="18"/>
                <w:szCs w:val="18"/>
                <w:lang w:val="fr-FR"/>
              </w:rPr>
              <w:t xml:space="preserve"> </w:t>
            </w:r>
            <w:r w:rsidRPr="00BF4F27">
              <w:rPr>
                <w:sz w:val="18"/>
                <w:szCs w:val="18"/>
                <w:lang w:val="fr-FR"/>
              </w:rPr>
              <w:t>destruction</w:t>
            </w:r>
          </w:p>
        </w:tc>
        <w:tc>
          <w:tcPr>
            <w:tcW w:w="710" w:type="dxa"/>
          </w:tcPr>
          <w:p w14:paraId="5FACDA0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0534CF68"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0" w:type="dxa"/>
          </w:tcPr>
          <w:p w14:paraId="5605773C"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2ABC2A5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0" w:type="dxa"/>
          </w:tcPr>
          <w:p w14:paraId="0FB0200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72C93B4D"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2CF4F0DC"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4BC8F360"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5M</w:t>
            </w:r>
          </w:p>
        </w:tc>
      </w:tr>
      <w:tr w:rsidR="00302311" w:rsidRPr="005973A3" w14:paraId="1624A8CF" w14:textId="77777777" w:rsidTr="00302311">
        <w:tc>
          <w:tcPr>
            <w:tcW w:w="2823" w:type="dxa"/>
          </w:tcPr>
          <w:p w14:paraId="27A17AF9" w14:textId="77777777" w:rsidR="00AA7C91" w:rsidRPr="00BF4F27" w:rsidRDefault="00AA7C91" w:rsidP="00BF4F27">
            <w:pPr>
              <w:spacing w:before="60" w:after="60" w:line="240" w:lineRule="auto"/>
              <w:ind w:left="57" w:right="57"/>
              <w:rPr>
                <w:rFonts w:eastAsia="Times New Roman"/>
                <w:sz w:val="18"/>
                <w:szCs w:val="18"/>
              </w:rPr>
            </w:pPr>
            <w:r w:rsidRPr="00BF4F27">
              <w:rPr>
                <w:sz w:val="18"/>
                <w:szCs w:val="18"/>
                <w:lang w:val="fr-FR"/>
              </w:rPr>
              <w:t>Essai du cycle thermique</w:t>
            </w:r>
          </w:p>
        </w:tc>
        <w:tc>
          <w:tcPr>
            <w:tcW w:w="710" w:type="dxa"/>
          </w:tcPr>
          <w:p w14:paraId="78F7758D"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1" w:type="dxa"/>
          </w:tcPr>
          <w:p w14:paraId="48658CEC"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0" w:type="dxa"/>
          </w:tcPr>
          <w:p w14:paraId="7ADC0662"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1" w:type="dxa"/>
          </w:tcPr>
          <w:p w14:paraId="65EDD6D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0" w:type="dxa"/>
          </w:tcPr>
          <w:p w14:paraId="7057A5AF"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6D7C118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0" w:type="dxa"/>
          </w:tcPr>
          <w:p w14:paraId="4BB931B2"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1" w:type="dxa"/>
          </w:tcPr>
          <w:p w14:paraId="1AB468C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5H</w:t>
            </w:r>
          </w:p>
        </w:tc>
      </w:tr>
      <w:tr w:rsidR="00302311" w:rsidRPr="005973A3" w14:paraId="74049E19" w14:textId="77777777" w:rsidTr="00302311">
        <w:tc>
          <w:tcPr>
            <w:tcW w:w="2823" w:type="dxa"/>
          </w:tcPr>
          <w:p w14:paraId="176CD31C" w14:textId="77777777" w:rsidR="00AA7C91" w:rsidRPr="00BF4F27" w:rsidRDefault="00AA7C91" w:rsidP="00BF4F27">
            <w:pPr>
              <w:spacing w:before="60" w:after="60" w:line="240" w:lineRule="auto"/>
              <w:ind w:left="57" w:right="57"/>
              <w:rPr>
                <w:rFonts w:eastAsia="Times New Roman"/>
                <w:sz w:val="18"/>
                <w:szCs w:val="18"/>
                <w:lang w:val="fr-FR"/>
              </w:rPr>
            </w:pPr>
            <w:r w:rsidRPr="00BF4F27">
              <w:rPr>
                <w:sz w:val="18"/>
                <w:szCs w:val="18"/>
                <w:lang w:val="fr-FR"/>
              </w:rPr>
              <w:t>Essai des cycles de pression</w:t>
            </w:r>
          </w:p>
        </w:tc>
        <w:tc>
          <w:tcPr>
            <w:tcW w:w="710" w:type="dxa"/>
          </w:tcPr>
          <w:p w14:paraId="44EB9EB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1E344ED0"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0" w:type="dxa"/>
          </w:tcPr>
          <w:p w14:paraId="57C038DC"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04522BB7"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0" w:type="dxa"/>
          </w:tcPr>
          <w:p w14:paraId="5F63AC2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0DD00F2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0" w:type="dxa"/>
          </w:tcPr>
          <w:p w14:paraId="01E189AF"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446BBB7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5I</w:t>
            </w:r>
          </w:p>
        </w:tc>
      </w:tr>
      <w:tr w:rsidR="00302311" w:rsidRPr="005973A3" w14:paraId="529EAA6A" w14:textId="77777777" w:rsidTr="00302311">
        <w:tc>
          <w:tcPr>
            <w:tcW w:w="2823" w:type="dxa"/>
          </w:tcPr>
          <w:p w14:paraId="7032274E" w14:textId="77777777" w:rsidR="00AA7C91" w:rsidRPr="00BF4F27" w:rsidRDefault="00AA7C91" w:rsidP="00BF4F27">
            <w:pPr>
              <w:spacing w:before="60" w:after="60" w:line="240" w:lineRule="auto"/>
              <w:ind w:left="57" w:right="57"/>
              <w:rPr>
                <w:rFonts w:eastAsia="Times New Roman"/>
                <w:sz w:val="18"/>
                <w:szCs w:val="18"/>
                <w:lang w:val="fr-FR"/>
              </w:rPr>
            </w:pPr>
            <w:r w:rsidRPr="00BF4F27">
              <w:rPr>
                <w:sz w:val="18"/>
                <w:szCs w:val="18"/>
                <w:lang w:val="fr-FR"/>
              </w:rPr>
              <w:t>Essai de résistance aux vibrations</w:t>
            </w:r>
          </w:p>
        </w:tc>
        <w:tc>
          <w:tcPr>
            <w:tcW w:w="710" w:type="dxa"/>
          </w:tcPr>
          <w:p w14:paraId="4F1ACFD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1" w:type="dxa"/>
          </w:tcPr>
          <w:p w14:paraId="52A4A30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0" w:type="dxa"/>
          </w:tcPr>
          <w:p w14:paraId="11102728"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1" w:type="dxa"/>
          </w:tcPr>
          <w:p w14:paraId="33BADF8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0" w:type="dxa"/>
          </w:tcPr>
          <w:p w14:paraId="231F230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7C8E9DB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0" w:type="dxa"/>
          </w:tcPr>
          <w:p w14:paraId="0645C38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sz w:val="18"/>
                <w:szCs w:val="18"/>
                <w:lang w:val="fr-FR"/>
              </w:rPr>
              <w:t>A</w:t>
            </w:r>
          </w:p>
        </w:tc>
        <w:tc>
          <w:tcPr>
            <w:tcW w:w="711" w:type="dxa"/>
          </w:tcPr>
          <w:p w14:paraId="3D6B2607"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5N</w:t>
            </w:r>
          </w:p>
        </w:tc>
      </w:tr>
      <w:tr w:rsidR="00302311" w:rsidRPr="005973A3" w14:paraId="40439507" w14:textId="77777777" w:rsidTr="00302311">
        <w:tc>
          <w:tcPr>
            <w:tcW w:w="2823" w:type="dxa"/>
          </w:tcPr>
          <w:p w14:paraId="2BFC967A" w14:textId="2FC9E059" w:rsidR="00AA7C91" w:rsidRPr="00BF4F27" w:rsidRDefault="00AA7C91" w:rsidP="00BF4F27">
            <w:pPr>
              <w:spacing w:before="60" w:after="60" w:line="240" w:lineRule="auto"/>
              <w:ind w:left="57" w:right="57"/>
              <w:rPr>
                <w:rFonts w:eastAsia="Times New Roman"/>
                <w:sz w:val="18"/>
                <w:szCs w:val="18"/>
                <w:lang w:val="fr-FR"/>
              </w:rPr>
            </w:pPr>
            <w:r w:rsidRPr="00BF4F27">
              <w:rPr>
                <w:sz w:val="18"/>
                <w:szCs w:val="18"/>
                <w:lang w:val="fr-FR"/>
              </w:rPr>
              <w:t xml:space="preserve">Essai des températures </w:t>
            </w:r>
            <w:r w:rsidR="00807E35">
              <w:rPr>
                <w:sz w:val="18"/>
                <w:szCs w:val="18"/>
                <w:lang w:val="fr-FR"/>
              </w:rPr>
              <w:br/>
            </w:r>
            <w:r w:rsidRPr="00BF4F27">
              <w:rPr>
                <w:sz w:val="18"/>
                <w:szCs w:val="18"/>
                <w:lang w:val="fr-FR"/>
              </w:rPr>
              <w:t>de</w:t>
            </w:r>
            <w:r w:rsidR="00807E35">
              <w:rPr>
                <w:sz w:val="18"/>
                <w:szCs w:val="18"/>
                <w:lang w:val="fr-FR"/>
              </w:rPr>
              <w:t xml:space="preserve"> </w:t>
            </w:r>
            <w:r w:rsidRPr="00BF4F27">
              <w:rPr>
                <w:sz w:val="18"/>
                <w:szCs w:val="18"/>
                <w:lang w:val="fr-FR"/>
              </w:rPr>
              <w:t>fonctionnement</w:t>
            </w:r>
          </w:p>
        </w:tc>
        <w:tc>
          <w:tcPr>
            <w:tcW w:w="710" w:type="dxa"/>
          </w:tcPr>
          <w:p w14:paraId="1425845D"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7E53A68B"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6A291CA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463C2953"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0D0A310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5B07347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3E74235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1" w:type="dxa"/>
          </w:tcPr>
          <w:p w14:paraId="087D0C0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5O</w:t>
            </w:r>
          </w:p>
        </w:tc>
      </w:tr>
      <w:tr w:rsidR="00302311" w:rsidRPr="005973A3" w14:paraId="5CEF72B3" w14:textId="77777777" w:rsidTr="00302311">
        <w:tc>
          <w:tcPr>
            <w:tcW w:w="2823" w:type="dxa"/>
          </w:tcPr>
          <w:p w14:paraId="7BB90CA0" w14:textId="77777777" w:rsidR="00AA7C91" w:rsidRPr="00BF4F27" w:rsidRDefault="00AA7C91" w:rsidP="00BF4F27">
            <w:pPr>
              <w:tabs>
                <w:tab w:val="left" w:pos="1276"/>
                <w:tab w:val="left" w:pos="1701"/>
              </w:tabs>
              <w:spacing w:before="60" w:after="60" w:line="240" w:lineRule="auto"/>
              <w:ind w:left="57" w:right="57"/>
              <w:rPr>
                <w:rFonts w:eastAsia="Times New Roman"/>
                <w:sz w:val="18"/>
                <w:szCs w:val="18"/>
                <w:lang w:val="fr-FR"/>
              </w:rPr>
            </w:pPr>
            <w:r w:rsidRPr="00BF4F27">
              <w:rPr>
                <w:sz w:val="18"/>
                <w:szCs w:val="18"/>
                <w:lang w:val="fr-FR"/>
              </w:rPr>
              <w:t>Essai du GNL à basse température</w:t>
            </w:r>
          </w:p>
        </w:tc>
        <w:tc>
          <w:tcPr>
            <w:tcW w:w="710" w:type="dxa"/>
          </w:tcPr>
          <w:p w14:paraId="0526433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27EDA72B"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0" w:type="dxa"/>
          </w:tcPr>
          <w:p w14:paraId="6332DEB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3196A78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0" w:type="dxa"/>
          </w:tcPr>
          <w:p w14:paraId="7BA60E2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2C7AEBA1"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X</w:t>
            </w:r>
          </w:p>
        </w:tc>
        <w:tc>
          <w:tcPr>
            <w:tcW w:w="710" w:type="dxa"/>
          </w:tcPr>
          <w:p w14:paraId="02AE4F2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O</w:t>
            </w:r>
          </w:p>
        </w:tc>
        <w:tc>
          <w:tcPr>
            <w:tcW w:w="711" w:type="dxa"/>
          </w:tcPr>
          <w:p w14:paraId="741ECEC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5P</w:t>
            </w:r>
          </w:p>
        </w:tc>
      </w:tr>
      <w:tr w:rsidR="00302311" w:rsidRPr="005973A3" w14:paraId="4C3FD38A" w14:textId="77777777" w:rsidTr="00302311">
        <w:tc>
          <w:tcPr>
            <w:tcW w:w="2823" w:type="dxa"/>
          </w:tcPr>
          <w:p w14:paraId="691015AA" w14:textId="77777777" w:rsidR="00AA7C91" w:rsidRPr="00BF4F27" w:rsidRDefault="00AA7C91" w:rsidP="00BF4F27">
            <w:pPr>
              <w:tabs>
                <w:tab w:val="left" w:pos="1276"/>
                <w:tab w:val="left" w:pos="1701"/>
              </w:tabs>
              <w:spacing w:before="60" w:after="60" w:line="240" w:lineRule="auto"/>
              <w:ind w:left="57" w:right="57"/>
              <w:rPr>
                <w:sz w:val="18"/>
                <w:szCs w:val="18"/>
                <w:lang w:val="fr-FR"/>
              </w:rPr>
            </w:pPr>
            <w:r w:rsidRPr="00BF4F27">
              <w:rPr>
                <w:sz w:val="18"/>
                <w:szCs w:val="18"/>
                <w:lang w:val="fr-FR"/>
              </w:rPr>
              <w:t>Essai de compatibilité des éléments non métalliques avec les fluides d’échange thermique</w:t>
            </w:r>
          </w:p>
        </w:tc>
        <w:tc>
          <w:tcPr>
            <w:tcW w:w="710" w:type="dxa"/>
          </w:tcPr>
          <w:p w14:paraId="291C1664"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3593C8EE"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01901AB2"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105CD60A"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548BFA06"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1903ACF5"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0" w:type="dxa"/>
          </w:tcPr>
          <w:p w14:paraId="3D0EFD09"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A</w:t>
            </w:r>
          </w:p>
        </w:tc>
        <w:tc>
          <w:tcPr>
            <w:tcW w:w="711" w:type="dxa"/>
          </w:tcPr>
          <w:p w14:paraId="030E076F" w14:textId="77777777" w:rsidR="00AA7C91" w:rsidRPr="00BF4F27" w:rsidRDefault="00AA7C91" w:rsidP="00BF4F27">
            <w:pPr>
              <w:spacing w:before="60" w:after="60" w:line="240" w:lineRule="auto"/>
              <w:ind w:left="57" w:right="57"/>
              <w:jc w:val="center"/>
              <w:rPr>
                <w:rFonts w:eastAsia="Times New Roman"/>
                <w:sz w:val="18"/>
                <w:szCs w:val="18"/>
              </w:rPr>
            </w:pPr>
            <w:r w:rsidRPr="00BF4F27">
              <w:rPr>
                <w:rFonts w:eastAsia="Times New Roman"/>
                <w:sz w:val="18"/>
                <w:szCs w:val="18"/>
              </w:rPr>
              <w:t>5Q</w:t>
            </w:r>
          </w:p>
        </w:tc>
      </w:tr>
      <w:tr w:rsidR="00302311" w:rsidRPr="005973A3" w14:paraId="66DAFFA2" w14:textId="77777777" w:rsidTr="00302311">
        <w:tc>
          <w:tcPr>
            <w:tcW w:w="2823" w:type="dxa"/>
          </w:tcPr>
          <w:p w14:paraId="47A3210A" w14:textId="022E0C7C" w:rsidR="00AA7C91" w:rsidRPr="00BF4F27" w:rsidRDefault="00AA7C91" w:rsidP="00BF4F27">
            <w:pPr>
              <w:tabs>
                <w:tab w:val="left" w:pos="1276"/>
                <w:tab w:val="left" w:pos="1701"/>
              </w:tabs>
              <w:spacing w:before="60" w:after="60" w:line="240" w:lineRule="auto"/>
              <w:ind w:left="57" w:right="57"/>
              <w:rPr>
                <w:rFonts w:eastAsia="Times New Roman"/>
                <w:b/>
                <w:bCs/>
                <w:sz w:val="18"/>
                <w:szCs w:val="18"/>
              </w:rPr>
            </w:pPr>
            <w:r w:rsidRPr="00BF4F27">
              <w:rPr>
                <w:b/>
                <w:bCs/>
                <w:sz w:val="18"/>
                <w:szCs w:val="18"/>
                <w:lang w:val="fr-FR"/>
              </w:rPr>
              <w:t xml:space="preserve">Procédure d’essai pour </w:t>
            </w:r>
            <w:r w:rsidR="00807E35">
              <w:rPr>
                <w:b/>
                <w:bCs/>
                <w:sz w:val="18"/>
                <w:szCs w:val="18"/>
                <w:lang w:val="fr-FR"/>
              </w:rPr>
              <w:br/>
            </w:r>
            <w:r w:rsidRPr="00BF4F27">
              <w:rPr>
                <w:b/>
                <w:bCs/>
                <w:sz w:val="18"/>
                <w:szCs w:val="18"/>
                <w:lang w:val="fr-FR"/>
              </w:rPr>
              <w:t xml:space="preserve">les dispositifs de surpression </w:t>
            </w:r>
            <w:r w:rsidR="00807E35">
              <w:rPr>
                <w:b/>
                <w:bCs/>
                <w:sz w:val="18"/>
                <w:szCs w:val="18"/>
                <w:lang w:val="fr-FR"/>
              </w:rPr>
              <w:br/>
            </w:r>
            <w:r w:rsidRPr="00BF4F27">
              <w:rPr>
                <w:b/>
                <w:bCs/>
                <w:sz w:val="18"/>
                <w:szCs w:val="18"/>
                <w:lang w:val="fr-FR"/>
              </w:rPr>
              <w:t>(à déclenchement thermique)</w:t>
            </w:r>
          </w:p>
        </w:tc>
        <w:tc>
          <w:tcPr>
            <w:tcW w:w="710" w:type="dxa"/>
          </w:tcPr>
          <w:p w14:paraId="5837472F"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A</w:t>
            </w:r>
          </w:p>
        </w:tc>
        <w:tc>
          <w:tcPr>
            <w:tcW w:w="711" w:type="dxa"/>
          </w:tcPr>
          <w:p w14:paraId="5BB2CC03"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O</w:t>
            </w:r>
          </w:p>
        </w:tc>
        <w:tc>
          <w:tcPr>
            <w:tcW w:w="710" w:type="dxa"/>
          </w:tcPr>
          <w:p w14:paraId="7549652E"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O</w:t>
            </w:r>
          </w:p>
        </w:tc>
        <w:tc>
          <w:tcPr>
            <w:tcW w:w="711" w:type="dxa"/>
          </w:tcPr>
          <w:p w14:paraId="1BBB8A9A"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O</w:t>
            </w:r>
          </w:p>
        </w:tc>
        <w:tc>
          <w:tcPr>
            <w:tcW w:w="710" w:type="dxa"/>
          </w:tcPr>
          <w:p w14:paraId="04C0F736"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O</w:t>
            </w:r>
          </w:p>
        </w:tc>
        <w:tc>
          <w:tcPr>
            <w:tcW w:w="711" w:type="dxa"/>
          </w:tcPr>
          <w:p w14:paraId="79D88E1B"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O</w:t>
            </w:r>
          </w:p>
        </w:tc>
        <w:tc>
          <w:tcPr>
            <w:tcW w:w="710" w:type="dxa"/>
          </w:tcPr>
          <w:p w14:paraId="03D0AA8F"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A</w:t>
            </w:r>
          </w:p>
        </w:tc>
        <w:tc>
          <w:tcPr>
            <w:tcW w:w="711" w:type="dxa"/>
          </w:tcPr>
          <w:p w14:paraId="772BD017" w14:textId="77777777" w:rsidR="00AA7C91" w:rsidRPr="00BF4F27" w:rsidRDefault="00AA7C91" w:rsidP="00BF4F27">
            <w:pPr>
              <w:spacing w:before="60" w:after="60" w:line="240" w:lineRule="auto"/>
              <w:ind w:left="57" w:right="57"/>
              <w:jc w:val="center"/>
              <w:rPr>
                <w:rFonts w:eastAsia="Times New Roman"/>
                <w:b/>
                <w:bCs/>
                <w:sz w:val="18"/>
                <w:szCs w:val="18"/>
              </w:rPr>
            </w:pPr>
            <w:r w:rsidRPr="00BF4F27">
              <w:rPr>
                <w:rFonts w:eastAsia="Times New Roman"/>
                <w:b/>
                <w:bCs/>
                <w:sz w:val="18"/>
                <w:szCs w:val="18"/>
              </w:rPr>
              <w:t>5R</w:t>
            </w:r>
          </w:p>
        </w:tc>
      </w:tr>
      <w:tr w:rsidR="00AA7C91" w:rsidRPr="001A69FA" w14:paraId="360DDECC" w14:textId="77777777" w:rsidTr="00BF4F27">
        <w:tc>
          <w:tcPr>
            <w:tcW w:w="8507" w:type="dxa"/>
            <w:gridSpan w:val="9"/>
            <w:tcBorders>
              <w:bottom w:val="single" w:sz="12" w:space="0" w:color="auto"/>
            </w:tcBorders>
          </w:tcPr>
          <w:p w14:paraId="7A8DDEA9" w14:textId="77777777" w:rsidR="00AA7C91" w:rsidRPr="00BF4F27" w:rsidRDefault="00AA7C91" w:rsidP="00D42E6F">
            <w:pPr>
              <w:widowControl w:val="0"/>
              <w:spacing w:before="60" w:line="240" w:lineRule="auto"/>
              <w:ind w:left="284" w:right="57"/>
              <w:rPr>
                <w:rFonts w:eastAsia="Times New Roman"/>
                <w:bCs/>
                <w:sz w:val="18"/>
                <w:szCs w:val="18"/>
                <w:lang w:val="fr-FR"/>
              </w:rPr>
            </w:pPr>
            <w:r w:rsidRPr="00BF4F27">
              <w:rPr>
                <w:sz w:val="18"/>
                <w:szCs w:val="18"/>
                <w:lang w:val="fr-FR"/>
              </w:rPr>
              <w:t>X = Applicable ;</w:t>
            </w:r>
          </w:p>
          <w:p w14:paraId="2FA4006B" w14:textId="77777777" w:rsidR="00AA7C91" w:rsidRPr="00BF4F27" w:rsidRDefault="00AA7C91" w:rsidP="00D42E6F">
            <w:pPr>
              <w:widowControl w:val="0"/>
              <w:spacing w:line="240" w:lineRule="auto"/>
              <w:ind w:left="284" w:right="57"/>
              <w:rPr>
                <w:rFonts w:eastAsia="Times New Roman"/>
                <w:bCs/>
                <w:sz w:val="18"/>
                <w:szCs w:val="18"/>
                <w:lang w:val="fr-FR"/>
              </w:rPr>
            </w:pPr>
            <w:r w:rsidRPr="00BF4F27">
              <w:rPr>
                <w:sz w:val="18"/>
                <w:szCs w:val="18"/>
                <w:lang w:val="fr-FR"/>
              </w:rPr>
              <w:t>O = Non applicable ;</w:t>
            </w:r>
          </w:p>
          <w:p w14:paraId="41B0C8A3" w14:textId="77777777" w:rsidR="00AA7C91" w:rsidRPr="00BF4F27" w:rsidRDefault="00AA7C91" w:rsidP="00D42E6F">
            <w:pPr>
              <w:widowControl w:val="0"/>
              <w:spacing w:after="60" w:line="240" w:lineRule="auto"/>
              <w:ind w:left="284" w:right="57"/>
              <w:rPr>
                <w:rFonts w:eastAsia="Times New Roman"/>
                <w:sz w:val="18"/>
                <w:szCs w:val="18"/>
                <w:u w:val="single"/>
                <w:lang w:val="fr-FR"/>
              </w:rPr>
            </w:pPr>
            <w:r w:rsidRPr="00BF4F27">
              <w:rPr>
                <w:sz w:val="18"/>
                <w:szCs w:val="18"/>
                <w:lang w:val="fr-FR"/>
              </w:rPr>
              <w:t>A = S’il y a lieu.</w:t>
            </w:r>
          </w:p>
        </w:tc>
      </w:tr>
    </w:tbl>
    <w:p w14:paraId="4D28F9D2" w14:textId="21FEC8F8" w:rsidR="00AA7C91" w:rsidRPr="00180427" w:rsidRDefault="00747AD1" w:rsidP="005623F6">
      <w:pPr>
        <w:spacing w:before="120"/>
        <w:jc w:val="right"/>
        <w:rPr>
          <w:rFonts w:eastAsia="Times New Roman"/>
        </w:rPr>
      </w:pPr>
      <w:r>
        <w:rPr>
          <w:rFonts w:eastAsia="Times New Roman"/>
        </w:rPr>
        <w:t> ».</w:t>
      </w:r>
    </w:p>
    <w:p w14:paraId="3804D298" w14:textId="77777777" w:rsidR="00AA7C91" w:rsidRDefault="00AA7C91" w:rsidP="00AA7C91">
      <w:pPr>
        <w:suppressAutoHyphens w:val="0"/>
        <w:spacing w:line="240" w:lineRule="auto"/>
        <w:rPr>
          <w:rFonts w:eastAsia="Times New Roman"/>
        </w:rPr>
      </w:pPr>
      <w:r w:rsidRPr="00180427">
        <w:rPr>
          <w:rFonts w:eastAsia="Times New Roman"/>
        </w:rPr>
        <w:br w:type="page"/>
      </w:r>
    </w:p>
    <w:p w14:paraId="2C0FDAE0" w14:textId="13C23A51" w:rsidR="00AA7C91" w:rsidRPr="00A00630" w:rsidRDefault="00AA7C91" w:rsidP="00AA7C91">
      <w:pPr>
        <w:pStyle w:val="SingleTxtG"/>
      </w:pPr>
      <w:r>
        <w:rPr>
          <w:i/>
          <w:iCs/>
          <w:lang w:val="fr-FR"/>
        </w:rPr>
        <w:lastRenderedPageBreak/>
        <w:t xml:space="preserve">Annexe 3A </w:t>
      </w:r>
      <w:r w:rsidR="00E03336">
        <w:rPr>
          <w:i/>
          <w:iCs/>
          <w:lang w:val="fr-FR"/>
        </w:rPr>
        <w:t>−</w:t>
      </w:r>
      <w:r>
        <w:rPr>
          <w:i/>
          <w:iCs/>
          <w:lang w:val="fr-FR"/>
        </w:rPr>
        <w:t xml:space="preserve"> appendice A, paragraphe A.24</w:t>
      </w:r>
      <w:r>
        <w:rPr>
          <w:lang w:val="fr-FR"/>
        </w:rPr>
        <w:t xml:space="preserve">, supprimer. </w:t>
      </w:r>
    </w:p>
    <w:p w14:paraId="774C8C0D" w14:textId="77777777" w:rsidR="00AA7C91" w:rsidRPr="00A00630" w:rsidRDefault="00AA7C91" w:rsidP="00AA7C91">
      <w:pPr>
        <w:pStyle w:val="SingleTxtG"/>
        <w:rPr>
          <w:i/>
          <w:iCs/>
        </w:rPr>
      </w:pPr>
      <w:r w:rsidRPr="00E03336">
        <w:rPr>
          <w:i/>
          <w:iCs/>
          <w:lang w:val="fr-FR"/>
        </w:rPr>
        <w:t>Les paragraphes A.25 à A.27 de l’appendice A de l’annexe 3A</w:t>
      </w:r>
      <w:r>
        <w:rPr>
          <w:lang w:val="fr-FR"/>
        </w:rPr>
        <w:t xml:space="preserve"> deviennent les paragraphes A.24 à A.26.</w:t>
      </w:r>
    </w:p>
    <w:p w14:paraId="4EA5D644" w14:textId="13809FBA" w:rsidR="00AA7C91" w:rsidRPr="00A00630" w:rsidRDefault="00AA7C91" w:rsidP="00231559">
      <w:pPr>
        <w:pStyle w:val="SingleTxtG"/>
        <w:keepNext/>
      </w:pPr>
      <w:r>
        <w:rPr>
          <w:i/>
          <w:iCs/>
          <w:lang w:val="fr-FR"/>
        </w:rPr>
        <w:t>Annexe 4A</w:t>
      </w:r>
      <w:r>
        <w:rPr>
          <w:lang w:val="fr-FR"/>
        </w:rPr>
        <w:t>,</w:t>
      </w:r>
      <w:r>
        <w:rPr>
          <w:i/>
          <w:iCs/>
          <w:lang w:val="fr-FR"/>
        </w:rPr>
        <w:t xml:space="preserve"> paragraphe 4.2.5</w:t>
      </w:r>
      <w:r>
        <w:rPr>
          <w:lang w:val="fr-FR"/>
        </w:rPr>
        <w:t>, lire</w:t>
      </w:r>
      <w:r w:rsidR="00231559">
        <w:rPr>
          <w:lang w:val="fr-FR"/>
        </w:rPr>
        <w:t> </w:t>
      </w:r>
      <w:r>
        <w:rPr>
          <w:lang w:val="fr-FR"/>
        </w:rPr>
        <w:t xml:space="preserve">: </w:t>
      </w:r>
    </w:p>
    <w:p w14:paraId="4B19DF2C" w14:textId="117EEE65" w:rsidR="00AA7C91" w:rsidRPr="00A00630" w:rsidRDefault="00231559" w:rsidP="00AA7C91">
      <w:pPr>
        <w:pStyle w:val="SingleTxtG"/>
        <w:ind w:left="2160" w:hanging="1026"/>
      </w:pPr>
      <w:r>
        <w:rPr>
          <w:lang w:val="fr-FR"/>
        </w:rPr>
        <w:t>« </w:t>
      </w:r>
      <w:r w:rsidR="00AA7C91">
        <w:rPr>
          <w:lang w:val="fr-FR"/>
        </w:rPr>
        <w:t>4.2.5</w:t>
      </w:r>
      <w:r w:rsidR="00AA7C91">
        <w:rPr>
          <w:lang w:val="fr-FR"/>
        </w:rPr>
        <w:tab/>
        <w:t>Le dispositif de surpression doit être conçu de manière à provoquer l’ouverture du fusible à une température de 110</w:t>
      </w:r>
      <w:r>
        <w:rPr>
          <w:lang w:val="fr-FR"/>
        </w:rPr>
        <w:t> </w:t>
      </w:r>
      <w:r w:rsidR="00AA7C91">
        <w:rPr>
          <w:lang w:val="fr-FR"/>
        </w:rPr>
        <w:t>°C</w:t>
      </w:r>
      <w:r>
        <w:rPr>
          <w:lang w:val="fr-FR"/>
        </w:rPr>
        <w:t> </w:t>
      </w:r>
      <w:r>
        <w:rPr>
          <w:lang w:val="fr-FR"/>
        </w:rPr>
        <w:sym w:font="Symbol" w:char="F0B1"/>
      </w:r>
      <w:r>
        <w:rPr>
          <w:lang w:val="fr-FR"/>
        </w:rPr>
        <w:t> </w:t>
      </w:r>
      <w:r w:rsidR="00AA7C91">
        <w:rPr>
          <w:lang w:val="fr-FR"/>
        </w:rPr>
        <w:t>10</w:t>
      </w:r>
      <w:r>
        <w:rPr>
          <w:lang w:val="fr-FR"/>
        </w:rPr>
        <w:t> </w:t>
      </w:r>
      <w:r w:rsidR="00AA7C91">
        <w:rPr>
          <w:lang w:val="fr-FR"/>
        </w:rPr>
        <w:t>°C</w:t>
      </w:r>
      <w:r w:rsidR="00AA7C91">
        <w:rPr>
          <w:b/>
          <w:bCs/>
          <w:lang w:val="fr-FR"/>
        </w:rPr>
        <w:t>, comme indiqué dans l’annexe 5R</w:t>
      </w:r>
      <w:r w:rsidR="00AA7C91">
        <w:rPr>
          <w:lang w:val="fr-FR"/>
        </w:rPr>
        <w:t>.</w:t>
      </w:r>
      <w:r>
        <w:rPr>
          <w:lang w:val="fr-FR"/>
        </w:rPr>
        <w:t> »</w:t>
      </w:r>
      <w:r w:rsidR="00AA7C91">
        <w:rPr>
          <w:lang w:val="fr-FR"/>
        </w:rPr>
        <w:t>.</w:t>
      </w:r>
    </w:p>
    <w:p w14:paraId="3A93671D" w14:textId="77777777" w:rsidR="00AA7C91" w:rsidRPr="00A00630" w:rsidRDefault="00AA7C91" w:rsidP="00231559">
      <w:pPr>
        <w:pStyle w:val="SingleTxtG"/>
        <w:keepNext/>
      </w:pPr>
      <w:r>
        <w:rPr>
          <w:i/>
          <w:iCs/>
          <w:lang w:val="fr-FR"/>
        </w:rPr>
        <w:t>Annexe 5, paragraphe 2, tableau 5.1</w:t>
      </w:r>
      <w:r>
        <w:rPr>
          <w:lang w:val="fr-FR"/>
        </w:rPr>
        <w:t>, ajouter une référence à l’annexe 5R et lire :</w:t>
      </w:r>
    </w:p>
    <w:p w14:paraId="43E78BFE" w14:textId="25AF5E40" w:rsidR="00AA7C91" w:rsidRPr="00180427" w:rsidRDefault="00231559" w:rsidP="00AA7C91">
      <w:pPr>
        <w:tabs>
          <w:tab w:val="left" w:pos="2268"/>
        </w:tabs>
        <w:spacing w:before="120" w:after="120" w:line="240" w:lineRule="auto"/>
        <w:ind w:left="2268" w:right="1134" w:hanging="1134"/>
        <w:jc w:val="both"/>
      </w:pPr>
      <w:r>
        <w:rPr>
          <w:lang w:val="fr-FR"/>
        </w:rPr>
        <w:t>« </w:t>
      </w:r>
      <w:r w:rsidR="00AA7C91">
        <w:rPr>
          <w:lang w:val="fr-FR"/>
        </w:rPr>
        <w:t>Tableau 5.1</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7"/>
        <w:gridCol w:w="709"/>
        <w:gridCol w:w="710"/>
        <w:gridCol w:w="710"/>
        <w:gridCol w:w="710"/>
        <w:gridCol w:w="709"/>
        <w:gridCol w:w="710"/>
        <w:gridCol w:w="710"/>
        <w:gridCol w:w="710"/>
      </w:tblGrid>
      <w:tr w:rsidR="00AA7C91" w:rsidRPr="00AA1473" w14:paraId="609A4A78" w14:textId="77777777" w:rsidTr="00C025B2">
        <w:trPr>
          <w:tblHeader/>
        </w:trPr>
        <w:tc>
          <w:tcPr>
            <w:tcW w:w="2827" w:type="dxa"/>
            <w:tcBorders>
              <w:bottom w:val="single" w:sz="12" w:space="0" w:color="auto"/>
            </w:tcBorders>
          </w:tcPr>
          <w:p w14:paraId="24F25B8D" w14:textId="77777777" w:rsidR="00AA7C91" w:rsidRPr="00AA1473" w:rsidRDefault="00AA7C91" w:rsidP="00295249">
            <w:pPr>
              <w:spacing w:before="60" w:after="60" w:line="240" w:lineRule="auto"/>
              <w:ind w:left="32" w:right="57"/>
              <w:rPr>
                <w:rFonts w:eastAsia="Times New Roman"/>
                <w:i/>
                <w:sz w:val="16"/>
                <w:szCs w:val="16"/>
              </w:rPr>
            </w:pPr>
            <w:r w:rsidRPr="00AA1473">
              <w:rPr>
                <w:i/>
                <w:iCs/>
                <w:sz w:val="16"/>
                <w:szCs w:val="16"/>
                <w:lang w:val="fr-FR"/>
              </w:rPr>
              <w:t>Essai</w:t>
            </w:r>
          </w:p>
        </w:tc>
        <w:tc>
          <w:tcPr>
            <w:tcW w:w="709" w:type="dxa"/>
            <w:tcBorders>
              <w:bottom w:val="single" w:sz="12" w:space="0" w:color="auto"/>
            </w:tcBorders>
          </w:tcPr>
          <w:p w14:paraId="00AF069F" w14:textId="77777777" w:rsidR="00AA7C91" w:rsidRPr="00AA1473" w:rsidRDefault="00AA7C91" w:rsidP="00C025B2">
            <w:pPr>
              <w:spacing w:before="60" w:after="60" w:line="240" w:lineRule="auto"/>
              <w:ind w:left="7" w:right="57"/>
              <w:jc w:val="center"/>
              <w:rPr>
                <w:rFonts w:eastAsia="Times New Roman"/>
                <w:i/>
                <w:sz w:val="16"/>
                <w:szCs w:val="16"/>
              </w:rPr>
            </w:pPr>
            <w:r w:rsidRPr="00AA1473">
              <w:rPr>
                <w:i/>
                <w:iCs/>
                <w:sz w:val="16"/>
                <w:szCs w:val="16"/>
                <w:lang w:val="fr-FR"/>
              </w:rPr>
              <w:t>Classe 0</w:t>
            </w:r>
          </w:p>
        </w:tc>
        <w:tc>
          <w:tcPr>
            <w:tcW w:w="710" w:type="dxa"/>
            <w:tcBorders>
              <w:bottom w:val="single" w:sz="12" w:space="0" w:color="auto"/>
            </w:tcBorders>
          </w:tcPr>
          <w:p w14:paraId="559D9F6F" w14:textId="77777777" w:rsidR="00AA7C91" w:rsidRPr="00AA1473" w:rsidRDefault="00AA7C91" w:rsidP="00C025B2">
            <w:pPr>
              <w:spacing w:before="60" w:after="60" w:line="240" w:lineRule="auto"/>
              <w:ind w:left="85" w:right="57"/>
              <w:jc w:val="center"/>
              <w:rPr>
                <w:rFonts w:eastAsia="Times New Roman"/>
                <w:i/>
                <w:sz w:val="16"/>
                <w:szCs w:val="16"/>
              </w:rPr>
            </w:pPr>
            <w:r w:rsidRPr="00AA1473">
              <w:rPr>
                <w:i/>
                <w:iCs/>
                <w:sz w:val="16"/>
                <w:szCs w:val="16"/>
                <w:lang w:val="fr-FR"/>
              </w:rPr>
              <w:t>Classe 1</w:t>
            </w:r>
          </w:p>
        </w:tc>
        <w:tc>
          <w:tcPr>
            <w:tcW w:w="710" w:type="dxa"/>
            <w:tcBorders>
              <w:bottom w:val="single" w:sz="12" w:space="0" w:color="auto"/>
            </w:tcBorders>
          </w:tcPr>
          <w:p w14:paraId="1AFA3C78" w14:textId="77777777" w:rsidR="00AA7C91" w:rsidRPr="00AA1473" w:rsidRDefault="00AA7C91" w:rsidP="00C025B2">
            <w:pPr>
              <w:spacing w:before="60" w:after="60" w:line="240" w:lineRule="auto"/>
              <w:ind w:left="85" w:right="57"/>
              <w:jc w:val="center"/>
              <w:rPr>
                <w:rFonts w:eastAsia="Times New Roman"/>
                <w:i/>
                <w:sz w:val="16"/>
                <w:szCs w:val="16"/>
              </w:rPr>
            </w:pPr>
            <w:r w:rsidRPr="00AA1473">
              <w:rPr>
                <w:i/>
                <w:iCs/>
                <w:sz w:val="16"/>
                <w:szCs w:val="16"/>
                <w:lang w:val="fr-FR"/>
              </w:rPr>
              <w:t>Classe 2</w:t>
            </w:r>
          </w:p>
        </w:tc>
        <w:tc>
          <w:tcPr>
            <w:tcW w:w="710" w:type="dxa"/>
            <w:tcBorders>
              <w:bottom w:val="single" w:sz="12" w:space="0" w:color="auto"/>
            </w:tcBorders>
          </w:tcPr>
          <w:p w14:paraId="0CEE900E" w14:textId="77777777" w:rsidR="00AA7C91" w:rsidRPr="00AA1473" w:rsidRDefault="00AA7C91" w:rsidP="00C025B2">
            <w:pPr>
              <w:spacing w:before="60" w:after="60" w:line="240" w:lineRule="auto"/>
              <w:ind w:left="85" w:right="57"/>
              <w:jc w:val="center"/>
              <w:rPr>
                <w:rFonts w:eastAsia="Times New Roman"/>
                <w:i/>
                <w:sz w:val="16"/>
                <w:szCs w:val="16"/>
              </w:rPr>
            </w:pPr>
            <w:r w:rsidRPr="00AA1473">
              <w:rPr>
                <w:i/>
                <w:iCs/>
                <w:sz w:val="16"/>
                <w:szCs w:val="16"/>
                <w:lang w:val="fr-FR"/>
              </w:rPr>
              <w:t>Classe 3</w:t>
            </w:r>
          </w:p>
        </w:tc>
        <w:tc>
          <w:tcPr>
            <w:tcW w:w="709" w:type="dxa"/>
            <w:tcBorders>
              <w:bottom w:val="single" w:sz="12" w:space="0" w:color="auto"/>
            </w:tcBorders>
          </w:tcPr>
          <w:p w14:paraId="37190F00" w14:textId="77777777" w:rsidR="00AA7C91" w:rsidRPr="00AA1473" w:rsidRDefault="00AA7C91" w:rsidP="00C025B2">
            <w:pPr>
              <w:spacing w:before="60" w:after="60" w:line="240" w:lineRule="auto"/>
              <w:ind w:left="85" w:right="57"/>
              <w:jc w:val="center"/>
              <w:rPr>
                <w:rFonts w:eastAsia="Times New Roman"/>
                <w:i/>
                <w:sz w:val="16"/>
                <w:szCs w:val="16"/>
              </w:rPr>
            </w:pPr>
            <w:r w:rsidRPr="00AA1473">
              <w:rPr>
                <w:i/>
                <w:iCs/>
                <w:sz w:val="16"/>
                <w:szCs w:val="16"/>
                <w:lang w:val="fr-FR"/>
              </w:rPr>
              <w:t>Classe 4</w:t>
            </w:r>
          </w:p>
        </w:tc>
        <w:tc>
          <w:tcPr>
            <w:tcW w:w="710" w:type="dxa"/>
            <w:tcBorders>
              <w:bottom w:val="single" w:sz="12" w:space="0" w:color="auto"/>
            </w:tcBorders>
          </w:tcPr>
          <w:p w14:paraId="57614964" w14:textId="77777777" w:rsidR="00AA7C91" w:rsidRPr="00AA1473" w:rsidRDefault="00AA7C91" w:rsidP="00C025B2">
            <w:pPr>
              <w:spacing w:before="60" w:after="60" w:line="240" w:lineRule="auto"/>
              <w:ind w:left="85" w:right="57"/>
              <w:jc w:val="center"/>
              <w:rPr>
                <w:rFonts w:eastAsia="Times New Roman"/>
                <w:i/>
                <w:sz w:val="16"/>
                <w:szCs w:val="16"/>
              </w:rPr>
            </w:pPr>
            <w:r w:rsidRPr="00AA1473">
              <w:rPr>
                <w:i/>
                <w:iCs/>
                <w:sz w:val="16"/>
                <w:szCs w:val="16"/>
                <w:lang w:val="fr-FR"/>
              </w:rPr>
              <w:t>Classe 5</w:t>
            </w:r>
          </w:p>
        </w:tc>
        <w:tc>
          <w:tcPr>
            <w:tcW w:w="710" w:type="dxa"/>
            <w:tcBorders>
              <w:bottom w:val="single" w:sz="12" w:space="0" w:color="auto"/>
            </w:tcBorders>
          </w:tcPr>
          <w:p w14:paraId="4A496BBA" w14:textId="77777777" w:rsidR="00AA7C91" w:rsidRPr="00AA1473" w:rsidRDefault="00AA7C91" w:rsidP="00C025B2">
            <w:pPr>
              <w:spacing w:before="60" w:after="60" w:line="240" w:lineRule="auto"/>
              <w:ind w:left="85" w:right="57"/>
              <w:jc w:val="center"/>
              <w:rPr>
                <w:rFonts w:eastAsia="Times New Roman"/>
                <w:i/>
                <w:sz w:val="16"/>
                <w:szCs w:val="16"/>
              </w:rPr>
            </w:pPr>
            <w:r w:rsidRPr="00AA1473">
              <w:rPr>
                <w:i/>
                <w:iCs/>
                <w:sz w:val="16"/>
                <w:szCs w:val="16"/>
                <w:lang w:val="fr-FR"/>
              </w:rPr>
              <w:t>Classe 6</w:t>
            </w:r>
          </w:p>
        </w:tc>
        <w:tc>
          <w:tcPr>
            <w:tcW w:w="710" w:type="dxa"/>
            <w:tcBorders>
              <w:bottom w:val="single" w:sz="12" w:space="0" w:color="auto"/>
            </w:tcBorders>
          </w:tcPr>
          <w:p w14:paraId="7DB695B5" w14:textId="77777777" w:rsidR="00AA7C91" w:rsidRPr="00AA1473" w:rsidRDefault="00AA7C91" w:rsidP="00C025B2">
            <w:pPr>
              <w:spacing w:before="60" w:after="60" w:line="240" w:lineRule="auto"/>
              <w:ind w:left="85" w:right="57"/>
              <w:jc w:val="center"/>
              <w:rPr>
                <w:rFonts w:eastAsia="Times New Roman"/>
                <w:i/>
                <w:sz w:val="16"/>
                <w:szCs w:val="16"/>
              </w:rPr>
            </w:pPr>
            <w:r w:rsidRPr="00AA1473">
              <w:rPr>
                <w:i/>
                <w:iCs/>
                <w:sz w:val="16"/>
                <w:szCs w:val="16"/>
                <w:lang w:val="fr-FR"/>
              </w:rPr>
              <w:t>Annexe</w:t>
            </w:r>
          </w:p>
        </w:tc>
      </w:tr>
      <w:tr w:rsidR="00AA7C91" w:rsidRPr="00180427" w14:paraId="5CDA166C" w14:textId="77777777" w:rsidTr="00C025B2">
        <w:tc>
          <w:tcPr>
            <w:tcW w:w="2827" w:type="dxa"/>
            <w:tcBorders>
              <w:top w:val="single" w:sz="12" w:space="0" w:color="auto"/>
            </w:tcBorders>
          </w:tcPr>
          <w:p w14:paraId="1A27D867"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 surpression</w:t>
            </w:r>
          </w:p>
        </w:tc>
        <w:tc>
          <w:tcPr>
            <w:tcW w:w="709" w:type="dxa"/>
            <w:tcBorders>
              <w:top w:val="single" w:sz="12" w:space="0" w:color="auto"/>
            </w:tcBorders>
          </w:tcPr>
          <w:p w14:paraId="05A5B619"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Borders>
              <w:top w:val="single" w:sz="12" w:space="0" w:color="auto"/>
            </w:tcBorders>
          </w:tcPr>
          <w:p w14:paraId="414785E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Borders>
              <w:top w:val="single" w:sz="12" w:space="0" w:color="auto"/>
            </w:tcBorders>
          </w:tcPr>
          <w:p w14:paraId="6FE961FC"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Borders>
              <w:top w:val="single" w:sz="12" w:space="0" w:color="auto"/>
            </w:tcBorders>
          </w:tcPr>
          <w:p w14:paraId="6760E3AD"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09" w:type="dxa"/>
            <w:tcBorders>
              <w:top w:val="single" w:sz="12" w:space="0" w:color="auto"/>
            </w:tcBorders>
          </w:tcPr>
          <w:p w14:paraId="0B0B49A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Borders>
              <w:top w:val="single" w:sz="12" w:space="0" w:color="auto"/>
            </w:tcBorders>
          </w:tcPr>
          <w:p w14:paraId="4B1645E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Borders>
              <w:top w:val="single" w:sz="12" w:space="0" w:color="auto"/>
            </w:tcBorders>
          </w:tcPr>
          <w:p w14:paraId="30851A92"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Borders>
              <w:top w:val="single" w:sz="12" w:space="0" w:color="auto"/>
            </w:tcBorders>
          </w:tcPr>
          <w:p w14:paraId="7D59107A"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5A</w:t>
            </w:r>
          </w:p>
        </w:tc>
      </w:tr>
      <w:tr w:rsidR="00AA7C91" w:rsidRPr="00180427" w14:paraId="2B2C9C1A" w14:textId="77777777" w:rsidTr="00C025B2">
        <w:tc>
          <w:tcPr>
            <w:tcW w:w="2827" w:type="dxa"/>
          </w:tcPr>
          <w:p w14:paraId="359B220C" w14:textId="77777777" w:rsidR="00AA7C91" w:rsidRPr="00AA1473" w:rsidRDefault="00AA7C91" w:rsidP="00295249">
            <w:pPr>
              <w:spacing w:before="60" w:after="60" w:line="240" w:lineRule="auto"/>
              <w:ind w:left="34" w:right="57"/>
              <w:rPr>
                <w:rFonts w:eastAsia="Times New Roman"/>
                <w:sz w:val="18"/>
                <w:szCs w:val="18"/>
              </w:rPr>
            </w:pPr>
            <w:r w:rsidRPr="00AA1473">
              <w:rPr>
                <w:sz w:val="18"/>
                <w:szCs w:val="18"/>
                <w:lang w:val="fr-FR"/>
              </w:rPr>
              <w:t>Essai d’étanchéité vers l’extérieur</w:t>
            </w:r>
          </w:p>
        </w:tc>
        <w:tc>
          <w:tcPr>
            <w:tcW w:w="709" w:type="dxa"/>
          </w:tcPr>
          <w:p w14:paraId="1B760705"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19F80A6F"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5BB4FFF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49CC970C"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09" w:type="dxa"/>
          </w:tcPr>
          <w:p w14:paraId="48CB8BEA"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43C360B5"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3961CB4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77C0669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5B</w:t>
            </w:r>
          </w:p>
        </w:tc>
      </w:tr>
      <w:tr w:rsidR="00AA7C91" w:rsidRPr="00180427" w14:paraId="369B97DE" w14:textId="77777777" w:rsidTr="00C025B2">
        <w:tc>
          <w:tcPr>
            <w:tcW w:w="2827" w:type="dxa"/>
          </w:tcPr>
          <w:p w14:paraId="696D64FD"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d’étanchéité vers l’intérieur</w:t>
            </w:r>
          </w:p>
        </w:tc>
        <w:tc>
          <w:tcPr>
            <w:tcW w:w="709" w:type="dxa"/>
          </w:tcPr>
          <w:p w14:paraId="24C82C0F"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2E4EEF6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25420AFF"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71AC994C"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0581EF7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64CBC58C"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7866839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FD3421A"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5C</w:t>
            </w:r>
          </w:p>
        </w:tc>
      </w:tr>
      <w:tr w:rsidR="00AA7C91" w:rsidRPr="00180427" w14:paraId="494C9E77" w14:textId="77777777" w:rsidTr="00C025B2">
        <w:tc>
          <w:tcPr>
            <w:tcW w:w="2827" w:type="dxa"/>
          </w:tcPr>
          <w:p w14:paraId="0A1DF0E0"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 stabilité</w:t>
            </w:r>
          </w:p>
        </w:tc>
        <w:tc>
          <w:tcPr>
            <w:tcW w:w="709" w:type="dxa"/>
          </w:tcPr>
          <w:p w14:paraId="39AE70F5"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7430279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766BBBB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E0D896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085C8B7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615DED7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6B6B439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D0D10DD"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5L</w:t>
            </w:r>
          </w:p>
        </w:tc>
      </w:tr>
      <w:tr w:rsidR="00AA7C91" w:rsidRPr="00180427" w14:paraId="5ECD7CC0" w14:textId="77777777" w:rsidTr="00C025B2">
        <w:tc>
          <w:tcPr>
            <w:tcW w:w="2827" w:type="dxa"/>
          </w:tcPr>
          <w:p w14:paraId="1B680D34"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 compatibilité GNC/GNL</w:t>
            </w:r>
          </w:p>
        </w:tc>
        <w:tc>
          <w:tcPr>
            <w:tcW w:w="709" w:type="dxa"/>
          </w:tcPr>
          <w:p w14:paraId="01CF52C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9A7F37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B34CFA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40F81A5"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61ED59C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699B15F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7DA72D2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17C0B6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5D</w:t>
            </w:r>
          </w:p>
        </w:tc>
      </w:tr>
      <w:tr w:rsidR="00AA7C91" w:rsidRPr="00180427" w14:paraId="79589277" w14:textId="77777777" w:rsidTr="00C025B2">
        <w:tc>
          <w:tcPr>
            <w:tcW w:w="2827" w:type="dxa"/>
          </w:tcPr>
          <w:p w14:paraId="0C37BCE7"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 résistance à la corrosion</w:t>
            </w:r>
          </w:p>
        </w:tc>
        <w:tc>
          <w:tcPr>
            <w:tcW w:w="709" w:type="dxa"/>
          </w:tcPr>
          <w:p w14:paraId="515693A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016B4E2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0CA2EC6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61537C3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09" w:type="dxa"/>
          </w:tcPr>
          <w:p w14:paraId="5AD11EB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239319DC"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D53D12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738CBDC1"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5E</w:t>
            </w:r>
          </w:p>
        </w:tc>
      </w:tr>
      <w:tr w:rsidR="00AA7C91" w:rsidRPr="00180427" w14:paraId="3165E81A" w14:textId="77777777" w:rsidTr="00C025B2">
        <w:tc>
          <w:tcPr>
            <w:tcW w:w="2827" w:type="dxa"/>
          </w:tcPr>
          <w:p w14:paraId="55F7DB16"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 résistance à la chaleur sèche</w:t>
            </w:r>
          </w:p>
        </w:tc>
        <w:tc>
          <w:tcPr>
            <w:tcW w:w="709" w:type="dxa"/>
          </w:tcPr>
          <w:p w14:paraId="209CBE9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3847D03D"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360C8EE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AD2E61F"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27D3019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64EFC40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D40552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80E8DE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5F</w:t>
            </w:r>
          </w:p>
        </w:tc>
      </w:tr>
      <w:tr w:rsidR="00AA7C91" w:rsidRPr="00180427" w14:paraId="2794D9F6" w14:textId="77777777" w:rsidTr="00C025B2">
        <w:tc>
          <w:tcPr>
            <w:tcW w:w="2827" w:type="dxa"/>
          </w:tcPr>
          <w:p w14:paraId="2D85EE7C"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 tenue à l’ozone</w:t>
            </w:r>
          </w:p>
        </w:tc>
        <w:tc>
          <w:tcPr>
            <w:tcW w:w="709" w:type="dxa"/>
          </w:tcPr>
          <w:p w14:paraId="061AD801"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4EDD4061"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8FBB4EA"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B582929"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502FCD8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4ED9B4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3A69B7D9"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4BED242"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5G</w:t>
            </w:r>
          </w:p>
        </w:tc>
      </w:tr>
      <w:tr w:rsidR="00AA7C91" w:rsidRPr="00180427" w14:paraId="63861ACC" w14:textId="77777777" w:rsidTr="00C025B2">
        <w:tc>
          <w:tcPr>
            <w:tcW w:w="2827" w:type="dxa"/>
          </w:tcPr>
          <w:p w14:paraId="147A7DBF"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d’éclatement/de destruction</w:t>
            </w:r>
          </w:p>
        </w:tc>
        <w:tc>
          <w:tcPr>
            <w:tcW w:w="709" w:type="dxa"/>
          </w:tcPr>
          <w:p w14:paraId="3A36D7E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6504EE9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0941E981"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40A7BAC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09" w:type="dxa"/>
          </w:tcPr>
          <w:p w14:paraId="7DB43D2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0699EB9D"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9F0AA9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00CD6AC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5M</w:t>
            </w:r>
          </w:p>
        </w:tc>
      </w:tr>
      <w:tr w:rsidR="00AA7C91" w:rsidRPr="00180427" w14:paraId="4780E092" w14:textId="77777777" w:rsidTr="00C025B2">
        <w:tc>
          <w:tcPr>
            <w:tcW w:w="2827" w:type="dxa"/>
          </w:tcPr>
          <w:p w14:paraId="2ABF0164"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du cycle thermique</w:t>
            </w:r>
          </w:p>
        </w:tc>
        <w:tc>
          <w:tcPr>
            <w:tcW w:w="709" w:type="dxa"/>
          </w:tcPr>
          <w:p w14:paraId="7CA5333D"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68ABAA29"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CABE29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921038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5290A31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11CC7AED"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6C948EF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A3D94C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5H</w:t>
            </w:r>
          </w:p>
        </w:tc>
      </w:tr>
      <w:tr w:rsidR="00AA7C91" w:rsidRPr="00180427" w14:paraId="0C0C6705" w14:textId="77777777" w:rsidTr="00C025B2">
        <w:tc>
          <w:tcPr>
            <w:tcW w:w="2827" w:type="dxa"/>
          </w:tcPr>
          <w:p w14:paraId="363411D0"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des cycles de pression</w:t>
            </w:r>
          </w:p>
        </w:tc>
        <w:tc>
          <w:tcPr>
            <w:tcW w:w="709" w:type="dxa"/>
          </w:tcPr>
          <w:p w14:paraId="069C2B1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302CB7C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3E92A17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1A48FBB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09" w:type="dxa"/>
          </w:tcPr>
          <w:p w14:paraId="7CEE739F"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62D6A58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F99152A"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0ECDE665"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5I</w:t>
            </w:r>
          </w:p>
        </w:tc>
      </w:tr>
      <w:tr w:rsidR="00AA7C91" w:rsidRPr="00180427" w14:paraId="75813B7C" w14:textId="77777777" w:rsidTr="00C025B2">
        <w:tc>
          <w:tcPr>
            <w:tcW w:w="2827" w:type="dxa"/>
          </w:tcPr>
          <w:p w14:paraId="52D8D261"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 résistance aux vibrations</w:t>
            </w:r>
          </w:p>
        </w:tc>
        <w:tc>
          <w:tcPr>
            <w:tcW w:w="709" w:type="dxa"/>
          </w:tcPr>
          <w:p w14:paraId="630BA97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171B025"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17F5AD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DCC3342"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7DD7465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46B1550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C1727F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3F63DF7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5N</w:t>
            </w:r>
          </w:p>
        </w:tc>
      </w:tr>
      <w:tr w:rsidR="00AA7C91" w:rsidRPr="00180427" w14:paraId="710EBC67" w14:textId="77777777" w:rsidTr="00C025B2">
        <w:tc>
          <w:tcPr>
            <w:tcW w:w="2827" w:type="dxa"/>
          </w:tcPr>
          <w:p w14:paraId="79D40106" w14:textId="77777777" w:rsidR="00AA7C91" w:rsidRPr="00AA1473" w:rsidRDefault="00AA7C91" w:rsidP="00295249">
            <w:pPr>
              <w:spacing w:before="60" w:after="60" w:line="240" w:lineRule="auto"/>
              <w:ind w:left="32" w:right="57"/>
              <w:rPr>
                <w:rFonts w:eastAsia="Times New Roman"/>
                <w:sz w:val="18"/>
                <w:szCs w:val="18"/>
              </w:rPr>
            </w:pPr>
            <w:r w:rsidRPr="00AA1473">
              <w:rPr>
                <w:sz w:val="18"/>
                <w:szCs w:val="18"/>
                <w:lang w:val="fr-FR"/>
              </w:rPr>
              <w:t>Essai des températures de fonctionnement</w:t>
            </w:r>
          </w:p>
        </w:tc>
        <w:tc>
          <w:tcPr>
            <w:tcW w:w="709" w:type="dxa"/>
          </w:tcPr>
          <w:p w14:paraId="5538427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6A5B59E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4D94B80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5D63C3F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09" w:type="dxa"/>
          </w:tcPr>
          <w:p w14:paraId="5761F77B"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64600339"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52687DD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0DB1978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5O</w:t>
            </w:r>
          </w:p>
        </w:tc>
      </w:tr>
      <w:tr w:rsidR="00AA7C91" w:rsidRPr="00180427" w14:paraId="4B383F1D" w14:textId="77777777" w:rsidTr="00C025B2">
        <w:tc>
          <w:tcPr>
            <w:tcW w:w="2827" w:type="dxa"/>
          </w:tcPr>
          <w:p w14:paraId="5D5EBB9E" w14:textId="77777777" w:rsidR="00AA7C91" w:rsidRPr="00AA1473" w:rsidRDefault="00AA7C91" w:rsidP="00295249">
            <w:pPr>
              <w:tabs>
                <w:tab w:val="left" w:pos="1276"/>
                <w:tab w:val="left" w:pos="1701"/>
              </w:tabs>
              <w:spacing w:before="60" w:after="60" w:line="240" w:lineRule="auto"/>
              <w:ind w:left="32" w:right="57"/>
              <w:rPr>
                <w:rFonts w:eastAsia="Times New Roman"/>
                <w:sz w:val="18"/>
                <w:szCs w:val="18"/>
              </w:rPr>
            </w:pPr>
            <w:r w:rsidRPr="00AA1473">
              <w:rPr>
                <w:sz w:val="18"/>
                <w:szCs w:val="18"/>
                <w:lang w:val="fr-FR"/>
              </w:rPr>
              <w:t>Essai du GNL à basse température</w:t>
            </w:r>
          </w:p>
        </w:tc>
        <w:tc>
          <w:tcPr>
            <w:tcW w:w="709" w:type="dxa"/>
          </w:tcPr>
          <w:p w14:paraId="1650948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2C5E1F9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31EE8799"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26D4C4B6"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09" w:type="dxa"/>
          </w:tcPr>
          <w:p w14:paraId="4B8B429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3885CDA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X</w:t>
            </w:r>
          </w:p>
        </w:tc>
        <w:tc>
          <w:tcPr>
            <w:tcW w:w="710" w:type="dxa"/>
          </w:tcPr>
          <w:p w14:paraId="0030629C"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O</w:t>
            </w:r>
          </w:p>
        </w:tc>
        <w:tc>
          <w:tcPr>
            <w:tcW w:w="710" w:type="dxa"/>
          </w:tcPr>
          <w:p w14:paraId="5B439858"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5P</w:t>
            </w:r>
          </w:p>
        </w:tc>
      </w:tr>
      <w:tr w:rsidR="00AA7C91" w:rsidRPr="00180427" w14:paraId="531CDFB4" w14:textId="77777777" w:rsidTr="00C025B2">
        <w:tc>
          <w:tcPr>
            <w:tcW w:w="2827" w:type="dxa"/>
          </w:tcPr>
          <w:p w14:paraId="47DA06EA" w14:textId="2586D2AF" w:rsidR="00AA7C91" w:rsidRPr="00AA1473" w:rsidRDefault="00AA7C91" w:rsidP="00295249">
            <w:pPr>
              <w:tabs>
                <w:tab w:val="left" w:pos="1276"/>
                <w:tab w:val="left" w:pos="1701"/>
              </w:tabs>
              <w:spacing w:before="60" w:after="60" w:line="240" w:lineRule="auto"/>
              <w:ind w:left="32" w:right="57"/>
              <w:rPr>
                <w:rFonts w:eastAsia="Times New Roman"/>
                <w:sz w:val="18"/>
                <w:szCs w:val="18"/>
                <w:u w:val="single"/>
              </w:rPr>
            </w:pPr>
            <w:r w:rsidRPr="00AA1473">
              <w:rPr>
                <w:sz w:val="18"/>
                <w:szCs w:val="18"/>
                <w:lang w:val="fr-FR"/>
              </w:rPr>
              <w:t>Essai de compatibilité des éléments non métalliques avec les fluides d’échange thermique</w:t>
            </w:r>
          </w:p>
        </w:tc>
        <w:tc>
          <w:tcPr>
            <w:tcW w:w="709" w:type="dxa"/>
          </w:tcPr>
          <w:p w14:paraId="12480E83"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71616059"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3FBA2F57"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64B703E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09" w:type="dxa"/>
          </w:tcPr>
          <w:p w14:paraId="5C1EADCE"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1FFEAAB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07E78054"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A</w:t>
            </w:r>
          </w:p>
        </w:tc>
        <w:tc>
          <w:tcPr>
            <w:tcW w:w="710" w:type="dxa"/>
          </w:tcPr>
          <w:p w14:paraId="5732CE30" w14:textId="77777777" w:rsidR="00AA7C91" w:rsidRPr="00AA1473" w:rsidRDefault="00AA7C91" w:rsidP="00C025B2">
            <w:pPr>
              <w:spacing w:before="60" w:after="60" w:line="240" w:lineRule="auto"/>
              <w:ind w:left="113" w:right="57"/>
              <w:jc w:val="center"/>
              <w:rPr>
                <w:rFonts w:eastAsia="Times New Roman"/>
                <w:sz w:val="18"/>
                <w:szCs w:val="18"/>
              </w:rPr>
            </w:pPr>
            <w:r w:rsidRPr="00AA1473">
              <w:rPr>
                <w:rFonts w:eastAsia="Times New Roman"/>
                <w:sz w:val="18"/>
                <w:szCs w:val="18"/>
              </w:rPr>
              <w:t>5Q</w:t>
            </w:r>
          </w:p>
        </w:tc>
      </w:tr>
      <w:tr w:rsidR="00AA7C91" w:rsidRPr="00180427" w14:paraId="1DCAD707" w14:textId="77777777" w:rsidTr="00C025B2">
        <w:tc>
          <w:tcPr>
            <w:tcW w:w="2827" w:type="dxa"/>
          </w:tcPr>
          <w:p w14:paraId="15BED52F" w14:textId="768BDB41" w:rsidR="00AA7C91" w:rsidRPr="00AA1473" w:rsidRDefault="00AA7C91" w:rsidP="00295249">
            <w:pPr>
              <w:tabs>
                <w:tab w:val="left" w:pos="1276"/>
                <w:tab w:val="left" w:pos="1701"/>
              </w:tabs>
              <w:spacing w:before="60" w:after="60" w:line="240" w:lineRule="auto"/>
              <w:ind w:left="32" w:right="57"/>
              <w:rPr>
                <w:rFonts w:eastAsia="Times New Roman"/>
                <w:b/>
                <w:strike/>
                <w:sz w:val="18"/>
                <w:szCs w:val="18"/>
              </w:rPr>
            </w:pPr>
            <w:r w:rsidRPr="00AA1473">
              <w:rPr>
                <w:b/>
                <w:bCs/>
                <w:sz w:val="18"/>
                <w:szCs w:val="18"/>
                <w:lang w:val="fr-FR"/>
              </w:rPr>
              <w:t xml:space="preserve">Procédure d’essai pour </w:t>
            </w:r>
            <w:r w:rsidR="00C025B2">
              <w:rPr>
                <w:b/>
                <w:bCs/>
                <w:sz w:val="18"/>
                <w:szCs w:val="18"/>
                <w:lang w:val="fr-FR"/>
              </w:rPr>
              <w:br/>
            </w:r>
            <w:r w:rsidRPr="00AA1473">
              <w:rPr>
                <w:b/>
                <w:bCs/>
                <w:sz w:val="18"/>
                <w:szCs w:val="18"/>
                <w:lang w:val="fr-FR"/>
              </w:rPr>
              <w:t xml:space="preserve">les dispositifs de surpression </w:t>
            </w:r>
            <w:r w:rsidR="00C025B2">
              <w:rPr>
                <w:b/>
                <w:bCs/>
                <w:sz w:val="18"/>
                <w:szCs w:val="18"/>
                <w:lang w:val="fr-FR"/>
              </w:rPr>
              <w:br/>
            </w:r>
            <w:r w:rsidRPr="00AA1473">
              <w:rPr>
                <w:b/>
                <w:bCs/>
                <w:sz w:val="18"/>
                <w:szCs w:val="18"/>
                <w:lang w:val="fr-FR"/>
              </w:rPr>
              <w:t>(à déclenchement thermique)</w:t>
            </w:r>
          </w:p>
        </w:tc>
        <w:tc>
          <w:tcPr>
            <w:tcW w:w="709" w:type="dxa"/>
          </w:tcPr>
          <w:p w14:paraId="550528EA"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A</w:t>
            </w:r>
          </w:p>
        </w:tc>
        <w:tc>
          <w:tcPr>
            <w:tcW w:w="710" w:type="dxa"/>
          </w:tcPr>
          <w:p w14:paraId="41FF85BB"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O</w:t>
            </w:r>
          </w:p>
        </w:tc>
        <w:tc>
          <w:tcPr>
            <w:tcW w:w="710" w:type="dxa"/>
          </w:tcPr>
          <w:p w14:paraId="02BA1FEB"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O</w:t>
            </w:r>
          </w:p>
        </w:tc>
        <w:tc>
          <w:tcPr>
            <w:tcW w:w="710" w:type="dxa"/>
          </w:tcPr>
          <w:p w14:paraId="39672AB3"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O</w:t>
            </w:r>
          </w:p>
        </w:tc>
        <w:tc>
          <w:tcPr>
            <w:tcW w:w="709" w:type="dxa"/>
          </w:tcPr>
          <w:p w14:paraId="45DDF4F0"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O</w:t>
            </w:r>
          </w:p>
        </w:tc>
        <w:tc>
          <w:tcPr>
            <w:tcW w:w="710" w:type="dxa"/>
          </w:tcPr>
          <w:p w14:paraId="6F0A78D8"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O</w:t>
            </w:r>
          </w:p>
        </w:tc>
        <w:tc>
          <w:tcPr>
            <w:tcW w:w="710" w:type="dxa"/>
          </w:tcPr>
          <w:p w14:paraId="7FCAF89E"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A</w:t>
            </w:r>
          </w:p>
        </w:tc>
        <w:tc>
          <w:tcPr>
            <w:tcW w:w="710" w:type="dxa"/>
          </w:tcPr>
          <w:p w14:paraId="28B0B2DF" w14:textId="77777777" w:rsidR="00AA7C91" w:rsidRPr="00AA1473" w:rsidRDefault="00AA7C91" w:rsidP="00C025B2">
            <w:pPr>
              <w:spacing w:before="60" w:after="60" w:line="240" w:lineRule="auto"/>
              <w:ind w:left="113" w:right="57"/>
              <w:jc w:val="center"/>
              <w:rPr>
                <w:rFonts w:eastAsia="Times New Roman"/>
                <w:b/>
                <w:sz w:val="18"/>
                <w:szCs w:val="18"/>
              </w:rPr>
            </w:pPr>
            <w:r w:rsidRPr="00AA1473">
              <w:rPr>
                <w:rFonts w:eastAsia="Times New Roman"/>
                <w:b/>
                <w:sz w:val="18"/>
                <w:szCs w:val="18"/>
              </w:rPr>
              <w:t>5R</w:t>
            </w:r>
          </w:p>
        </w:tc>
      </w:tr>
      <w:tr w:rsidR="00AA7C91" w:rsidRPr="00A00630" w14:paraId="158F7D56" w14:textId="77777777" w:rsidTr="00C025B2">
        <w:tc>
          <w:tcPr>
            <w:tcW w:w="8505" w:type="dxa"/>
            <w:gridSpan w:val="9"/>
            <w:tcBorders>
              <w:bottom w:val="single" w:sz="12" w:space="0" w:color="auto"/>
            </w:tcBorders>
          </w:tcPr>
          <w:p w14:paraId="2BF5DCDB" w14:textId="77777777" w:rsidR="00C025B2" w:rsidRPr="00BF4F27" w:rsidRDefault="00C025B2" w:rsidP="00C025B2">
            <w:pPr>
              <w:widowControl w:val="0"/>
              <w:spacing w:before="60" w:line="240" w:lineRule="auto"/>
              <w:ind w:left="284" w:right="57"/>
              <w:rPr>
                <w:rFonts w:eastAsia="Times New Roman"/>
                <w:bCs/>
                <w:sz w:val="18"/>
                <w:szCs w:val="18"/>
                <w:lang w:val="fr-FR"/>
              </w:rPr>
            </w:pPr>
            <w:r w:rsidRPr="00BF4F27">
              <w:rPr>
                <w:sz w:val="18"/>
                <w:szCs w:val="18"/>
                <w:lang w:val="fr-FR"/>
              </w:rPr>
              <w:t>X = Applicable ;</w:t>
            </w:r>
          </w:p>
          <w:p w14:paraId="2A95B6B4" w14:textId="77777777" w:rsidR="00C025B2" w:rsidRDefault="00C025B2" w:rsidP="00C025B2">
            <w:pPr>
              <w:widowControl w:val="0"/>
              <w:spacing w:line="240" w:lineRule="auto"/>
              <w:ind w:left="284" w:right="57"/>
              <w:rPr>
                <w:rFonts w:eastAsia="Times New Roman"/>
                <w:bCs/>
                <w:sz w:val="18"/>
                <w:szCs w:val="18"/>
                <w:lang w:val="fr-FR"/>
              </w:rPr>
            </w:pPr>
            <w:r w:rsidRPr="00BF4F27">
              <w:rPr>
                <w:sz w:val="18"/>
                <w:szCs w:val="18"/>
                <w:lang w:val="fr-FR"/>
              </w:rPr>
              <w:t>O = Non applicable ;</w:t>
            </w:r>
          </w:p>
          <w:p w14:paraId="72A09560" w14:textId="299DECE4" w:rsidR="00AA7C91" w:rsidRPr="00C025B2" w:rsidRDefault="00C025B2" w:rsidP="00C025B2">
            <w:pPr>
              <w:widowControl w:val="0"/>
              <w:spacing w:after="60" w:line="240" w:lineRule="auto"/>
              <w:ind w:left="284" w:right="57"/>
              <w:rPr>
                <w:rFonts w:eastAsia="Times New Roman"/>
                <w:bCs/>
                <w:sz w:val="18"/>
                <w:szCs w:val="18"/>
                <w:lang w:val="fr-FR"/>
              </w:rPr>
            </w:pPr>
            <w:r w:rsidRPr="00BF4F27">
              <w:rPr>
                <w:sz w:val="18"/>
                <w:szCs w:val="18"/>
                <w:lang w:val="fr-FR"/>
              </w:rPr>
              <w:t>A = S’il y a lieu.</w:t>
            </w:r>
          </w:p>
        </w:tc>
      </w:tr>
    </w:tbl>
    <w:p w14:paraId="3CC810A7" w14:textId="77777777" w:rsidR="00AA7C91" w:rsidRPr="00A00630" w:rsidRDefault="00AA7C91" w:rsidP="00C025B2">
      <w:pPr>
        <w:pStyle w:val="SingleTxtG"/>
        <w:keepNext/>
        <w:spacing w:before="120"/>
      </w:pPr>
      <w:r>
        <w:rPr>
          <w:lang w:val="fr-FR"/>
        </w:rPr>
        <w:t>Remarques :</w:t>
      </w:r>
    </w:p>
    <w:p w14:paraId="6233AA49" w14:textId="2286A638" w:rsidR="00AA7C91" w:rsidRPr="00A00630" w:rsidRDefault="00AA7C91" w:rsidP="005F09DD">
      <w:pPr>
        <w:pStyle w:val="SingleTxtG"/>
        <w:ind w:left="1701" w:hanging="567"/>
      </w:pPr>
      <w:r>
        <w:rPr>
          <w:lang w:val="fr-FR"/>
        </w:rPr>
        <w:t>a)</w:t>
      </w:r>
      <w:r>
        <w:rPr>
          <w:lang w:val="fr-FR"/>
        </w:rPr>
        <w:tab/>
        <w:t>Essai d’étanchéité vers l’intérieur</w:t>
      </w:r>
      <w:r w:rsidR="005F09DD">
        <w:rPr>
          <w:lang w:val="fr-FR"/>
        </w:rPr>
        <w:t> </w:t>
      </w:r>
      <w:r>
        <w:rPr>
          <w:lang w:val="fr-FR"/>
        </w:rPr>
        <w:t>: Applicable si l’organe de la classe considérée comporte des sièges de soupapes internes qui sont normalement fermées lorsque le moteur est arrêté</w:t>
      </w:r>
      <w:r w:rsidR="005F09DD">
        <w:rPr>
          <w:lang w:val="fr-FR"/>
        </w:rPr>
        <w:t> </w:t>
      </w:r>
      <w:r>
        <w:rPr>
          <w:lang w:val="fr-FR"/>
        </w:rPr>
        <w:t>;</w:t>
      </w:r>
    </w:p>
    <w:p w14:paraId="7318A7A1" w14:textId="77777777" w:rsidR="00AA7C91" w:rsidRPr="00A00630" w:rsidRDefault="00AA7C91" w:rsidP="00AA7C91">
      <w:pPr>
        <w:pStyle w:val="SingleTxtG"/>
      </w:pPr>
      <w:r>
        <w:rPr>
          <w:lang w:val="fr-FR"/>
        </w:rPr>
        <w:t>...</w:t>
      </w:r>
    </w:p>
    <w:p w14:paraId="13E3C806" w14:textId="77777777" w:rsidR="00AA7C91" w:rsidRPr="00A00630" w:rsidRDefault="00AA7C91" w:rsidP="005F09DD">
      <w:pPr>
        <w:pStyle w:val="SingleTxtG"/>
        <w:ind w:left="1701" w:hanging="567"/>
        <w:rPr>
          <w:b/>
        </w:rPr>
      </w:pPr>
      <w:r>
        <w:rPr>
          <w:b/>
          <w:bCs/>
          <w:lang w:val="fr-FR"/>
        </w:rPr>
        <w:t>g)</w:t>
      </w:r>
      <w:r>
        <w:rPr>
          <w:lang w:val="fr-FR"/>
        </w:rPr>
        <w:tab/>
      </w:r>
      <w:r>
        <w:rPr>
          <w:lang w:val="fr-FR"/>
        </w:rPr>
        <w:tab/>
      </w:r>
      <w:r>
        <w:rPr>
          <w:b/>
          <w:bCs/>
          <w:lang w:val="fr-FR"/>
        </w:rPr>
        <w:t>Le dispositif de surpression (à déclenchement thermique) doit être soumis à essai.</w:t>
      </w:r>
    </w:p>
    <w:p w14:paraId="247D3D76" w14:textId="41055501" w:rsidR="00AA7C91" w:rsidRPr="00A00630" w:rsidRDefault="00AA7C91" w:rsidP="005F09DD">
      <w:pPr>
        <w:pStyle w:val="SingleTxtG"/>
        <w:rPr>
          <w:bCs/>
        </w:rPr>
      </w:pPr>
      <w:r>
        <w:rPr>
          <w:lang w:val="fr-FR"/>
        </w:rPr>
        <w:t>Les matériaux employés ...</w:t>
      </w:r>
      <w:r w:rsidR="005F09DD">
        <w:rPr>
          <w:lang w:val="fr-FR"/>
        </w:rPr>
        <w:t> »</w:t>
      </w:r>
      <w:r>
        <w:rPr>
          <w:lang w:val="fr-FR"/>
        </w:rPr>
        <w:t>.</w:t>
      </w:r>
    </w:p>
    <w:p w14:paraId="73ABA2F1" w14:textId="5EB4C2F7" w:rsidR="00AA7C91" w:rsidRPr="00A00630" w:rsidRDefault="00AA7C91" w:rsidP="005F09DD">
      <w:pPr>
        <w:pStyle w:val="SingleTxtG"/>
        <w:keepNext/>
      </w:pPr>
      <w:r>
        <w:rPr>
          <w:i/>
          <w:iCs/>
          <w:lang w:val="fr-FR"/>
        </w:rPr>
        <w:lastRenderedPageBreak/>
        <w:t>Ajouter la nouvelle annexe 5R</w:t>
      </w:r>
      <w:r>
        <w:rPr>
          <w:lang w:val="fr-FR"/>
        </w:rPr>
        <w:t>, libellée comme suit</w:t>
      </w:r>
      <w:r w:rsidR="005F09DD">
        <w:rPr>
          <w:lang w:val="fr-FR"/>
        </w:rPr>
        <w:t> </w:t>
      </w:r>
      <w:r>
        <w:rPr>
          <w:lang w:val="fr-FR"/>
        </w:rPr>
        <w:t xml:space="preserve">: </w:t>
      </w:r>
    </w:p>
    <w:p w14:paraId="1A96F7E8" w14:textId="0FD5660D" w:rsidR="00AA7C91" w:rsidRPr="00A00630" w:rsidRDefault="0070722F" w:rsidP="00AA7C91">
      <w:pPr>
        <w:pStyle w:val="HChG"/>
        <w:rPr>
          <w:u w:val="single"/>
        </w:rPr>
      </w:pPr>
      <w:r>
        <w:rPr>
          <w:b w:val="0"/>
          <w:sz w:val="20"/>
          <w:lang w:val="fr-FR"/>
        </w:rPr>
        <w:t>« </w:t>
      </w:r>
      <w:r w:rsidR="00AA7C91">
        <w:rPr>
          <w:bCs/>
          <w:lang w:val="fr-FR"/>
        </w:rPr>
        <w:t>Annexe 5R</w:t>
      </w:r>
      <w:r w:rsidR="00AA7C91">
        <w:rPr>
          <w:lang w:val="fr-FR"/>
        </w:rPr>
        <w:t xml:space="preserve"> </w:t>
      </w:r>
    </w:p>
    <w:p w14:paraId="2CB1389A" w14:textId="16E2E21B" w:rsidR="00AA7C91" w:rsidRPr="00A00630" w:rsidRDefault="00AA7C91" w:rsidP="009078BC">
      <w:pPr>
        <w:pStyle w:val="HChG"/>
      </w:pPr>
      <w:r>
        <w:rPr>
          <w:lang w:val="fr-FR"/>
        </w:rPr>
        <w:tab/>
      </w:r>
      <w:r>
        <w:rPr>
          <w:lang w:val="fr-FR"/>
        </w:rPr>
        <w:tab/>
        <w:t xml:space="preserve">Procédure d’essai pour les dispositifs de surpression </w:t>
      </w:r>
      <w:r w:rsidR="009078BC">
        <w:rPr>
          <w:lang w:val="fr-FR"/>
        </w:rPr>
        <w:br/>
      </w:r>
      <w:r>
        <w:rPr>
          <w:lang w:val="fr-FR"/>
        </w:rPr>
        <w:t>(à déclenchement thermique)</w:t>
      </w:r>
    </w:p>
    <w:p w14:paraId="25D54410" w14:textId="0FFAE7E1" w:rsidR="00AA7C91" w:rsidRPr="00A00630" w:rsidRDefault="00AA7C91" w:rsidP="00D821C5">
      <w:pPr>
        <w:pStyle w:val="SingleTxtG"/>
        <w:keepNext/>
        <w:ind w:left="2268" w:hanging="1134"/>
        <w:jc w:val="left"/>
        <w:rPr>
          <w:b/>
          <w:bCs/>
        </w:rPr>
      </w:pPr>
      <w:r>
        <w:rPr>
          <w:b/>
          <w:bCs/>
          <w:lang w:val="fr-FR"/>
        </w:rPr>
        <w:t>1.</w:t>
      </w:r>
      <w:r>
        <w:rPr>
          <w:lang w:val="fr-FR"/>
        </w:rPr>
        <w:tab/>
      </w:r>
      <w:r>
        <w:rPr>
          <w:b/>
          <w:bCs/>
          <w:lang w:val="fr-FR"/>
        </w:rPr>
        <w:t xml:space="preserve">Actionnement au banc </w:t>
      </w:r>
      <w:r w:rsidRPr="00A00630">
        <w:t xml:space="preserve"> </w:t>
      </w:r>
      <w:r w:rsidRPr="004A79C4">
        <w:rPr>
          <w:b/>
          <w:bCs/>
          <w:lang w:val="fr-FR"/>
        </w:rPr>
        <w:t>− D</w:t>
      </w:r>
      <w:r>
        <w:rPr>
          <w:b/>
          <w:bCs/>
          <w:lang w:val="fr-FR"/>
        </w:rPr>
        <w:t xml:space="preserve">ispositif de surpression </w:t>
      </w:r>
      <w:r w:rsidR="00D821C5">
        <w:rPr>
          <w:b/>
          <w:bCs/>
          <w:lang w:val="fr-FR"/>
        </w:rPr>
        <w:br/>
      </w:r>
      <w:r>
        <w:rPr>
          <w:b/>
          <w:bCs/>
          <w:lang w:val="fr-FR"/>
        </w:rPr>
        <w:t>(à déclenchement thermique)</w:t>
      </w:r>
    </w:p>
    <w:p w14:paraId="01A0E4AC" w14:textId="77777777" w:rsidR="00AA7C91" w:rsidRPr="00A00630" w:rsidRDefault="00AA7C91" w:rsidP="00D821C5">
      <w:pPr>
        <w:pStyle w:val="SingleTxtG"/>
        <w:ind w:left="2268" w:hanging="1134"/>
        <w:rPr>
          <w:b/>
        </w:rPr>
      </w:pPr>
      <w:r>
        <w:rPr>
          <w:b/>
          <w:bCs/>
          <w:lang w:val="fr-FR"/>
        </w:rPr>
        <w:t>1.1</w:t>
      </w:r>
      <w:r>
        <w:rPr>
          <w:lang w:val="fr-FR"/>
        </w:rPr>
        <w:tab/>
      </w:r>
      <w:r>
        <w:rPr>
          <w:b/>
          <w:bCs/>
          <w:lang w:val="fr-FR"/>
        </w:rPr>
        <w:t>Cet essai a pour but de démontrer que le dispositif de surpression (à déclenchement thermique) fonctionnera systématiquement pendant sa durée de vie prévue.</w:t>
      </w:r>
    </w:p>
    <w:p w14:paraId="14713935" w14:textId="77777777" w:rsidR="00AA7C91" w:rsidRPr="00A00630" w:rsidRDefault="00AA7C91" w:rsidP="0009661A">
      <w:pPr>
        <w:pStyle w:val="SingleTxtG"/>
        <w:keepNext/>
        <w:ind w:left="2268" w:hanging="1134"/>
        <w:jc w:val="left"/>
        <w:rPr>
          <w:b/>
        </w:rPr>
      </w:pPr>
      <w:r>
        <w:rPr>
          <w:b/>
          <w:bCs/>
          <w:lang w:val="fr-FR"/>
        </w:rPr>
        <w:t>1.2</w:t>
      </w:r>
      <w:r>
        <w:rPr>
          <w:lang w:val="fr-FR"/>
        </w:rPr>
        <w:t xml:space="preserve"> </w:t>
      </w:r>
      <w:r>
        <w:rPr>
          <w:lang w:val="fr-FR"/>
        </w:rPr>
        <w:tab/>
      </w:r>
      <w:r>
        <w:rPr>
          <w:b/>
          <w:bCs/>
          <w:lang w:val="fr-FR"/>
        </w:rPr>
        <w:t>Matériel d’essai</w:t>
      </w:r>
    </w:p>
    <w:p w14:paraId="56AC6BDD" w14:textId="77777777" w:rsidR="00AA7C91" w:rsidRPr="009A5608" w:rsidRDefault="00AA7C91" w:rsidP="0009661A">
      <w:pPr>
        <w:pStyle w:val="SingleTxtG"/>
        <w:ind w:left="2268"/>
        <w:rPr>
          <w:b/>
          <w:bCs/>
        </w:rPr>
      </w:pPr>
      <w:r w:rsidRPr="009A5608">
        <w:rPr>
          <w:b/>
          <w:bCs/>
          <w:lang w:val="fr-FR"/>
        </w:rPr>
        <w:tab/>
        <w:t>Le matériel d’essai comprend un four ou une cheminée (chambre d’essai) permettant de maintenir une température de 600 °C ± 10 °C autour du dispositif à mettre à l’épreuve. Le dispositif ne doit pas être exposé directement à la flamme.</w:t>
      </w:r>
      <w:bookmarkStart w:id="0" w:name="_Hlk95223232"/>
      <w:bookmarkEnd w:id="0"/>
    </w:p>
    <w:p w14:paraId="2FB2D8D0" w14:textId="77777777" w:rsidR="00AA7C91" w:rsidRPr="00A00630" w:rsidRDefault="00AA7C91" w:rsidP="00D821C5">
      <w:pPr>
        <w:pStyle w:val="SingleTxtG"/>
        <w:keepNext/>
        <w:ind w:left="2268" w:hanging="1134"/>
        <w:jc w:val="left"/>
        <w:rPr>
          <w:b/>
        </w:rPr>
      </w:pPr>
      <w:r>
        <w:rPr>
          <w:b/>
          <w:bCs/>
          <w:lang w:val="fr-FR"/>
        </w:rPr>
        <w:t>1.3</w:t>
      </w:r>
      <w:r>
        <w:rPr>
          <w:lang w:val="fr-FR"/>
        </w:rPr>
        <w:t xml:space="preserve"> </w:t>
      </w:r>
      <w:r>
        <w:rPr>
          <w:lang w:val="fr-FR"/>
        </w:rPr>
        <w:tab/>
      </w:r>
      <w:r>
        <w:rPr>
          <w:b/>
          <w:bCs/>
          <w:lang w:val="fr-FR"/>
        </w:rPr>
        <w:t>Échantillons d’essai</w:t>
      </w:r>
    </w:p>
    <w:p w14:paraId="7B346559" w14:textId="77777777" w:rsidR="00AA7C91" w:rsidRPr="00A00630" w:rsidRDefault="00AA7C91" w:rsidP="009A5608">
      <w:pPr>
        <w:pStyle w:val="SingleTxtG"/>
        <w:ind w:left="2268" w:hanging="1134"/>
        <w:rPr>
          <w:b/>
        </w:rPr>
      </w:pPr>
      <w:r>
        <w:rPr>
          <w:b/>
          <w:bCs/>
          <w:lang w:val="fr-FR"/>
        </w:rPr>
        <w:t>1.3.1</w:t>
      </w:r>
      <w:r>
        <w:rPr>
          <w:lang w:val="fr-FR"/>
        </w:rPr>
        <w:tab/>
      </w:r>
      <w:r>
        <w:rPr>
          <w:b/>
          <w:bCs/>
          <w:lang w:val="fr-FR"/>
        </w:rPr>
        <w:t>Deux dispositifs n’ayant jamais servi sont soumis aux essais. Le délai moyen de déclenchement détermine le délai de déclenchement de référence.</w:t>
      </w:r>
    </w:p>
    <w:p w14:paraId="2420F39B" w14:textId="26B1DEAF" w:rsidR="00AA7C91" w:rsidRPr="00A00630" w:rsidRDefault="00AA7C91" w:rsidP="009A5608">
      <w:pPr>
        <w:pStyle w:val="SingleTxtG"/>
        <w:ind w:left="2268" w:hanging="1134"/>
        <w:rPr>
          <w:b/>
        </w:rPr>
      </w:pPr>
      <w:r>
        <w:rPr>
          <w:b/>
          <w:bCs/>
          <w:lang w:val="fr-FR"/>
        </w:rPr>
        <w:t>1.3.2</w:t>
      </w:r>
      <w:r>
        <w:rPr>
          <w:lang w:val="fr-FR"/>
        </w:rPr>
        <w:tab/>
      </w:r>
      <w:r>
        <w:rPr>
          <w:b/>
          <w:bCs/>
          <w:lang w:val="fr-FR"/>
        </w:rPr>
        <w:t>Un échantillon ayant été soumis aux essais de qualification suivants et ayant donné satisfaction</w:t>
      </w:r>
      <w:r w:rsidR="00B76AA5">
        <w:rPr>
          <w:b/>
          <w:bCs/>
          <w:lang w:val="fr-FR"/>
        </w:rPr>
        <w:t> </w:t>
      </w:r>
      <w:r>
        <w:rPr>
          <w:b/>
          <w:bCs/>
          <w:lang w:val="fr-FR"/>
        </w:rPr>
        <w:t>: essais des annexes 5E, 5H, 5L et 5N.</w:t>
      </w:r>
    </w:p>
    <w:p w14:paraId="1F2E46EB" w14:textId="77777777" w:rsidR="00AA7C91" w:rsidRPr="00A00630" w:rsidRDefault="00AA7C91" w:rsidP="00D821C5">
      <w:pPr>
        <w:pStyle w:val="SingleTxtG"/>
        <w:keepNext/>
        <w:ind w:left="2268" w:hanging="1134"/>
        <w:jc w:val="left"/>
        <w:rPr>
          <w:b/>
        </w:rPr>
      </w:pPr>
      <w:r>
        <w:rPr>
          <w:b/>
          <w:bCs/>
          <w:lang w:val="fr-FR"/>
        </w:rPr>
        <w:t>1.4</w:t>
      </w:r>
      <w:r>
        <w:rPr>
          <w:lang w:val="fr-FR"/>
        </w:rPr>
        <w:t xml:space="preserve"> </w:t>
      </w:r>
      <w:r>
        <w:rPr>
          <w:lang w:val="fr-FR"/>
        </w:rPr>
        <w:tab/>
      </w:r>
      <w:r>
        <w:rPr>
          <w:b/>
          <w:bCs/>
          <w:lang w:val="fr-FR"/>
        </w:rPr>
        <w:t>Procédure d’essai</w:t>
      </w:r>
    </w:p>
    <w:p w14:paraId="4D637565" w14:textId="60D32C45" w:rsidR="00AA7C91" w:rsidRPr="00A00630" w:rsidRDefault="00AA7C91" w:rsidP="009A5608">
      <w:pPr>
        <w:pStyle w:val="SingleTxtG"/>
        <w:ind w:left="2268" w:hanging="1134"/>
        <w:rPr>
          <w:b/>
        </w:rPr>
      </w:pPr>
      <w:r>
        <w:rPr>
          <w:b/>
          <w:bCs/>
          <w:lang w:val="fr-FR"/>
        </w:rPr>
        <w:t>1.4.1</w:t>
      </w:r>
      <w:r>
        <w:rPr>
          <w:lang w:val="fr-FR"/>
        </w:rPr>
        <w:t xml:space="preserve"> </w:t>
      </w:r>
      <w:r>
        <w:rPr>
          <w:lang w:val="fr-FR"/>
        </w:rPr>
        <w:tab/>
      </w:r>
      <w:r>
        <w:rPr>
          <w:b/>
          <w:bCs/>
          <w:lang w:val="fr-FR"/>
        </w:rPr>
        <w:t>La température de la chambre d’essai doit être de 600</w:t>
      </w:r>
      <w:r w:rsidR="00B76AA5">
        <w:rPr>
          <w:b/>
          <w:bCs/>
          <w:lang w:val="fr-FR"/>
        </w:rPr>
        <w:t> </w:t>
      </w:r>
      <w:r>
        <w:rPr>
          <w:b/>
          <w:bCs/>
          <w:lang w:val="fr-FR"/>
        </w:rPr>
        <w:t>°C</w:t>
      </w:r>
      <w:r w:rsidR="00B76AA5">
        <w:rPr>
          <w:b/>
          <w:bCs/>
          <w:lang w:val="fr-FR"/>
        </w:rPr>
        <w:t> </w:t>
      </w:r>
      <w:r w:rsidR="00B76AA5">
        <w:rPr>
          <w:b/>
          <w:bCs/>
          <w:lang w:val="fr-FR"/>
        </w:rPr>
        <w:sym w:font="Symbol" w:char="F0B1"/>
      </w:r>
      <w:r w:rsidR="00B76AA5">
        <w:rPr>
          <w:b/>
          <w:bCs/>
          <w:lang w:val="fr-FR"/>
        </w:rPr>
        <w:t> </w:t>
      </w:r>
      <w:r>
        <w:rPr>
          <w:b/>
          <w:bCs/>
          <w:lang w:val="fr-FR"/>
        </w:rPr>
        <w:t>10</w:t>
      </w:r>
      <w:r w:rsidR="00B76AA5">
        <w:rPr>
          <w:b/>
          <w:bCs/>
          <w:lang w:val="fr-FR"/>
        </w:rPr>
        <w:t> </w:t>
      </w:r>
      <w:r>
        <w:rPr>
          <w:b/>
          <w:bCs/>
          <w:lang w:val="fr-FR"/>
        </w:rPr>
        <w:t>°C pendant au moins deux minutes avant le début de l’essai.</w:t>
      </w:r>
    </w:p>
    <w:p w14:paraId="7B9B7D3A" w14:textId="14B8B4CF" w:rsidR="00AA7C91" w:rsidRPr="00A00630" w:rsidRDefault="00AA7C91" w:rsidP="009A5608">
      <w:pPr>
        <w:pStyle w:val="SingleTxtG"/>
        <w:ind w:left="2268" w:hanging="1134"/>
        <w:rPr>
          <w:b/>
        </w:rPr>
      </w:pPr>
      <w:r>
        <w:rPr>
          <w:b/>
          <w:bCs/>
          <w:lang w:val="fr-FR"/>
        </w:rPr>
        <w:t>1.4.2</w:t>
      </w:r>
      <w:r>
        <w:rPr>
          <w:lang w:val="fr-FR"/>
        </w:rPr>
        <w:tab/>
      </w:r>
      <w:r>
        <w:rPr>
          <w:b/>
          <w:bCs/>
          <w:lang w:val="fr-FR"/>
        </w:rPr>
        <w:t>Placer dans la chambre d’essai l’échantillon mis sous pression à 25</w:t>
      </w:r>
      <w:r w:rsidR="00B76AA5">
        <w:rPr>
          <w:b/>
          <w:bCs/>
          <w:lang w:val="fr-FR"/>
        </w:rPr>
        <w:t> </w:t>
      </w:r>
      <w:r>
        <w:rPr>
          <w:b/>
          <w:bCs/>
          <w:lang w:val="fr-FR"/>
        </w:rPr>
        <w:t>% de la pression de service, puis noter le délai de déclenchement.</w:t>
      </w:r>
      <w:r>
        <w:rPr>
          <w:lang w:val="fr-FR"/>
        </w:rPr>
        <w:t xml:space="preserve"> </w:t>
      </w:r>
    </w:p>
    <w:p w14:paraId="17201C99" w14:textId="77777777" w:rsidR="00AA7C91" w:rsidRPr="00A00630" w:rsidRDefault="00AA7C91" w:rsidP="00D821C5">
      <w:pPr>
        <w:pStyle w:val="SingleTxtG"/>
        <w:keepNext/>
        <w:ind w:left="2268" w:hanging="1134"/>
        <w:jc w:val="left"/>
        <w:rPr>
          <w:b/>
        </w:rPr>
      </w:pPr>
      <w:r>
        <w:rPr>
          <w:b/>
          <w:bCs/>
          <w:lang w:val="fr-FR"/>
        </w:rPr>
        <w:t>1.5</w:t>
      </w:r>
      <w:r>
        <w:rPr>
          <w:lang w:val="fr-FR"/>
        </w:rPr>
        <w:tab/>
      </w:r>
      <w:r>
        <w:rPr>
          <w:b/>
          <w:bCs/>
          <w:lang w:val="fr-FR"/>
        </w:rPr>
        <w:t>Résultats admissibles</w:t>
      </w:r>
    </w:p>
    <w:p w14:paraId="45F5DD3E" w14:textId="3F3EBBE9" w:rsidR="00AA7C91" w:rsidRPr="00A00630" w:rsidRDefault="00AA7C91" w:rsidP="00C34CF2">
      <w:pPr>
        <w:pStyle w:val="SingleTxtG"/>
        <w:ind w:left="2268"/>
        <w:rPr>
          <w:b/>
        </w:rPr>
      </w:pPr>
      <w:r>
        <w:rPr>
          <w:lang w:val="fr-FR"/>
        </w:rPr>
        <w:tab/>
      </w:r>
      <w:r>
        <w:rPr>
          <w:b/>
          <w:bCs/>
          <w:lang w:val="fr-FR"/>
        </w:rPr>
        <w:t>Les dispositifs (à déclenchement thermique) qui ont été soumis aux essais mentionnés au paragraphe</w:t>
      </w:r>
      <w:r w:rsidR="005C2752">
        <w:rPr>
          <w:b/>
          <w:bCs/>
          <w:lang w:val="fr-FR"/>
        </w:rPr>
        <w:t> </w:t>
      </w:r>
      <w:r>
        <w:rPr>
          <w:b/>
          <w:bCs/>
          <w:lang w:val="fr-FR"/>
        </w:rPr>
        <w:t>3.1.2 doivent se déclencher dans les deux minutes suivant le délai de déclenchement enregistré pour les échantillons visés au paragraphe</w:t>
      </w:r>
      <w:r w:rsidR="005C2752">
        <w:rPr>
          <w:b/>
          <w:bCs/>
          <w:lang w:val="fr-FR"/>
        </w:rPr>
        <w:t> </w:t>
      </w:r>
      <w:r>
        <w:rPr>
          <w:b/>
          <w:bCs/>
          <w:lang w:val="fr-FR"/>
        </w:rPr>
        <w:t>3.1.</w:t>
      </w:r>
    </w:p>
    <w:p w14:paraId="04356E31" w14:textId="77777777" w:rsidR="00AA7C91" w:rsidRPr="00A00630" w:rsidRDefault="00AA7C91" w:rsidP="00D821C5">
      <w:pPr>
        <w:pStyle w:val="SingleTxtG"/>
        <w:keepNext/>
        <w:ind w:left="2268" w:hanging="1134"/>
        <w:jc w:val="left"/>
        <w:rPr>
          <w:b/>
        </w:rPr>
      </w:pPr>
      <w:r>
        <w:rPr>
          <w:b/>
          <w:bCs/>
          <w:lang w:val="fr-FR"/>
        </w:rPr>
        <w:t>1.6</w:t>
      </w:r>
      <w:r>
        <w:rPr>
          <w:lang w:val="fr-FR"/>
        </w:rPr>
        <w:t xml:space="preserve"> </w:t>
      </w:r>
      <w:r>
        <w:rPr>
          <w:lang w:val="fr-FR"/>
        </w:rPr>
        <w:tab/>
      </w:r>
      <w:r>
        <w:rPr>
          <w:b/>
          <w:bCs/>
          <w:lang w:val="fr-FR"/>
        </w:rPr>
        <w:t>Essais par lots</w:t>
      </w:r>
      <w:r>
        <w:rPr>
          <w:lang w:val="fr-FR"/>
        </w:rPr>
        <w:t xml:space="preserve"> </w:t>
      </w:r>
    </w:p>
    <w:p w14:paraId="10D0F90A" w14:textId="77777777" w:rsidR="00AA7C91" w:rsidRPr="00A00630" w:rsidRDefault="00AA7C91" w:rsidP="00C34CF2">
      <w:pPr>
        <w:pStyle w:val="SingleTxtG"/>
        <w:ind w:left="2268"/>
        <w:rPr>
          <w:b/>
        </w:rPr>
      </w:pPr>
      <w:r>
        <w:rPr>
          <w:b/>
          <w:bCs/>
          <w:lang w:val="fr-FR"/>
        </w:rPr>
        <w:t>Le fabricant du dispositif de surpression (à déclenchement thermique) doit mettre en place un programme de contrôles et d’essais d’homologation des lots de fabrication qui garantit la constance des performances du produit en matière de sécurité.</w:t>
      </w:r>
    </w:p>
    <w:p w14:paraId="3BEEA0B1" w14:textId="27E7BEF3" w:rsidR="00AA7C91" w:rsidRPr="00A00630" w:rsidRDefault="00AA7C91" w:rsidP="00D821C5">
      <w:pPr>
        <w:pStyle w:val="SingleTxtG"/>
        <w:keepNext/>
        <w:ind w:left="2268" w:hanging="1134"/>
        <w:jc w:val="left"/>
        <w:rPr>
          <w:b/>
        </w:rPr>
      </w:pPr>
      <w:r>
        <w:rPr>
          <w:b/>
          <w:bCs/>
          <w:lang w:val="fr-FR"/>
        </w:rPr>
        <w:t>2.</w:t>
      </w:r>
      <w:r>
        <w:rPr>
          <w:lang w:val="fr-FR"/>
        </w:rPr>
        <w:tab/>
      </w:r>
      <w:r>
        <w:rPr>
          <w:b/>
          <w:bCs/>
          <w:lang w:val="fr-FR"/>
        </w:rPr>
        <w:t xml:space="preserve">Prescriptions relatives aux dispositifs de surpression </w:t>
      </w:r>
      <w:r w:rsidR="009A5608">
        <w:rPr>
          <w:b/>
          <w:bCs/>
          <w:lang w:val="fr-FR"/>
        </w:rPr>
        <w:br/>
      </w:r>
      <w:r>
        <w:rPr>
          <w:b/>
          <w:bCs/>
          <w:lang w:val="fr-FR"/>
        </w:rPr>
        <w:t>(à déclenchement thermique)</w:t>
      </w:r>
    </w:p>
    <w:p w14:paraId="4C9778A6" w14:textId="77777777" w:rsidR="00AA7C91" w:rsidRPr="00A00630" w:rsidRDefault="00AA7C91" w:rsidP="005C2752">
      <w:pPr>
        <w:keepNext/>
        <w:spacing w:after="120" w:line="240" w:lineRule="auto"/>
        <w:ind w:left="2268" w:right="1134"/>
        <w:jc w:val="both"/>
        <w:rPr>
          <w:b/>
        </w:rPr>
      </w:pPr>
      <w:r>
        <w:rPr>
          <w:b/>
          <w:bCs/>
          <w:lang w:val="fr-FR"/>
        </w:rPr>
        <w:t>La compatibilité des dispositifs de surpression spécifiés par le fabricant avec les conditions d’utilisation énumérées au paragraphe 4 de l’annexe 3A doit être démontrée par les essais de qualification suivants :</w:t>
      </w:r>
    </w:p>
    <w:p w14:paraId="69FC43AE" w14:textId="70442FE9" w:rsidR="00AA7C91" w:rsidRPr="00A00630" w:rsidRDefault="00AA7C91" w:rsidP="00AA7C91">
      <w:pPr>
        <w:spacing w:after="120" w:line="240" w:lineRule="auto"/>
        <w:ind w:left="2835" w:right="1134" w:hanging="567"/>
        <w:jc w:val="both"/>
        <w:rPr>
          <w:b/>
        </w:rPr>
      </w:pPr>
      <w:r>
        <w:rPr>
          <w:b/>
          <w:bCs/>
          <w:lang w:val="fr-FR"/>
        </w:rPr>
        <w:t>a)</w:t>
      </w:r>
      <w:r>
        <w:rPr>
          <w:lang w:val="fr-FR"/>
        </w:rPr>
        <w:tab/>
      </w:r>
      <w:r>
        <w:rPr>
          <w:b/>
          <w:bCs/>
          <w:lang w:val="fr-FR"/>
        </w:rPr>
        <w:t>Une bouteille doit être maintenue à une température contrôlée supérieure ou égale à 95</w:t>
      </w:r>
      <w:r w:rsidR="00425A6E">
        <w:rPr>
          <w:b/>
          <w:bCs/>
          <w:lang w:val="fr-FR"/>
        </w:rPr>
        <w:t> </w:t>
      </w:r>
      <w:r>
        <w:rPr>
          <w:b/>
          <w:bCs/>
          <w:lang w:val="fr-FR"/>
        </w:rPr>
        <w:t>°C et à une pression supérieure ou égale à la pression d’essai (30</w:t>
      </w:r>
      <w:r w:rsidR="00425A6E">
        <w:rPr>
          <w:b/>
          <w:bCs/>
          <w:lang w:val="fr-FR"/>
        </w:rPr>
        <w:t> </w:t>
      </w:r>
      <w:r>
        <w:rPr>
          <w:b/>
          <w:bCs/>
          <w:lang w:val="fr-FR"/>
        </w:rPr>
        <w:t>MPa) pendant 24 h.</w:t>
      </w:r>
      <w:r>
        <w:rPr>
          <w:lang w:val="fr-FR"/>
        </w:rPr>
        <w:t xml:space="preserve"> </w:t>
      </w:r>
      <w:r>
        <w:rPr>
          <w:b/>
          <w:bCs/>
          <w:lang w:val="fr-FR"/>
        </w:rPr>
        <w:t>À la fin de cet essai, il ne doit y avoir aucune trace de fuite ni aucun signe visible d’extrusion de tout métal fusible utilisé dans la conception</w:t>
      </w:r>
      <w:r w:rsidR="00425A6E">
        <w:rPr>
          <w:b/>
          <w:bCs/>
          <w:lang w:val="fr-FR"/>
        </w:rPr>
        <w:t> ;</w:t>
      </w:r>
    </w:p>
    <w:p w14:paraId="0DBD6014" w14:textId="77777777" w:rsidR="00AA7C91" w:rsidRPr="00A00630" w:rsidRDefault="00AA7C91" w:rsidP="00425A6E">
      <w:pPr>
        <w:keepNext/>
        <w:spacing w:after="120" w:line="240" w:lineRule="auto"/>
        <w:ind w:left="2835" w:right="1134" w:hanging="567"/>
        <w:jc w:val="both"/>
        <w:rPr>
          <w:b/>
        </w:rPr>
      </w:pPr>
      <w:r>
        <w:rPr>
          <w:b/>
          <w:bCs/>
          <w:lang w:val="fr-FR"/>
        </w:rPr>
        <w:lastRenderedPageBreak/>
        <w:t>b)</w:t>
      </w:r>
      <w:r>
        <w:rPr>
          <w:lang w:val="fr-FR"/>
        </w:rPr>
        <w:tab/>
      </w:r>
      <w:r>
        <w:rPr>
          <w:b/>
          <w:bCs/>
          <w:lang w:val="fr-FR"/>
        </w:rPr>
        <w:t>Une bouteille doit faire l’objet d’un essai de fatigue à une cadence ne devant pas dépasser 4 cycles par minute, comme suit :</w:t>
      </w:r>
    </w:p>
    <w:p w14:paraId="351B8807" w14:textId="5E1A9B4B" w:rsidR="00AA7C91" w:rsidRPr="00A00630" w:rsidRDefault="00AA7C91" w:rsidP="00AA7C91">
      <w:pPr>
        <w:spacing w:after="120" w:line="240" w:lineRule="auto"/>
        <w:ind w:left="3402" w:right="1134" w:hanging="567"/>
        <w:jc w:val="both"/>
        <w:rPr>
          <w:b/>
        </w:rPr>
      </w:pPr>
      <w:r>
        <w:rPr>
          <w:b/>
          <w:bCs/>
          <w:lang w:val="fr-FR"/>
        </w:rPr>
        <w:t>i)</w:t>
      </w:r>
      <w:r>
        <w:rPr>
          <w:lang w:val="fr-FR"/>
        </w:rPr>
        <w:tab/>
      </w:r>
      <w:r>
        <w:rPr>
          <w:b/>
          <w:bCs/>
          <w:lang w:val="fr-FR"/>
        </w:rPr>
        <w:t>Maintenue à 82</w:t>
      </w:r>
      <w:r w:rsidR="00425A6E">
        <w:rPr>
          <w:b/>
          <w:bCs/>
          <w:lang w:val="fr-FR"/>
        </w:rPr>
        <w:t> </w:t>
      </w:r>
      <w:r>
        <w:rPr>
          <w:b/>
          <w:bCs/>
          <w:lang w:val="fr-FR"/>
        </w:rPr>
        <w:t>°C, tout en étant mise sous pression pendant 10</w:t>
      </w:r>
      <w:r w:rsidR="00425A6E">
        <w:rPr>
          <w:b/>
          <w:bCs/>
          <w:lang w:val="fr-FR"/>
        </w:rPr>
        <w:t> </w:t>
      </w:r>
      <w:r>
        <w:rPr>
          <w:b/>
          <w:bCs/>
          <w:lang w:val="fr-FR"/>
        </w:rPr>
        <w:t>000</w:t>
      </w:r>
      <w:r w:rsidR="00425A6E">
        <w:rPr>
          <w:b/>
          <w:bCs/>
          <w:lang w:val="fr-FR"/>
        </w:rPr>
        <w:t> </w:t>
      </w:r>
      <w:r>
        <w:rPr>
          <w:b/>
          <w:bCs/>
          <w:lang w:val="fr-FR"/>
        </w:rPr>
        <w:t>cycles entre 2</w:t>
      </w:r>
      <w:r w:rsidR="00425A6E">
        <w:rPr>
          <w:b/>
          <w:bCs/>
          <w:lang w:val="fr-FR"/>
        </w:rPr>
        <w:t> </w:t>
      </w:r>
      <w:r>
        <w:rPr>
          <w:b/>
          <w:bCs/>
          <w:lang w:val="fr-FR"/>
        </w:rPr>
        <w:t>MPa et 26</w:t>
      </w:r>
      <w:r w:rsidR="00425A6E">
        <w:rPr>
          <w:b/>
          <w:bCs/>
          <w:lang w:val="fr-FR"/>
        </w:rPr>
        <w:t> </w:t>
      </w:r>
      <w:r>
        <w:rPr>
          <w:b/>
          <w:bCs/>
          <w:lang w:val="fr-FR"/>
        </w:rPr>
        <w:t>MPa</w:t>
      </w:r>
      <w:r w:rsidR="00425A6E">
        <w:rPr>
          <w:b/>
          <w:bCs/>
          <w:lang w:val="fr-FR"/>
        </w:rPr>
        <w:t> </w:t>
      </w:r>
      <w:r>
        <w:rPr>
          <w:b/>
          <w:bCs/>
          <w:lang w:val="fr-FR"/>
        </w:rPr>
        <w:t>;</w:t>
      </w:r>
    </w:p>
    <w:p w14:paraId="7C3E472F" w14:textId="77777777" w:rsidR="00AA7C91" w:rsidRPr="00A00630" w:rsidRDefault="00AA7C91" w:rsidP="00AA7C91">
      <w:pPr>
        <w:spacing w:after="120" w:line="240" w:lineRule="auto"/>
        <w:ind w:left="3402" w:right="1134" w:hanging="567"/>
        <w:jc w:val="both"/>
        <w:rPr>
          <w:b/>
        </w:rPr>
      </w:pPr>
      <w:r>
        <w:rPr>
          <w:b/>
          <w:bCs/>
          <w:lang w:val="fr-FR"/>
        </w:rPr>
        <w:t>ii)</w:t>
      </w:r>
      <w:r>
        <w:rPr>
          <w:lang w:val="fr-FR"/>
        </w:rPr>
        <w:tab/>
      </w:r>
      <w:r>
        <w:rPr>
          <w:b/>
          <w:bCs/>
          <w:lang w:val="fr-FR"/>
        </w:rPr>
        <w:t>Maintenue à -40 °C, tout en étant mise sous pression pendant 10 000 cycles entre 2 MPa et 20 MPa.</w:t>
      </w:r>
    </w:p>
    <w:p w14:paraId="7C3DE3AF" w14:textId="4AC83591" w:rsidR="00AA7C91" w:rsidRPr="00A00630" w:rsidRDefault="00AA7C91" w:rsidP="00AA7C91">
      <w:pPr>
        <w:spacing w:after="120" w:line="240" w:lineRule="auto"/>
        <w:ind w:left="2835" w:right="1134"/>
        <w:jc w:val="both"/>
        <w:rPr>
          <w:b/>
        </w:rPr>
      </w:pPr>
      <w:r>
        <w:rPr>
          <w:b/>
          <w:bCs/>
          <w:lang w:val="fr-FR"/>
        </w:rPr>
        <w:t>À la fin de cet essai, il ne doit y avoir aucune trace de fuite ni aucun signe visible d’extrusion de tout métal fusible utilisé dans la conception</w:t>
      </w:r>
      <w:r w:rsidR="00425A6E">
        <w:rPr>
          <w:b/>
          <w:bCs/>
          <w:lang w:val="fr-FR"/>
        </w:rPr>
        <w:t> ;</w:t>
      </w:r>
    </w:p>
    <w:p w14:paraId="6D54BC77" w14:textId="26CDEF36" w:rsidR="00AA7C91" w:rsidRPr="00A00630" w:rsidRDefault="00AA7C91" w:rsidP="00AA7C91">
      <w:pPr>
        <w:spacing w:after="120" w:line="240" w:lineRule="auto"/>
        <w:ind w:left="2835" w:right="1134" w:hanging="567"/>
        <w:jc w:val="both"/>
        <w:rPr>
          <w:b/>
        </w:rPr>
      </w:pPr>
      <w:r>
        <w:rPr>
          <w:b/>
          <w:bCs/>
          <w:lang w:val="fr-FR"/>
        </w:rPr>
        <w:t>c)</w:t>
      </w:r>
      <w:r>
        <w:rPr>
          <w:lang w:val="fr-FR"/>
        </w:rPr>
        <w:tab/>
      </w:r>
      <w:r>
        <w:rPr>
          <w:b/>
          <w:bCs/>
          <w:lang w:val="fr-FR"/>
        </w:rPr>
        <w:t>Les composants exposés, en laiton, destinés à maintenir la pression sur les dispositifs de surpression, doivent supporter une immersion dans de l’ammoniaque sans subir aucune fissure de corrosion.</w:t>
      </w:r>
      <w:r>
        <w:rPr>
          <w:lang w:val="fr-FR"/>
        </w:rPr>
        <w:t xml:space="preserve"> </w:t>
      </w:r>
      <w:r>
        <w:rPr>
          <w:b/>
          <w:bCs/>
          <w:lang w:val="fr-FR"/>
        </w:rPr>
        <w:t>Après cette immersion, le dispositif de surpression doit être soumis à un essai d’étanchéité par l’application d’une pression aérostatique de 26</w:t>
      </w:r>
      <w:r w:rsidR="00241E8B">
        <w:rPr>
          <w:b/>
          <w:bCs/>
          <w:lang w:val="fr-FR"/>
        </w:rPr>
        <w:t> </w:t>
      </w:r>
      <w:r>
        <w:rPr>
          <w:b/>
          <w:bCs/>
          <w:lang w:val="fr-FR"/>
        </w:rPr>
        <w:t>MPa pendant 1 min, au cours de laquelle l’étanchéité vers l’extérieur doit être vérifiée.</w:t>
      </w:r>
      <w:r>
        <w:rPr>
          <w:lang w:val="fr-FR"/>
        </w:rPr>
        <w:t xml:space="preserve"> </w:t>
      </w:r>
      <w:r>
        <w:rPr>
          <w:b/>
          <w:bCs/>
          <w:lang w:val="fr-FR"/>
        </w:rPr>
        <w:t>Toute fuite ne doit pas dépasser 200</w:t>
      </w:r>
      <w:r w:rsidR="00241E8B">
        <w:rPr>
          <w:b/>
          <w:bCs/>
          <w:lang w:val="fr-FR"/>
        </w:rPr>
        <w:t> </w:t>
      </w:r>
      <w:r>
        <w:rPr>
          <w:b/>
          <w:bCs/>
          <w:lang w:val="fr-FR"/>
        </w:rPr>
        <w:t>cm</w:t>
      </w:r>
      <w:r w:rsidRPr="00241E8B">
        <w:rPr>
          <w:b/>
          <w:bCs/>
          <w:vertAlign w:val="superscript"/>
          <w:lang w:val="fr-FR"/>
        </w:rPr>
        <w:t>3</w:t>
      </w:r>
      <w:r>
        <w:rPr>
          <w:b/>
          <w:bCs/>
          <w:lang w:val="fr-FR"/>
        </w:rPr>
        <w:t>/h</w:t>
      </w:r>
      <w:r w:rsidR="00241E8B">
        <w:rPr>
          <w:b/>
          <w:bCs/>
          <w:lang w:val="fr-FR"/>
        </w:rPr>
        <w:t> :</w:t>
      </w:r>
    </w:p>
    <w:p w14:paraId="66CEFFDD" w14:textId="637ECDC8" w:rsidR="00AA7C91" w:rsidRPr="00A00630" w:rsidRDefault="00AA7C91" w:rsidP="00AA7C91">
      <w:pPr>
        <w:spacing w:after="120" w:line="240" w:lineRule="auto"/>
        <w:ind w:left="3402" w:right="1134" w:hanging="567"/>
        <w:jc w:val="both"/>
        <w:rPr>
          <w:b/>
        </w:rPr>
      </w:pPr>
      <w:r>
        <w:rPr>
          <w:b/>
          <w:bCs/>
          <w:lang w:val="fr-FR"/>
        </w:rPr>
        <w:t>i)</w:t>
      </w:r>
      <w:r>
        <w:rPr>
          <w:lang w:val="fr-FR"/>
        </w:rPr>
        <w:t xml:space="preserve"> </w:t>
      </w:r>
      <w:r>
        <w:rPr>
          <w:lang w:val="fr-FR"/>
        </w:rPr>
        <w:tab/>
      </w:r>
      <w:r>
        <w:rPr>
          <w:b/>
          <w:bCs/>
          <w:lang w:val="fr-FR"/>
        </w:rPr>
        <w:t>Soumettre chaque échantillon d’essai aux contraintes physiques qui s’exercent normalement sur une pièce, ou à l’intérieur de celle-ci, du fait de son assemblage avec d’autres pièces.</w:t>
      </w:r>
      <w:r>
        <w:rPr>
          <w:lang w:val="fr-FR"/>
        </w:rPr>
        <w:t xml:space="preserve"> </w:t>
      </w:r>
      <w:r>
        <w:rPr>
          <w:b/>
          <w:bCs/>
          <w:lang w:val="fr-FR"/>
        </w:rPr>
        <w:t>Appliquer ces contraintes à l’échantillon avant l’essai et les maintenir tout au long de l’essai.</w:t>
      </w:r>
      <w:r>
        <w:rPr>
          <w:lang w:val="fr-FR"/>
        </w:rPr>
        <w:t xml:space="preserve"> </w:t>
      </w:r>
      <w:r>
        <w:rPr>
          <w:b/>
          <w:bCs/>
          <w:lang w:val="fr-FR"/>
        </w:rPr>
        <w:t>Pour les échantillons comportant un filetage, destinés à être utilisés en conditions réelles, le filetage doit être engagé et serré au couple spécifié dans les instructions d’utilisation de l’échantillon ou par le fabricant.</w:t>
      </w:r>
      <w:r>
        <w:rPr>
          <w:lang w:val="fr-FR"/>
        </w:rPr>
        <w:t xml:space="preserve"> </w:t>
      </w:r>
      <w:r>
        <w:rPr>
          <w:b/>
          <w:bCs/>
          <w:lang w:val="fr-FR"/>
        </w:rPr>
        <w:t xml:space="preserve">Le filetage ne doit pas comporter de composant en </w:t>
      </w:r>
      <w:proofErr w:type="spellStart"/>
      <w:r>
        <w:rPr>
          <w:b/>
          <w:bCs/>
          <w:lang w:val="fr-FR"/>
        </w:rPr>
        <w:t>polytétrafluoréthylène</w:t>
      </w:r>
      <w:proofErr w:type="spellEnd"/>
      <w:r>
        <w:rPr>
          <w:b/>
          <w:bCs/>
          <w:lang w:val="fr-FR"/>
        </w:rPr>
        <w:t xml:space="preserve"> (PTFE)</w:t>
      </w:r>
      <w:r w:rsidR="00D202EC">
        <w:rPr>
          <w:b/>
          <w:bCs/>
          <w:lang w:val="fr-FR"/>
        </w:rPr>
        <w:t> </w:t>
      </w:r>
      <w:r>
        <w:rPr>
          <w:b/>
          <w:bCs/>
          <w:lang w:val="fr-FR"/>
        </w:rPr>
        <w:t>;</w:t>
      </w:r>
    </w:p>
    <w:p w14:paraId="2E3AAB03" w14:textId="2C12CEB2" w:rsidR="00AA7C91" w:rsidRPr="00A00630" w:rsidRDefault="00AA7C91" w:rsidP="00AA7C91">
      <w:pPr>
        <w:spacing w:after="120" w:line="240" w:lineRule="auto"/>
        <w:ind w:left="3402" w:right="1134" w:hanging="567"/>
        <w:jc w:val="both"/>
        <w:rPr>
          <w:b/>
        </w:rPr>
      </w:pPr>
      <w:r>
        <w:rPr>
          <w:b/>
          <w:bCs/>
          <w:lang w:val="fr-FR"/>
        </w:rPr>
        <w:t>ii)</w:t>
      </w:r>
      <w:r>
        <w:rPr>
          <w:lang w:val="fr-FR"/>
        </w:rPr>
        <w:tab/>
      </w:r>
      <w:r>
        <w:rPr>
          <w:b/>
          <w:bCs/>
          <w:lang w:val="fr-FR"/>
        </w:rPr>
        <w:t xml:space="preserve">Dégraisser trois échantillons et les exposer en continu pendant </w:t>
      </w:r>
      <w:r w:rsidR="00DF1B7F">
        <w:rPr>
          <w:b/>
          <w:bCs/>
          <w:lang w:val="fr-FR"/>
        </w:rPr>
        <w:t>10</w:t>
      </w:r>
      <w:r>
        <w:rPr>
          <w:b/>
          <w:bCs/>
          <w:lang w:val="fr-FR"/>
        </w:rPr>
        <w:t xml:space="preserve"> jours, dans une position donnée, à un brouillard d’ammoniaque à l’intérieur d’un récipient en verre d’environ 30</w:t>
      </w:r>
      <w:r w:rsidR="00DF1B7F">
        <w:rPr>
          <w:b/>
          <w:bCs/>
          <w:lang w:val="fr-FR"/>
        </w:rPr>
        <w:t> </w:t>
      </w:r>
      <w:r>
        <w:rPr>
          <w:b/>
          <w:bCs/>
          <w:lang w:val="fr-FR"/>
        </w:rPr>
        <w:t>l muni d’un couvercle en verre.</w:t>
      </w:r>
      <w:r>
        <w:rPr>
          <w:lang w:val="fr-FR"/>
        </w:rPr>
        <w:t xml:space="preserve"> </w:t>
      </w:r>
      <w:r>
        <w:rPr>
          <w:b/>
          <w:bCs/>
          <w:lang w:val="fr-FR"/>
        </w:rPr>
        <w:t>De l’ammoniaque à une densité relative de 0,94 et à une concentration de 21,2</w:t>
      </w:r>
      <w:r w:rsidR="00DF1B7F">
        <w:rPr>
          <w:b/>
          <w:bCs/>
          <w:lang w:val="fr-FR"/>
        </w:rPr>
        <w:t> </w:t>
      </w:r>
      <w:r>
        <w:rPr>
          <w:b/>
          <w:bCs/>
          <w:lang w:val="fr-FR"/>
        </w:rPr>
        <w:t>ml par litre de volume du récipient est placé au fond d’un récipient en verre, sous les échantillons.</w:t>
      </w:r>
      <w:r>
        <w:rPr>
          <w:lang w:val="fr-FR"/>
        </w:rPr>
        <w:t xml:space="preserve"> </w:t>
      </w:r>
      <w:r>
        <w:rPr>
          <w:b/>
          <w:bCs/>
          <w:lang w:val="fr-FR"/>
        </w:rPr>
        <w:t>Les échantillons doivent être placés à 40</w:t>
      </w:r>
      <w:r w:rsidR="00DF1B7F">
        <w:rPr>
          <w:b/>
          <w:bCs/>
          <w:lang w:val="fr-FR"/>
        </w:rPr>
        <w:t> </w:t>
      </w:r>
      <w:r>
        <w:rPr>
          <w:b/>
          <w:bCs/>
          <w:lang w:val="fr-FR"/>
        </w:rPr>
        <w:t>mm au-dessus de la solution, sur un plateau en matériau inerte.</w:t>
      </w:r>
      <w:r>
        <w:rPr>
          <w:lang w:val="fr-FR"/>
        </w:rPr>
        <w:t xml:space="preserve"> </w:t>
      </w:r>
      <w:r>
        <w:rPr>
          <w:b/>
          <w:bCs/>
          <w:lang w:val="fr-FR"/>
        </w:rPr>
        <w:t>Maintenir le brouillard d’ammoniaque présent dans le récipient sous pression atmosphérique et à une température de 34</w:t>
      </w:r>
      <w:r w:rsidR="00DF1B7F">
        <w:rPr>
          <w:b/>
          <w:bCs/>
          <w:lang w:val="fr-FR"/>
        </w:rPr>
        <w:t> </w:t>
      </w:r>
      <w:r>
        <w:rPr>
          <w:b/>
          <w:bCs/>
          <w:lang w:val="fr-FR"/>
        </w:rPr>
        <w:t>°C</w:t>
      </w:r>
      <w:r w:rsidR="00DF1B7F">
        <w:rPr>
          <w:b/>
          <w:bCs/>
          <w:lang w:val="fr-FR"/>
        </w:rPr>
        <w:t> </w:t>
      </w:r>
      <w:r w:rsidR="00DF1B7F">
        <w:rPr>
          <w:b/>
          <w:bCs/>
          <w:lang w:val="fr-FR"/>
        </w:rPr>
        <w:sym w:font="Symbol" w:char="F0B1"/>
      </w:r>
      <w:r w:rsidR="00DF1B7F">
        <w:rPr>
          <w:b/>
          <w:bCs/>
          <w:lang w:val="fr-FR"/>
        </w:rPr>
        <w:t> </w:t>
      </w:r>
      <w:r>
        <w:rPr>
          <w:b/>
          <w:bCs/>
          <w:lang w:val="fr-FR"/>
        </w:rPr>
        <w:t>2</w:t>
      </w:r>
      <w:r w:rsidR="00FE6488">
        <w:rPr>
          <w:b/>
          <w:bCs/>
          <w:lang w:val="fr-FR"/>
        </w:rPr>
        <w:t> °</w:t>
      </w:r>
      <w:r>
        <w:rPr>
          <w:b/>
          <w:bCs/>
          <w:lang w:val="fr-FR"/>
        </w:rPr>
        <w:t>C</w:t>
      </w:r>
      <w:r w:rsidR="00FE6488">
        <w:rPr>
          <w:b/>
          <w:bCs/>
          <w:lang w:val="fr-FR"/>
        </w:rPr>
        <w:t> ;</w:t>
      </w:r>
    </w:p>
    <w:p w14:paraId="1BBF50E2" w14:textId="56DF2627" w:rsidR="00AA7C91" w:rsidRPr="00A00630" w:rsidRDefault="00AA7C91" w:rsidP="00AA7C91">
      <w:pPr>
        <w:pStyle w:val="SingleTxtG"/>
        <w:ind w:left="2835" w:hanging="567"/>
        <w:rPr>
          <w:b/>
          <w:bCs/>
        </w:rPr>
      </w:pPr>
      <w:r>
        <w:rPr>
          <w:b/>
          <w:bCs/>
          <w:lang w:val="fr-FR"/>
        </w:rPr>
        <w:t>d)</w:t>
      </w:r>
      <w:r>
        <w:rPr>
          <w:lang w:val="fr-FR"/>
        </w:rPr>
        <w:tab/>
      </w:r>
      <w:r w:rsidRPr="004C06E0">
        <w:rPr>
          <w:b/>
          <w:bCs/>
          <w:lang w:val="fr-FR"/>
        </w:rPr>
        <w:t>Les composants exposés, en acier inoxydable, destinés à maintenir la pression sur les dispositifs de surpression doivent être fabriqués dans un type d</w:t>
      </w:r>
      <w:r>
        <w:rPr>
          <w:b/>
          <w:bCs/>
          <w:lang w:val="fr-FR"/>
        </w:rPr>
        <w:t>’</w:t>
      </w:r>
      <w:r w:rsidRPr="004C06E0">
        <w:rPr>
          <w:b/>
          <w:bCs/>
          <w:lang w:val="fr-FR"/>
        </w:rPr>
        <w:t>alliage résistant aux fissures de corrosion sous contrainte par chlorure.</w:t>
      </w:r>
      <w:r w:rsidR="00331E01">
        <w:t> »</w:t>
      </w:r>
      <w:r w:rsidRPr="00A00630">
        <w:t>.</w:t>
      </w:r>
    </w:p>
    <w:p w14:paraId="158EA9D3" w14:textId="0891A6D2" w:rsidR="00AA7C91" w:rsidRPr="00A00630" w:rsidRDefault="00331E01" w:rsidP="00331E01">
      <w:pPr>
        <w:pStyle w:val="HChG"/>
        <w:rPr>
          <w:rFonts w:asciiTheme="majorBidi" w:hAnsiTheme="majorBidi" w:cstheme="majorBidi"/>
          <w:szCs w:val="28"/>
        </w:rPr>
      </w:pPr>
      <w:r>
        <w:rPr>
          <w:lang w:val="fr-FR"/>
        </w:rPr>
        <w:tab/>
      </w:r>
      <w:r w:rsidR="00AA7C91">
        <w:rPr>
          <w:lang w:val="fr-FR"/>
        </w:rPr>
        <w:t>II.</w:t>
      </w:r>
      <w:r w:rsidR="00AA7C91">
        <w:rPr>
          <w:lang w:val="fr-FR"/>
        </w:rPr>
        <w:tab/>
        <w:t>Justification</w:t>
      </w:r>
    </w:p>
    <w:p w14:paraId="1D15AE37" w14:textId="4ACC79F5" w:rsidR="00AA7C91" w:rsidRPr="00A00630" w:rsidRDefault="00AA7C91" w:rsidP="00331E01">
      <w:pPr>
        <w:pStyle w:val="SingleTxtG"/>
      </w:pPr>
      <w:r>
        <w:rPr>
          <w:lang w:val="fr-FR"/>
        </w:rPr>
        <w:t>1.</w:t>
      </w:r>
      <w:r>
        <w:rPr>
          <w:lang w:val="fr-FR"/>
        </w:rPr>
        <w:tab/>
        <w:t xml:space="preserve">Il n’existe pas aujourd’hui dans le Règlement ONU </w:t>
      </w:r>
      <w:r w:rsidR="00331E01" w:rsidRPr="00331E01">
        <w:rPr>
          <w:rFonts w:eastAsia="MS Mincho"/>
          <w:lang w:val="fr-FR"/>
        </w:rPr>
        <w:t>n</w:t>
      </w:r>
      <w:r w:rsidR="00331E01" w:rsidRPr="00331E01">
        <w:rPr>
          <w:rFonts w:eastAsia="MS Mincho"/>
          <w:vertAlign w:val="superscript"/>
          <w:lang w:val="fr-FR"/>
        </w:rPr>
        <w:t>o</w:t>
      </w:r>
      <w:r w:rsidR="00331E01">
        <w:rPr>
          <w:lang w:val="fr-FR"/>
        </w:rPr>
        <w:t> </w:t>
      </w:r>
      <w:r>
        <w:rPr>
          <w:lang w:val="fr-FR"/>
        </w:rPr>
        <w:t xml:space="preserve">110 d’essais de qualification de la conception permettant de s’assurer qu’un dispositif de surpression thermocommandé se déclenchera systématiquement en temps voulu. Ce type de dispositif fait partie des principaux éléments de sécurité destinés à éviter la rupture d’un réservoir dans le cas d’un échauffement. Il importe au plus haut point de garantir qu’un dispositif de surpression se déclenche bien lorsqu’il atteint la plage de températures prévue pour le déclenchement. </w:t>
      </w:r>
    </w:p>
    <w:p w14:paraId="63C92E0C" w14:textId="77777777" w:rsidR="00AA7C91" w:rsidRPr="00A00630" w:rsidRDefault="00AA7C91" w:rsidP="00331E01">
      <w:pPr>
        <w:pStyle w:val="SingleTxtG"/>
      </w:pPr>
      <w:r>
        <w:rPr>
          <w:lang w:val="fr-FR"/>
        </w:rPr>
        <w:t>2.</w:t>
      </w:r>
      <w:r>
        <w:rPr>
          <w:lang w:val="fr-FR"/>
        </w:rPr>
        <w:tab/>
        <w:t>La réalisation d’essais par lots permet en outre de s’assurer qu’aucune modification mineure du processus ou des matériaux n’aura d’incidence sur le délai de déclenchement prévu.</w:t>
      </w:r>
    </w:p>
    <w:p w14:paraId="37F879CC" w14:textId="04F1F448" w:rsidR="00AA7C91" w:rsidRPr="00A00630" w:rsidRDefault="00AA7C91" w:rsidP="00331E01">
      <w:pPr>
        <w:pStyle w:val="SingleTxtG"/>
      </w:pPr>
      <w:r>
        <w:rPr>
          <w:lang w:val="fr-FR"/>
        </w:rPr>
        <w:lastRenderedPageBreak/>
        <w:t>3.</w:t>
      </w:r>
      <w:r>
        <w:rPr>
          <w:lang w:val="fr-FR"/>
        </w:rPr>
        <w:tab/>
        <w:t xml:space="preserve">L’ajout des essais visés permettra également d’harmoniser le Règlement ONU </w:t>
      </w:r>
      <w:r w:rsidR="00EB2151" w:rsidRPr="00EB2151">
        <w:rPr>
          <w:rFonts w:eastAsia="MS Mincho"/>
          <w:lang w:val="fr-FR"/>
        </w:rPr>
        <w:t>n</w:t>
      </w:r>
      <w:r w:rsidR="00EB2151" w:rsidRPr="00EB2151">
        <w:rPr>
          <w:rFonts w:eastAsia="MS Mincho"/>
          <w:vertAlign w:val="superscript"/>
          <w:lang w:val="fr-FR"/>
        </w:rPr>
        <w:t>o</w:t>
      </w:r>
      <w:r w:rsidR="00EB2151">
        <w:rPr>
          <w:lang w:val="fr-FR"/>
        </w:rPr>
        <w:t> </w:t>
      </w:r>
      <w:r>
        <w:rPr>
          <w:lang w:val="fr-FR"/>
        </w:rPr>
        <w:t>110 avec la norme ISO</w:t>
      </w:r>
      <w:r w:rsidR="00EB2151">
        <w:rPr>
          <w:lang w:val="fr-FR"/>
        </w:rPr>
        <w:t> </w:t>
      </w:r>
      <w:r>
        <w:rPr>
          <w:lang w:val="fr-FR"/>
        </w:rPr>
        <w:t>15500-13:2012 et la norme nord-américaine CSA/ANSI PRD</w:t>
      </w:r>
      <w:r w:rsidR="00EB2151">
        <w:rPr>
          <w:lang w:val="fr-FR"/>
        </w:rPr>
        <w:t> </w:t>
      </w:r>
      <w:r>
        <w:rPr>
          <w:lang w:val="fr-FR"/>
        </w:rPr>
        <w:t xml:space="preserve">1 (2020). </w:t>
      </w:r>
    </w:p>
    <w:p w14:paraId="52654F1D" w14:textId="5135163E" w:rsidR="00AA7C91" w:rsidRPr="00A00630" w:rsidRDefault="00AA7C91" w:rsidP="00331E01">
      <w:pPr>
        <w:pStyle w:val="SingleTxtG"/>
      </w:pPr>
      <w:r>
        <w:rPr>
          <w:lang w:val="fr-FR"/>
        </w:rPr>
        <w:t>4.</w:t>
      </w:r>
      <w:r>
        <w:rPr>
          <w:lang w:val="fr-FR"/>
        </w:rPr>
        <w:tab/>
        <w:t>Les essais par lots renvoient aux prescriptions de la norme ISO</w:t>
      </w:r>
      <w:r w:rsidR="00EB2151">
        <w:rPr>
          <w:lang w:val="fr-FR"/>
        </w:rPr>
        <w:t> </w:t>
      </w:r>
      <w:r>
        <w:rPr>
          <w:lang w:val="fr-FR"/>
        </w:rPr>
        <w:t>15500-13.</w:t>
      </w:r>
    </w:p>
    <w:p w14:paraId="62644154" w14:textId="6BB650C0" w:rsidR="00F9573C" w:rsidRDefault="00AA7C91" w:rsidP="00331E01">
      <w:pPr>
        <w:pStyle w:val="SingleTxtG"/>
        <w:rPr>
          <w:lang w:val="fr-FR"/>
        </w:rPr>
      </w:pPr>
      <w:r>
        <w:rPr>
          <w:lang w:val="fr-FR"/>
        </w:rPr>
        <w:t>5.</w:t>
      </w:r>
      <w:r>
        <w:rPr>
          <w:lang w:val="fr-FR"/>
        </w:rPr>
        <w:tab/>
        <w:t>L’ancien paragraphe</w:t>
      </w:r>
      <w:r w:rsidR="00EB2151">
        <w:rPr>
          <w:lang w:val="fr-FR"/>
        </w:rPr>
        <w:t> </w:t>
      </w:r>
      <w:r>
        <w:rPr>
          <w:lang w:val="fr-FR"/>
        </w:rPr>
        <w:t xml:space="preserve">A.24 de l’appendice A de l’annexe 3A est déplacé dans la nouvelle annexe 5R, qui est renommée </w:t>
      </w:r>
      <w:r w:rsidR="00EB2151">
        <w:rPr>
          <w:lang w:val="fr-FR"/>
        </w:rPr>
        <w:t>« </w:t>
      </w:r>
      <w:r>
        <w:rPr>
          <w:lang w:val="fr-FR"/>
        </w:rPr>
        <w:t>Procédure d’essai pour les dispositifs de surpression (à déclenchement thermique)</w:t>
      </w:r>
      <w:r w:rsidR="00EB2151">
        <w:rPr>
          <w:lang w:val="fr-FR"/>
        </w:rPr>
        <w:t> »</w:t>
      </w:r>
      <w:r>
        <w:rPr>
          <w:lang w:val="fr-FR"/>
        </w:rPr>
        <w:t>.</w:t>
      </w:r>
    </w:p>
    <w:p w14:paraId="07E889E4" w14:textId="0AD9ECDB" w:rsidR="00C658D3" w:rsidRPr="00C658D3" w:rsidRDefault="00C658D3" w:rsidP="00C658D3">
      <w:pPr>
        <w:pStyle w:val="SingleTxtG"/>
        <w:spacing w:before="240" w:after="0"/>
        <w:jc w:val="center"/>
        <w:rPr>
          <w:u w:val="single"/>
        </w:rPr>
      </w:pPr>
      <w:r>
        <w:rPr>
          <w:u w:val="single"/>
        </w:rPr>
        <w:tab/>
      </w:r>
      <w:r>
        <w:rPr>
          <w:u w:val="single"/>
        </w:rPr>
        <w:tab/>
      </w:r>
      <w:r>
        <w:rPr>
          <w:u w:val="single"/>
        </w:rPr>
        <w:tab/>
      </w:r>
      <w:r>
        <w:rPr>
          <w:u w:val="single"/>
        </w:rPr>
        <w:tab/>
      </w:r>
    </w:p>
    <w:sectPr w:rsidR="00C658D3" w:rsidRPr="00C658D3" w:rsidSect="00B436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D6D8" w14:textId="77777777" w:rsidR="00756F51" w:rsidRDefault="00756F51" w:rsidP="00F95C08">
      <w:pPr>
        <w:spacing w:line="240" w:lineRule="auto"/>
      </w:pPr>
    </w:p>
  </w:endnote>
  <w:endnote w:type="continuationSeparator" w:id="0">
    <w:p w14:paraId="1E05AC31" w14:textId="77777777" w:rsidR="00756F51" w:rsidRPr="00AC3823" w:rsidRDefault="00756F51" w:rsidP="00AC3823">
      <w:pPr>
        <w:pStyle w:val="Pieddepage"/>
      </w:pPr>
    </w:p>
  </w:endnote>
  <w:endnote w:type="continuationNotice" w:id="1">
    <w:p w14:paraId="062BAA06" w14:textId="77777777" w:rsidR="00756F51" w:rsidRDefault="00756F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0CCA" w14:textId="488E1491" w:rsidR="00B43665" w:rsidRPr="00B43665" w:rsidRDefault="00B43665" w:rsidP="00B43665">
    <w:pPr>
      <w:pStyle w:val="Pieddepage"/>
      <w:tabs>
        <w:tab w:val="right" w:pos="9638"/>
      </w:tabs>
    </w:pPr>
    <w:r w:rsidRPr="00B43665">
      <w:rPr>
        <w:b/>
        <w:sz w:val="18"/>
      </w:rPr>
      <w:fldChar w:fldCharType="begin"/>
    </w:r>
    <w:r w:rsidRPr="00B43665">
      <w:rPr>
        <w:b/>
        <w:sz w:val="18"/>
      </w:rPr>
      <w:instrText xml:space="preserve"> PAGE  \* MERGEFORMAT </w:instrText>
    </w:r>
    <w:r w:rsidRPr="00B43665">
      <w:rPr>
        <w:b/>
        <w:sz w:val="18"/>
      </w:rPr>
      <w:fldChar w:fldCharType="separate"/>
    </w:r>
    <w:r w:rsidRPr="00B43665">
      <w:rPr>
        <w:b/>
        <w:noProof/>
        <w:sz w:val="18"/>
      </w:rPr>
      <w:t>2</w:t>
    </w:r>
    <w:r w:rsidRPr="00B43665">
      <w:rPr>
        <w:b/>
        <w:sz w:val="18"/>
      </w:rPr>
      <w:fldChar w:fldCharType="end"/>
    </w:r>
    <w:r>
      <w:rPr>
        <w:b/>
        <w:sz w:val="18"/>
      </w:rPr>
      <w:tab/>
    </w:r>
    <w:r>
      <w:t>GE.22-11522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90B9" w14:textId="0F4A3CFB" w:rsidR="00B43665" w:rsidRPr="00B43665" w:rsidRDefault="00B43665" w:rsidP="00B43665">
    <w:pPr>
      <w:pStyle w:val="Pieddepage"/>
      <w:tabs>
        <w:tab w:val="right" w:pos="9638"/>
      </w:tabs>
      <w:rPr>
        <w:b/>
        <w:sz w:val="18"/>
      </w:rPr>
    </w:pPr>
    <w:r>
      <w:t>GE.22-11522</w:t>
    </w:r>
    <w:r>
      <w:tab/>
    </w:r>
    <w:r w:rsidRPr="00B43665">
      <w:rPr>
        <w:b/>
        <w:sz w:val="18"/>
      </w:rPr>
      <w:fldChar w:fldCharType="begin"/>
    </w:r>
    <w:r w:rsidRPr="00B43665">
      <w:rPr>
        <w:b/>
        <w:sz w:val="18"/>
      </w:rPr>
      <w:instrText xml:space="preserve"> PAGE  \* MERGEFORMAT </w:instrText>
    </w:r>
    <w:r w:rsidRPr="00B43665">
      <w:rPr>
        <w:b/>
        <w:sz w:val="18"/>
      </w:rPr>
      <w:fldChar w:fldCharType="separate"/>
    </w:r>
    <w:r w:rsidRPr="00B43665">
      <w:rPr>
        <w:b/>
        <w:noProof/>
        <w:sz w:val="18"/>
      </w:rPr>
      <w:t>3</w:t>
    </w:r>
    <w:r w:rsidRPr="00B436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3D5A" w14:textId="1CA479C9" w:rsidR="007F20FA" w:rsidRPr="00B43665" w:rsidRDefault="00B43665" w:rsidP="00B4366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97FEF35" wp14:editId="4D023B5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22-11522  (F)</w:t>
    </w:r>
    <w:r>
      <w:rPr>
        <w:noProof/>
        <w:sz w:val="20"/>
      </w:rPr>
      <w:drawing>
        <wp:anchor distT="0" distB="0" distL="114300" distR="114300" simplePos="0" relativeHeight="251660288" behindDoc="0" locked="0" layoutInCell="1" allowOverlap="1" wp14:anchorId="08C70FB0" wp14:editId="3938980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170822    180822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3176" w14:textId="77777777" w:rsidR="00756F51" w:rsidRPr="00AC3823" w:rsidRDefault="00756F51" w:rsidP="00AC3823">
      <w:pPr>
        <w:pStyle w:val="Pieddepage"/>
        <w:tabs>
          <w:tab w:val="right" w:pos="2155"/>
        </w:tabs>
        <w:spacing w:after="80" w:line="240" w:lineRule="atLeast"/>
        <w:ind w:left="680"/>
        <w:rPr>
          <w:u w:val="single"/>
        </w:rPr>
      </w:pPr>
      <w:r>
        <w:rPr>
          <w:u w:val="single"/>
        </w:rPr>
        <w:tab/>
      </w:r>
    </w:p>
  </w:footnote>
  <w:footnote w:type="continuationSeparator" w:id="0">
    <w:p w14:paraId="5740FDEF" w14:textId="77777777" w:rsidR="00756F51" w:rsidRPr="00AC3823" w:rsidRDefault="00756F51" w:rsidP="00AC3823">
      <w:pPr>
        <w:pStyle w:val="Pieddepage"/>
        <w:tabs>
          <w:tab w:val="right" w:pos="2155"/>
        </w:tabs>
        <w:spacing w:after="80" w:line="240" w:lineRule="atLeast"/>
        <w:ind w:left="680"/>
        <w:rPr>
          <w:u w:val="single"/>
        </w:rPr>
      </w:pPr>
      <w:r>
        <w:rPr>
          <w:u w:val="single"/>
        </w:rPr>
        <w:tab/>
      </w:r>
    </w:p>
  </w:footnote>
  <w:footnote w:type="continuationNotice" w:id="1">
    <w:p w14:paraId="78076E16" w14:textId="77777777" w:rsidR="00756F51" w:rsidRPr="00AC3823" w:rsidRDefault="00756F51">
      <w:pPr>
        <w:spacing w:line="240" w:lineRule="auto"/>
        <w:rPr>
          <w:sz w:val="2"/>
          <w:szCs w:val="2"/>
        </w:rPr>
      </w:pPr>
    </w:p>
  </w:footnote>
  <w:footnote w:id="2">
    <w:p w14:paraId="6ED7A0B0" w14:textId="61B3F224" w:rsidR="00AA7C91" w:rsidRPr="00A00630" w:rsidRDefault="00AA7C91" w:rsidP="00AA7C91">
      <w:pPr>
        <w:pStyle w:val="Notedebasdepage"/>
        <w:rPr>
          <w:rFonts w:eastAsia="Times New Roman"/>
        </w:rPr>
      </w:pPr>
      <w:r>
        <w:rPr>
          <w:lang w:val="fr-FR"/>
        </w:rPr>
        <w:tab/>
      </w:r>
      <w:r w:rsidRPr="000B679F">
        <w:rPr>
          <w:sz w:val="20"/>
          <w:lang w:val="fr-FR"/>
        </w:rPr>
        <w:t>*</w:t>
      </w:r>
      <w:r>
        <w:rPr>
          <w:lang w:val="fr-FR"/>
        </w:rPr>
        <w:tab/>
        <w:t>Conformément au programme de travail du Comité des transports intérieurs pour 2022 tel qu’il figure dans le projet de budget-programme pour 2022 (A/76/6 (Sect. 20), par.</w:t>
      </w:r>
      <w:r w:rsidR="00326F83">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0F04" w14:textId="2C2FF8BA" w:rsidR="00B43665" w:rsidRPr="00B43665" w:rsidRDefault="00B43665">
    <w:pPr>
      <w:pStyle w:val="En-tte"/>
    </w:pPr>
    <w:fldSimple w:instr=" TITLE  \* MERGEFORMAT ">
      <w:r>
        <w:t>ECE/TRANS/WP.29/GRSG/2022/24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0FBB" w14:textId="159E584C" w:rsidR="00B43665" w:rsidRPr="00B43665" w:rsidRDefault="00B43665" w:rsidP="00B43665">
    <w:pPr>
      <w:pStyle w:val="En-tte"/>
      <w:jc w:val="right"/>
    </w:pPr>
    <w:fldSimple w:instr=" TITLE  \* MERGEFORMAT ">
      <w:r>
        <w:t>ECE/TRANS/WP.29/GRSG/2022/24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51"/>
    <w:rsid w:val="00017F94"/>
    <w:rsid w:val="00023842"/>
    <w:rsid w:val="000334F9"/>
    <w:rsid w:val="00045FEB"/>
    <w:rsid w:val="0005606F"/>
    <w:rsid w:val="0007796D"/>
    <w:rsid w:val="0009661A"/>
    <w:rsid w:val="000B679F"/>
    <w:rsid w:val="000B7790"/>
    <w:rsid w:val="00111F2F"/>
    <w:rsid w:val="0014365E"/>
    <w:rsid w:val="00143C66"/>
    <w:rsid w:val="00176178"/>
    <w:rsid w:val="001F525A"/>
    <w:rsid w:val="00201148"/>
    <w:rsid w:val="00223272"/>
    <w:rsid w:val="00231559"/>
    <w:rsid w:val="00241E8B"/>
    <w:rsid w:val="0024779E"/>
    <w:rsid w:val="00257168"/>
    <w:rsid w:val="002744B8"/>
    <w:rsid w:val="002832AC"/>
    <w:rsid w:val="00295249"/>
    <w:rsid w:val="002D7C93"/>
    <w:rsid w:val="00302311"/>
    <w:rsid w:val="00305801"/>
    <w:rsid w:val="00326F83"/>
    <w:rsid w:val="00331E01"/>
    <w:rsid w:val="003916DE"/>
    <w:rsid w:val="00421996"/>
    <w:rsid w:val="00425A6E"/>
    <w:rsid w:val="00441C3B"/>
    <w:rsid w:val="00446FE5"/>
    <w:rsid w:val="00452396"/>
    <w:rsid w:val="00477EB2"/>
    <w:rsid w:val="004837D8"/>
    <w:rsid w:val="004E2EED"/>
    <w:rsid w:val="004E468C"/>
    <w:rsid w:val="005505B7"/>
    <w:rsid w:val="005623F6"/>
    <w:rsid w:val="00573BE5"/>
    <w:rsid w:val="00586ED3"/>
    <w:rsid w:val="00596AA9"/>
    <w:rsid w:val="005C2752"/>
    <w:rsid w:val="005F09DD"/>
    <w:rsid w:val="0070722F"/>
    <w:rsid w:val="0071601D"/>
    <w:rsid w:val="00747AD1"/>
    <w:rsid w:val="00756F51"/>
    <w:rsid w:val="007A62E6"/>
    <w:rsid w:val="007F20FA"/>
    <w:rsid w:val="0080684C"/>
    <w:rsid w:val="00807E35"/>
    <w:rsid w:val="00871C75"/>
    <w:rsid w:val="008776DC"/>
    <w:rsid w:val="008D5EF9"/>
    <w:rsid w:val="009078BC"/>
    <w:rsid w:val="009446C0"/>
    <w:rsid w:val="009705C8"/>
    <w:rsid w:val="009A5608"/>
    <w:rsid w:val="009C1CF4"/>
    <w:rsid w:val="009F6B74"/>
    <w:rsid w:val="00A3029F"/>
    <w:rsid w:val="00A30353"/>
    <w:rsid w:val="00AA1473"/>
    <w:rsid w:val="00AA7C91"/>
    <w:rsid w:val="00AC3823"/>
    <w:rsid w:val="00AE323C"/>
    <w:rsid w:val="00AF0CB5"/>
    <w:rsid w:val="00B00181"/>
    <w:rsid w:val="00B00B0D"/>
    <w:rsid w:val="00B43665"/>
    <w:rsid w:val="00B45F2E"/>
    <w:rsid w:val="00B765F7"/>
    <w:rsid w:val="00B76AA5"/>
    <w:rsid w:val="00B77993"/>
    <w:rsid w:val="00BA0CA9"/>
    <w:rsid w:val="00BF4F27"/>
    <w:rsid w:val="00C025B2"/>
    <w:rsid w:val="00C02897"/>
    <w:rsid w:val="00C23AA5"/>
    <w:rsid w:val="00C34CF2"/>
    <w:rsid w:val="00C658D3"/>
    <w:rsid w:val="00C97039"/>
    <w:rsid w:val="00D202EC"/>
    <w:rsid w:val="00D3439C"/>
    <w:rsid w:val="00D42E6F"/>
    <w:rsid w:val="00D5309C"/>
    <w:rsid w:val="00D7622E"/>
    <w:rsid w:val="00D821C5"/>
    <w:rsid w:val="00DB1831"/>
    <w:rsid w:val="00DD3BFD"/>
    <w:rsid w:val="00DF1B7F"/>
    <w:rsid w:val="00DF6678"/>
    <w:rsid w:val="00E0299A"/>
    <w:rsid w:val="00E03336"/>
    <w:rsid w:val="00E85C74"/>
    <w:rsid w:val="00EA6547"/>
    <w:rsid w:val="00EB2151"/>
    <w:rsid w:val="00ED7237"/>
    <w:rsid w:val="00EF2E22"/>
    <w:rsid w:val="00F35BAF"/>
    <w:rsid w:val="00F660DF"/>
    <w:rsid w:val="00F94664"/>
    <w:rsid w:val="00F9573C"/>
    <w:rsid w:val="00F95C08"/>
    <w:rsid w:val="00FE64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F5CE7E"/>
  <w15:docId w15:val="{3016FE42-1DD9-40C0-8DC3-0B00E49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AA7C91"/>
    <w:rPr>
      <w:rFonts w:ascii="Times New Roman" w:eastAsiaTheme="minorHAnsi" w:hAnsi="Times New Roman" w:cs="Times New Roman"/>
      <w:sz w:val="20"/>
      <w:szCs w:val="20"/>
      <w:lang w:eastAsia="en-US"/>
    </w:rPr>
  </w:style>
  <w:style w:type="character" w:customStyle="1" w:styleId="HChGChar">
    <w:name w:val="_ H _Ch_G Char"/>
    <w:link w:val="HChG"/>
    <w:locked/>
    <w:rsid w:val="00AA7C9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6</Pages>
  <Words>1291</Words>
  <Characters>9039</Characters>
  <Application>Microsoft Office Word</Application>
  <DocSecurity>0</DocSecurity>
  <Lines>753</Lines>
  <Paragraphs>413</Paragraphs>
  <ScaleCrop>false</ScaleCrop>
  <HeadingPairs>
    <vt:vector size="2" baseType="variant">
      <vt:variant>
        <vt:lpstr>Titre</vt:lpstr>
      </vt:variant>
      <vt:variant>
        <vt:i4>1</vt:i4>
      </vt:variant>
    </vt:vector>
  </HeadingPairs>
  <TitlesOfParts>
    <vt:vector size="1" baseType="lpstr">
      <vt:lpstr>ECE/TRANS/WP.29/GRSG/2022/24</vt:lpstr>
    </vt:vector>
  </TitlesOfParts>
  <Company>DCM</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ECE/TRANS/WP.29/GRSG/2022/24</dc:title>
  <dc:subject/>
  <dc:creator>Nathalie VITTOZ</dc:creator>
  <cp:keywords/>
  <cp:lastModifiedBy>Nathalie Vittoz</cp:lastModifiedBy>
  <cp:revision>2</cp:revision>
  <cp:lastPrinted>2014-05-14T10:59:00Z</cp:lastPrinted>
  <dcterms:created xsi:type="dcterms:W3CDTF">2022-08-18T06:16:00Z</dcterms:created>
  <dcterms:modified xsi:type="dcterms:W3CDTF">2022-08-18T06:16:00Z</dcterms:modified>
</cp:coreProperties>
</file>