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CC140B1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604E738" w14:textId="77777777" w:rsidR="00F35BAF" w:rsidRPr="00DB58B5" w:rsidRDefault="00F35BAF" w:rsidP="00AE2E8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527546B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0DE5720" w14:textId="196B8C21" w:rsidR="00F35BAF" w:rsidRPr="00DB58B5" w:rsidRDefault="00AE2E88" w:rsidP="00AE2E88">
            <w:pPr>
              <w:jc w:val="right"/>
            </w:pPr>
            <w:r w:rsidRPr="00AE2E88">
              <w:rPr>
                <w:sz w:val="40"/>
              </w:rPr>
              <w:t>ECE</w:t>
            </w:r>
            <w:r>
              <w:t>/TRANS/WP.29/GRSG/2022/23</w:t>
            </w:r>
          </w:p>
        </w:tc>
      </w:tr>
      <w:tr w:rsidR="00F35BAF" w:rsidRPr="00DB58B5" w14:paraId="714C56F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CDB8685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24D72F4" wp14:editId="603FDB2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C442FA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DB948B1" w14:textId="77777777" w:rsidR="00F35BAF" w:rsidRDefault="00AE2E88" w:rsidP="00C97039">
            <w:pPr>
              <w:spacing w:before="240"/>
            </w:pPr>
            <w:r>
              <w:t>Distr. générale</w:t>
            </w:r>
          </w:p>
          <w:p w14:paraId="0CF35435" w14:textId="0A0E9EA5" w:rsidR="00AE2E88" w:rsidRDefault="00AE2E88" w:rsidP="00AE2E88">
            <w:pPr>
              <w:spacing w:line="240" w:lineRule="exact"/>
            </w:pPr>
            <w:r>
              <w:t>22 juillet 2022</w:t>
            </w:r>
          </w:p>
          <w:p w14:paraId="03C4B891" w14:textId="77777777" w:rsidR="00AE2E88" w:rsidRDefault="00AE2E88" w:rsidP="00AE2E88">
            <w:pPr>
              <w:spacing w:line="240" w:lineRule="exact"/>
            </w:pPr>
            <w:r>
              <w:t>Français</w:t>
            </w:r>
          </w:p>
          <w:p w14:paraId="704A6688" w14:textId="17A1D399" w:rsidR="00AE2E88" w:rsidRPr="00DB58B5" w:rsidRDefault="00AE2E88" w:rsidP="00AE2E88">
            <w:pPr>
              <w:spacing w:line="240" w:lineRule="exact"/>
            </w:pPr>
            <w:r>
              <w:t>Original : anglais</w:t>
            </w:r>
          </w:p>
        </w:tc>
      </w:tr>
    </w:tbl>
    <w:p w14:paraId="18B0D00B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22A0425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85DC7B3" w14:textId="7F24FD6E" w:rsidR="00AE2E88" w:rsidRDefault="00AE2E88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50C3014E" w14:textId="77777777" w:rsidR="00AE2E88" w:rsidRDefault="00AE2E88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14:paraId="59E659CE" w14:textId="6D86E2AB" w:rsidR="00AE2E88" w:rsidRPr="00951A28" w:rsidRDefault="00AE2E88" w:rsidP="00AE2E88">
      <w:pPr>
        <w:rPr>
          <w:b/>
          <w:lang w:val="fr-FR"/>
        </w:rPr>
      </w:pPr>
      <w:r w:rsidRPr="00951A28">
        <w:rPr>
          <w:b/>
          <w:bCs/>
          <w:lang w:val="fr-FR"/>
        </w:rPr>
        <w:t>124</w:t>
      </w:r>
      <w:r w:rsidRPr="00951A28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> </w:t>
      </w:r>
      <w:r w:rsidRPr="00951A28">
        <w:rPr>
          <w:b/>
          <w:bCs/>
          <w:lang w:val="fr-FR"/>
        </w:rPr>
        <w:t>session</w:t>
      </w:r>
    </w:p>
    <w:p w14:paraId="751013E4" w14:textId="6255B9EB" w:rsidR="00AE2E88" w:rsidRPr="00951A28" w:rsidRDefault="00AE2E88" w:rsidP="00AE2E88">
      <w:pPr>
        <w:rPr>
          <w:lang w:val="fr-FR"/>
        </w:rPr>
      </w:pPr>
      <w:r w:rsidRPr="00951A28">
        <w:rPr>
          <w:lang w:val="fr-FR"/>
        </w:rPr>
        <w:t>Genève, 11-14</w:t>
      </w:r>
      <w:r>
        <w:rPr>
          <w:lang w:val="fr-FR"/>
        </w:rPr>
        <w:t> </w:t>
      </w:r>
      <w:r w:rsidRPr="00951A28">
        <w:rPr>
          <w:lang w:val="fr-FR"/>
        </w:rPr>
        <w:t>octobre 2022</w:t>
      </w:r>
    </w:p>
    <w:p w14:paraId="04D80CCA" w14:textId="7E4168B7" w:rsidR="00AE2E88" w:rsidRPr="00951A28" w:rsidRDefault="00AE2E88" w:rsidP="00AE2E88">
      <w:pPr>
        <w:rPr>
          <w:lang w:val="fr-FR"/>
        </w:rPr>
      </w:pPr>
      <w:r w:rsidRPr="00951A28">
        <w:rPr>
          <w:lang w:val="fr-FR"/>
        </w:rPr>
        <w:t>Point</w:t>
      </w:r>
      <w:r>
        <w:rPr>
          <w:lang w:val="fr-FR"/>
        </w:rPr>
        <w:t> </w:t>
      </w:r>
      <w:r w:rsidRPr="00951A28">
        <w:rPr>
          <w:lang w:val="fr-FR"/>
        </w:rPr>
        <w:t>6</w:t>
      </w:r>
      <w:r>
        <w:rPr>
          <w:lang w:val="fr-FR"/>
        </w:rPr>
        <w:t> </w:t>
      </w:r>
      <w:r w:rsidRPr="00951A28">
        <w:rPr>
          <w:lang w:val="fr-FR"/>
        </w:rPr>
        <w:t>b) de l</w:t>
      </w:r>
      <w:r>
        <w:rPr>
          <w:lang w:val="fr-FR"/>
        </w:rPr>
        <w:t>’</w:t>
      </w:r>
      <w:r w:rsidRPr="00951A28">
        <w:rPr>
          <w:lang w:val="fr-FR"/>
        </w:rPr>
        <w:t>ordre du jour provisoire</w:t>
      </w:r>
    </w:p>
    <w:p w14:paraId="1D8488AF" w14:textId="54E98864" w:rsidR="00AE2E88" w:rsidRPr="00951A28" w:rsidRDefault="00AE2E88" w:rsidP="00AE2E88">
      <w:pPr>
        <w:rPr>
          <w:b/>
          <w:lang w:val="fr-FR"/>
        </w:rPr>
      </w:pPr>
      <w:r w:rsidRPr="00951A28">
        <w:rPr>
          <w:b/>
          <w:bCs/>
          <w:lang w:val="fr-FR"/>
        </w:rPr>
        <w:t xml:space="preserve">Amendements aux Règlements concernant </w:t>
      </w:r>
      <w:r>
        <w:rPr>
          <w:b/>
          <w:bCs/>
          <w:lang w:val="fr-FR"/>
        </w:rPr>
        <w:br/>
      </w:r>
      <w:r w:rsidRPr="00951A28">
        <w:rPr>
          <w:b/>
          <w:bCs/>
          <w:lang w:val="fr-FR"/>
        </w:rPr>
        <w:t>les véhicules fonctionnant au gaz</w:t>
      </w:r>
      <w:r>
        <w:rPr>
          <w:b/>
          <w:bCs/>
          <w:lang w:val="fr-FR"/>
        </w:rPr>
        <w:t> </w:t>
      </w:r>
      <w:r w:rsidRPr="00951A28">
        <w:rPr>
          <w:b/>
          <w:bCs/>
          <w:lang w:val="fr-FR"/>
        </w:rPr>
        <w:t>: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951A28">
        <w:rPr>
          <w:b/>
          <w:bCs/>
          <w:lang w:val="fr-FR"/>
        </w:rPr>
        <w:t>Règlement ONU n</w:t>
      </w:r>
      <w:r w:rsidRPr="00AE2E88"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 w:rsidRPr="00951A28">
        <w:rPr>
          <w:b/>
          <w:bCs/>
          <w:lang w:val="fr-FR"/>
        </w:rPr>
        <w:t>110 (Véhicules alimentés au GNC ou au GNL)</w:t>
      </w:r>
    </w:p>
    <w:p w14:paraId="007C5175" w14:textId="2E812AA5" w:rsidR="00AE2E88" w:rsidRPr="00951A28" w:rsidRDefault="00AE2E88" w:rsidP="00AE2E88">
      <w:pPr>
        <w:pStyle w:val="HChG"/>
        <w:rPr>
          <w:lang w:val="fr-FR"/>
        </w:rPr>
      </w:pPr>
      <w:r w:rsidRPr="00951A28">
        <w:rPr>
          <w:lang w:val="fr-FR"/>
        </w:rPr>
        <w:tab/>
      </w:r>
      <w:r w:rsidRPr="00951A28">
        <w:rPr>
          <w:lang w:val="fr-FR"/>
        </w:rPr>
        <w:tab/>
        <w:t>Proposition de complément</w:t>
      </w:r>
      <w:r>
        <w:rPr>
          <w:lang w:val="fr-FR"/>
        </w:rPr>
        <w:t> </w:t>
      </w:r>
      <w:r w:rsidRPr="00951A28">
        <w:rPr>
          <w:lang w:val="fr-FR"/>
        </w:rPr>
        <w:t>1 à la série</w:t>
      </w:r>
      <w:r>
        <w:rPr>
          <w:lang w:val="fr-FR"/>
        </w:rPr>
        <w:t> </w:t>
      </w:r>
      <w:r w:rsidRPr="00951A28">
        <w:rPr>
          <w:lang w:val="fr-FR"/>
        </w:rPr>
        <w:t>05 d</w:t>
      </w:r>
      <w:r>
        <w:rPr>
          <w:lang w:val="fr-FR"/>
        </w:rPr>
        <w:t>’</w:t>
      </w:r>
      <w:r w:rsidRPr="00951A28">
        <w:rPr>
          <w:lang w:val="fr-FR"/>
        </w:rPr>
        <w:t>amendements au</w:t>
      </w:r>
      <w:r>
        <w:rPr>
          <w:lang w:val="fr-FR"/>
        </w:rPr>
        <w:t> </w:t>
      </w:r>
      <w:r w:rsidRPr="00951A28">
        <w:rPr>
          <w:lang w:val="fr-FR"/>
        </w:rPr>
        <w:t>Règlement ONU n</w:t>
      </w:r>
      <w:r w:rsidRPr="00951A28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951A28">
        <w:rPr>
          <w:lang w:val="fr-FR"/>
        </w:rPr>
        <w:t>110 (Véhicules alimentés au GNC ou</w:t>
      </w:r>
      <w:r>
        <w:rPr>
          <w:lang w:val="fr-FR"/>
        </w:rPr>
        <w:t> </w:t>
      </w:r>
      <w:r w:rsidRPr="00951A28">
        <w:rPr>
          <w:lang w:val="fr-FR"/>
        </w:rPr>
        <w:t>au GNL)</w:t>
      </w:r>
    </w:p>
    <w:p w14:paraId="3C4DAB9A" w14:textId="3C655F6D" w:rsidR="00AE2E88" w:rsidRPr="00951A28" w:rsidRDefault="00AE2E88" w:rsidP="00AE2E88">
      <w:pPr>
        <w:pStyle w:val="H1G"/>
        <w:rPr>
          <w:lang w:val="fr-FR"/>
        </w:rPr>
      </w:pPr>
      <w:r w:rsidRPr="00951A28">
        <w:rPr>
          <w:lang w:val="fr-FR"/>
        </w:rPr>
        <w:tab/>
      </w:r>
      <w:r w:rsidRPr="00951A28">
        <w:rPr>
          <w:lang w:val="fr-FR"/>
        </w:rPr>
        <w:tab/>
        <w:t>Communication de l</w:t>
      </w:r>
      <w:r>
        <w:rPr>
          <w:lang w:val="fr-FR"/>
        </w:rPr>
        <w:t>’</w:t>
      </w:r>
      <w:r w:rsidRPr="00951A28">
        <w:rPr>
          <w:lang w:val="fr-FR"/>
        </w:rPr>
        <w:t>expert de la Natural and Bio Gas Vehicle Association Europe</w:t>
      </w:r>
      <w:r w:rsidRPr="00AE2E88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25488782" w14:textId="5D4963CE" w:rsidR="00F9573C" w:rsidRDefault="00AE2E88" w:rsidP="00AE2E88">
      <w:pPr>
        <w:pStyle w:val="SingleTxtG"/>
        <w:ind w:firstLine="567"/>
        <w:rPr>
          <w:lang w:val="fr-FR"/>
        </w:rPr>
      </w:pPr>
      <w:r w:rsidRPr="00951A28">
        <w:rPr>
          <w:lang w:val="fr-FR"/>
        </w:rPr>
        <w:t>Le texte ci-après, établi par l</w:t>
      </w:r>
      <w:r>
        <w:rPr>
          <w:lang w:val="fr-FR"/>
        </w:rPr>
        <w:t>’</w:t>
      </w:r>
      <w:r w:rsidRPr="00951A28">
        <w:rPr>
          <w:lang w:val="fr-FR"/>
        </w:rPr>
        <w:t>équipe spéciale du Règlement ONU n</w:t>
      </w:r>
      <w:r w:rsidRPr="00951A28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951A28">
        <w:rPr>
          <w:lang w:val="fr-FR"/>
        </w:rPr>
        <w:t xml:space="preserve">110, vise à </w:t>
      </w:r>
      <w:r>
        <w:rPr>
          <w:lang w:val="fr-FR"/>
        </w:rPr>
        <w:t>ajouter des dispositions relatives à</w:t>
      </w:r>
      <w:r w:rsidRPr="00951A28">
        <w:rPr>
          <w:lang w:val="fr-FR"/>
        </w:rPr>
        <w:t xml:space="preserve"> la pression d</w:t>
      </w:r>
      <w:r>
        <w:rPr>
          <w:lang w:val="fr-FR"/>
        </w:rPr>
        <w:t>’</w:t>
      </w:r>
      <w:r w:rsidRPr="00951A28">
        <w:rPr>
          <w:lang w:val="fr-FR"/>
        </w:rPr>
        <w:t xml:space="preserve">ouverture minimale de la soupape de </w:t>
      </w:r>
      <w:r>
        <w:rPr>
          <w:lang w:val="fr-FR"/>
        </w:rPr>
        <w:t>décompression primaire</w:t>
      </w:r>
      <w:r w:rsidRPr="00951A28">
        <w:rPr>
          <w:lang w:val="fr-FR"/>
        </w:rPr>
        <w:t xml:space="preserve"> pour le gaz naturel liquide. Il remplace le document informel GRSG-123-24, qui a été soumis au Groupe de travail des dispositions générales de sécurité (GRSG) à sa 123</w:t>
      </w:r>
      <w:r w:rsidRPr="00951A28">
        <w:rPr>
          <w:vertAlign w:val="superscript"/>
          <w:lang w:val="fr-FR"/>
        </w:rPr>
        <w:t>e</w:t>
      </w:r>
      <w:r>
        <w:rPr>
          <w:lang w:val="fr-FR"/>
        </w:rPr>
        <w:t> </w:t>
      </w:r>
      <w:r w:rsidRPr="00951A28">
        <w:rPr>
          <w:lang w:val="fr-FR"/>
        </w:rPr>
        <w:t>session. Les modifications qu</w:t>
      </w:r>
      <w:r>
        <w:rPr>
          <w:lang w:val="fr-FR"/>
        </w:rPr>
        <w:t>’</w:t>
      </w:r>
      <w:r w:rsidRPr="00951A28">
        <w:rPr>
          <w:lang w:val="fr-FR"/>
        </w:rPr>
        <w:t>il est proposé d</w:t>
      </w:r>
      <w:r>
        <w:rPr>
          <w:lang w:val="fr-FR"/>
        </w:rPr>
        <w:t>’</w:t>
      </w:r>
      <w:r w:rsidRPr="00951A28">
        <w:rPr>
          <w:lang w:val="fr-FR"/>
        </w:rPr>
        <w:t>apporter au texte actuel du Règlement ONU figurent en caractères gras pour les ajouts et biffés pour les suppressions.</w:t>
      </w:r>
    </w:p>
    <w:p w14:paraId="6386BBE3" w14:textId="142FA0E3" w:rsidR="00AE2E88" w:rsidRDefault="00AE2E88" w:rsidP="00AE2E88">
      <w:pPr>
        <w:pStyle w:val="SingleTxtG"/>
        <w:ind w:firstLine="567"/>
        <w:rPr>
          <w:lang w:val="fr-FR"/>
        </w:rPr>
      </w:pPr>
      <w:r>
        <w:rPr>
          <w:lang w:val="fr-FR"/>
        </w:rPr>
        <w:br w:type="page"/>
      </w:r>
    </w:p>
    <w:p w14:paraId="459EABA5" w14:textId="09E5319B" w:rsidR="00AE2E88" w:rsidRPr="00951A28" w:rsidRDefault="00AE2E88" w:rsidP="00AE2E88">
      <w:pPr>
        <w:pStyle w:val="HChG"/>
        <w:rPr>
          <w:lang w:val="fr-FR"/>
        </w:rPr>
      </w:pPr>
      <w:r>
        <w:rPr>
          <w:lang w:val="fr-FR"/>
        </w:rPr>
        <w:tab/>
      </w:r>
      <w:r w:rsidR="001F4B0E">
        <w:rPr>
          <w:lang w:val="fr-FR"/>
        </w:rPr>
        <w:t>I.</w:t>
      </w:r>
      <w:r>
        <w:rPr>
          <w:lang w:val="fr-FR"/>
        </w:rPr>
        <w:tab/>
      </w:r>
      <w:r w:rsidRPr="00951A28">
        <w:rPr>
          <w:lang w:val="fr-FR"/>
        </w:rPr>
        <w:t>Proposition</w:t>
      </w:r>
    </w:p>
    <w:p w14:paraId="732BA943" w14:textId="13CA3A25" w:rsidR="00AE2E88" w:rsidRPr="00951A28" w:rsidRDefault="00AE2E88" w:rsidP="00AE2E88">
      <w:pPr>
        <w:pStyle w:val="SingleTxtG"/>
        <w:rPr>
          <w:lang w:val="fr-FR"/>
        </w:rPr>
      </w:pPr>
      <w:r w:rsidRPr="00951A28">
        <w:rPr>
          <w:i/>
          <w:iCs/>
          <w:lang w:val="fr-FR"/>
        </w:rPr>
        <w:t>Ajouter le nouveau paragraphe 18.6.3.1</w:t>
      </w:r>
      <w:r w:rsidRPr="00951A28">
        <w:rPr>
          <w:lang w:val="fr-FR"/>
        </w:rPr>
        <w:t>, libellé comme suit</w:t>
      </w:r>
      <w:r>
        <w:rPr>
          <w:lang w:val="fr-FR"/>
        </w:rPr>
        <w:t> </w:t>
      </w:r>
      <w:r w:rsidRPr="00951A28">
        <w:rPr>
          <w:lang w:val="fr-FR"/>
        </w:rPr>
        <w:t>:</w:t>
      </w:r>
    </w:p>
    <w:p w14:paraId="6D0964C0" w14:textId="60D2D34B" w:rsidR="00AE2E88" w:rsidRPr="0092098E" w:rsidRDefault="00AE2E88" w:rsidP="00AE2E88">
      <w:pPr>
        <w:pStyle w:val="SingleTxtG"/>
        <w:ind w:left="2835" w:hanging="1701"/>
        <w:rPr>
          <w:lang w:val="fr-FR"/>
        </w:rPr>
      </w:pPr>
      <w:r>
        <w:rPr>
          <w:lang w:val="fr-FR"/>
        </w:rPr>
        <w:t>« </w:t>
      </w:r>
      <w:r w:rsidRPr="00AE2E88">
        <w:rPr>
          <w:b/>
          <w:bCs/>
          <w:lang w:val="fr-FR"/>
        </w:rPr>
        <w:t>18.6.3.1</w:t>
      </w:r>
      <w:r w:rsidRPr="00AE2E88">
        <w:rPr>
          <w:b/>
          <w:bCs/>
          <w:lang w:val="fr-FR"/>
        </w:rPr>
        <w:tab/>
        <w:t>La soupape de décompression primaire doit avoir une pression d’ouverture minimale de 1,5</w:t>
      </w:r>
      <w:r>
        <w:rPr>
          <w:b/>
          <w:bCs/>
          <w:lang w:val="fr-FR"/>
        </w:rPr>
        <w:t> </w:t>
      </w:r>
      <w:r w:rsidRPr="00AE2E88">
        <w:rPr>
          <w:b/>
          <w:bCs/>
          <w:lang w:val="fr-FR"/>
        </w:rPr>
        <w:t>MPa. Cette valeur doit tenir compte de toutes les tolérances applicables déclarées par le fabricant</w:t>
      </w:r>
      <w:r w:rsidRPr="00951A28">
        <w:rPr>
          <w:lang w:val="fr-FR"/>
        </w:rPr>
        <w:t>.</w:t>
      </w:r>
      <w:r>
        <w:rPr>
          <w:lang w:val="fr-FR"/>
        </w:rPr>
        <w:t> »</w:t>
      </w:r>
      <w:r>
        <w:rPr>
          <w:lang w:val="fr-FR"/>
        </w:rPr>
        <w:t>.</w:t>
      </w:r>
    </w:p>
    <w:p w14:paraId="1C6B0BDE" w14:textId="77777777" w:rsidR="00AE2E88" w:rsidRPr="00951A28" w:rsidRDefault="00AE2E88" w:rsidP="00AE2E88">
      <w:pPr>
        <w:pStyle w:val="SingleTxtG"/>
        <w:rPr>
          <w:lang w:val="fr-FR"/>
        </w:rPr>
      </w:pPr>
      <w:r w:rsidRPr="00951A28">
        <w:rPr>
          <w:i/>
          <w:iCs/>
          <w:lang w:val="fr-FR"/>
        </w:rPr>
        <w:t>Annexe 3B</w:t>
      </w:r>
      <w:r w:rsidRPr="00951A28">
        <w:rPr>
          <w:lang w:val="fr-FR"/>
        </w:rPr>
        <w:t xml:space="preserve">, </w:t>
      </w:r>
      <w:r w:rsidRPr="00951A28">
        <w:rPr>
          <w:i/>
          <w:iCs/>
          <w:lang w:val="fr-FR"/>
        </w:rPr>
        <w:t>paragraphe 1</w:t>
      </w:r>
      <w:r w:rsidRPr="00951A28">
        <w:rPr>
          <w:lang w:val="fr-FR"/>
        </w:rPr>
        <w:t>, lire :</w:t>
      </w:r>
    </w:p>
    <w:p w14:paraId="51B30FB3" w14:textId="10AE6EF4" w:rsidR="00AE2E88" w:rsidRPr="00951A28" w:rsidRDefault="00AE2E88" w:rsidP="00AE2E88">
      <w:pPr>
        <w:pStyle w:val="SingleTxtG"/>
        <w:ind w:left="2835" w:hanging="1701"/>
        <w:rPr>
          <w:lang w:val="fr-FR"/>
        </w:rPr>
      </w:pPr>
      <w:r>
        <w:rPr>
          <w:lang w:val="fr-FR"/>
        </w:rPr>
        <w:t>« </w:t>
      </w:r>
      <w:r w:rsidRPr="00951A28">
        <w:rPr>
          <w:lang w:val="fr-FR"/>
        </w:rPr>
        <w:t>1.</w:t>
      </w:r>
      <w:r w:rsidRPr="00951A28">
        <w:rPr>
          <w:lang w:val="fr-FR"/>
        </w:rPr>
        <w:tab/>
      </w:r>
      <w:r w:rsidRPr="00951A28">
        <w:rPr>
          <w:lang w:val="fr-FR"/>
        </w:rPr>
        <w:tab/>
        <w:t>Objet</w:t>
      </w:r>
    </w:p>
    <w:p w14:paraId="5D6E2DE0" w14:textId="77777777" w:rsidR="00AE2E88" w:rsidRPr="00951A28" w:rsidRDefault="00AE2E88" w:rsidP="00AE2E88">
      <w:pPr>
        <w:pStyle w:val="SingleTxtG"/>
        <w:ind w:left="2835"/>
        <w:rPr>
          <w:lang w:val="fr-FR"/>
        </w:rPr>
      </w:pPr>
      <w:r w:rsidRPr="00951A28">
        <w:rPr>
          <w:lang w:val="fr-FR"/>
        </w:rPr>
        <w:t>...</w:t>
      </w:r>
    </w:p>
    <w:p w14:paraId="66E2E122" w14:textId="4138E00A" w:rsidR="00AE2E88" w:rsidRPr="00951A28" w:rsidRDefault="00AE2E88" w:rsidP="00AE2E88">
      <w:pPr>
        <w:pStyle w:val="SingleTxtG"/>
        <w:ind w:left="2835"/>
        <w:rPr>
          <w:lang w:val="fr-FR"/>
        </w:rPr>
      </w:pPr>
      <w:r w:rsidRPr="00951A28">
        <w:rPr>
          <w:lang w:val="fr-FR"/>
        </w:rPr>
        <w:t>Les conditions d</w:t>
      </w:r>
      <w:r>
        <w:rPr>
          <w:lang w:val="fr-FR"/>
        </w:rPr>
        <w:t>’</w:t>
      </w:r>
      <w:r w:rsidRPr="00951A28">
        <w:rPr>
          <w:lang w:val="fr-FR"/>
        </w:rPr>
        <w:t>utilisation auxquelles les réservoirs sont soumis sont détaillées au paragraphe</w:t>
      </w:r>
      <w:r>
        <w:rPr>
          <w:lang w:val="fr-FR"/>
        </w:rPr>
        <w:t> </w:t>
      </w:r>
      <w:r w:rsidRPr="00AE2E88">
        <w:rPr>
          <w:b/>
          <w:bCs/>
          <w:lang w:val="fr-FR"/>
        </w:rPr>
        <w:t>2</w:t>
      </w:r>
      <w:r w:rsidRPr="00951A28">
        <w:rPr>
          <w:lang w:val="fr-FR"/>
        </w:rPr>
        <w:t xml:space="preserve"> ci-dessous.</w:t>
      </w:r>
    </w:p>
    <w:p w14:paraId="28E3D1BC" w14:textId="391959ED" w:rsidR="00AE2E88" w:rsidRPr="00951A28" w:rsidRDefault="00AE2E88" w:rsidP="00AE2E88">
      <w:pPr>
        <w:pStyle w:val="SingleTxtG"/>
        <w:ind w:left="2835"/>
        <w:rPr>
          <w:lang w:val="fr-FR"/>
        </w:rPr>
      </w:pPr>
      <w:r w:rsidRPr="00951A28">
        <w:rPr>
          <w:lang w:val="fr-FR"/>
        </w:rPr>
        <w:tab/>
        <w:t>...</w:t>
      </w:r>
      <w:r>
        <w:rPr>
          <w:lang w:val="fr-FR"/>
        </w:rPr>
        <w:t> »</w:t>
      </w:r>
    </w:p>
    <w:p w14:paraId="46F1E0DA" w14:textId="2B09F2C2" w:rsidR="00AE2E88" w:rsidRPr="00951A28" w:rsidRDefault="00AE2E88" w:rsidP="00AE2E88">
      <w:pPr>
        <w:pStyle w:val="HChG"/>
        <w:rPr>
          <w:lang w:val="fr-FR"/>
        </w:rPr>
      </w:pPr>
      <w:r>
        <w:rPr>
          <w:lang w:val="fr-FR"/>
        </w:rPr>
        <w:tab/>
      </w:r>
      <w:r w:rsidR="001F4B0E">
        <w:rPr>
          <w:lang w:val="fr-FR"/>
        </w:rPr>
        <w:t>II.</w:t>
      </w:r>
      <w:r>
        <w:rPr>
          <w:lang w:val="fr-FR"/>
        </w:rPr>
        <w:tab/>
      </w:r>
      <w:r w:rsidRPr="00951A28">
        <w:rPr>
          <w:lang w:val="fr-FR"/>
        </w:rPr>
        <w:t>Justification</w:t>
      </w:r>
    </w:p>
    <w:p w14:paraId="484BF6F1" w14:textId="41ACC2B7" w:rsidR="00AE2E88" w:rsidRPr="00951A28" w:rsidRDefault="00AE2E88" w:rsidP="00AE2E88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Pr="00951A28">
        <w:rPr>
          <w:lang w:val="fr-FR"/>
        </w:rPr>
        <w:t>Le texte actuel du Règlement ONU n</w:t>
      </w:r>
      <w:r w:rsidRPr="00951A28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951A28">
        <w:rPr>
          <w:lang w:val="fr-FR"/>
        </w:rPr>
        <w:t>110 définit la pression maximale de fonctionnement d</w:t>
      </w:r>
      <w:r>
        <w:rPr>
          <w:lang w:val="fr-FR"/>
        </w:rPr>
        <w:t>’</w:t>
      </w:r>
      <w:r w:rsidRPr="00951A28">
        <w:rPr>
          <w:lang w:val="fr-FR"/>
        </w:rPr>
        <w:t>un réservoir de GNL comme étant la pression correspondant à la valeur nominale retenue pour la soupape de décompression primaire (par</w:t>
      </w:r>
      <w:r>
        <w:rPr>
          <w:lang w:val="fr-FR"/>
        </w:rPr>
        <w:t>. </w:t>
      </w:r>
      <w:r w:rsidRPr="00951A28">
        <w:rPr>
          <w:lang w:val="fr-FR"/>
        </w:rPr>
        <w:t>4.4), sans indiquer de valeur minimale pour ladite soupape. Si un véhicule est équipé d</w:t>
      </w:r>
      <w:r>
        <w:rPr>
          <w:lang w:val="fr-FR"/>
        </w:rPr>
        <w:t>’</w:t>
      </w:r>
      <w:r w:rsidRPr="00951A28">
        <w:rPr>
          <w:lang w:val="fr-FR"/>
        </w:rPr>
        <w:t xml:space="preserve">un réservoir embarqué dont la soupape de </w:t>
      </w:r>
      <w:r>
        <w:rPr>
          <w:lang w:val="fr-FR"/>
        </w:rPr>
        <w:t>décompression</w:t>
      </w:r>
      <w:r w:rsidRPr="00951A28">
        <w:rPr>
          <w:lang w:val="fr-FR"/>
        </w:rPr>
        <w:t xml:space="preserve"> primaire s</w:t>
      </w:r>
      <w:r>
        <w:rPr>
          <w:lang w:val="fr-FR"/>
        </w:rPr>
        <w:t>’</w:t>
      </w:r>
      <w:r w:rsidRPr="00951A28">
        <w:rPr>
          <w:lang w:val="fr-FR"/>
        </w:rPr>
        <w:t>ouvre à une pression inférieure à celle à laquelle la station-service est programmée pour s</w:t>
      </w:r>
      <w:r>
        <w:rPr>
          <w:lang w:val="fr-FR"/>
        </w:rPr>
        <w:t>’</w:t>
      </w:r>
      <w:r w:rsidRPr="00951A28">
        <w:rPr>
          <w:lang w:val="fr-FR"/>
        </w:rPr>
        <w:t>arrêter, la soupape s</w:t>
      </w:r>
      <w:r>
        <w:rPr>
          <w:lang w:val="fr-FR"/>
        </w:rPr>
        <w:t>’</w:t>
      </w:r>
      <w:r w:rsidRPr="00951A28">
        <w:rPr>
          <w:lang w:val="fr-FR"/>
        </w:rPr>
        <w:t>ouvrira pendant le remplissage, ce qui présente un risque évident pour la sécurité.</w:t>
      </w:r>
    </w:p>
    <w:p w14:paraId="254D5D09" w14:textId="4D6A2203" w:rsidR="00AE2E88" w:rsidRPr="00951A28" w:rsidRDefault="00AE2E88" w:rsidP="00AE2E88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Pr="00951A28">
        <w:rPr>
          <w:lang w:val="fr-FR"/>
        </w:rPr>
        <w:t>De ce fait, il est important d</w:t>
      </w:r>
      <w:r>
        <w:rPr>
          <w:lang w:val="fr-FR"/>
        </w:rPr>
        <w:t>’</w:t>
      </w:r>
      <w:r w:rsidRPr="00951A28">
        <w:rPr>
          <w:lang w:val="fr-FR"/>
        </w:rPr>
        <w:t>indiquer la pression minimale pour la soupape de décompression primaire en tenant compte de la tolérance applicable pour la pression d</w:t>
      </w:r>
      <w:r>
        <w:rPr>
          <w:lang w:val="fr-FR"/>
        </w:rPr>
        <w:t>’</w:t>
      </w:r>
      <w:r w:rsidRPr="00951A28">
        <w:rPr>
          <w:lang w:val="fr-FR"/>
        </w:rPr>
        <w:t xml:space="preserve">ouverture. Une nouvelle disposition est </w:t>
      </w:r>
      <w:r>
        <w:rPr>
          <w:lang w:val="fr-FR"/>
        </w:rPr>
        <w:t>ajoutée</w:t>
      </w:r>
      <w:r w:rsidRPr="00951A28">
        <w:rPr>
          <w:lang w:val="fr-FR"/>
        </w:rPr>
        <w:t xml:space="preserve"> en tant que sous-paragraphe du paragraphe</w:t>
      </w:r>
      <w:r>
        <w:rPr>
          <w:lang w:val="fr-FR"/>
        </w:rPr>
        <w:t> </w:t>
      </w:r>
      <w:r w:rsidRPr="00951A28">
        <w:rPr>
          <w:lang w:val="fr-FR"/>
        </w:rPr>
        <w:t xml:space="preserve">18.6.3, qui définit les prescriptions </w:t>
      </w:r>
      <w:r>
        <w:rPr>
          <w:lang w:val="fr-FR"/>
        </w:rPr>
        <w:t>actuellement applicables aux</w:t>
      </w:r>
      <w:r w:rsidRPr="00951A28">
        <w:rPr>
          <w:lang w:val="fr-FR"/>
        </w:rPr>
        <w:t xml:space="preserve"> soupape</w:t>
      </w:r>
      <w:r>
        <w:rPr>
          <w:lang w:val="fr-FR"/>
        </w:rPr>
        <w:t>s</w:t>
      </w:r>
      <w:r w:rsidRPr="00951A28">
        <w:rPr>
          <w:lang w:val="fr-FR"/>
        </w:rPr>
        <w:t xml:space="preserve"> de décompression primaire</w:t>
      </w:r>
      <w:r>
        <w:rPr>
          <w:lang w:val="fr-FR"/>
        </w:rPr>
        <w:t>s</w:t>
      </w:r>
      <w:r w:rsidRPr="00951A28">
        <w:rPr>
          <w:lang w:val="fr-FR"/>
        </w:rPr>
        <w:t xml:space="preserve"> </w:t>
      </w:r>
      <w:r>
        <w:rPr>
          <w:lang w:val="fr-FR"/>
        </w:rPr>
        <w:t xml:space="preserve">des </w:t>
      </w:r>
      <w:r w:rsidRPr="00951A28">
        <w:rPr>
          <w:lang w:val="fr-FR"/>
        </w:rPr>
        <w:t>systèmes GNL. La valeur proposée a été déterminée après examen des dispositifs existants sur le marché.</w:t>
      </w:r>
    </w:p>
    <w:p w14:paraId="023BE309" w14:textId="14634AA6" w:rsidR="00AE2E88" w:rsidRDefault="00AE2E88" w:rsidP="00AE2E88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Pr="00951A28">
        <w:rPr>
          <w:lang w:val="fr-FR"/>
        </w:rPr>
        <w:t>En outre, une petite erreur est corrigée au paragraphe</w:t>
      </w:r>
      <w:r>
        <w:rPr>
          <w:lang w:val="fr-FR"/>
        </w:rPr>
        <w:t> </w:t>
      </w:r>
      <w:r w:rsidRPr="00951A28">
        <w:rPr>
          <w:lang w:val="fr-FR"/>
        </w:rPr>
        <w:t>1 de l</w:t>
      </w:r>
      <w:r>
        <w:rPr>
          <w:lang w:val="fr-FR"/>
        </w:rPr>
        <w:t>’</w:t>
      </w:r>
      <w:r w:rsidRPr="00951A28">
        <w:rPr>
          <w:lang w:val="fr-FR"/>
        </w:rPr>
        <w:t>annexe</w:t>
      </w:r>
      <w:r>
        <w:rPr>
          <w:lang w:val="fr-FR"/>
        </w:rPr>
        <w:t> </w:t>
      </w:r>
      <w:r w:rsidRPr="00951A28">
        <w:rPr>
          <w:lang w:val="fr-FR"/>
        </w:rPr>
        <w:t>3B. L</w:t>
      </w:r>
      <w:r>
        <w:rPr>
          <w:lang w:val="fr-FR"/>
        </w:rPr>
        <w:t xml:space="preserve">es </w:t>
      </w:r>
      <w:r w:rsidRPr="00951A28">
        <w:rPr>
          <w:lang w:val="fr-FR"/>
        </w:rPr>
        <w:t>conditions d</w:t>
      </w:r>
      <w:r>
        <w:rPr>
          <w:lang w:val="fr-FR"/>
        </w:rPr>
        <w:t>’</w:t>
      </w:r>
      <w:r w:rsidRPr="00951A28">
        <w:rPr>
          <w:lang w:val="fr-FR"/>
        </w:rPr>
        <w:t xml:space="preserve">utilisation </w:t>
      </w:r>
      <w:r>
        <w:rPr>
          <w:lang w:val="fr-FR"/>
        </w:rPr>
        <w:t>se trouvent en fait au</w:t>
      </w:r>
      <w:r w:rsidRPr="00951A28">
        <w:rPr>
          <w:lang w:val="fr-FR"/>
        </w:rPr>
        <w:t xml:space="preserve"> paragraphe</w:t>
      </w:r>
      <w:r>
        <w:rPr>
          <w:lang w:val="fr-FR"/>
        </w:rPr>
        <w:t> </w:t>
      </w:r>
      <w:r w:rsidRPr="00951A28">
        <w:rPr>
          <w:lang w:val="fr-FR"/>
        </w:rPr>
        <w:t>2 de l</w:t>
      </w:r>
      <w:r>
        <w:rPr>
          <w:lang w:val="fr-FR"/>
        </w:rPr>
        <w:t>’</w:t>
      </w:r>
      <w:r w:rsidRPr="00951A28">
        <w:rPr>
          <w:lang w:val="fr-FR"/>
        </w:rPr>
        <w:t>annexe</w:t>
      </w:r>
      <w:r>
        <w:rPr>
          <w:lang w:val="fr-FR"/>
        </w:rPr>
        <w:t> </w:t>
      </w:r>
      <w:r w:rsidRPr="00951A28">
        <w:rPr>
          <w:lang w:val="fr-FR"/>
        </w:rPr>
        <w:t>3B.</w:t>
      </w:r>
    </w:p>
    <w:p w14:paraId="2A3F5EDB" w14:textId="53B2BBF9" w:rsidR="00AE2E88" w:rsidRPr="00AE2E88" w:rsidRDefault="00AE2E88" w:rsidP="00AE2E8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E2E88" w:rsidRPr="00AE2E88" w:rsidSect="00AE2E8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1AEA6" w14:textId="77777777" w:rsidR="00472295" w:rsidRDefault="00472295" w:rsidP="00F95C08">
      <w:pPr>
        <w:spacing w:line="240" w:lineRule="auto"/>
      </w:pPr>
    </w:p>
  </w:endnote>
  <w:endnote w:type="continuationSeparator" w:id="0">
    <w:p w14:paraId="6B65330B" w14:textId="77777777" w:rsidR="00472295" w:rsidRPr="00AC3823" w:rsidRDefault="00472295" w:rsidP="00AC3823">
      <w:pPr>
        <w:pStyle w:val="Pieddepage"/>
      </w:pPr>
    </w:p>
  </w:endnote>
  <w:endnote w:type="continuationNotice" w:id="1">
    <w:p w14:paraId="30BF7F84" w14:textId="77777777" w:rsidR="00472295" w:rsidRDefault="0047229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92E3" w14:textId="56199760" w:rsidR="00AE2E88" w:rsidRPr="00AE2E88" w:rsidRDefault="00AE2E88" w:rsidP="00AE2E88">
    <w:pPr>
      <w:pStyle w:val="Pieddepage"/>
      <w:tabs>
        <w:tab w:val="right" w:pos="9638"/>
      </w:tabs>
    </w:pPr>
    <w:r w:rsidRPr="00AE2E88">
      <w:rPr>
        <w:b/>
        <w:sz w:val="18"/>
      </w:rPr>
      <w:fldChar w:fldCharType="begin"/>
    </w:r>
    <w:r w:rsidRPr="00AE2E88">
      <w:rPr>
        <w:b/>
        <w:sz w:val="18"/>
      </w:rPr>
      <w:instrText xml:space="preserve"> PAGE  \* MERGEFORMAT </w:instrText>
    </w:r>
    <w:r w:rsidRPr="00AE2E88">
      <w:rPr>
        <w:b/>
        <w:sz w:val="18"/>
      </w:rPr>
      <w:fldChar w:fldCharType="separate"/>
    </w:r>
    <w:r w:rsidRPr="00AE2E88">
      <w:rPr>
        <w:b/>
        <w:noProof/>
        <w:sz w:val="18"/>
      </w:rPr>
      <w:t>2</w:t>
    </w:r>
    <w:r w:rsidRPr="00AE2E88">
      <w:rPr>
        <w:b/>
        <w:sz w:val="18"/>
      </w:rPr>
      <w:fldChar w:fldCharType="end"/>
    </w:r>
    <w:r>
      <w:rPr>
        <w:b/>
        <w:sz w:val="18"/>
      </w:rPr>
      <w:tab/>
    </w:r>
    <w:r>
      <w:t>GE.22-11521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484" w14:textId="664FB594" w:rsidR="00AE2E88" w:rsidRPr="00AE2E88" w:rsidRDefault="00AE2E88" w:rsidP="00AE2E88">
    <w:pPr>
      <w:pStyle w:val="Pieddepage"/>
      <w:tabs>
        <w:tab w:val="right" w:pos="9638"/>
      </w:tabs>
      <w:rPr>
        <w:b/>
        <w:sz w:val="18"/>
      </w:rPr>
    </w:pPr>
    <w:r>
      <w:t>GE.22-11521</w:t>
    </w:r>
    <w:r>
      <w:tab/>
    </w:r>
    <w:r w:rsidRPr="00AE2E88">
      <w:rPr>
        <w:b/>
        <w:sz w:val="18"/>
      </w:rPr>
      <w:fldChar w:fldCharType="begin"/>
    </w:r>
    <w:r w:rsidRPr="00AE2E88">
      <w:rPr>
        <w:b/>
        <w:sz w:val="18"/>
      </w:rPr>
      <w:instrText xml:space="preserve"> PAGE  \* MERGEFORMAT </w:instrText>
    </w:r>
    <w:r w:rsidRPr="00AE2E88">
      <w:rPr>
        <w:b/>
        <w:sz w:val="18"/>
      </w:rPr>
      <w:fldChar w:fldCharType="separate"/>
    </w:r>
    <w:r w:rsidRPr="00AE2E88">
      <w:rPr>
        <w:b/>
        <w:noProof/>
        <w:sz w:val="18"/>
      </w:rPr>
      <w:t>3</w:t>
    </w:r>
    <w:r w:rsidRPr="00AE2E8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A008" w14:textId="376080BD" w:rsidR="007F20FA" w:rsidRPr="00AE2E88" w:rsidRDefault="00AE2E88" w:rsidP="00AE2E88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57E94CF" wp14:editId="2F99934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22-11521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DC88362" wp14:editId="4248D1A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080822    100822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718D9" w14:textId="77777777" w:rsidR="00472295" w:rsidRPr="00AC3823" w:rsidRDefault="0047229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555C0D" w14:textId="77777777" w:rsidR="00472295" w:rsidRPr="00AC3823" w:rsidRDefault="0047229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AA5418D" w14:textId="77777777" w:rsidR="00472295" w:rsidRPr="00AC3823" w:rsidRDefault="00472295">
      <w:pPr>
        <w:spacing w:line="240" w:lineRule="auto"/>
        <w:rPr>
          <w:sz w:val="2"/>
          <w:szCs w:val="2"/>
        </w:rPr>
      </w:pPr>
    </w:p>
  </w:footnote>
  <w:footnote w:id="2">
    <w:p w14:paraId="180AA52D" w14:textId="4F07180E" w:rsidR="00AE2E88" w:rsidRPr="00AE2E88" w:rsidRDefault="00AE2E88">
      <w:pPr>
        <w:pStyle w:val="Notedebasdepage"/>
      </w:pPr>
      <w:r>
        <w:rPr>
          <w:rStyle w:val="Appelnotedebasdep"/>
        </w:rPr>
        <w:tab/>
      </w:r>
      <w:r w:rsidRPr="00AE2E88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2022 tel qu’il figure dans le projet de budget-programme pour 2022 (A/76/6 (Sect.</w:t>
      </w:r>
      <w:r>
        <w:rPr>
          <w:lang w:val="fr-FR"/>
        </w:rPr>
        <w:t> </w:t>
      </w:r>
      <w:r>
        <w:rPr>
          <w:lang w:val="fr-FR"/>
        </w:rPr>
        <w:t>20), par.</w:t>
      </w:r>
      <w:r>
        <w:rPr>
          <w:lang w:val="fr-FR"/>
        </w:rPr>
        <w:t> </w:t>
      </w:r>
      <w:r>
        <w:rPr>
          <w:lang w:val="fr-FR"/>
        </w:rPr>
        <w:t>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41FD" w14:textId="7FA40E33" w:rsidR="00AE2E88" w:rsidRPr="00AE2E88" w:rsidRDefault="00AE2E88">
    <w:pPr>
      <w:pStyle w:val="En-tte"/>
    </w:pPr>
    <w:fldSimple w:instr=" TITLE  \* MERGEFORMAT ">
      <w:r w:rsidR="001F4B0E">
        <w:t>ECE/TRANS/WP.29/GRSG/2022/23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E3AB" w14:textId="46F7EE34" w:rsidR="00AE2E88" w:rsidRPr="00AE2E88" w:rsidRDefault="00AE2E88" w:rsidP="00AE2E88">
    <w:pPr>
      <w:pStyle w:val="En-tte"/>
      <w:jc w:val="right"/>
    </w:pPr>
    <w:fldSimple w:instr=" TITLE  \* MERGEFORMAT ">
      <w:r w:rsidR="001F4B0E">
        <w:t>ECE/TRANS/WP.29/GRSG/2022/23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95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4B0E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2295"/>
    <w:rsid w:val="00477EB2"/>
    <w:rsid w:val="004837D8"/>
    <w:rsid w:val="004D49A2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2E88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61FF0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495CD7"/>
  <w15:docId w15:val="{D158F681-3754-4512-BA5C-FAF7AE32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445</Words>
  <Characters>2493</Characters>
  <Application>Microsoft Office Word</Application>
  <DocSecurity>0</DocSecurity>
  <Lines>60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ECE/TRANS/WP.29/GRSG/2022/23</dc:title>
  <dc:subject/>
  <dc:creator>Marie DESCHAMPS</dc:creator>
  <cp:keywords/>
  <cp:lastModifiedBy>Marie Deschamps</cp:lastModifiedBy>
  <cp:revision>2</cp:revision>
  <cp:lastPrinted>2022-08-10T06:43:00Z</cp:lastPrinted>
  <dcterms:created xsi:type="dcterms:W3CDTF">2022-08-10T06:44:00Z</dcterms:created>
  <dcterms:modified xsi:type="dcterms:W3CDTF">2022-08-10T06:44:00Z</dcterms:modified>
</cp:coreProperties>
</file>