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9A41C8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24B3753C" w14:textId="77777777" w:rsidR="00F35BAF" w:rsidRPr="00DB58B5" w:rsidRDefault="00F35BAF" w:rsidP="00C97039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3A54502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65518C5" w14:textId="38A37CBF" w:rsidR="00F35BAF" w:rsidRPr="00DB58B5" w:rsidRDefault="007F2D35" w:rsidP="007F2D35">
            <w:pPr>
              <w:jc w:val="right"/>
            </w:pPr>
            <w:r w:rsidRPr="007F2D35">
              <w:rPr>
                <w:sz w:val="40"/>
              </w:rPr>
              <w:t>ECE</w:t>
            </w:r>
            <w:r>
              <w:t>/TRANS/WP.29/GRSG/2022/22</w:t>
            </w:r>
          </w:p>
        </w:tc>
      </w:tr>
      <w:tr w:rsidR="00F35BAF" w:rsidRPr="00DB58B5" w14:paraId="686F77B2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7E639A9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65D24715" wp14:editId="4EFDD2C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63ED619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50E21F9" w14:textId="77777777" w:rsidR="00F35BAF" w:rsidRDefault="007F2D35" w:rsidP="00C97039">
            <w:pPr>
              <w:spacing w:before="240"/>
            </w:pPr>
            <w:r>
              <w:t>Distr. générale</w:t>
            </w:r>
          </w:p>
          <w:p w14:paraId="2BC0CBB4" w14:textId="7F5ECD47" w:rsidR="007F2D35" w:rsidRDefault="007F2D35" w:rsidP="007F2D35">
            <w:pPr>
              <w:spacing w:line="240" w:lineRule="exact"/>
            </w:pPr>
            <w:r>
              <w:t>22 juillet 2022</w:t>
            </w:r>
          </w:p>
          <w:p w14:paraId="7C8837EA" w14:textId="77777777" w:rsidR="007F2D35" w:rsidRDefault="007F2D35" w:rsidP="007F2D35">
            <w:pPr>
              <w:spacing w:line="240" w:lineRule="exact"/>
            </w:pPr>
            <w:r>
              <w:t>Français</w:t>
            </w:r>
          </w:p>
          <w:p w14:paraId="03A83E6C" w14:textId="6378FA59" w:rsidR="007F2D35" w:rsidRPr="00DB58B5" w:rsidRDefault="007F2D35" w:rsidP="007F2D35">
            <w:pPr>
              <w:spacing w:line="240" w:lineRule="exact"/>
            </w:pPr>
            <w:r>
              <w:t>Original : anglais</w:t>
            </w:r>
          </w:p>
        </w:tc>
      </w:tr>
    </w:tbl>
    <w:p w14:paraId="174FC5ED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6A68DBE7" w14:textId="0DD55682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38F231CE" w14:textId="77777777" w:rsidR="007F2D35" w:rsidRDefault="007F2D35" w:rsidP="007F2D3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3E6D8A79" w14:textId="77777777" w:rsidR="007F2D35" w:rsidRDefault="007F2D35" w:rsidP="007F2D35">
      <w:pPr>
        <w:spacing w:before="120" w:after="120" w:line="240" w:lineRule="exact"/>
        <w:rPr>
          <w:b/>
        </w:rPr>
      </w:pPr>
      <w:r>
        <w:rPr>
          <w:b/>
        </w:rPr>
        <w:t>Groupe de travail des dispositions générales de sécurité</w:t>
      </w:r>
    </w:p>
    <w:p w14:paraId="0B66073F" w14:textId="77777777" w:rsidR="007F2D35" w:rsidRDefault="007F2D35" w:rsidP="007F2D35">
      <w:pPr>
        <w:spacing w:before="120" w:line="240" w:lineRule="exact"/>
        <w:rPr>
          <w:b/>
        </w:rPr>
      </w:pPr>
      <w:r>
        <w:rPr>
          <w:b/>
        </w:rPr>
        <w:t>124</w:t>
      </w:r>
      <w:r w:rsidRPr="00D34330">
        <w:rPr>
          <w:b/>
          <w:vertAlign w:val="superscript"/>
        </w:rPr>
        <w:t>e</w:t>
      </w:r>
      <w:r>
        <w:rPr>
          <w:b/>
        </w:rPr>
        <w:t> session</w:t>
      </w:r>
    </w:p>
    <w:p w14:paraId="6430B3B5" w14:textId="77777777" w:rsidR="007F2D35" w:rsidRPr="00207EF3" w:rsidRDefault="007F2D35" w:rsidP="007F2D35">
      <w:pPr>
        <w:rPr>
          <w:lang w:val="fr-FR"/>
        </w:rPr>
      </w:pPr>
      <w:r w:rsidRPr="00207EF3">
        <w:rPr>
          <w:lang w:val="fr-FR"/>
        </w:rPr>
        <w:t>Genève, 11-14</w:t>
      </w:r>
      <w:r>
        <w:rPr>
          <w:lang w:val="fr-FR"/>
        </w:rPr>
        <w:t> </w:t>
      </w:r>
      <w:r w:rsidRPr="00207EF3">
        <w:rPr>
          <w:lang w:val="fr-FR"/>
        </w:rPr>
        <w:t>octobre 2022</w:t>
      </w:r>
    </w:p>
    <w:p w14:paraId="3B6B0CF5" w14:textId="77777777" w:rsidR="007F2D35" w:rsidRPr="00207EF3" w:rsidRDefault="007F2D35" w:rsidP="007F2D35">
      <w:pPr>
        <w:rPr>
          <w:lang w:val="fr-FR"/>
        </w:rPr>
      </w:pPr>
      <w:r w:rsidRPr="00207EF3">
        <w:rPr>
          <w:lang w:val="fr-FR"/>
        </w:rPr>
        <w:t>Point</w:t>
      </w:r>
      <w:r>
        <w:rPr>
          <w:lang w:val="fr-FR"/>
        </w:rPr>
        <w:t> </w:t>
      </w:r>
      <w:r w:rsidRPr="00207EF3">
        <w:rPr>
          <w:lang w:val="fr-FR"/>
        </w:rPr>
        <w:t>6</w:t>
      </w:r>
      <w:r>
        <w:rPr>
          <w:lang w:val="fr-FR"/>
        </w:rPr>
        <w:t> </w:t>
      </w:r>
      <w:r w:rsidRPr="00207EF3">
        <w:rPr>
          <w:lang w:val="fr-FR"/>
        </w:rPr>
        <w:t>a) de l</w:t>
      </w:r>
      <w:r>
        <w:rPr>
          <w:lang w:val="fr-FR"/>
        </w:rPr>
        <w:t>’</w:t>
      </w:r>
      <w:r w:rsidRPr="00207EF3">
        <w:rPr>
          <w:lang w:val="fr-FR"/>
        </w:rPr>
        <w:t>ordre du jour provisoire</w:t>
      </w:r>
    </w:p>
    <w:p w14:paraId="14DCE38E" w14:textId="77777777" w:rsidR="007F2D35" w:rsidRPr="00D34330" w:rsidRDefault="007F2D35" w:rsidP="007F2D35">
      <w:pPr>
        <w:rPr>
          <w:b/>
          <w:lang w:val="fr-FR"/>
        </w:rPr>
      </w:pPr>
      <w:r w:rsidRPr="00207EF3">
        <w:rPr>
          <w:b/>
          <w:bCs/>
          <w:lang w:val="fr-FR"/>
        </w:rPr>
        <w:t>Amendements aux Règlements concernant les véhicules fonctionnant au gaz</w:t>
      </w:r>
      <w:r>
        <w:rPr>
          <w:b/>
          <w:bCs/>
          <w:lang w:val="fr-FR"/>
        </w:rPr>
        <w:t> </w:t>
      </w:r>
      <w:r w:rsidRPr="00207EF3">
        <w:rPr>
          <w:b/>
          <w:bCs/>
          <w:lang w:val="fr-FR"/>
        </w:rPr>
        <w:t>: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br/>
      </w:r>
      <w:r w:rsidRPr="00207EF3">
        <w:rPr>
          <w:b/>
          <w:bCs/>
          <w:lang w:val="fr-FR"/>
        </w:rPr>
        <w:t>Règlement ONU n</w:t>
      </w:r>
      <w:r w:rsidRPr="00D34330">
        <w:rPr>
          <w:b/>
          <w:bCs/>
          <w:vertAlign w:val="superscript"/>
          <w:lang w:val="fr-FR"/>
        </w:rPr>
        <w:t>o</w:t>
      </w:r>
      <w:r>
        <w:rPr>
          <w:b/>
          <w:bCs/>
          <w:lang w:val="fr-FR"/>
        </w:rPr>
        <w:t> </w:t>
      </w:r>
      <w:r w:rsidRPr="00207EF3">
        <w:rPr>
          <w:b/>
          <w:bCs/>
          <w:lang w:val="fr-FR"/>
        </w:rPr>
        <w:t>67 (Véhicules alimentés au GPL)</w:t>
      </w:r>
    </w:p>
    <w:p w14:paraId="79127C2D" w14:textId="77777777" w:rsidR="007F2D35" w:rsidRPr="00207EF3" w:rsidRDefault="007F2D35" w:rsidP="007F2D35">
      <w:pPr>
        <w:pStyle w:val="HChG"/>
        <w:rPr>
          <w:lang w:val="fr-FR"/>
        </w:rPr>
      </w:pPr>
      <w:r w:rsidRPr="00207EF3">
        <w:rPr>
          <w:lang w:val="fr-FR"/>
        </w:rPr>
        <w:tab/>
      </w:r>
      <w:r w:rsidRPr="00207EF3">
        <w:rPr>
          <w:lang w:val="fr-FR"/>
        </w:rPr>
        <w:tab/>
      </w:r>
      <w:r w:rsidRPr="00207EF3">
        <w:rPr>
          <w:lang w:val="fr-FR"/>
        </w:rPr>
        <w:tab/>
        <w:t>Proposition de complément</w:t>
      </w:r>
      <w:r>
        <w:rPr>
          <w:lang w:val="fr-FR"/>
        </w:rPr>
        <w:t> </w:t>
      </w:r>
      <w:r w:rsidRPr="00207EF3">
        <w:rPr>
          <w:lang w:val="fr-FR"/>
        </w:rPr>
        <w:t>3 à la série</w:t>
      </w:r>
      <w:r>
        <w:rPr>
          <w:lang w:val="fr-FR"/>
        </w:rPr>
        <w:t> </w:t>
      </w:r>
      <w:r w:rsidRPr="00207EF3">
        <w:rPr>
          <w:lang w:val="fr-FR"/>
        </w:rPr>
        <w:t>03 et de complément</w:t>
      </w:r>
      <w:r>
        <w:rPr>
          <w:lang w:val="fr-FR"/>
        </w:rPr>
        <w:t> </w:t>
      </w:r>
      <w:r w:rsidRPr="00207EF3">
        <w:rPr>
          <w:lang w:val="fr-FR"/>
        </w:rPr>
        <w:t>2 à la série</w:t>
      </w:r>
      <w:r>
        <w:rPr>
          <w:lang w:val="fr-FR"/>
        </w:rPr>
        <w:t> </w:t>
      </w:r>
      <w:r w:rsidRPr="00207EF3">
        <w:rPr>
          <w:lang w:val="fr-FR"/>
        </w:rPr>
        <w:t>04 d</w:t>
      </w:r>
      <w:r>
        <w:rPr>
          <w:lang w:val="fr-FR"/>
        </w:rPr>
        <w:t>’</w:t>
      </w:r>
      <w:r w:rsidRPr="00207EF3">
        <w:rPr>
          <w:lang w:val="fr-FR"/>
        </w:rPr>
        <w:t>amendements au Règlement ONU n</w:t>
      </w:r>
      <w:r w:rsidRPr="00D34330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207EF3">
        <w:rPr>
          <w:lang w:val="fr-FR"/>
        </w:rPr>
        <w:t>67 (Véhicules alimentés au GPL)</w:t>
      </w:r>
    </w:p>
    <w:p w14:paraId="5532B006" w14:textId="77777777" w:rsidR="007F2D35" w:rsidRPr="00207EF3" w:rsidRDefault="007F2D35" w:rsidP="007F2D35">
      <w:pPr>
        <w:pStyle w:val="H1G"/>
        <w:rPr>
          <w:lang w:val="fr-FR"/>
        </w:rPr>
      </w:pPr>
      <w:r w:rsidRPr="00207EF3">
        <w:rPr>
          <w:lang w:val="fr-FR"/>
        </w:rPr>
        <w:tab/>
      </w:r>
      <w:r w:rsidRPr="00207EF3">
        <w:rPr>
          <w:lang w:val="fr-FR"/>
        </w:rPr>
        <w:tab/>
        <w:t>Communication de l</w:t>
      </w:r>
      <w:r>
        <w:rPr>
          <w:lang w:val="fr-FR"/>
        </w:rPr>
        <w:t>’</w:t>
      </w:r>
      <w:r w:rsidRPr="00207EF3">
        <w:rPr>
          <w:lang w:val="fr-FR"/>
        </w:rPr>
        <w:t>expert de Liquid Gas Europe</w:t>
      </w:r>
      <w:r w:rsidRPr="00D34330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4C6460A3" w14:textId="1497C2C1" w:rsidR="007F2D35" w:rsidRDefault="007F2D35" w:rsidP="007F2D35">
      <w:pPr>
        <w:pStyle w:val="SingleTxtG"/>
        <w:ind w:firstLine="567"/>
        <w:rPr>
          <w:sz w:val="28"/>
          <w:szCs w:val="28"/>
        </w:rPr>
      </w:pPr>
      <w:r w:rsidRPr="00207EF3">
        <w:rPr>
          <w:lang w:val="fr-FR"/>
        </w:rPr>
        <w:t>Le texte ci-après a été établi par l</w:t>
      </w:r>
      <w:r>
        <w:rPr>
          <w:lang w:val="fr-FR"/>
        </w:rPr>
        <w:t>’</w:t>
      </w:r>
      <w:r w:rsidRPr="00207EF3">
        <w:rPr>
          <w:lang w:val="fr-FR"/>
        </w:rPr>
        <w:t>expert de Liquid Gas Europe. Il est fondé sur le document informel GRSG-123-06-Rev.1, distribué à la 123</w:t>
      </w:r>
      <w:r w:rsidRPr="00207EF3">
        <w:rPr>
          <w:vertAlign w:val="superscript"/>
          <w:lang w:val="fr-FR"/>
        </w:rPr>
        <w:t>e</w:t>
      </w:r>
      <w:r>
        <w:rPr>
          <w:lang w:val="fr-FR"/>
        </w:rPr>
        <w:t> </w:t>
      </w:r>
      <w:r w:rsidRPr="00207EF3">
        <w:rPr>
          <w:lang w:val="fr-FR"/>
        </w:rPr>
        <w:t>session du Groupe de travail des dispositions générales de sécurité (GRSG). Les modifications qu</w:t>
      </w:r>
      <w:r>
        <w:rPr>
          <w:lang w:val="fr-FR"/>
        </w:rPr>
        <w:t>’</w:t>
      </w:r>
      <w:r w:rsidRPr="00207EF3">
        <w:rPr>
          <w:lang w:val="fr-FR"/>
        </w:rPr>
        <w:t>il est proposé d</w:t>
      </w:r>
      <w:r>
        <w:rPr>
          <w:lang w:val="fr-FR"/>
        </w:rPr>
        <w:t>’</w:t>
      </w:r>
      <w:r w:rsidRPr="00207EF3">
        <w:rPr>
          <w:lang w:val="fr-FR"/>
        </w:rPr>
        <w:t>apporter au texte actuel du Règlement ONU figurent en caractères gras pour les ajouts et biffés pour les</w:t>
      </w:r>
      <w:r>
        <w:rPr>
          <w:lang w:val="fr-FR"/>
        </w:rPr>
        <w:t> </w:t>
      </w:r>
      <w:r w:rsidRPr="00207EF3">
        <w:rPr>
          <w:lang w:val="fr-FR"/>
        </w:rPr>
        <w:t>suppressions.</w:t>
      </w:r>
    </w:p>
    <w:p w14:paraId="53C91FB5" w14:textId="67C10695" w:rsidR="007F2D35" w:rsidRDefault="007F2D35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</w:pPr>
      <w:r>
        <w:br w:type="page"/>
      </w:r>
    </w:p>
    <w:p w14:paraId="0F653407" w14:textId="77777777" w:rsidR="007F2D35" w:rsidRPr="00207EF3" w:rsidRDefault="007F2D35" w:rsidP="007F2D35">
      <w:pPr>
        <w:pStyle w:val="HChG"/>
        <w:rPr>
          <w:szCs w:val="28"/>
          <w:lang w:val="fr-FR"/>
        </w:rPr>
      </w:pPr>
      <w:r>
        <w:rPr>
          <w:lang w:val="fr-FR"/>
        </w:rPr>
        <w:lastRenderedPageBreak/>
        <w:tab/>
        <w:t>I.</w:t>
      </w:r>
      <w:r>
        <w:rPr>
          <w:lang w:val="fr-FR"/>
        </w:rPr>
        <w:tab/>
      </w:r>
      <w:r w:rsidRPr="00207EF3">
        <w:rPr>
          <w:lang w:val="fr-FR"/>
        </w:rPr>
        <w:t>Proposition</w:t>
      </w:r>
    </w:p>
    <w:p w14:paraId="3889B806" w14:textId="77777777" w:rsidR="007F2D35" w:rsidRPr="00207EF3" w:rsidRDefault="007F2D35" w:rsidP="007F2D35">
      <w:pPr>
        <w:pStyle w:val="SingleTxtG"/>
        <w:rPr>
          <w:iCs/>
          <w:lang w:val="fr-FR"/>
        </w:rPr>
      </w:pPr>
      <w:r w:rsidRPr="00207EF3">
        <w:rPr>
          <w:i/>
          <w:iCs/>
          <w:lang w:val="fr-FR"/>
        </w:rPr>
        <w:t>Paragraphes</w:t>
      </w:r>
      <w:r>
        <w:rPr>
          <w:i/>
          <w:iCs/>
          <w:lang w:val="fr-FR"/>
        </w:rPr>
        <w:t> </w:t>
      </w:r>
      <w:r w:rsidRPr="00207EF3">
        <w:rPr>
          <w:i/>
          <w:iCs/>
          <w:lang w:val="fr-FR"/>
        </w:rPr>
        <w:t>6.17.2.1 et 6.17.2.2</w:t>
      </w:r>
      <w:r w:rsidRPr="00207EF3">
        <w:rPr>
          <w:lang w:val="fr-FR"/>
        </w:rPr>
        <w:t>, lire</w:t>
      </w:r>
      <w:r>
        <w:rPr>
          <w:lang w:val="fr-FR"/>
        </w:rPr>
        <w:t> </w:t>
      </w:r>
      <w:r w:rsidRPr="00207EF3">
        <w:rPr>
          <w:lang w:val="fr-FR"/>
        </w:rPr>
        <w:t>:</w:t>
      </w:r>
    </w:p>
    <w:p w14:paraId="1665A2F6" w14:textId="77777777" w:rsidR="007F2D35" w:rsidRPr="00207EF3" w:rsidRDefault="007F2D35" w:rsidP="007F2D35">
      <w:pPr>
        <w:pStyle w:val="SingleTxtG"/>
        <w:ind w:left="2835" w:hanging="1701"/>
        <w:rPr>
          <w:b/>
          <w:lang w:val="fr-FR"/>
        </w:rPr>
      </w:pPr>
      <w:r>
        <w:rPr>
          <w:lang w:val="fr-FR"/>
        </w:rPr>
        <w:t>« </w:t>
      </w:r>
      <w:r w:rsidRPr="00207EF3">
        <w:rPr>
          <w:lang w:val="fr-FR"/>
        </w:rPr>
        <w:t>6.17.2.1</w:t>
      </w:r>
      <w:r w:rsidRPr="00207EF3">
        <w:rPr>
          <w:lang w:val="fr-FR"/>
        </w:rPr>
        <w:tab/>
        <w:t xml:space="preserve">Les connexions électriques situées dans le coffre et le compartiment voyageurs doivent </w:t>
      </w:r>
      <w:r w:rsidRPr="00207EF3">
        <w:rPr>
          <w:b/>
          <w:lang w:val="fr-FR"/>
        </w:rPr>
        <w:t>au moins</w:t>
      </w:r>
      <w:r w:rsidRPr="00207EF3">
        <w:rPr>
          <w:lang w:val="fr-FR"/>
        </w:rPr>
        <w:t xml:space="preserve"> satisfaire au degré de protection </w:t>
      </w:r>
      <w:r w:rsidRPr="00207EF3">
        <w:rPr>
          <w:b/>
          <w:lang w:val="fr-FR"/>
        </w:rPr>
        <w:t>minimum</w:t>
      </w:r>
      <w:r w:rsidRPr="00207EF3">
        <w:rPr>
          <w:lang w:val="fr-FR"/>
        </w:rPr>
        <w:t xml:space="preserve"> de la classe IP</w:t>
      </w:r>
      <w:r>
        <w:rPr>
          <w:lang w:val="fr-FR"/>
        </w:rPr>
        <w:t> </w:t>
      </w:r>
      <w:r w:rsidRPr="00207EF3">
        <w:rPr>
          <w:lang w:val="fr-FR"/>
        </w:rPr>
        <w:t>40 selon la norme CEI</w:t>
      </w:r>
      <w:r>
        <w:rPr>
          <w:lang w:val="fr-FR"/>
        </w:rPr>
        <w:t> </w:t>
      </w:r>
      <w:r w:rsidRPr="00207EF3">
        <w:rPr>
          <w:lang w:val="fr-FR"/>
        </w:rPr>
        <w:t>60529</w:t>
      </w:r>
      <w:r>
        <w:rPr>
          <w:lang w:val="fr-FR"/>
        </w:rPr>
        <w:noBreakHyphen/>
      </w:r>
      <w:r w:rsidRPr="00207EF3">
        <w:rPr>
          <w:lang w:val="fr-FR"/>
        </w:rPr>
        <w:t>1989+A1:1999+</w:t>
      </w:r>
      <w:r w:rsidRPr="00207EF3">
        <w:rPr>
          <w:b/>
          <w:lang w:val="fr-FR"/>
        </w:rPr>
        <w:t>A2:2013</w:t>
      </w:r>
      <w:r w:rsidRPr="00207EF3">
        <w:rPr>
          <w:lang w:val="fr-FR"/>
        </w:rPr>
        <w:t xml:space="preserve"> </w:t>
      </w:r>
      <w:r w:rsidRPr="00207EF3">
        <w:rPr>
          <w:b/>
          <w:lang w:val="fr-FR"/>
        </w:rPr>
        <w:t>ou de la classe IP40 selon la norme ISO</w:t>
      </w:r>
      <w:r>
        <w:rPr>
          <w:b/>
          <w:lang w:val="fr-FR"/>
        </w:rPr>
        <w:t> </w:t>
      </w:r>
      <w:r w:rsidRPr="00207EF3">
        <w:rPr>
          <w:b/>
          <w:lang w:val="fr-FR"/>
        </w:rPr>
        <w:t>20653:2013.</w:t>
      </w:r>
    </w:p>
    <w:p w14:paraId="5429769B" w14:textId="77777777" w:rsidR="007F2D35" w:rsidRPr="00207EF3" w:rsidRDefault="007F2D35" w:rsidP="007F2D35">
      <w:pPr>
        <w:pStyle w:val="SingleTxtG"/>
        <w:ind w:left="2835" w:hanging="1701"/>
        <w:rPr>
          <w:b/>
          <w:lang w:val="fr-FR"/>
        </w:rPr>
      </w:pPr>
      <w:r w:rsidRPr="00207EF3">
        <w:rPr>
          <w:lang w:val="fr-FR"/>
        </w:rPr>
        <w:t>6.17.2.2</w:t>
      </w:r>
      <w:r w:rsidRPr="00207EF3">
        <w:rPr>
          <w:lang w:val="fr-FR"/>
        </w:rPr>
        <w:tab/>
        <w:t xml:space="preserve">Toutes les autres connexions électriques doivent </w:t>
      </w:r>
      <w:r w:rsidRPr="00207EF3">
        <w:rPr>
          <w:b/>
          <w:lang w:val="fr-FR"/>
        </w:rPr>
        <w:t>au moins</w:t>
      </w:r>
      <w:r w:rsidRPr="00207EF3">
        <w:rPr>
          <w:lang w:val="fr-FR"/>
        </w:rPr>
        <w:t xml:space="preserve"> satisfaire au degré de protection </w:t>
      </w:r>
      <w:r w:rsidRPr="00207EF3">
        <w:rPr>
          <w:b/>
          <w:lang w:val="fr-FR"/>
        </w:rPr>
        <w:t>minimum</w:t>
      </w:r>
      <w:r w:rsidRPr="00207EF3">
        <w:rPr>
          <w:lang w:val="fr-FR"/>
        </w:rPr>
        <w:t xml:space="preserve"> de la classe IP</w:t>
      </w:r>
      <w:r>
        <w:rPr>
          <w:lang w:val="fr-FR"/>
        </w:rPr>
        <w:t> </w:t>
      </w:r>
      <w:r w:rsidRPr="00207EF3">
        <w:rPr>
          <w:lang w:val="fr-FR"/>
        </w:rPr>
        <w:t>54 selon la norme CEI 60529-1989+A1:1999+</w:t>
      </w:r>
      <w:r w:rsidRPr="00207EF3">
        <w:rPr>
          <w:b/>
          <w:lang w:val="fr-FR"/>
        </w:rPr>
        <w:t>A2:2013</w:t>
      </w:r>
      <w:r w:rsidRPr="00207EF3">
        <w:rPr>
          <w:lang w:val="fr-FR"/>
        </w:rPr>
        <w:t xml:space="preserve"> </w:t>
      </w:r>
      <w:r w:rsidRPr="00207EF3">
        <w:rPr>
          <w:b/>
          <w:lang w:val="fr-FR"/>
        </w:rPr>
        <w:t>ou de la classe IP5K4</w:t>
      </w:r>
      <w:r w:rsidRPr="00207EF3">
        <w:rPr>
          <w:lang w:val="fr-FR"/>
        </w:rPr>
        <w:t xml:space="preserve"> </w:t>
      </w:r>
      <w:r w:rsidRPr="00207EF3">
        <w:rPr>
          <w:b/>
          <w:lang w:val="fr-FR"/>
        </w:rPr>
        <w:t>selon la norme ISO</w:t>
      </w:r>
      <w:r>
        <w:rPr>
          <w:b/>
          <w:lang w:val="fr-FR"/>
        </w:rPr>
        <w:t> </w:t>
      </w:r>
      <w:r w:rsidRPr="00207EF3">
        <w:rPr>
          <w:b/>
          <w:lang w:val="fr-FR"/>
        </w:rPr>
        <w:t>20653:2013.</w:t>
      </w:r>
      <w:r>
        <w:rPr>
          <w:lang w:val="fr-FR"/>
        </w:rPr>
        <w:t> ».</w:t>
      </w:r>
    </w:p>
    <w:p w14:paraId="55B7FDD6" w14:textId="77777777" w:rsidR="007F2D35" w:rsidRPr="00207EF3" w:rsidRDefault="007F2D35" w:rsidP="007F2D35">
      <w:pPr>
        <w:pStyle w:val="SingleTxtG"/>
        <w:rPr>
          <w:lang w:val="fr-FR"/>
        </w:rPr>
      </w:pPr>
      <w:r w:rsidRPr="00924C4E">
        <w:rPr>
          <w:i/>
          <w:iCs/>
          <w:lang w:val="fr-FR"/>
        </w:rPr>
        <w:t xml:space="preserve">Le </w:t>
      </w:r>
      <w:r w:rsidRPr="00207EF3">
        <w:rPr>
          <w:i/>
          <w:iCs/>
          <w:lang w:val="fr-FR"/>
        </w:rPr>
        <w:t>paragraphe 6.17.10.8</w:t>
      </w:r>
      <w:r w:rsidRPr="00207EF3">
        <w:rPr>
          <w:lang w:val="fr-FR"/>
        </w:rPr>
        <w:t xml:space="preserve"> devient le paragraphe 6.17.10.9 :</w:t>
      </w:r>
    </w:p>
    <w:p w14:paraId="0E91D94E" w14:textId="77777777" w:rsidR="007F2D35" w:rsidRPr="00207EF3" w:rsidRDefault="007F2D35" w:rsidP="007F2D35">
      <w:pPr>
        <w:pStyle w:val="SingleTxtG"/>
        <w:ind w:left="2835" w:hanging="1701"/>
        <w:rPr>
          <w:lang w:val="fr-FR"/>
        </w:rPr>
      </w:pPr>
      <w:r w:rsidRPr="00207EF3">
        <w:rPr>
          <w:lang w:val="fr-FR"/>
        </w:rPr>
        <w:t>"6.17.10.</w:t>
      </w:r>
      <w:r w:rsidRPr="00207EF3">
        <w:rPr>
          <w:strike/>
          <w:lang w:val="fr-FR"/>
        </w:rPr>
        <w:t>8</w:t>
      </w:r>
      <w:r w:rsidRPr="00207EF3">
        <w:rPr>
          <w:b/>
          <w:lang w:val="fr-FR"/>
        </w:rPr>
        <w:t>9</w:t>
      </w:r>
      <w:r w:rsidRPr="00207EF3">
        <w:rPr>
          <w:lang w:val="fr-FR"/>
        </w:rPr>
        <w:tab/>
        <w:t>Pour les véhicules de la catégorie M</w:t>
      </w:r>
      <w:r w:rsidRPr="00552FF6">
        <w:rPr>
          <w:vertAlign w:val="subscript"/>
          <w:lang w:val="fr-FR"/>
        </w:rPr>
        <w:t>1</w:t>
      </w:r>
      <w:r w:rsidRPr="00207EF3">
        <w:rPr>
          <w:lang w:val="fr-FR"/>
        </w:rPr>
        <w:t>, l</w:t>
      </w:r>
      <w:r>
        <w:rPr>
          <w:lang w:val="fr-FR"/>
        </w:rPr>
        <w:t>’</w:t>
      </w:r>
      <w:r w:rsidRPr="00207EF3">
        <w:rPr>
          <w:lang w:val="fr-FR"/>
        </w:rPr>
        <w:t>embout de remplissage ne doit pas être situé au-dessous de la carrosserie du véhicule et doit respecter les prescriptions du paragraphe</w:t>
      </w:r>
      <w:r>
        <w:rPr>
          <w:lang w:val="fr-FR"/>
        </w:rPr>
        <w:t> </w:t>
      </w:r>
      <w:r w:rsidRPr="00207EF3">
        <w:rPr>
          <w:lang w:val="fr-FR"/>
        </w:rPr>
        <w:t>17.4.5 relatives à la hauteur.</w:t>
      </w:r>
      <w:r>
        <w:rPr>
          <w:lang w:val="fr-FR"/>
        </w:rPr>
        <w:t> ».</w:t>
      </w:r>
    </w:p>
    <w:p w14:paraId="0C4A41A8" w14:textId="77777777" w:rsidR="007F2D35" w:rsidRPr="00207EF3" w:rsidRDefault="007F2D35" w:rsidP="007F2D35">
      <w:pPr>
        <w:pStyle w:val="HChG"/>
        <w:rPr>
          <w:lang w:val="fr-FR"/>
        </w:rPr>
      </w:pPr>
      <w:r>
        <w:rPr>
          <w:lang w:val="fr-FR"/>
        </w:rPr>
        <w:tab/>
        <w:t>II.</w:t>
      </w:r>
      <w:r>
        <w:rPr>
          <w:lang w:val="fr-FR"/>
        </w:rPr>
        <w:tab/>
      </w:r>
      <w:r w:rsidRPr="00207EF3">
        <w:rPr>
          <w:lang w:val="fr-FR"/>
        </w:rPr>
        <w:t>Justification</w:t>
      </w:r>
    </w:p>
    <w:p w14:paraId="17C585FA" w14:textId="77777777" w:rsidR="007F2D35" w:rsidRPr="00207EF3" w:rsidRDefault="007F2D35" w:rsidP="007F2D35">
      <w:pPr>
        <w:pStyle w:val="SingleTxtG"/>
        <w:ind w:firstLine="567"/>
        <w:rPr>
          <w:lang w:val="fr-FR"/>
        </w:rPr>
      </w:pPr>
      <w:r w:rsidRPr="00207EF3">
        <w:rPr>
          <w:lang w:val="fr-FR"/>
        </w:rPr>
        <w:t>Les modifications qu</w:t>
      </w:r>
      <w:r>
        <w:rPr>
          <w:lang w:val="fr-FR"/>
        </w:rPr>
        <w:t>’</w:t>
      </w:r>
      <w:r w:rsidRPr="00207EF3">
        <w:rPr>
          <w:lang w:val="fr-FR"/>
        </w:rPr>
        <w:t>il est proposé d</w:t>
      </w:r>
      <w:r>
        <w:rPr>
          <w:lang w:val="fr-FR"/>
        </w:rPr>
        <w:t>’</w:t>
      </w:r>
      <w:r w:rsidRPr="00207EF3">
        <w:rPr>
          <w:lang w:val="fr-FR"/>
        </w:rPr>
        <w:t xml:space="preserve">apporter au Règlement ONU </w:t>
      </w:r>
      <w:r w:rsidRPr="008D1741">
        <w:rPr>
          <w:lang w:val="fr-FR"/>
        </w:rPr>
        <w:t>n</w:t>
      </w:r>
      <w:r w:rsidRPr="008D1741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207EF3">
        <w:rPr>
          <w:lang w:val="fr-FR"/>
        </w:rPr>
        <w:t>67 sont de deux types.</w:t>
      </w:r>
    </w:p>
    <w:p w14:paraId="0FB1874A" w14:textId="77777777" w:rsidR="007F2D35" w:rsidRPr="00207EF3" w:rsidRDefault="007F2D35" w:rsidP="007F2D35">
      <w:pPr>
        <w:pStyle w:val="SingleTxtG"/>
        <w:ind w:firstLine="567"/>
        <w:rPr>
          <w:lang w:val="fr-FR"/>
        </w:rPr>
      </w:pPr>
      <w:r w:rsidRPr="00207EF3">
        <w:rPr>
          <w:lang w:val="fr-FR"/>
        </w:rPr>
        <w:t>Les premières visent à aligner les prescriptions relatives aux degrés de protection IP sur la dernière norme CEI et à reconnaître la norme ISO</w:t>
      </w:r>
      <w:r>
        <w:rPr>
          <w:lang w:val="fr-FR"/>
        </w:rPr>
        <w:t> </w:t>
      </w:r>
      <w:r w:rsidRPr="00207EF3">
        <w:rPr>
          <w:lang w:val="fr-FR"/>
        </w:rPr>
        <w:t>20653 comme une autre norme valable, qui est plus appropriée et axée sur les applications automobiles.</w:t>
      </w:r>
    </w:p>
    <w:p w14:paraId="289FCF97" w14:textId="77777777" w:rsidR="007F2D35" w:rsidRPr="00207EF3" w:rsidRDefault="007F2D35" w:rsidP="007F2D35">
      <w:pPr>
        <w:pStyle w:val="SingleTxtG"/>
        <w:ind w:firstLine="567"/>
        <w:rPr>
          <w:lang w:val="fr-FR"/>
        </w:rPr>
      </w:pPr>
      <w:r w:rsidRPr="00207EF3">
        <w:rPr>
          <w:lang w:val="fr-FR"/>
        </w:rPr>
        <w:t xml:space="preserve">En outre, toutes les classes IP avec des degrés de protection supérieurs à ceux indiqués dans le Règlement peuvent être </w:t>
      </w:r>
      <w:r>
        <w:rPr>
          <w:lang w:val="fr-FR"/>
        </w:rPr>
        <w:t>considérées comme répondant</w:t>
      </w:r>
      <w:r w:rsidRPr="00207EF3">
        <w:rPr>
          <w:lang w:val="fr-FR"/>
        </w:rPr>
        <w:t xml:space="preserve"> aux prescriptions, y</w:t>
      </w:r>
      <w:r>
        <w:rPr>
          <w:lang w:val="fr-FR"/>
        </w:rPr>
        <w:t> </w:t>
      </w:r>
      <w:r w:rsidRPr="00207EF3">
        <w:rPr>
          <w:lang w:val="fr-FR"/>
        </w:rPr>
        <w:t>compris les degrés suivants qui ne sont pas automatiquement reconnus par les normes CEI et ISO :</w:t>
      </w:r>
    </w:p>
    <w:p w14:paraId="15EBA60E" w14:textId="77777777" w:rsidR="007F2D35" w:rsidRPr="00207EF3" w:rsidRDefault="007F2D35" w:rsidP="007F2D35">
      <w:pPr>
        <w:pStyle w:val="Bullet1G"/>
        <w:numPr>
          <w:ilvl w:val="0"/>
          <w:numId w:val="1"/>
        </w:numPr>
        <w:rPr>
          <w:lang w:val="fr-FR"/>
        </w:rPr>
      </w:pPr>
      <w:r w:rsidRPr="00207EF3">
        <w:rPr>
          <w:lang w:val="fr-FR"/>
        </w:rPr>
        <w:t>Degré de protection contre l</w:t>
      </w:r>
      <w:r>
        <w:rPr>
          <w:lang w:val="fr-FR"/>
        </w:rPr>
        <w:t>’</w:t>
      </w:r>
      <w:r w:rsidRPr="00207EF3">
        <w:rPr>
          <w:lang w:val="fr-FR"/>
        </w:rPr>
        <w:t>eau 7</w:t>
      </w:r>
      <w:r>
        <w:rPr>
          <w:lang w:val="fr-FR"/>
        </w:rPr>
        <w:t> </w:t>
      </w:r>
      <w:r w:rsidRPr="00207EF3">
        <w:rPr>
          <w:lang w:val="fr-FR"/>
        </w:rPr>
        <w:t>: immersion temporaire</w:t>
      </w:r>
      <w:r>
        <w:rPr>
          <w:lang w:val="fr-FR"/>
        </w:rPr>
        <w:t> ;</w:t>
      </w:r>
    </w:p>
    <w:p w14:paraId="0C4E2488" w14:textId="77777777" w:rsidR="007F2D35" w:rsidRPr="00207EF3" w:rsidRDefault="007F2D35" w:rsidP="007F2D35">
      <w:pPr>
        <w:pStyle w:val="Bullet1G"/>
        <w:numPr>
          <w:ilvl w:val="0"/>
          <w:numId w:val="1"/>
        </w:numPr>
        <w:rPr>
          <w:lang w:val="fr-FR"/>
        </w:rPr>
      </w:pPr>
      <w:r w:rsidRPr="00207EF3">
        <w:rPr>
          <w:lang w:val="fr-FR"/>
        </w:rPr>
        <w:t>Degré de protection contre l</w:t>
      </w:r>
      <w:r>
        <w:rPr>
          <w:lang w:val="fr-FR"/>
        </w:rPr>
        <w:t>’</w:t>
      </w:r>
      <w:r w:rsidRPr="00207EF3">
        <w:rPr>
          <w:lang w:val="fr-FR"/>
        </w:rPr>
        <w:t>eau 8</w:t>
      </w:r>
      <w:r>
        <w:rPr>
          <w:lang w:val="fr-FR"/>
        </w:rPr>
        <w:t> </w:t>
      </w:r>
      <w:r w:rsidRPr="00207EF3">
        <w:rPr>
          <w:lang w:val="fr-FR"/>
        </w:rPr>
        <w:t>: immersion continue</w:t>
      </w:r>
      <w:r>
        <w:rPr>
          <w:lang w:val="fr-FR"/>
        </w:rPr>
        <w:t> ;</w:t>
      </w:r>
    </w:p>
    <w:p w14:paraId="2CDC26C9" w14:textId="77777777" w:rsidR="007F2D35" w:rsidRPr="00207EF3" w:rsidRDefault="007F2D35" w:rsidP="007F2D35">
      <w:pPr>
        <w:pStyle w:val="Bullet1G"/>
        <w:numPr>
          <w:ilvl w:val="0"/>
          <w:numId w:val="1"/>
        </w:numPr>
        <w:rPr>
          <w:lang w:val="fr-FR"/>
        </w:rPr>
      </w:pPr>
      <w:r w:rsidRPr="00207EF3">
        <w:rPr>
          <w:lang w:val="fr-FR"/>
        </w:rPr>
        <w:t>Degré de protection contre l</w:t>
      </w:r>
      <w:r>
        <w:rPr>
          <w:lang w:val="fr-FR"/>
        </w:rPr>
        <w:t>’</w:t>
      </w:r>
      <w:r w:rsidRPr="00207EF3">
        <w:rPr>
          <w:lang w:val="fr-FR"/>
        </w:rPr>
        <w:t>eau 9K</w:t>
      </w:r>
      <w:r>
        <w:rPr>
          <w:lang w:val="fr-FR"/>
        </w:rPr>
        <w:t> </w:t>
      </w:r>
      <w:r w:rsidRPr="00207EF3">
        <w:rPr>
          <w:lang w:val="fr-FR"/>
        </w:rPr>
        <w:t>: nettoyage à haute pression/jet de vapeur</w:t>
      </w:r>
      <w:r>
        <w:rPr>
          <w:lang w:val="fr-FR"/>
        </w:rPr>
        <w:t>.</w:t>
      </w:r>
    </w:p>
    <w:p w14:paraId="65E65C19" w14:textId="77777777" w:rsidR="007F2D35" w:rsidRDefault="007F2D35" w:rsidP="007F2D35">
      <w:pPr>
        <w:pStyle w:val="SingleTxtG"/>
        <w:ind w:firstLine="567"/>
        <w:rPr>
          <w:lang w:val="fr-FR"/>
        </w:rPr>
      </w:pPr>
      <w:r w:rsidRPr="00207EF3">
        <w:rPr>
          <w:lang w:val="fr-FR"/>
        </w:rPr>
        <w:t>Les connecteurs automobiles sont généralement certifiés selon l</w:t>
      </w:r>
      <w:r>
        <w:rPr>
          <w:lang w:val="fr-FR"/>
        </w:rPr>
        <w:t>’</w:t>
      </w:r>
      <w:r w:rsidRPr="00207EF3">
        <w:rPr>
          <w:lang w:val="fr-FR"/>
        </w:rPr>
        <w:t xml:space="preserve">un des </w:t>
      </w:r>
      <w:r>
        <w:rPr>
          <w:lang w:val="fr-FR"/>
        </w:rPr>
        <w:t>degrés</w:t>
      </w:r>
      <w:r w:rsidRPr="00207EF3">
        <w:rPr>
          <w:lang w:val="fr-FR"/>
        </w:rPr>
        <w:t xml:space="preserve"> susmentionnés et présentent de meilleures performances que le degré</w:t>
      </w:r>
      <w:r>
        <w:rPr>
          <w:lang w:val="fr-FR"/>
        </w:rPr>
        <w:t> </w:t>
      </w:r>
      <w:r w:rsidRPr="00207EF3">
        <w:rPr>
          <w:lang w:val="fr-FR"/>
        </w:rPr>
        <w:t>4, qui garantit uniquement une protection contre les projections d</w:t>
      </w:r>
      <w:r>
        <w:rPr>
          <w:lang w:val="fr-FR"/>
        </w:rPr>
        <w:t>’</w:t>
      </w:r>
      <w:r w:rsidRPr="00207EF3">
        <w:rPr>
          <w:lang w:val="fr-FR"/>
        </w:rPr>
        <w:t>eau.</w:t>
      </w:r>
    </w:p>
    <w:p w14:paraId="00B86F09" w14:textId="51680838" w:rsidR="00F9573C" w:rsidRDefault="007F2D35" w:rsidP="007F2D35">
      <w:pPr>
        <w:pStyle w:val="SingleTxtG"/>
        <w:ind w:firstLine="567"/>
        <w:rPr>
          <w:lang w:val="fr-FR"/>
        </w:rPr>
      </w:pPr>
      <w:r>
        <w:rPr>
          <w:lang w:val="fr-FR"/>
        </w:rPr>
        <w:t>La deuxième</w:t>
      </w:r>
      <w:r w:rsidRPr="00207EF3">
        <w:rPr>
          <w:lang w:val="fr-FR"/>
        </w:rPr>
        <w:t xml:space="preserve"> modification proposée vise à corriger l</w:t>
      </w:r>
      <w:r>
        <w:rPr>
          <w:lang w:val="fr-FR"/>
        </w:rPr>
        <w:t xml:space="preserve">’existence de deux </w:t>
      </w:r>
      <w:r w:rsidRPr="00207EF3">
        <w:rPr>
          <w:lang w:val="fr-FR"/>
        </w:rPr>
        <w:t>paragraphe</w:t>
      </w:r>
      <w:r>
        <w:rPr>
          <w:lang w:val="fr-FR"/>
        </w:rPr>
        <w:t>s </w:t>
      </w:r>
      <w:r w:rsidRPr="00207EF3">
        <w:rPr>
          <w:lang w:val="fr-FR"/>
        </w:rPr>
        <w:t xml:space="preserve">6.17.10.8 </w:t>
      </w:r>
      <w:r>
        <w:rPr>
          <w:lang w:val="fr-FR"/>
        </w:rPr>
        <w:t>du fait des</w:t>
      </w:r>
      <w:r w:rsidRPr="00207EF3">
        <w:rPr>
          <w:lang w:val="fr-FR"/>
        </w:rPr>
        <w:t xml:space="preserve"> </w:t>
      </w:r>
      <w:r>
        <w:rPr>
          <w:lang w:val="fr-FR"/>
        </w:rPr>
        <w:t>amendements proposés dans</w:t>
      </w:r>
      <w:r w:rsidRPr="00207EF3">
        <w:rPr>
          <w:lang w:val="fr-FR"/>
        </w:rPr>
        <w:t xml:space="preserve"> le</w:t>
      </w:r>
      <w:r>
        <w:rPr>
          <w:lang w:val="fr-FR"/>
        </w:rPr>
        <w:t>s</w:t>
      </w:r>
      <w:r w:rsidRPr="00207EF3">
        <w:rPr>
          <w:lang w:val="fr-FR"/>
        </w:rPr>
        <w:t xml:space="preserve"> document</w:t>
      </w:r>
      <w:r>
        <w:rPr>
          <w:lang w:val="fr-FR"/>
        </w:rPr>
        <w:t>s</w:t>
      </w:r>
      <w:r w:rsidRPr="00207EF3">
        <w:rPr>
          <w:lang w:val="fr-FR"/>
        </w:rPr>
        <w:t xml:space="preserve"> ECE/TRANS/WP.29/2019/94 (tel que modifié par le paragraphe</w:t>
      </w:r>
      <w:r>
        <w:rPr>
          <w:lang w:val="fr-FR"/>
        </w:rPr>
        <w:t> </w:t>
      </w:r>
      <w:r w:rsidRPr="00207EF3">
        <w:rPr>
          <w:lang w:val="fr-FR"/>
        </w:rPr>
        <w:t>70 du rapport ECE/TRANS/WP.29/1149) et ECE/TRANS/WP.29/2021/20. Le paragraphe est renuméroté</w:t>
      </w:r>
      <w:r>
        <w:rPr>
          <w:lang w:val="fr-FR"/>
        </w:rPr>
        <w:t> </w:t>
      </w:r>
      <w:r w:rsidRPr="00207EF3">
        <w:rPr>
          <w:lang w:val="fr-FR"/>
        </w:rPr>
        <w:t>6.17.10.9.</w:t>
      </w:r>
    </w:p>
    <w:p w14:paraId="1F101DB8" w14:textId="60AF7D21" w:rsidR="007F2D35" w:rsidRPr="007F2D35" w:rsidRDefault="007F2D35" w:rsidP="007F2D35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7F2D35" w:rsidRPr="007F2D35" w:rsidSect="007F2D3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1BEB" w14:textId="77777777" w:rsidR="004C5F4C" w:rsidRDefault="004C5F4C" w:rsidP="00F95C08">
      <w:pPr>
        <w:spacing w:line="240" w:lineRule="auto"/>
      </w:pPr>
    </w:p>
  </w:endnote>
  <w:endnote w:type="continuationSeparator" w:id="0">
    <w:p w14:paraId="0A1D5CF3" w14:textId="77777777" w:rsidR="004C5F4C" w:rsidRPr="00AC3823" w:rsidRDefault="004C5F4C" w:rsidP="00AC3823">
      <w:pPr>
        <w:pStyle w:val="Pieddepage"/>
      </w:pPr>
    </w:p>
  </w:endnote>
  <w:endnote w:type="continuationNotice" w:id="1">
    <w:p w14:paraId="0A1A2DD7" w14:textId="77777777" w:rsidR="004C5F4C" w:rsidRDefault="004C5F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3AB3" w14:textId="287B2ECE" w:rsidR="007F2D35" w:rsidRPr="007F2D35" w:rsidRDefault="007F2D35" w:rsidP="007F2D35">
    <w:pPr>
      <w:pStyle w:val="Pieddepage"/>
      <w:tabs>
        <w:tab w:val="right" w:pos="9638"/>
      </w:tabs>
    </w:pPr>
    <w:r w:rsidRPr="007F2D35">
      <w:rPr>
        <w:b/>
        <w:sz w:val="18"/>
      </w:rPr>
      <w:fldChar w:fldCharType="begin"/>
    </w:r>
    <w:r w:rsidRPr="007F2D35">
      <w:rPr>
        <w:b/>
        <w:sz w:val="18"/>
      </w:rPr>
      <w:instrText xml:space="preserve"> PAGE  \* MERGEFORMAT </w:instrText>
    </w:r>
    <w:r w:rsidRPr="007F2D35">
      <w:rPr>
        <w:b/>
        <w:sz w:val="18"/>
      </w:rPr>
      <w:fldChar w:fldCharType="separate"/>
    </w:r>
    <w:r w:rsidRPr="007F2D35">
      <w:rPr>
        <w:b/>
        <w:noProof/>
        <w:sz w:val="18"/>
      </w:rPr>
      <w:t>2</w:t>
    </w:r>
    <w:r w:rsidRPr="007F2D35">
      <w:rPr>
        <w:b/>
        <w:sz w:val="18"/>
      </w:rPr>
      <w:fldChar w:fldCharType="end"/>
    </w:r>
    <w:r>
      <w:rPr>
        <w:b/>
        <w:sz w:val="18"/>
      </w:rPr>
      <w:tab/>
    </w:r>
    <w:r>
      <w:t>GE.22-11519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E0E0" w14:textId="529E0F6B" w:rsidR="007F2D35" w:rsidRPr="007F2D35" w:rsidRDefault="007F2D35" w:rsidP="007F2D35">
    <w:pPr>
      <w:pStyle w:val="Pieddepage"/>
      <w:tabs>
        <w:tab w:val="right" w:pos="9638"/>
      </w:tabs>
      <w:rPr>
        <w:b/>
        <w:sz w:val="18"/>
      </w:rPr>
    </w:pPr>
    <w:r>
      <w:t>GE.22-11519</w:t>
    </w:r>
    <w:r>
      <w:tab/>
    </w:r>
    <w:r w:rsidRPr="007F2D35">
      <w:rPr>
        <w:b/>
        <w:sz w:val="18"/>
      </w:rPr>
      <w:fldChar w:fldCharType="begin"/>
    </w:r>
    <w:r w:rsidRPr="007F2D35">
      <w:rPr>
        <w:b/>
        <w:sz w:val="18"/>
      </w:rPr>
      <w:instrText xml:space="preserve"> PAGE  \* MERGEFORMAT </w:instrText>
    </w:r>
    <w:r w:rsidRPr="007F2D35">
      <w:rPr>
        <w:b/>
        <w:sz w:val="18"/>
      </w:rPr>
      <w:fldChar w:fldCharType="separate"/>
    </w:r>
    <w:r w:rsidRPr="007F2D35">
      <w:rPr>
        <w:b/>
        <w:noProof/>
        <w:sz w:val="18"/>
      </w:rPr>
      <w:t>3</w:t>
    </w:r>
    <w:r w:rsidRPr="007F2D3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7537" w14:textId="45E31D35" w:rsidR="007F20FA" w:rsidRPr="007F2D35" w:rsidRDefault="007F2D35" w:rsidP="007F2D35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401C510" wp14:editId="3E5D161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22-11519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86AC228" wp14:editId="77D2A997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050822    090822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40E8" w14:textId="77777777" w:rsidR="004C5F4C" w:rsidRPr="00AC3823" w:rsidRDefault="004C5F4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64EB674" w14:textId="77777777" w:rsidR="004C5F4C" w:rsidRPr="00AC3823" w:rsidRDefault="004C5F4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8EA6895" w14:textId="77777777" w:rsidR="004C5F4C" w:rsidRPr="00AC3823" w:rsidRDefault="004C5F4C">
      <w:pPr>
        <w:spacing w:line="240" w:lineRule="auto"/>
        <w:rPr>
          <w:sz w:val="2"/>
          <w:szCs w:val="2"/>
        </w:rPr>
      </w:pPr>
    </w:p>
  </w:footnote>
  <w:footnote w:id="2">
    <w:p w14:paraId="1D172129" w14:textId="77777777" w:rsidR="007F2D35" w:rsidRPr="00D34330" w:rsidRDefault="007F2D35" w:rsidP="007F2D35">
      <w:pPr>
        <w:pStyle w:val="Notedebasdepage"/>
      </w:pPr>
      <w:r>
        <w:rPr>
          <w:rStyle w:val="Appelnotedebasdep"/>
        </w:rPr>
        <w:tab/>
      </w:r>
      <w:r w:rsidRPr="00D34330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2022 tel qu’il figure dans le projet de budget-programme pour 2022 (A/76/6 (Sect. 20), par. 20.76),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173E" w14:textId="0A217EEE" w:rsidR="007F2D35" w:rsidRPr="007F2D35" w:rsidRDefault="007F2D35">
    <w:pPr>
      <w:pStyle w:val="En-tte"/>
    </w:pPr>
    <w:fldSimple w:instr=" TITLE  \* MERGEFORMAT ">
      <w:r>
        <w:t>ECE/TRANS/WP.29/GRSG/2022/22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536B" w14:textId="07EB5027" w:rsidR="007F2D35" w:rsidRPr="007F2D35" w:rsidRDefault="007F2D35" w:rsidP="007F2D35">
    <w:pPr>
      <w:pStyle w:val="En-tte"/>
      <w:jc w:val="right"/>
    </w:pPr>
    <w:fldSimple w:instr=" TITLE  \* MERGEFORMAT ">
      <w:r>
        <w:t>ECE/TRANS/WP.29/GRSG/2022/22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4C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749AE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C5F4C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7F2D35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32BC81"/>
  <w15:docId w15:val="{023E2419-3EF5-459B-92C4-262D8114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2</Pages>
  <Words>412</Words>
  <Characters>2885</Characters>
  <Application>Microsoft Office Word</Application>
  <DocSecurity>0</DocSecurity>
  <Lines>240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ECE/TRANS/WP.29/GRSG/2022/22</dc:title>
  <dc:subject/>
  <dc:creator>Marie DESCHAMPS</dc:creator>
  <cp:keywords/>
  <cp:lastModifiedBy>Marie Deschamps</cp:lastModifiedBy>
  <cp:revision>2</cp:revision>
  <cp:lastPrinted>2014-05-14T10:59:00Z</cp:lastPrinted>
  <dcterms:created xsi:type="dcterms:W3CDTF">2022-08-09T07:34:00Z</dcterms:created>
  <dcterms:modified xsi:type="dcterms:W3CDTF">2022-08-09T07:34:00Z</dcterms:modified>
</cp:coreProperties>
</file>