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B8FEE54" w14:textId="77777777" w:rsidTr="00C97039">
        <w:trPr>
          <w:trHeight w:hRule="exact" w:val="851"/>
        </w:trPr>
        <w:tc>
          <w:tcPr>
            <w:tcW w:w="1276" w:type="dxa"/>
            <w:tcBorders>
              <w:bottom w:val="single" w:sz="4" w:space="0" w:color="auto"/>
            </w:tcBorders>
          </w:tcPr>
          <w:p w14:paraId="20683DB5" w14:textId="77777777" w:rsidR="00F35BAF" w:rsidRPr="00DB58B5" w:rsidRDefault="00F35BAF" w:rsidP="00104467"/>
        </w:tc>
        <w:tc>
          <w:tcPr>
            <w:tcW w:w="2268" w:type="dxa"/>
            <w:tcBorders>
              <w:bottom w:val="single" w:sz="4" w:space="0" w:color="auto"/>
            </w:tcBorders>
            <w:vAlign w:val="bottom"/>
          </w:tcPr>
          <w:p w14:paraId="5A1401A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8F2BCB" w14:textId="3A37D1F1" w:rsidR="00F35BAF" w:rsidRPr="00DB58B5" w:rsidRDefault="00104467" w:rsidP="00104467">
            <w:pPr>
              <w:jc w:val="right"/>
            </w:pPr>
            <w:r w:rsidRPr="00104467">
              <w:rPr>
                <w:sz w:val="40"/>
              </w:rPr>
              <w:t>ECE</w:t>
            </w:r>
            <w:r>
              <w:t>/TRANS/WP.29/GRSG/2022/21</w:t>
            </w:r>
          </w:p>
        </w:tc>
      </w:tr>
      <w:tr w:rsidR="00F35BAF" w:rsidRPr="00DB58B5" w14:paraId="6133A520" w14:textId="77777777" w:rsidTr="00C97039">
        <w:trPr>
          <w:trHeight w:hRule="exact" w:val="2835"/>
        </w:trPr>
        <w:tc>
          <w:tcPr>
            <w:tcW w:w="1276" w:type="dxa"/>
            <w:tcBorders>
              <w:top w:val="single" w:sz="4" w:space="0" w:color="auto"/>
              <w:bottom w:val="single" w:sz="12" w:space="0" w:color="auto"/>
            </w:tcBorders>
          </w:tcPr>
          <w:p w14:paraId="4BB6CF5A" w14:textId="77777777" w:rsidR="00F35BAF" w:rsidRPr="00DB58B5" w:rsidRDefault="00F35BAF" w:rsidP="00C97039">
            <w:pPr>
              <w:spacing w:before="120"/>
              <w:jc w:val="center"/>
            </w:pPr>
            <w:r>
              <w:rPr>
                <w:noProof/>
                <w:lang w:eastAsia="fr-CH"/>
              </w:rPr>
              <w:drawing>
                <wp:inline distT="0" distB="0" distL="0" distR="0" wp14:anchorId="3DBAC87A" wp14:editId="41A9D7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3D8A6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4C25D5" w14:textId="77777777" w:rsidR="00F35BAF" w:rsidRDefault="00104467" w:rsidP="00C97039">
            <w:pPr>
              <w:spacing w:before="240"/>
            </w:pPr>
            <w:proofErr w:type="spellStart"/>
            <w:r>
              <w:t>Distr</w:t>
            </w:r>
            <w:proofErr w:type="spellEnd"/>
            <w:r>
              <w:t>. générale</w:t>
            </w:r>
          </w:p>
          <w:p w14:paraId="67BEA574" w14:textId="77777777" w:rsidR="00104467" w:rsidRDefault="00104467" w:rsidP="00104467">
            <w:pPr>
              <w:spacing w:line="240" w:lineRule="exact"/>
            </w:pPr>
            <w:r>
              <w:t>22 juillet 2022</w:t>
            </w:r>
          </w:p>
          <w:p w14:paraId="5CA082EF" w14:textId="77777777" w:rsidR="00104467" w:rsidRDefault="00104467" w:rsidP="00104467">
            <w:pPr>
              <w:spacing w:line="240" w:lineRule="exact"/>
            </w:pPr>
            <w:r>
              <w:t>Français</w:t>
            </w:r>
          </w:p>
          <w:p w14:paraId="36F49CE4" w14:textId="700F9CE6" w:rsidR="00104467" w:rsidRPr="00DB58B5" w:rsidRDefault="00104467" w:rsidP="00104467">
            <w:pPr>
              <w:spacing w:line="240" w:lineRule="exact"/>
            </w:pPr>
            <w:r>
              <w:t>Original : anglais</w:t>
            </w:r>
          </w:p>
        </w:tc>
      </w:tr>
    </w:tbl>
    <w:p w14:paraId="1552B5B6" w14:textId="094CF6AE" w:rsidR="007F20FA" w:rsidRPr="000312C0" w:rsidRDefault="007F20FA" w:rsidP="007F20FA">
      <w:pPr>
        <w:spacing w:before="120"/>
        <w:rPr>
          <w:b/>
          <w:sz w:val="28"/>
          <w:szCs w:val="28"/>
        </w:rPr>
      </w:pPr>
      <w:r w:rsidRPr="000312C0">
        <w:rPr>
          <w:b/>
          <w:sz w:val="28"/>
          <w:szCs w:val="28"/>
        </w:rPr>
        <w:t>Commission économique pour l</w:t>
      </w:r>
      <w:r w:rsidR="00104467">
        <w:rPr>
          <w:b/>
          <w:sz w:val="28"/>
          <w:szCs w:val="28"/>
        </w:rPr>
        <w:t>’</w:t>
      </w:r>
      <w:r w:rsidRPr="000312C0">
        <w:rPr>
          <w:b/>
          <w:sz w:val="28"/>
          <w:szCs w:val="28"/>
        </w:rPr>
        <w:t>Europe</w:t>
      </w:r>
    </w:p>
    <w:p w14:paraId="2111CEFA" w14:textId="77777777" w:rsidR="007F20FA" w:rsidRDefault="007F20FA" w:rsidP="007F20FA">
      <w:pPr>
        <w:spacing w:before="120"/>
        <w:rPr>
          <w:sz w:val="28"/>
          <w:szCs w:val="28"/>
        </w:rPr>
      </w:pPr>
      <w:r w:rsidRPr="00685843">
        <w:rPr>
          <w:sz w:val="28"/>
          <w:szCs w:val="28"/>
        </w:rPr>
        <w:t>Comité des transports intérieurs</w:t>
      </w:r>
    </w:p>
    <w:p w14:paraId="0F5C625C" w14:textId="61227753" w:rsidR="00104467" w:rsidRDefault="00104467"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6360B6E" w14:textId="33254E4A" w:rsidR="00104467" w:rsidRDefault="00104467" w:rsidP="00257168">
      <w:pPr>
        <w:spacing w:before="120" w:after="120" w:line="240" w:lineRule="exact"/>
        <w:rPr>
          <w:b/>
        </w:rPr>
      </w:pPr>
      <w:r>
        <w:rPr>
          <w:b/>
        </w:rPr>
        <w:t xml:space="preserve">Groupe de travail </w:t>
      </w:r>
      <w:r>
        <w:rPr>
          <w:b/>
          <w:bCs/>
          <w:lang w:val="fr-FR"/>
        </w:rPr>
        <w:t>des dispositions générales de sécurité</w:t>
      </w:r>
    </w:p>
    <w:p w14:paraId="3A0C5636" w14:textId="77777777" w:rsidR="00104467" w:rsidRPr="0032392B" w:rsidRDefault="00104467" w:rsidP="00104467">
      <w:pPr>
        <w:spacing w:before="120"/>
        <w:rPr>
          <w:rFonts w:asciiTheme="majorBidi" w:hAnsiTheme="majorBidi" w:cstheme="majorBidi"/>
          <w:b/>
          <w:lang w:val="fr-FR"/>
        </w:rPr>
      </w:pPr>
      <w:r>
        <w:rPr>
          <w:b/>
          <w:bCs/>
          <w:lang w:val="fr-FR"/>
        </w:rPr>
        <w:t>124</w:t>
      </w:r>
      <w:r>
        <w:rPr>
          <w:b/>
          <w:bCs/>
          <w:vertAlign w:val="superscript"/>
          <w:lang w:val="fr-FR"/>
        </w:rPr>
        <w:t>e</w:t>
      </w:r>
      <w:r>
        <w:rPr>
          <w:b/>
          <w:bCs/>
          <w:lang w:val="fr-FR"/>
        </w:rPr>
        <w:t xml:space="preserve"> session</w:t>
      </w:r>
    </w:p>
    <w:p w14:paraId="06542DF6" w14:textId="77777777" w:rsidR="00104467" w:rsidRPr="0032392B" w:rsidRDefault="00104467" w:rsidP="00104467">
      <w:pPr>
        <w:rPr>
          <w:rFonts w:asciiTheme="majorBidi" w:hAnsiTheme="majorBidi" w:cstheme="majorBidi"/>
          <w:lang w:val="fr-FR"/>
        </w:rPr>
      </w:pPr>
      <w:r>
        <w:rPr>
          <w:lang w:val="fr-FR"/>
        </w:rPr>
        <w:t>Genève, 11-14 octobre 2022</w:t>
      </w:r>
    </w:p>
    <w:p w14:paraId="6673EFC3" w14:textId="37308742" w:rsidR="00104467" w:rsidRPr="0032392B" w:rsidRDefault="00104467" w:rsidP="00104467">
      <w:pPr>
        <w:rPr>
          <w:rFonts w:asciiTheme="majorBidi" w:hAnsiTheme="majorBidi" w:cstheme="majorBidi"/>
          <w:lang w:val="fr-FR"/>
        </w:rPr>
      </w:pPr>
      <w:r>
        <w:rPr>
          <w:lang w:val="fr-FR"/>
        </w:rPr>
        <w:t>Point 6 a) de l</w:t>
      </w:r>
      <w:r>
        <w:rPr>
          <w:lang w:val="fr-FR"/>
        </w:rPr>
        <w:t>’</w:t>
      </w:r>
      <w:r>
        <w:rPr>
          <w:lang w:val="fr-FR"/>
        </w:rPr>
        <w:t>ordre du jour provisoire</w:t>
      </w:r>
    </w:p>
    <w:p w14:paraId="08C1EAED" w14:textId="77777777" w:rsidR="00104467" w:rsidRPr="0032392B" w:rsidRDefault="00104467" w:rsidP="00104467">
      <w:pPr>
        <w:rPr>
          <w:b/>
          <w:lang w:val="fr-FR"/>
        </w:rPr>
      </w:pPr>
      <w:r>
        <w:rPr>
          <w:b/>
          <w:bCs/>
          <w:lang w:val="fr-FR"/>
        </w:rPr>
        <w:t>Amendements aux Règlements sur les véhicules alimentés au gaz :</w:t>
      </w:r>
    </w:p>
    <w:p w14:paraId="125E4CD5" w14:textId="643091C8" w:rsidR="00104467" w:rsidRPr="0032392B" w:rsidRDefault="00104467" w:rsidP="00104467">
      <w:pPr>
        <w:rPr>
          <w:lang w:val="fr-FR"/>
        </w:rPr>
      </w:pPr>
      <w:r>
        <w:rPr>
          <w:b/>
          <w:bCs/>
          <w:lang w:val="fr-FR"/>
        </w:rPr>
        <w:t xml:space="preserve">Règlement ONU </w:t>
      </w:r>
      <w:r w:rsidRPr="00104467">
        <w:rPr>
          <w:rFonts w:eastAsia="MS Mincho"/>
          <w:b/>
          <w:bCs/>
          <w:szCs w:val="22"/>
          <w:lang w:val="fr-FR"/>
        </w:rPr>
        <w:t>n</w:t>
      </w:r>
      <w:r w:rsidRPr="00104467">
        <w:rPr>
          <w:rFonts w:eastAsia="MS Mincho"/>
          <w:b/>
          <w:bCs/>
          <w:szCs w:val="22"/>
          <w:vertAlign w:val="superscript"/>
          <w:lang w:val="fr-FR"/>
        </w:rPr>
        <w:t>o</w:t>
      </w:r>
      <w:r>
        <w:rPr>
          <w:b/>
          <w:bCs/>
          <w:lang w:val="fr-FR"/>
        </w:rPr>
        <w:t> </w:t>
      </w:r>
      <w:r>
        <w:rPr>
          <w:b/>
          <w:bCs/>
          <w:lang w:val="fr-FR"/>
        </w:rPr>
        <w:t>67 (Véhicules alimentés au GPL)</w:t>
      </w:r>
    </w:p>
    <w:p w14:paraId="46B64CD6" w14:textId="357574C4" w:rsidR="00104467" w:rsidRPr="0032392B" w:rsidRDefault="00104467" w:rsidP="00104467">
      <w:pPr>
        <w:pStyle w:val="HChG"/>
        <w:rPr>
          <w:lang w:val="fr-FR"/>
        </w:rPr>
      </w:pPr>
      <w:r>
        <w:rPr>
          <w:lang w:val="fr-FR"/>
        </w:rPr>
        <w:tab/>
      </w:r>
      <w:r>
        <w:rPr>
          <w:lang w:val="fr-FR"/>
        </w:rPr>
        <w:tab/>
      </w:r>
      <w:r>
        <w:rPr>
          <w:lang w:val="fr-FR"/>
        </w:rPr>
        <w:tab/>
      </w:r>
      <w:r>
        <w:rPr>
          <w:bCs/>
          <w:lang w:val="fr-FR"/>
        </w:rPr>
        <w:t>Proposition de complément 3 à la série 03 et de complément 2 à la série 04 d</w:t>
      </w:r>
      <w:r>
        <w:rPr>
          <w:bCs/>
          <w:lang w:val="fr-FR"/>
        </w:rPr>
        <w:t>’</w:t>
      </w:r>
      <w:r>
        <w:rPr>
          <w:bCs/>
          <w:lang w:val="fr-FR"/>
        </w:rPr>
        <w:t xml:space="preserve">amendements au Règlement ONU </w:t>
      </w:r>
      <w:r w:rsidRPr="00104467">
        <w:rPr>
          <w:rFonts w:eastAsia="MS Mincho"/>
          <w:bCs/>
          <w:szCs w:val="22"/>
          <w:lang w:val="fr-FR"/>
        </w:rPr>
        <w:t>n</w:t>
      </w:r>
      <w:r w:rsidRPr="00104467">
        <w:rPr>
          <w:rFonts w:eastAsia="MS Mincho"/>
          <w:bCs/>
          <w:szCs w:val="22"/>
          <w:vertAlign w:val="superscript"/>
          <w:lang w:val="fr-FR"/>
        </w:rPr>
        <w:t>o</w:t>
      </w:r>
      <w:r>
        <w:rPr>
          <w:bCs/>
          <w:lang w:val="fr-FR"/>
        </w:rPr>
        <w:t> </w:t>
      </w:r>
      <w:r>
        <w:rPr>
          <w:bCs/>
          <w:lang w:val="fr-FR"/>
        </w:rPr>
        <w:t>67 (Véhicules alimentés au GPL)</w:t>
      </w:r>
    </w:p>
    <w:p w14:paraId="5AAE9631" w14:textId="63F05794" w:rsidR="00104467" w:rsidRPr="00104467" w:rsidRDefault="00104467" w:rsidP="00104467">
      <w:pPr>
        <w:pStyle w:val="H1G"/>
      </w:pPr>
      <w:r>
        <w:rPr>
          <w:lang w:val="fr-FR"/>
        </w:rPr>
        <w:tab/>
      </w:r>
      <w:r>
        <w:rPr>
          <w:lang w:val="fr-FR"/>
        </w:rPr>
        <w:tab/>
        <w:t>Communication de l</w:t>
      </w:r>
      <w:r>
        <w:rPr>
          <w:lang w:val="fr-FR"/>
        </w:rPr>
        <w:t>’</w:t>
      </w:r>
      <w:r>
        <w:rPr>
          <w:lang w:val="fr-FR"/>
        </w:rPr>
        <w:t>expert de l</w:t>
      </w:r>
      <w:r>
        <w:rPr>
          <w:lang w:val="fr-FR"/>
        </w:rPr>
        <w:t>’</w:t>
      </w:r>
      <w:r>
        <w:rPr>
          <w:lang w:val="fr-FR"/>
        </w:rPr>
        <w:t>Italie</w:t>
      </w:r>
      <w:r w:rsidRPr="00104467">
        <w:rPr>
          <w:b w:val="0"/>
          <w:bCs/>
          <w:sz w:val="20"/>
          <w:lang w:val="fr-FR"/>
        </w:rPr>
        <w:footnoteReference w:customMarkFollows="1" w:id="2"/>
        <w:t>*</w:t>
      </w:r>
    </w:p>
    <w:p w14:paraId="54211D25" w14:textId="52573120" w:rsidR="00F9573C" w:rsidRDefault="00104467" w:rsidP="00104467">
      <w:pPr>
        <w:pStyle w:val="SingleTxtG"/>
        <w:ind w:firstLine="567"/>
        <w:rPr>
          <w:lang w:val="fr-FR"/>
        </w:rPr>
      </w:pPr>
      <w:r>
        <w:rPr>
          <w:lang w:val="fr-FR"/>
        </w:rPr>
        <w:t>Le texte ci-après a été établi par l</w:t>
      </w:r>
      <w:r>
        <w:rPr>
          <w:lang w:val="fr-FR"/>
        </w:rPr>
        <w:t>’</w:t>
      </w:r>
      <w:r>
        <w:rPr>
          <w:lang w:val="fr-FR"/>
        </w:rPr>
        <w:t>expert de l</w:t>
      </w:r>
      <w:r>
        <w:rPr>
          <w:lang w:val="fr-FR"/>
        </w:rPr>
        <w:t>’</w:t>
      </w:r>
      <w:r>
        <w:rPr>
          <w:lang w:val="fr-FR"/>
        </w:rPr>
        <w:t>Italie. Les modifications qu</w:t>
      </w:r>
      <w:r>
        <w:rPr>
          <w:lang w:val="fr-FR"/>
        </w:rPr>
        <w:t>’</w:t>
      </w:r>
      <w:r>
        <w:rPr>
          <w:lang w:val="fr-FR"/>
        </w:rPr>
        <w:t>il est proposé d</w:t>
      </w:r>
      <w:r>
        <w:rPr>
          <w:lang w:val="fr-FR"/>
        </w:rPr>
        <w:t>’</w:t>
      </w:r>
      <w:r>
        <w:rPr>
          <w:lang w:val="fr-FR"/>
        </w:rPr>
        <w:t>apporter au texte actuel du Règlement ONU figurent en caractères gras pour les ajouts et biffés pour les suppressions.</w:t>
      </w:r>
    </w:p>
    <w:p w14:paraId="21F64EF6" w14:textId="014002F2" w:rsidR="00104467" w:rsidRDefault="00104467">
      <w:pPr>
        <w:suppressAutoHyphens w:val="0"/>
        <w:kinsoku/>
        <w:overflowPunct/>
        <w:autoSpaceDE/>
        <w:autoSpaceDN/>
        <w:adjustRightInd/>
        <w:snapToGrid/>
        <w:spacing w:after="200" w:line="276" w:lineRule="auto"/>
        <w:rPr>
          <w:lang w:val="fr-FR"/>
        </w:rPr>
      </w:pPr>
      <w:r>
        <w:rPr>
          <w:lang w:val="fr-FR"/>
        </w:rPr>
        <w:br w:type="page"/>
      </w:r>
    </w:p>
    <w:p w14:paraId="66B0AC9A" w14:textId="77777777" w:rsidR="00104467" w:rsidRPr="0032392B" w:rsidRDefault="00104467" w:rsidP="00104467">
      <w:pPr>
        <w:pStyle w:val="HChG"/>
        <w:rPr>
          <w:rFonts w:asciiTheme="majorBidi" w:hAnsiTheme="majorBidi" w:cstheme="majorBidi"/>
          <w:b w:val="0"/>
          <w:szCs w:val="28"/>
          <w:lang w:val="fr-FR"/>
        </w:rPr>
      </w:pPr>
      <w:r>
        <w:rPr>
          <w:bCs/>
          <w:lang w:val="fr-FR"/>
        </w:rPr>
        <w:lastRenderedPageBreak/>
        <w:tab/>
        <w:t>I.</w:t>
      </w:r>
      <w:r>
        <w:rPr>
          <w:lang w:val="fr-FR"/>
        </w:rPr>
        <w:tab/>
      </w:r>
      <w:r>
        <w:rPr>
          <w:bCs/>
          <w:lang w:val="fr-FR"/>
        </w:rPr>
        <w:t>Proposition</w:t>
      </w:r>
    </w:p>
    <w:p w14:paraId="22DA6CC9" w14:textId="77777777" w:rsidR="00104467" w:rsidRPr="0032392B" w:rsidRDefault="00104467" w:rsidP="00104467">
      <w:pPr>
        <w:pStyle w:val="SingleTxtG"/>
        <w:rPr>
          <w:lang w:val="fr-FR"/>
        </w:rPr>
      </w:pPr>
      <w:r>
        <w:rPr>
          <w:i/>
          <w:iCs/>
          <w:lang w:val="fr-FR"/>
        </w:rPr>
        <w:t>Paragraphe 6.17.10.9,</w:t>
      </w:r>
      <w:r>
        <w:rPr>
          <w:lang w:val="fr-FR"/>
        </w:rPr>
        <w:t xml:space="preserve"> supprimer.</w:t>
      </w:r>
    </w:p>
    <w:p w14:paraId="308C1085" w14:textId="77777777" w:rsidR="00104467" w:rsidRPr="0032392B" w:rsidRDefault="00104467" w:rsidP="00104467">
      <w:pPr>
        <w:pStyle w:val="SingleTxtG"/>
        <w:rPr>
          <w:lang w:val="fr-FR"/>
        </w:rPr>
      </w:pPr>
      <w:r>
        <w:rPr>
          <w:i/>
          <w:iCs/>
          <w:lang w:val="fr-FR"/>
        </w:rPr>
        <w:t>Ajouter un nouveau paragraphe 17.10.3,</w:t>
      </w:r>
      <w:r>
        <w:rPr>
          <w:lang w:val="fr-FR"/>
        </w:rPr>
        <w:t xml:space="preserve"> libellé comme suit :</w:t>
      </w:r>
    </w:p>
    <w:p w14:paraId="08628C52" w14:textId="4354B9BA" w:rsidR="00104467" w:rsidRPr="0032392B" w:rsidRDefault="00104467" w:rsidP="00104467">
      <w:pPr>
        <w:pStyle w:val="SingleTxtG"/>
        <w:ind w:left="2268" w:hanging="1134"/>
        <w:rPr>
          <w:lang w:val="fr-FR"/>
        </w:rPr>
      </w:pPr>
      <w:r>
        <w:rPr>
          <w:lang w:val="fr-FR"/>
        </w:rPr>
        <w:t>« </w:t>
      </w:r>
      <w:r>
        <w:rPr>
          <w:b/>
          <w:bCs/>
          <w:lang w:val="fr-FR"/>
        </w:rPr>
        <w:t>17.10.3</w:t>
      </w:r>
      <w:r>
        <w:rPr>
          <w:lang w:val="fr-FR"/>
        </w:rPr>
        <w:tab/>
      </w:r>
      <w:r w:rsidRPr="00104467">
        <w:rPr>
          <w:b/>
          <w:bCs/>
          <w:lang w:val="fr-FR"/>
        </w:rPr>
        <w:t>Pour les véhicules de la catégorie M</w:t>
      </w:r>
      <w:r w:rsidRPr="00104467">
        <w:rPr>
          <w:b/>
          <w:bCs/>
          <w:vertAlign w:val="subscript"/>
          <w:lang w:val="fr-FR"/>
        </w:rPr>
        <w:t>1</w:t>
      </w:r>
      <w:r w:rsidRPr="00104467">
        <w:rPr>
          <w:b/>
          <w:bCs/>
          <w:lang w:val="fr-FR"/>
        </w:rPr>
        <w:t>, l</w:t>
      </w:r>
      <w:r w:rsidRPr="00104467">
        <w:rPr>
          <w:b/>
          <w:bCs/>
          <w:lang w:val="fr-FR"/>
        </w:rPr>
        <w:t>’</w:t>
      </w:r>
      <w:r w:rsidRPr="00104467">
        <w:rPr>
          <w:b/>
          <w:bCs/>
          <w:lang w:val="fr-FR"/>
        </w:rPr>
        <w:t>embout de remplissage ne doit pas être situé au-dessous de la carrosserie du véhicule et doit respecter les dispositions du paragraphe 17.4.5 relatives à la hauteur.</w:t>
      </w:r>
      <w:r>
        <w:rPr>
          <w:lang w:val="fr-FR"/>
        </w:rPr>
        <w:t> »</w:t>
      </w:r>
      <w:r>
        <w:rPr>
          <w:lang w:val="fr-FR"/>
        </w:rPr>
        <w:t>.</w:t>
      </w:r>
    </w:p>
    <w:p w14:paraId="47ADDCA3" w14:textId="77777777" w:rsidR="00104467" w:rsidRPr="0032392B" w:rsidRDefault="00104467" w:rsidP="00104467">
      <w:pPr>
        <w:pStyle w:val="HChG"/>
        <w:rPr>
          <w:b w:val="0"/>
          <w:lang w:val="fr-FR"/>
        </w:rPr>
      </w:pPr>
      <w:r>
        <w:rPr>
          <w:bCs/>
          <w:lang w:val="fr-FR"/>
        </w:rPr>
        <w:tab/>
        <w:t>II.</w:t>
      </w:r>
      <w:r>
        <w:rPr>
          <w:lang w:val="fr-FR"/>
        </w:rPr>
        <w:tab/>
      </w:r>
      <w:r>
        <w:rPr>
          <w:bCs/>
          <w:lang w:val="fr-FR"/>
        </w:rPr>
        <w:t>Justification</w:t>
      </w:r>
    </w:p>
    <w:p w14:paraId="0FBDADA6" w14:textId="2EB99FE0" w:rsidR="00104467" w:rsidRDefault="00104467" w:rsidP="00104467">
      <w:pPr>
        <w:pStyle w:val="SingleTxtG"/>
        <w:ind w:firstLine="567"/>
        <w:rPr>
          <w:lang w:val="fr-FR"/>
        </w:rPr>
      </w:pPr>
      <w:r>
        <w:rPr>
          <w:lang w:val="fr-FR"/>
        </w:rPr>
        <w:t>La prescription introduite par le document ECE/TRANS/WP.29/2019/94 tel que modifié par le paragraphe 70 du rapport (document ECE/TRANS/WP.29/1149) vise à interdire d</w:t>
      </w:r>
      <w:r>
        <w:rPr>
          <w:lang w:val="fr-FR"/>
        </w:rPr>
        <w:t>’</w:t>
      </w:r>
      <w:r>
        <w:rPr>
          <w:lang w:val="fr-FR"/>
        </w:rPr>
        <w:t>installer l</w:t>
      </w:r>
      <w:r>
        <w:rPr>
          <w:lang w:val="fr-FR"/>
        </w:rPr>
        <w:t>’</w:t>
      </w:r>
      <w:r>
        <w:rPr>
          <w:lang w:val="fr-FR"/>
        </w:rPr>
        <w:t>embout de remplissage sous la carrosserie des véhicules de la catégorie M</w:t>
      </w:r>
      <w:r>
        <w:rPr>
          <w:vertAlign w:val="subscript"/>
          <w:lang w:val="fr-FR"/>
        </w:rPr>
        <w:t>1</w:t>
      </w:r>
      <w:r>
        <w:rPr>
          <w:lang w:val="fr-FR"/>
        </w:rPr>
        <w:t>. Cependant, la disposition ci-dessus est placée dans la première partie du Règlement, dans laquelle sont définies les spécifications de différents éléments du système d</w:t>
      </w:r>
      <w:r>
        <w:rPr>
          <w:lang w:val="fr-FR"/>
        </w:rPr>
        <w:t>’</w:t>
      </w:r>
      <w:r>
        <w:rPr>
          <w:lang w:val="fr-FR"/>
        </w:rPr>
        <w:t>alimentation en GPL. Étant donné qu</w:t>
      </w:r>
      <w:r>
        <w:rPr>
          <w:lang w:val="fr-FR"/>
        </w:rPr>
        <w:t>’</w:t>
      </w:r>
      <w:r>
        <w:rPr>
          <w:lang w:val="fr-FR"/>
        </w:rPr>
        <w:t>aucune nouvelle disposition technique ne concerne l</w:t>
      </w:r>
      <w:r>
        <w:rPr>
          <w:lang w:val="fr-FR"/>
        </w:rPr>
        <w:t>’</w:t>
      </w:r>
      <w:r>
        <w:rPr>
          <w:lang w:val="fr-FR"/>
        </w:rPr>
        <w:t>embout de remplissage en tant que composant, la disposition relative à l</w:t>
      </w:r>
      <w:r>
        <w:rPr>
          <w:lang w:val="fr-FR"/>
        </w:rPr>
        <w:t>’</w:t>
      </w:r>
      <w:r>
        <w:rPr>
          <w:lang w:val="fr-FR"/>
        </w:rPr>
        <w:t>installation doit être déplacée vers la deuxième partie du Règlement ONU, qui traite des « Prescriptions concernant l</w:t>
      </w:r>
      <w:r>
        <w:rPr>
          <w:lang w:val="fr-FR"/>
        </w:rPr>
        <w:t>’</w:t>
      </w:r>
      <w:r>
        <w:rPr>
          <w:lang w:val="fr-FR"/>
        </w:rPr>
        <w:t>installation de l</w:t>
      </w:r>
      <w:r>
        <w:rPr>
          <w:lang w:val="fr-FR"/>
        </w:rPr>
        <w:t>’</w:t>
      </w:r>
      <w:r>
        <w:rPr>
          <w:lang w:val="fr-FR"/>
        </w:rPr>
        <w:t>équipement spécial pour l</w:t>
      </w:r>
      <w:r>
        <w:rPr>
          <w:lang w:val="fr-FR"/>
        </w:rPr>
        <w:t>’</w:t>
      </w:r>
      <w:r>
        <w:rPr>
          <w:lang w:val="fr-FR"/>
        </w:rPr>
        <w:t>alimentation du moteur au GPL ». Par conséquent, le paragraphe susmentionné doit être déplacé dans la deuxième partie en tant que nouveau paragraphe de la section 17.10, qui traite des dispositions relatives à l</w:t>
      </w:r>
      <w:r>
        <w:rPr>
          <w:lang w:val="fr-FR"/>
        </w:rPr>
        <w:t>’</w:t>
      </w:r>
      <w:r>
        <w:rPr>
          <w:lang w:val="fr-FR"/>
        </w:rPr>
        <w:t>installation de l</w:t>
      </w:r>
      <w:r>
        <w:rPr>
          <w:lang w:val="fr-FR"/>
        </w:rPr>
        <w:t>’</w:t>
      </w:r>
      <w:r>
        <w:rPr>
          <w:lang w:val="fr-FR"/>
        </w:rPr>
        <w:t>embout de remplissage.</w:t>
      </w:r>
    </w:p>
    <w:p w14:paraId="2644F036" w14:textId="39902A2E" w:rsidR="00104467" w:rsidRPr="00104467" w:rsidRDefault="00104467" w:rsidP="00104467">
      <w:pPr>
        <w:pStyle w:val="SingleTxtG"/>
        <w:spacing w:before="240" w:after="0"/>
        <w:jc w:val="center"/>
        <w:rPr>
          <w:u w:val="single"/>
        </w:rPr>
      </w:pPr>
      <w:r>
        <w:rPr>
          <w:u w:val="single"/>
        </w:rPr>
        <w:tab/>
      </w:r>
      <w:r>
        <w:rPr>
          <w:u w:val="single"/>
        </w:rPr>
        <w:tab/>
      </w:r>
      <w:r>
        <w:rPr>
          <w:u w:val="single"/>
        </w:rPr>
        <w:tab/>
      </w:r>
      <w:r>
        <w:rPr>
          <w:u w:val="single"/>
        </w:rPr>
        <w:tab/>
      </w:r>
    </w:p>
    <w:sectPr w:rsidR="00104467" w:rsidRPr="00104467" w:rsidSect="001044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8CB8" w14:textId="77777777" w:rsidR="008611F6" w:rsidRDefault="008611F6" w:rsidP="00F95C08">
      <w:pPr>
        <w:spacing w:line="240" w:lineRule="auto"/>
      </w:pPr>
    </w:p>
  </w:endnote>
  <w:endnote w:type="continuationSeparator" w:id="0">
    <w:p w14:paraId="5B4544F2" w14:textId="77777777" w:rsidR="008611F6" w:rsidRPr="00AC3823" w:rsidRDefault="008611F6" w:rsidP="00AC3823">
      <w:pPr>
        <w:pStyle w:val="Pieddepage"/>
      </w:pPr>
    </w:p>
  </w:endnote>
  <w:endnote w:type="continuationNotice" w:id="1">
    <w:p w14:paraId="51F3879C" w14:textId="77777777" w:rsidR="008611F6" w:rsidRDefault="008611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DB4F" w14:textId="42A35255" w:rsidR="00104467" w:rsidRPr="00104467" w:rsidRDefault="00104467" w:rsidP="00104467">
    <w:pPr>
      <w:pStyle w:val="Pieddepage"/>
      <w:tabs>
        <w:tab w:val="right" w:pos="9638"/>
      </w:tabs>
    </w:pPr>
    <w:r w:rsidRPr="00104467">
      <w:rPr>
        <w:b/>
        <w:sz w:val="18"/>
      </w:rPr>
      <w:fldChar w:fldCharType="begin"/>
    </w:r>
    <w:r w:rsidRPr="00104467">
      <w:rPr>
        <w:b/>
        <w:sz w:val="18"/>
      </w:rPr>
      <w:instrText xml:space="preserve"> PAGE  \* MERGEFORMAT </w:instrText>
    </w:r>
    <w:r w:rsidRPr="00104467">
      <w:rPr>
        <w:b/>
        <w:sz w:val="18"/>
      </w:rPr>
      <w:fldChar w:fldCharType="separate"/>
    </w:r>
    <w:r w:rsidRPr="00104467">
      <w:rPr>
        <w:b/>
        <w:noProof/>
        <w:sz w:val="18"/>
      </w:rPr>
      <w:t>2</w:t>
    </w:r>
    <w:r w:rsidRPr="00104467">
      <w:rPr>
        <w:b/>
        <w:sz w:val="18"/>
      </w:rPr>
      <w:fldChar w:fldCharType="end"/>
    </w:r>
    <w:r>
      <w:rPr>
        <w:b/>
        <w:sz w:val="18"/>
      </w:rPr>
      <w:tab/>
    </w:r>
    <w:r>
      <w:t>GE.22-11532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1591" w14:textId="24BEA7B0" w:rsidR="00104467" w:rsidRPr="00104467" w:rsidRDefault="00104467" w:rsidP="00104467">
    <w:pPr>
      <w:pStyle w:val="Pieddepage"/>
      <w:tabs>
        <w:tab w:val="right" w:pos="9638"/>
      </w:tabs>
      <w:rPr>
        <w:b/>
        <w:sz w:val="18"/>
      </w:rPr>
    </w:pPr>
    <w:r>
      <w:t>GE.22-11532</w:t>
    </w:r>
    <w:r>
      <w:tab/>
    </w:r>
    <w:r w:rsidRPr="00104467">
      <w:rPr>
        <w:b/>
        <w:sz w:val="18"/>
      </w:rPr>
      <w:fldChar w:fldCharType="begin"/>
    </w:r>
    <w:r w:rsidRPr="00104467">
      <w:rPr>
        <w:b/>
        <w:sz w:val="18"/>
      </w:rPr>
      <w:instrText xml:space="preserve"> PAGE  \* MERGEFORMAT </w:instrText>
    </w:r>
    <w:r w:rsidRPr="00104467">
      <w:rPr>
        <w:b/>
        <w:sz w:val="18"/>
      </w:rPr>
      <w:fldChar w:fldCharType="separate"/>
    </w:r>
    <w:r w:rsidRPr="00104467">
      <w:rPr>
        <w:b/>
        <w:noProof/>
        <w:sz w:val="18"/>
      </w:rPr>
      <w:t>3</w:t>
    </w:r>
    <w:r w:rsidRPr="001044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5386" w14:textId="57E20E02" w:rsidR="007F20FA" w:rsidRPr="00104467" w:rsidRDefault="00104467" w:rsidP="0010446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FC77E1C" wp14:editId="762217C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22-11532  (F)</w:t>
    </w:r>
    <w:r>
      <w:rPr>
        <w:noProof/>
        <w:sz w:val="20"/>
      </w:rPr>
      <w:drawing>
        <wp:anchor distT="0" distB="0" distL="114300" distR="114300" simplePos="0" relativeHeight="251660288" behindDoc="0" locked="0" layoutInCell="1" allowOverlap="1" wp14:anchorId="46A599C7" wp14:editId="59E1C77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050822    090822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A129" w14:textId="77777777" w:rsidR="008611F6" w:rsidRPr="00AC3823" w:rsidRDefault="008611F6" w:rsidP="00AC3823">
      <w:pPr>
        <w:pStyle w:val="Pieddepage"/>
        <w:tabs>
          <w:tab w:val="right" w:pos="2155"/>
        </w:tabs>
        <w:spacing w:after="80" w:line="240" w:lineRule="atLeast"/>
        <w:ind w:left="680"/>
        <w:rPr>
          <w:u w:val="single"/>
        </w:rPr>
      </w:pPr>
      <w:r>
        <w:rPr>
          <w:u w:val="single"/>
        </w:rPr>
        <w:tab/>
      </w:r>
    </w:p>
  </w:footnote>
  <w:footnote w:type="continuationSeparator" w:id="0">
    <w:p w14:paraId="252DEB1B" w14:textId="77777777" w:rsidR="008611F6" w:rsidRPr="00AC3823" w:rsidRDefault="008611F6" w:rsidP="00AC3823">
      <w:pPr>
        <w:pStyle w:val="Pieddepage"/>
        <w:tabs>
          <w:tab w:val="right" w:pos="2155"/>
        </w:tabs>
        <w:spacing w:after="80" w:line="240" w:lineRule="atLeast"/>
        <w:ind w:left="680"/>
        <w:rPr>
          <w:u w:val="single"/>
        </w:rPr>
      </w:pPr>
      <w:r>
        <w:rPr>
          <w:u w:val="single"/>
        </w:rPr>
        <w:tab/>
      </w:r>
    </w:p>
  </w:footnote>
  <w:footnote w:type="continuationNotice" w:id="1">
    <w:p w14:paraId="592D8707" w14:textId="77777777" w:rsidR="008611F6" w:rsidRPr="00AC3823" w:rsidRDefault="008611F6">
      <w:pPr>
        <w:spacing w:line="240" w:lineRule="auto"/>
        <w:rPr>
          <w:sz w:val="2"/>
          <w:szCs w:val="2"/>
        </w:rPr>
      </w:pPr>
    </w:p>
  </w:footnote>
  <w:footnote w:id="2">
    <w:p w14:paraId="73C3AA8A" w14:textId="241098E5" w:rsidR="00104467" w:rsidRPr="00306A9A" w:rsidRDefault="00104467" w:rsidP="00104467">
      <w:pPr>
        <w:pStyle w:val="Notedebasdepage"/>
        <w:rPr>
          <w:szCs w:val="18"/>
          <w:lang w:val="fr-FR"/>
        </w:rPr>
      </w:pPr>
      <w:r w:rsidRPr="00306A9A">
        <w:rPr>
          <w:szCs w:val="18"/>
          <w:lang w:val="fr-FR"/>
        </w:rPr>
        <w:tab/>
      </w:r>
      <w:r w:rsidRPr="00104467">
        <w:rPr>
          <w:sz w:val="20"/>
          <w:lang w:val="fr-FR"/>
        </w:rPr>
        <w:t>*</w:t>
      </w:r>
      <w:r w:rsidRPr="00306A9A">
        <w:rPr>
          <w:szCs w:val="18"/>
          <w:lang w:val="fr-FR"/>
        </w:rPr>
        <w:tab/>
        <w:t>Conformément au programme de travail du Comité des transports intérieurs pour 2022 tel qu</w:t>
      </w:r>
      <w:r>
        <w:rPr>
          <w:szCs w:val="18"/>
          <w:lang w:val="fr-FR"/>
        </w:rPr>
        <w:t>’</w:t>
      </w:r>
      <w:r w:rsidRPr="00306A9A">
        <w:rPr>
          <w:szCs w:val="18"/>
          <w:lang w:val="fr-FR"/>
        </w:rPr>
        <w:t>il figure dans le projet de budget-programme pour 2022 (A/76/6 (sect. 20), par. 20.76), le Forum mondial a pour mission d</w:t>
      </w:r>
      <w:r>
        <w:rPr>
          <w:szCs w:val="18"/>
          <w:lang w:val="fr-FR"/>
        </w:rPr>
        <w:t>’</w:t>
      </w:r>
      <w:r w:rsidRPr="00306A9A">
        <w:rPr>
          <w:szCs w:val="18"/>
          <w:lang w:val="fr-FR"/>
        </w:rPr>
        <w:t>élaborer, d</w:t>
      </w:r>
      <w:r>
        <w:rPr>
          <w:szCs w:val="18"/>
          <w:lang w:val="fr-FR"/>
        </w:rPr>
        <w:t>’</w:t>
      </w:r>
      <w:r w:rsidRPr="00306A9A">
        <w:rPr>
          <w:szCs w:val="18"/>
          <w:lang w:val="fr-FR"/>
        </w:rPr>
        <w:t>harmoniser et de mettre à jour les Règlements ONU en vue d</w:t>
      </w:r>
      <w:r>
        <w:rPr>
          <w:szCs w:val="18"/>
          <w:lang w:val="fr-FR"/>
        </w:rPr>
        <w:t>’</w:t>
      </w:r>
      <w:r w:rsidRPr="00306A9A">
        <w:rPr>
          <w:szCs w:val="18"/>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9211" w14:textId="7DFC420C" w:rsidR="00104467" w:rsidRPr="00104467" w:rsidRDefault="00104467">
    <w:pPr>
      <w:pStyle w:val="En-tte"/>
    </w:pPr>
    <w:fldSimple w:instr=" TITLE  \* MERGEFORMAT ">
      <w:r>
        <w:t>ECE/TRANS/WP.29/GRSG/2022/21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BAC0" w14:textId="09B0BBC0" w:rsidR="00104467" w:rsidRPr="00104467" w:rsidRDefault="00104467" w:rsidP="00104467">
    <w:pPr>
      <w:pStyle w:val="En-tte"/>
      <w:jc w:val="right"/>
    </w:pPr>
    <w:fldSimple w:instr=" TITLE  \* MERGEFORMAT ">
      <w:r>
        <w:t>ECE/TRANS/WP.29/GRSG/2022/21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F6"/>
    <w:rsid w:val="00017F94"/>
    <w:rsid w:val="00023842"/>
    <w:rsid w:val="000334F9"/>
    <w:rsid w:val="00045FEB"/>
    <w:rsid w:val="0007796D"/>
    <w:rsid w:val="000B7790"/>
    <w:rsid w:val="00104467"/>
    <w:rsid w:val="00111F2F"/>
    <w:rsid w:val="0014365E"/>
    <w:rsid w:val="00143C66"/>
    <w:rsid w:val="00175C50"/>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611F6"/>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4D9939"/>
  <w15:docId w15:val="{18333587-7E11-43A4-A4A3-3A3B1EDA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104467"/>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10446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285</Words>
  <Characters>1997</Characters>
  <Application>Microsoft Office Word</Application>
  <DocSecurity>0</DocSecurity>
  <Lines>166</Lines>
  <Paragraphs>91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ECE/TRANS/WP.29/GRSG/2022/21</dc:title>
  <dc:subject/>
  <dc:creator>Corinne ROBERT</dc:creator>
  <cp:keywords/>
  <cp:lastModifiedBy>Corinne Robert</cp:lastModifiedBy>
  <cp:revision>2</cp:revision>
  <cp:lastPrinted>2014-05-14T10:59:00Z</cp:lastPrinted>
  <dcterms:created xsi:type="dcterms:W3CDTF">2022-08-09T08:26:00Z</dcterms:created>
  <dcterms:modified xsi:type="dcterms:W3CDTF">2022-08-09T08:26:00Z</dcterms:modified>
</cp:coreProperties>
</file>