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2120F401" w14:textId="77777777" w:rsidTr="00691F20">
        <w:trPr>
          <w:cantSplit/>
          <w:trHeight w:hRule="exact" w:val="851"/>
        </w:trPr>
        <w:tc>
          <w:tcPr>
            <w:tcW w:w="9639" w:type="dxa"/>
            <w:tcBorders>
              <w:bottom w:val="single" w:sz="4" w:space="0" w:color="auto"/>
            </w:tcBorders>
            <w:vAlign w:val="bottom"/>
          </w:tcPr>
          <w:p w14:paraId="56C00F8A" w14:textId="3B31E4C4"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60</w:t>
            </w:r>
            <w:r w:rsidRPr="00EA2D43">
              <w:rPr>
                <w:b/>
                <w:sz w:val="40"/>
                <w:szCs w:val="40"/>
              </w:rPr>
              <w:t>/INF.</w:t>
            </w:r>
            <w:r w:rsidR="00DF3BCA">
              <w:rPr>
                <w:b/>
                <w:sz w:val="40"/>
                <w:szCs w:val="40"/>
              </w:rPr>
              <w:t>46</w:t>
            </w:r>
          </w:p>
        </w:tc>
      </w:tr>
      <w:tr w:rsidR="0099001C" w:rsidRPr="00EA2D43" w14:paraId="255C37D3" w14:textId="77777777" w:rsidTr="00E07137">
        <w:trPr>
          <w:cantSplit/>
          <w:trHeight w:hRule="exact" w:val="2704"/>
        </w:trPr>
        <w:tc>
          <w:tcPr>
            <w:tcW w:w="9639" w:type="dxa"/>
            <w:tcBorders>
              <w:top w:val="single" w:sz="4" w:space="0" w:color="auto"/>
            </w:tcBorders>
          </w:tcPr>
          <w:p w14:paraId="083DA029"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3F35F78C" w14:textId="44996195" w:rsidR="00EA2D43" w:rsidRPr="00966CD6" w:rsidRDefault="00263951" w:rsidP="00D427EE">
            <w:pPr>
              <w:tabs>
                <w:tab w:val="right" w:pos="9000"/>
              </w:tabs>
              <w:spacing w:before="120"/>
              <w:outlineLvl w:val="0"/>
              <w:rPr>
                <w:b/>
                <w:color w:val="000000"/>
              </w:rPr>
            </w:pPr>
            <w:r w:rsidRPr="006500BA">
              <w:rPr>
                <w:b/>
              </w:rPr>
              <w:t xml:space="preserve">Sub-Committee of Experts on the </w:t>
            </w:r>
            <w:r>
              <w:rPr>
                <w:b/>
              </w:rPr>
              <w:t>Transport of Dangerous Goods</w:t>
            </w:r>
            <w:r w:rsidR="00426C3A" w:rsidRPr="00966CD6">
              <w:rPr>
                <w:b/>
                <w:color w:val="000000"/>
              </w:rPr>
              <w:tab/>
            </w:r>
            <w:r w:rsidR="00DF3BCA">
              <w:rPr>
                <w:b/>
                <w:color w:val="000000"/>
              </w:rPr>
              <w:t>1 July</w:t>
            </w:r>
            <w:r w:rsidR="003E1E60" w:rsidRPr="00966CD6">
              <w:rPr>
                <w:b/>
                <w:color w:val="000000"/>
              </w:rPr>
              <w:t xml:space="preserve"> 2022</w:t>
            </w:r>
          </w:p>
          <w:p w14:paraId="1466879C" w14:textId="77777777" w:rsidR="00224BDB" w:rsidRPr="006500BA" w:rsidRDefault="00224BDB" w:rsidP="00224BDB">
            <w:pPr>
              <w:spacing w:before="120"/>
              <w:rPr>
                <w:b/>
              </w:rPr>
            </w:pPr>
            <w:r>
              <w:rPr>
                <w:b/>
              </w:rPr>
              <w:t xml:space="preserve">Sixtieth </w:t>
            </w:r>
            <w:r w:rsidRPr="006500BA">
              <w:rPr>
                <w:b/>
              </w:rPr>
              <w:t>session</w:t>
            </w:r>
          </w:p>
          <w:p w14:paraId="3C6D25AB" w14:textId="77777777" w:rsidR="00224BDB" w:rsidRPr="006500BA" w:rsidRDefault="00224BDB" w:rsidP="00224BDB">
            <w:r w:rsidRPr="006500BA">
              <w:t xml:space="preserve">Geneva, </w:t>
            </w:r>
            <w:r>
              <w:t xml:space="preserve">27 June-6 July 2022 </w:t>
            </w:r>
          </w:p>
          <w:p w14:paraId="424ADB3A" w14:textId="6554FB3E" w:rsidR="00E07137" w:rsidRDefault="00E07137" w:rsidP="00C27AA0">
            <w:pPr>
              <w:jc w:val="both"/>
            </w:pPr>
            <w:r>
              <w:t>Item 6 (</w:t>
            </w:r>
            <w:r w:rsidR="00DB187C">
              <w:t>b</w:t>
            </w:r>
            <w:r>
              <w:t xml:space="preserve">) of the provisional agenda </w:t>
            </w:r>
          </w:p>
          <w:p w14:paraId="0DCD3F63" w14:textId="77777777" w:rsidR="00DB187C" w:rsidRDefault="00DB187C" w:rsidP="00DB187C">
            <w:pPr>
              <w:rPr>
                <w:b/>
                <w:bCs/>
                <w:lang w:eastAsia="zh-CN"/>
              </w:rPr>
            </w:pPr>
            <w:r>
              <w:rPr>
                <w:b/>
                <w:bCs/>
              </w:rPr>
              <w:t xml:space="preserve">Miscellaneous proposals for amendments to the Model Regulations </w:t>
            </w:r>
            <w:r>
              <w:rPr>
                <w:b/>
                <w:bCs/>
              </w:rPr>
              <w:br/>
              <w:t>on the Transport of Dangerous Goods: packagings, including the use of recycled plastics material</w:t>
            </w:r>
          </w:p>
          <w:p w14:paraId="57E5C8FB" w14:textId="6DEF3B92" w:rsidR="0099001C" w:rsidRPr="00EA2D43" w:rsidRDefault="0099001C" w:rsidP="00C27AA0">
            <w:pPr>
              <w:jc w:val="both"/>
              <w:rPr>
                <w:highlight w:val="yellow"/>
              </w:rPr>
            </w:pPr>
          </w:p>
        </w:tc>
      </w:tr>
    </w:tbl>
    <w:p w14:paraId="4F4380DF" w14:textId="7EEA195C" w:rsidR="0026663D" w:rsidRDefault="00A50173" w:rsidP="0026663D">
      <w:pPr>
        <w:pStyle w:val="HChG"/>
        <w:rPr>
          <w:rFonts w:eastAsia="MS Mincho"/>
        </w:rPr>
      </w:pPr>
      <w:r w:rsidRPr="00870D13">
        <w:tab/>
      </w:r>
      <w:r>
        <w:tab/>
      </w:r>
      <w:r>
        <w:tab/>
      </w:r>
      <w:r w:rsidR="007E70FF">
        <w:t>Comments on ST/SG/AC.10/C.3/2022/</w:t>
      </w:r>
      <w:r w:rsidR="0026663D">
        <w:t>1</w:t>
      </w:r>
      <w:r w:rsidR="00D77BE6">
        <w:t>5</w:t>
      </w:r>
      <w:r w:rsidR="00F53B3F">
        <w:t xml:space="preserve">: </w:t>
      </w:r>
      <w:r w:rsidR="00A14380">
        <w:rPr>
          <w:rFonts w:asciiTheme="majorBidi" w:hAnsiTheme="majorBidi" w:cstheme="majorBidi"/>
        </w:rPr>
        <w:t>Problems with the practical implementation of P650</w:t>
      </w:r>
    </w:p>
    <w:p w14:paraId="06954066" w14:textId="6BB3BEA1" w:rsidR="006A7757" w:rsidRPr="00870D13" w:rsidRDefault="0026663D" w:rsidP="00DF3BCA">
      <w:pPr>
        <w:pStyle w:val="H1G"/>
        <w:rPr>
          <w:rFonts w:eastAsia="MS Mincho"/>
        </w:rPr>
      </w:pPr>
      <w:r>
        <w:tab/>
      </w:r>
      <w:r w:rsidR="006A7757" w:rsidRPr="00870D13">
        <w:rPr>
          <w:rFonts w:eastAsia="MS Mincho"/>
        </w:rPr>
        <w:tab/>
      </w:r>
      <w:r w:rsidR="00F53B3F">
        <w:t>Transmitted by the expert from Spai</w:t>
      </w:r>
      <w:r w:rsidR="00B078E8">
        <w:t>n</w:t>
      </w:r>
    </w:p>
    <w:p w14:paraId="26D439D6" w14:textId="314115E8" w:rsidR="00D45103" w:rsidRDefault="00E1360D" w:rsidP="00DF3BCA">
      <w:pPr>
        <w:pStyle w:val="HChG"/>
      </w:pPr>
      <w:r>
        <w:tab/>
      </w:r>
      <w:r w:rsidR="00DF3BCA">
        <w:tab/>
      </w:r>
      <w:r w:rsidR="00FC244C">
        <w:t>I.</w:t>
      </w:r>
      <w:r w:rsidR="00FC244C">
        <w:tab/>
      </w:r>
      <w:r w:rsidR="00FC244C" w:rsidRPr="00DF3BCA">
        <w:t>Introduction</w:t>
      </w:r>
    </w:p>
    <w:p w14:paraId="02CF453D" w14:textId="75DBE78A" w:rsidR="00FC244C" w:rsidRPr="00C72BFC" w:rsidRDefault="00FC244C" w:rsidP="00DF3BCA">
      <w:pPr>
        <w:pStyle w:val="SingleTxtG"/>
        <w:rPr>
          <w:color w:val="323130"/>
        </w:rPr>
      </w:pPr>
      <w:r>
        <w:t>1.</w:t>
      </w:r>
      <w:r>
        <w:tab/>
      </w:r>
      <w:r w:rsidR="0026663D" w:rsidRPr="00C72BFC">
        <w:t xml:space="preserve">This informal document aims to </w:t>
      </w:r>
      <w:r w:rsidR="00CE10A8">
        <w:t>complement</w:t>
      </w:r>
      <w:r w:rsidR="0026663D" w:rsidRPr="00C72BFC">
        <w:t xml:space="preserve"> document ST/SG/AC.10/C.3/2022/</w:t>
      </w:r>
      <w:r w:rsidR="00A14380">
        <w:t>15</w:t>
      </w:r>
      <w:r w:rsidR="0026663D" w:rsidRPr="00C72BFC">
        <w:t xml:space="preserve">. The proposed changes in this document </w:t>
      </w:r>
      <w:r w:rsidR="00A14380">
        <w:t xml:space="preserve">adapt the proposal 2022/15 </w:t>
      </w:r>
      <w:r w:rsidR="00E11C15">
        <w:t>to the results of the</w:t>
      </w:r>
      <w:r w:rsidR="00A14380">
        <w:t xml:space="preserve"> informal discussions </w:t>
      </w:r>
      <w:r w:rsidR="00E11C15">
        <w:t xml:space="preserve">had </w:t>
      </w:r>
      <w:r w:rsidR="00A14380">
        <w:t xml:space="preserve">in the margins of the meetings with several interested delegations. </w:t>
      </w:r>
      <w:r w:rsidR="00E94E5E">
        <w:t>Spain appreciates the joint effort by these delegations to reach a consensus on the proposed amendments, to help clarify the text of P6</w:t>
      </w:r>
      <w:r w:rsidR="00A142D1">
        <w:t>5</w:t>
      </w:r>
      <w:r w:rsidR="00E94E5E">
        <w:t>0 and reach a clear, common interpretation.</w:t>
      </w:r>
    </w:p>
    <w:p w14:paraId="649FE1F7" w14:textId="28F23143" w:rsidR="00C51B28" w:rsidRDefault="00C51B28" w:rsidP="00DF3BCA">
      <w:pPr>
        <w:pStyle w:val="HChG"/>
      </w:pPr>
      <w:r>
        <w:tab/>
      </w:r>
      <w:r w:rsidR="00DF3BCA">
        <w:tab/>
      </w:r>
      <w:r>
        <w:t>II.</w:t>
      </w:r>
      <w:r>
        <w:tab/>
      </w:r>
      <w:r w:rsidRPr="00DF3BCA">
        <w:t>Proposal</w:t>
      </w:r>
    </w:p>
    <w:p w14:paraId="0EF730D6" w14:textId="0DE2F062" w:rsidR="00C72BFC" w:rsidRDefault="00C72BFC" w:rsidP="00BF512C">
      <w:pPr>
        <w:pStyle w:val="SingleTxtG"/>
        <w:rPr>
          <w:b/>
          <w:bCs/>
          <w:bdr w:val="none" w:sz="0" w:space="0" w:color="auto" w:frame="1"/>
          <w:lang w:val="en-US"/>
        </w:rPr>
      </w:pPr>
      <w:r w:rsidRPr="00C72BFC">
        <w:t>2</w:t>
      </w:r>
      <w:r w:rsidR="00AD6EF5" w:rsidRPr="00C72BFC">
        <w:t>.</w:t>
      </w:r>
      <w:r w:rsidR="00AD6EF5" w:rsidRPr="00C72BFC">
        <w:tab/>
      </w:r>
      <w:r w:rsidR="005E0F2B">
        <w:rPr>
          <w:bdr w:val="none" w:sz="0" w:space="0" w:color="auto" w:frame="1"/>
          <w:lang w:val="en-US"/>
        </w:rPr>
        <w:t>Spain proposes</w:t>
      </w:r>
      <w:r w:rsidR="00D85B93">
        <w:rPr>
          <w:bdr w:val="none" w:sz="0" w:space="0" w:color="auto" w:frame="1"/>
          <w:lang w:val="en-US"/>
        </w:rPr>
        <w:t xml:space="preserve"> the following modifications</w:t>
      </w:r>
      <w:r w:rsidRPr="008B46F0">
        <w:rPr>
          <w:b/>
          <w:bCs/>
          <w:bdr w:val="none" w:sz="0" w:space="0" w:color="auto" w:frame="1"/>
          <w:lang w:val="en-US"/>
        </w:rPr>
        <w:t>:</w:t>
      </w:r>
    </w:p>
    <w:p w14:paraId="562CA5CF" w14:textId="11A71E5A" w:rsidR="00D85B93" w:rsidRPr="00110D99" w:rsidRDefault="00D85B93" w:rsidP="00110D99">
      <w:pPr>
        <w:pStyle w:val="SingleTxtG"/>
        <w:rPr>
          <w:b/>
          <w:bCs/>
          <w:bdr w:val="none" w:sz="0" w:space="0" w:color="auto" w:frame="1"/>
          <w:lang w:val="en-US"/>
        </w:rPr>
      </w:pPr>
      <w:r w:rsidRPr="00110D99">
        <w:rPr>
          <w:b/>
          <w:bCs/>
          <w:bdr w:val="none" w:sz="0" w:space="0" w:color="auto" w:frame="1"/>
          <w:lang w:val="en-US"/>
        </w:rPr>
        <w:t>Modify (6) to read as follows:</w:t>
      </w:r>
    </w:p>
    <w:p w14:paraId="15AEDBFA" w14:textId="5656E817" w:rsidR="006507DE" w:rsidRDefault="006507DE" w:rsidP="00110D99">
      <w:pPr>
        <w:pStyle w:val="SingleTxtG"/>
        <w:ind w:left="1701"/>
        <w:rPr>
          <w:lang w:val="en-US"/>
        </w:rPr>
      </w:pPr>
      <w:r>
        <w:rPr>
          <w:lang w:val="en-US"/>
        </w:rPr>
        <w:t>(6) The completed package shall be capable of withstanding a 1</w:t>
      </w:r>
      <w:r w:rsidR="006A26C8">
        <w:rPr>
          <w:lang w:val="en-US"/>
        </w:rPr>
        <w:t>,</w:t>
      </w:r>
      <w:r>
        <w:rPr>
          <w:lang w:val="en-US"/>
        </w:rPr>
        <w:t>2 m drop</w:t>
      </w:r>
      <w:r w:rsidR="00F23C46">
        <w:rPr>
          <w:lang w:val="en-US"/>
        </w:rPr>
        <w:t xml:space="preserve"> in any orientation without leakage from the primary receptacle</w:t>
      </w:r>
      <w:r w:rsidR="00536886">
        <w:rPr>
          <w:lang w:val="en-US"/>
        </w:rPr>
        <w:t>(</w:t>
      </w:r>
      <w:r w:rsidR="00F23C46">
        <w:rPr>
          <w:lang w:val="en-US"/>
        </w:rPr>
        <w:t>s</w:t>
      </w:r>
      <w:r w:rsidR="00536886">
        <w:rPr>
          <w:lang w:val="en-US"/>
        </w:rPr>
        <w:t xml:space="preserve">) </w:t>
      </w:r>
      <w:r w:rsidR="00F23C46">
        <w:rPr>
          <w:lang w:val="en-US"/>
        </w:rPr>
        <w:t>which shall remain protected by absorbent material, when required, in the secondary packaging.</w:t>
      </w:r>
    </w:p>
    <w:p w14:paraId="29420779" w14:textId="53442801" w:rsidR="00B226A3" w:rsidRDefault="006507DE" w:rsidP="00110D99">
      <w:pPr>
        <w:pStyle w:val="SingleTxtG"/>
        <w:ind w:left="1701"/>
        <w:rPr>
          <w:i/>
          <w:iCs/>
          <w:lang w:val="en-US"/>
        </w:rPr>
      </w:pPr>
      <w:r w:rsidRPr="001D5DE1">
        <w:rPr>
          <w:b/>
          <w:bCs/>
          <w:i/>
          <w:iCs/>
          <w:lang w:val="en-US"/>
        </w:rPr>
        <w:t>Note:</w:t>
      </w:r>
      <w:r w:rsidRPr="001D5DE1">
        <w:rPr>
          <w:i/>
          <w:iCs/>
          <w:lang w:val="en-US"/>
        </w:rPr>
        <w:t xml:space="preserve"> Capability does not require physical testing, but may be demonstrated by means such as but not limited to direct testing, engineering analysis, testing with an item of similar mass and size, modeling, experience or other equivalent means.</w:t>
      </w:r>
    </w:p>
    <w:p w14:paraId="78BF88E0" w14:textId="5AF49D26" w:rsidR="00D85B93" w:rsidRPr="00110D99" w:rsidRDefault="00D85B93" w:rsidP="00110D99">
      <w:pPr>
        <w:pStyle w:val="SingleTxtG"/>
        <w:rPr>
          <w:b/>
          <w:bCs/>
          <w:lang w:val="en-US"/>
        </w:rPr>
      </w:pPr>
      <w:r w:rsidRPr="00110D99">
        <w:rPr>
          <w:b/>
          <w:bCs/>
          <w:lang w:val="en-US"/>
        </w:rPr>
        <w:t>Include under (7)(e) the following note:</w:t>
      </w:r>
    </w:p>
    <w:p w14:paraId="753D9B02" w14:textId="220BF517" w:rsidR="00D85B93" w:rsidRPr="00110D99" w:rsidRDefault="00D85B93" w:rsidP="00110D99">
      <w:pPr>
        <w:pStyle w:val="SingleTxtG"/>
        <w:rPr>
          <w:i/>
          <w:iCs/>
          <w:lang w:val="en-US"/>
        </w:rPr>
      </w:pPr>
      <w:r w:rsidRPr="00110D99">
        <w:rPr>
          <w:b/>
          <w:bCs/>
          <w:i/>
          <w:iCs/>
          <w:lang w:val="en-US"/>
        </w:rPr>
        <w:t>Note:</w:t>
      </w:r>
      <w:r w:rsidRPr="00110D99">
        <w:rPr>
          <w:i/>
          <w:iCs/>
          <w:lang w:val="en-US"/>
        </w:rPr>
        <w:t xml:space="preserve"> Capability does not require physical testing, but may be demonstrated by means such as but not limited to direct testing, engineering analysis, testing with an item of similar mass and size, modeling, experience or other equivalent means.</w:t>
      </w:r>
    </w:p>
    <w:p w14:paraId="3FC6404F" w14:textId="12C67F04" w:rsidR="00D85B93" w:rsidRPr="00110D99" w:rsidRDefault="00D85B93" w:rsidP="00110D99">
      <w:pPr>
        <w:pStyle w:val="SingleTxtG"/>
        <w:rPr>
          <w:b/>
          <w:bCs/>
          <w:i/>
          <w:iCs/>
          <w:lang w:val="en-US"/>
        </w:rPr>
      </w:pPr>
      <w:r w:rsidRPr="00110D99">
        <w:rPr>
          <w:b/>
          <w:bCs/>
          <w:i/>
          <w:iCs/>
          <w:lang w:val="en-US"/>
        </w:rPr>
        <w:t>Include the following editorial amendments:</w:t>
      </w:r>
    </w:p>
    <w:p w14:paraId="463234B3" w14:textId="7A290A56" w:rsidR="00D85B93" w:rsidRDefault="00D85B93" w:rsidP="00110D99">
      <w:pPr>
        <w:pStyle w:val="SingleTxtG"/>
      </w:pPr>
      <w:r w:rsidRPr="00CD6D39">
        <w:t>Following the Secretary's guidance, a minor editorial amendment has been made to paragraphs (7), (8) and (9) which include lists of criteria, by adding an "and" at the end of the paragraph before the last one</w:t>
      </w:r>
      <w:r>
        <w:t>.</w:t>
      </w:r>
    </w:p>
    <w:p w14:paraId="49667D73" w14:textId="77777777" w:rsidR="00110D99" w:rsidRDefault="00110D99">
      <w:pPr>
        <w:suppressAutoHyphens w:val="0"/>
        <w:spacing w:line="240" w:lineRule="auto"/>
      </w:pPr>
      <w:r>
        <w:br w:type="page"/>
      </w:r>
    </w:p>
    <w:p w14:paraId="24D178FE" w14:textId="0378B939" w:rsidR="00D85B93" w:rsidRDefault="00D85B93" w:rsidP="00110D99">
      <w:pPr>
        <w:pStyle w:val="SingleTxtG"/>
      </w:pPr>
      <w:r>
        <w:lastRenderedPageBreak/>
        <w:t>The complete text with all the amendments considered would read as follows:</w:t>
      </w:r>
    </w:p>
    <w:tbl>
      <w:tblPr>
        <w:tblStyle w:val="TableNormal2"/>
        <w:tblW w:w="9216" w:type="dxa"/>
        <w:tblInd w:w="55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216"/>
      </w:tblGrid>
      <w:tr w:rsidR="00B9671A" w14:paraId="62431143" w14:textId="77777777" w:rsidTr="009B157C">
        <w:trPr>
          <w:trHeight w:val="390"/>
        </w:trPr>
        <w:tc>
          <w:tcPr>
            <w:tcW w:w="9216" w:type="dxa"/>
          </w:tcPr>
          <w:p w14:paraId="73140650" w14:textId="77777777" w:rsidR="00B9671A" w:rsidRDefault="00B9671A" w:rsidP="00B848C7">
            <w:pPr>
              <w:pStyle w:val="TableParagraph"/>
              <w:tabs>
                <w:tab w:val="left" w:pos="3701"/>
                <w:tab w:val="left" w:pos="9114"/>
              </w:tabs>
              <w:spacing w:before="82"/>
              <w:ind w:left="83"/>
              <w:rPr>
                <w:b/>
                <w:sz w:val="20"/>
              </w:rPr>
            </w:pPr>
            <w:r>
              <w:rPr>
                <w:b/>
                <w:color w:val="231F20"/>
                <w:sz w:val="20"/>
              </w:rPr>
              <w:t>P650</w:t>
            </w:r>
            <w:r>
              <w:rPr>
                <w:b/>
                <w:color w:val="231F20"/>
                <w:sz w:val="20"/>
              </w:rPr>
              <w:tab/>
              <w:t>PACKING</w:t>
            </w:r>
            <w:r>
              <w:rPr>
                <w:b/>
                <w:color w:val="231F20"/>
                <w:spacing w:val="-2"/>
                <w:sz w:val="20"/>
              </w:rPr>
              <w:t xml:space="preserve"> </w:t>
            </w:r>
            <w:r>
              <w:rPr>
                <w:b/>
                <w:color w:val="231F20"/>
                <w:sz w:val="20"/>
              </w:rPr>
              <w:t>INSTRUCTION</w:t>
            </w:r>
            <w:r>
              <w:rPr>
                <w:b/>
                <w:color w:val="231F20"/>
                <w:sz w:val="20"/>
              </w:rPr>
              <w:tab/>
              <w:t>P650</w:t>
            </w:r>
          </w:p>
        </w:tc>
      </w:tr>
      <w:tr w:rsidR="00B9671A" w14:paraId="35CD3135" w14:textId="77777777" w:rsidTr="009B157C">
        <w:trPr>
          <w:trHeight w:val="289"/>
        </w:trPr>
        <w:tc>
          <w:tcPr>
            <w:tcW w:w="9216" w:type="dxa"/>
          </w:tcPr>
          <w:p w14:paraId="41FA2E40" w14:textId="77777777" w:rsidR="00B9671A" w:rsidRDefault="00B9671A" w:rsidP="00B848C7">
            <w:pPr>
              <w:pStyle w:val="TableParagraph"/>
              <w:spacing w:before="31"/>
              <w:ind w:left="83"/>
              <w:rPr>
                <w:sz w:val="20"/>
              </w:rPr>
            </w:pPr>
            <w:r>
              <w:rPr>
                <w:color w:val="231F20"/>
                <w:sz w:val="20"/>
              </w:rPr>
              <w:t>This</w:t>
            </w:r>
            <w:r>
              <w:rPr>
                <w:color w:val="231F20"/>
                <w:spacing w:val="-4"/>
                <w:sz w:val="20"/>
              </w:rPr>
              <w:t xml:space="preserve"> </w:t>
            </w:r>
            <w:r>
              <w:rPr>
                <w:color w:val="231F20"/>
                <w:sz w:val="20"/>
              </w:rPr>
              <w:t>packing</w:t>
            </w:r>
            <w:r>
              <w:rPr>
                <w:color w:val="231F20"/>
                <w:spacing w:val="-2"/>
                <w:sz w:val="20"/>
              </w:rPr>
              <w:t xml:space="preserve"> </w:t>
            </w:r>
            <w:r>
              <w:rPr>
                <w:color w:val="231F20"/>
                <w:sz w:val="20"/>
              </w:rPr>
              <w:t>instruction</w:t>
            </w:r>
            <w:r>
              <w:rPr>
                <w:color w:val="231F20"/>
                <w:spacing w:val="-2"/>
                <w:sz w:val="20"/>
              </w:rPr>
              <w:t xml:space="preserve"> </w:t>
            </w:r>
            <w:r>
              <w:rPr>
                <w:color w:val="231F20"/>
                <w:sz w:val="20"/>
              </w:rPr>
              <w:t>applies</w:t>
            </w:r>
            <w:r>
              <w:rPr>
                <w:color w:val="231F20"/>
                <w:spacing w:val="-4"/>
                <w:sz w:val="20"/>
              </w:rPr>
              <w:t xml:space="preserve"> </w:t>
            </w:r>
            <w:r>
              <w:rPr>
                <w:color w:val="231F20"/>
                <w:sz w:val="20"/>
              </w:rPr>
              <w:t>to</w:t>
            </w:r>
            <w:r>
              <w:rPr>
                <w:color w:val="231F20"/>
                <w:spacing w:val="-2"/>
                <w:sz w:val="20"/>
              </w:rPr>
              <w:t xml:space="preserve"> </w:t>
            </w:r>
            <w:r>
              <w:rPr>
                <w:color w:val="231F20"/>
                <w:sz w:val="20"/>
              </w:rPr>
              <w:t>UN</w:t>
            </w:r>
            <w:r>
              <w:rPr>
                <w:color w:val="231F20"/>
                <w:spacing w:val="-2"/>
                <w:sz w:val="20"/>
              </w:rPr>
              <w:t xml:space="preserve"> </w:t>
            </w:r>
            <w:r>
              <w:rPr>
                <w:color w:val="231F20"/>
                <w:sz w:val="20"/>
              </w:rPr>
              <w:t>3373.</w:t>
            </w:r>
          </w:p>
        </w:tc>
      </w:tr>
      <w:tr w:rsidR="00B9671A" w14:paraId="782F570B" w14:textId="77777777" w:rsidTr="009B157C">
        <w:trPr>
          <w:trHeight w:val="8340"/>
        </w:trPr>
        <w:tc>
          <w:tcPr>
            <w:tcW w:w="9216" w:type="dxa"/>
          </w:tcPr>
          <w:p w14:paraId="1BE57D92" w14:textId="14A65EB9" w:rsidR="00B9671A" w:rsidRDefault="00B9671A" w:rsidP="00B9671A">
            <w:pPr>
              <w:pStyle w:val="TableParagraph"/>
              <w:numPr>
                <w:ilvl w:val="0"/>
                <w:numId w:val="11"/>
              </w:numPr>
              <w:tabs>
                <w:tab w:val="left" w:pos="624"/>
              </w:tabs>
              <w:spacing w:before="31" w:line="228" w:lineRule="auto"/>
              <w:ind w:left="701" w:right="71" w:hanging="567"/>
              <w:jc w:val="both"/>
              <w:rPr>
                <w:sz w:val="20"/>
              </w:rPr>
            </w:pPr>
            <w:r>
              <w:rPr>
                <w:color w:val="231F20"/>
                <w:sz w:val="20"/>
              </w:rPr>
              <w:t>The</w:t>
            </w:r>
            <w:r>
              <w:rPr>
                <w:color w:val="231F20"/>
                <w:spacing w:val="1"/>
                <w:sz w:val="20"/>
              </w:rPr>
              <w:t xml:space="preserve"> </w:t>
            </w:r>
            <w:r>
              <w:rPr>
                <w:color w:val="231F20"/>
                <w:sz w:val="20"/>
              </w:rPr>
              <w:t>packaging</w:t>
            </w:r>
            <w:r>
              <w:rPr>
                <w:color w:val="231F20"/>
                <w:spacing w:val="1"/>
                <w:sz w:val="20"/>
              </w:rPr>
              <w:t xml:space="preserve"> </w:t>
            </w:r>
            <w:r>
              <w:rPr>
                <w:color w:val="231F20"/>
                <w:sz w:val="20"/>
              </w:rPr>
              <w:t>shall</w:t>
            </w:r>
            <w:r>
              <w:rPr>
                <w:color w:val="231F20"/>
                <w:spacing w:val="1"/>
                <w:sz w:val="20"/>
              </w:rPr>
              <w:t xml:space="preserve"> </w:t>
            </w:r>
            <w:r>
              <w:rPr>
                <w:color w:val="231F20"/>
                <w:sz w:val="20"/>
              </w:rPr>
              <w:t>be</w:t>
            </w:r>
            <w:r>
              <w:rPr>
                <w:color w:val="231F20"/>
                <w:spacing w:val="1"/>
                <w:sz w:val="20"/>
              </w:rPr>
              <w:t xml:space="preserve"> </w:t>
            </w:r>
            <w:r>
              <w:rPr>
                <w:color w:val="231F20"/>
                <w:sz w:val="20"/>
              </w:rPr>
              <w:t>of</w:t>
            </w:r>
            <w:r>
              <w:rPr>
                <w:color w:val="231F20"/>
                <w:spacing w:val="1"/>
                <w:sz w:val="20"/>
              </w:rPr>
              <w:t xml:space="preserve"> </w:t>
            </w:r>
            <w:r>
              <w:rPr>
                <w:color w:val="231F20"/>
                <w:sz w:val="20"/>
              </w:rPr>
              <w:t>good</w:t>
            </w:r>
            <w:r>
              <w:rPr>
                <w:color w:val="231F20"/>
                <w:spacing w:val="1"/>
                <w:sz w:val="20"/>
              </w:rPr>
              <w:t xml:space="preserve"> </w:t>
            </w:r>
            <w:r>
              <w:rPr>
                <w:color w:val="231F20"/>
                <w:sz w:val="20"/>
              </w:rPr>
              <w:t>quality,</w:t>
            </w:r>
            <w:r>
              <w:rPr>
                <w:color w:val="231F20"/>
                <w:spacing w:val="1"/>
                <w:sz w:val="20"/>
              </w:rPr>
              <w:t xml:space="preserve"> </w:t>
            </w:r>
            <w:r>
              <w:rPr>
                <w:color w:val="231F20"/>
                <w:sz w:val="20"/>
              </w:rPr>
              <w:t>strong</w:t>
            </w:r>
            <w:r>
              <w:rPr>
                <w:color w:val="231F20"/>
                <w:spacing w:val="1"/>
                <w:sz w:val="20"/>
              </w:rPr>
              <w:t xml:space="preserve"> </w:t>
            </w:r>
            <w:r>
              <w:rPr>
                <w:color w:val="231F20"/>
                <w:sz w:val="20"/>
              </w:rPr>
              <w:t>enough</w:t>
            </w:r>
            <w:r>
              <w:rPr>
                <w:color w:val="231F20"/>
                <w:spacing w:val="1"/>
                <w:sz w:val="20"/>
              </w:rPr>
              <w:t xml:space="preserve"> </w:t>
            </w:r>
            <w:r>
              <w:rPr>
                <w:color w:val="231F20"/>
                <w:sz w:val="20"/>
              </w:rPr>
              <w:t>to</w:t>
            </w:r>
            <w:r>
              <w:rPr>
                <w:color w:val="231F20"/>
                <w:spacing w:val="1"/>
                <w:sz w:val="20"/>
              </w:rPr>
              <w:t xml:space="preserve"> </w:t>
            </w:r>
            <w:r>
              <w:rPr>
                <w:color w:val="231F20"/>
                <w:sz w:val="20"/>
              </w:rPr>
              <w:t>withstand</w:t>
            </w:r>
            <w:r>
              <w:rPr>
                <w:color w:val="231F20"/>
                <w:spacing w:val="1"/>
                <w:sz w:val="20"/>
              </w:rPr>
              <w:t xml:space="preserve"> </w:t>
            </w:r>
            <w:r>
              <w:rPr>
                <w:color w:val="231F20"/>
                <w:sz w:val="20"/>
              </w:rPr>
              <w:t>the</w:t>
            </w:r>
            <w:r>
              <w:rPr>
                <w:color w:val="231F20"/>
                <w:spacing w:val="1"/>
                <w:sz w:val="20"/>
              </w:rPr>
              <w:t xml:space="preserve"> </w:t>
            </w:r>
            <w:r>
              <w:rPr>
                <w:color w:val="231F20"/>
                <w:sz w:val="20"/>
              </w:rPr>
              <w:t>shocks</w:t>
            </w:r>
            <w:r>
              <w:rPr>
                <w:color w:val="231F20"/>
                <w:spacing w:val="1"/>
                <w:sz w:val="20"/>
              </w:rPr>
              <w:t xml:space="preserve"> </w:t>
            </w:r>
            <w:r>
              <w:rPr>
                <w:color w:val="231F20"/>
                <w:sz w:val="20"/>
              </w:rPr>
              <w:t>and</w:t>
            </w:r>
            <w:r>
              <w:rPr>
                <w:color w:val="231F20"/>
                <w:spacing w:val="1"/>
                <w:sz w:val="20"/>
              </w:rPr>
              <w:t xml:space="preserve"> </w:t>
            </w:r>
            <w:r>
              <w:rPr>
                <w:color w:val="231F20"/>
                <w:sz w:val="20"/>
              </w:rPr>
              <w:t>loadings</w:t>
            </w:r>
            <w:r>
              <w:rPr>
                <w:color w:val="231F20"/>
                <w:spacing w:val="1"/>
                <w:sz w:val="20"/>
              </w:rPr>
              <w:t xml:space="preserve"> </w:t>
            </w:r>
            <w:r>
              <w:rPr>
                <w:color w:val="231F20"/>
                <w:sz w:val="20"/>
              </w:rPr>
              <w:t>normally</w:t>
            </w:r>
            <w:r>
              <w:rPr>
                <w:color w:val="231F20"/>
                <w:spacing w:val="-47"/>
                <w:sz w:val="20"/>
              </w:rPr>
              <w:t xml:space="preserve"> </w:t>
            </w:r>
            <w:r>
              <w:rPr>
                <w:color w:val="231F20"/>
                <w:sz w:val="20"/>
              </w:rPr>
              <w:t>encountered</w:t>
            </w:r>
            <w:r>
              <w:rPr>
                <w:color w:val="231F20"/>
                <w:spacing w:val="-10"/>
                <w:sz w:val="20"/>
              </w:rPr>
              <w:t xml:space="preserve"> </w:t>
            </w:r>
            <w:r>
              <w:rPr>
                <w:color w:val="231F20"/>
                <w:sz w:val="20"/>
              </w:rPr>
              <w:t>during</w:t>
            </w:r>
            <w:r>
              <w:rPr>
                <w:color w:val="231F20"/>
                <w:spacing w:val="-8"/>
                <w:sz w:val="20"/>
              </w:rPr>
              <w:t xml:space="preserve"> </w:t>
            </w:r>
            <w:r>
              <w:rPr>
                <w:color w:val="231F20"/>
                <w:sz w:val="20"/>
              </w:rPr>
              <w:t>transport,</w:t>
            </w:r>
            <w:r>
              <w:rPr>
                <w:color w:val="231F20"/>
                <w:spacing w:val="-11"/>
                <w:sz w:val="20"/>
              </w:rPr>
              <w:t xml:space="preserve"> </w:t>
            </w:r>
            <w:r w:rsidRPr="00B91EF7">
              <w:rPr>
                <w:color w:val="231F20"/>
                <w:sz w:val="20"/>
              </w:rPr>
              <w:t>including</w:t>
            </w:r>
            <w:r w:rsidRPr="00B91EF7">
              <w:rPr>
                <w:color w:val="231F20"/>
                <w:spacing w:val="-10"/>
                <w:sz w:val="20"/>
              </w:rPr>
              <w:t xml:space="preserve"> </w:t>
            </w:r>
            <w:r w:rsidR="00467579" w:rsidRPr="00B91EF7">
              <w:rPr>
                <w:color w:val="231F20"/>
                <w:sz w:val="20"/>
              </w:rPr>
              <w:t>transshipment</w:t>
            </w:r>
            <w:r>
              <w:rPr>
                <w:color w:val="231F20"/>
                <w:spacing w:val="-11"/>
                <w:sz w:val="20"/>
              </w:rPr>
              <w:t xml:space="preserve"> </w:t>
            </w:r>
            <w:r>
              <w:rPr>
                <w:color w:val="231F20"/>
                <w:sz w:val="20"/>
              </w:rPr>
              <w:t>between</w:t>
            </w:r>
            <w:r>
              <w:rPr>
                <w:color w:val="231F20"/>
                <w:spacing w:val="-7"/>
                <w:sz w:val="20"/>
              </w:rPr>
              <w:t xml:space="preserve"> </w:t>
            </w:r>
            <w:r>
              <w:rPr>
                <w:color w:val="231F20"/>
                <w:sz w:val="20"/>
              </w:rPr>
              <w:t>cargo</w:t>
            </w:r>
            <w:r>
              <w:rPr>
                <w:color w:val="231F20"/>
                <w:spacing w:val="-3"/>
                <w:sz w:val="20"/>
              </w:rPr>
              <w:t xml:space="preserve"> </w:t>
            </w:r>
            <w:r>
              <w:rPr>
                <w:color w:val="231F20"/>
                <w:sz w:val="20"/>
              </w:rPr>
              <w:t>transport</w:t>
            </w:r>
            <w:r>
              <w:rPr>
                <w:color w:val="231F20"/>
                <w:spacing w:val="-10"/>
                <w:sz w:val="20"/>
              </w:rPr>
              <w:t xml:space="preserve"> </w:t>
            </w:r>
            <w:r>
              <w:rPr>
                <w:color w:val="231F20"/>
                <w:sz w:val="20"/>
              </w:rPr>
              <w:t>units</w:t>
            </w:r>
            <w:r>
              <w:rPr>
                <w:color w:val="231F20"/>
                <w:spacing w:val="-10"/>
                <w:sz w:val="20"/>
              </w:rPr>
              <w:t xml:space="preserve"> </w:t>
            </w:r>
            <w:r>
              <w:rPr>
                <w:color w:val="231F20"/>
                <w:sz w:val="20"/>
              </w:rPr>
              <w:t>and</w:t>
            </w:r>
            <w:r>
              <w:rPr>
                <w:color w:val="231F20"/>
                <w:spacing w:val="-8"/>
                <w:sz w:val="20"/>
              </w:rPr>
              <w:t xml:space="preserve"> </w:t>
            </w:r>
            <w:r>
              <w:rPr>
                <w:color w:val="231F20"/>
                <w:sz w:val="20"/>
              </w:rPr>
              <w:t>between</w:t>
            </w:r>
            <w:r>
              <w:rPr>
                <w:color w:val="231F20"/>
                <w:spacing w:val="-8"/>
                <w:sz w:val="20"/>
              </w:rPr>
              <w:t xml:space="preserve"> </w:t>
            </w:r>
            <w:r>
              <w:rPr>
                <w:color w:val="231F20"/>
                <w:sz w:val="20"/>
              </w:rPr>
              <w:t>cargo</w:t>
            </w:r>
            <w:r>
              <w:rPr>
                <w:color w:val="231F20"/>
                <w:spacing w:val="-8"/>
                <w:sz w:val="20"/>
              </w:rPr>
              <w:t xml:space="preserve"> </w:t>
            </w:r>
            <w:r>
              <w:rPr>
                <w:color w:val="231F20"/>
                <w:sz w:val="20"/>
              </w:rPr>
              <w:t>transport</w:t>
            </w:r>
            <w:r>
              <w:rPr>
                <w:color w:val="231F20"/>
                <w:spacing w:val="-48"/>
                <w:sz w:val="20"/>
              </w:rPr>
              <w:t xml:space="preserve"> </w:t>
            </w:r>
            <w:r>
              <w:rPr>
                <w:color w:val="231F20"/>
                <w:sz w:val="20"/>
              </w:rPr>
              <w:t>units and warehouses as well as any removal from a pallet or overpack for subsequent manual or mechanical</w:t>
            </w:r>
            <w:r>
              <w:rPr>
                <w:color w:val="231F20"/>
                <w:spacing w:val="1"/>
                <w:sz w:val="20"/>
              </w:rPr>
              <w:t xml:space="preserve"> </w:t>
            </w:r>
            <w:r>
              <w:rPr>
                <w:color w:val="231F20"/>
                <w:sz w:val="20"/>
              </w:rPr>
              <w:t>handling.</w:t>
            </w:r>
            <w:r>
              <w:rPr>
                <w:color w:val="231F20"/>
                <w:spacing w:val="37"/>
                <w:sz w:val="20"/>
              </w:rPr>
              <w:t xml:space="preserve"> </w:t>
            </w:r>
            <w:r>
              <w:rPr>
                <w:color w:val="231F20"/>
                <w:sz w:val="20"/>
              </w:rPr>
              <w:t>Packagings</w:t>
            </w:r>
            <w:r>
              <w:rPr>
                <w:color w:val="231F20"/>
                <w:spacing w:val="-7"/>
                <w:sz w:val="20"/>
              </w:rPr>
              <w:t xml:space="preserve"> </w:t>
            </w:r>
            <w:r>
              <w:rPr>
                <w:color w:val="231F20"/>
                <w:sz w:val="20"/>
              </w:rPr>
              <w:t>shall</w:t>
            </w:r>
            <w:r>
              <w:rPr>
                <w:color w:val="231F20"/>
                <w:spacing w:val="-6"/>
                <w:sz w:val="20"/>
              </w:rPr>
              <w:t xml:space="preserve"> </w:t>
            </w:r>
            <w:r>
              <w:rPr>
                <w:color w:val="231F20"/>
                <w:sz w:val="20"/>
              </w:rPr>
              <w:t>be</w:t>
            </w:r>
            <w:r>
              <w:rPr>
                <w:color w:val="231F20"/>
                <w:spacing w:val="-9"/>
                <w:sz w:val="20"/>
              </w:rPr>
              <w:t xml:space="preserve"> </w:t>
            </w:r>
            <w:r>
              <w:rPr>
                <w:color w:val="231F20"/>
                <w:sz w:val="20"/>
              </w:rPr>
              <w:t>constructed</w:t>
            </w:r>
            <w:r>
              <w:rPr>
                <w:color w:val="231F20"/>
                <w:spacing w:val="-5"/>
                <w:sz w:val="20"/>
              </w:rPr>
              <w:t xml:space="preserve"> </w:t>
            </w:r>
            <w:r>
              <w:rPr>
                <w:color w:val="231F20"/>
                <w:sz w:val="20"/>
              </w:rPr>
              <w:t>and</w:t>
            </w:r>
            <w:r>
              <w:rPr>
                <w:color w:val="231F20"/>
                <w:spacing w:val="-6"/>
                <w:sz w:val="20"/>
              </w:rPr>
              <w:t xml:space="preserve"> </w:t>
            </w:r>
            <w:r>
              <w:rPr>
                <w:color w:val="231F20"/>
                <w:sz w:val="20"/>
              </w:rPr>
              <w:t>closed</w:t>
            </w:r>
            <w:r>
              <w:rPr>
                <w:color w:val="231F20"/>
                <w:spacing w:val="-5"/>
                <w:sz w:val="20"/>
              </w:rPr>
              <w:t xml:space="preserve"> </w:t>
            </w:r>
            <w:r>
              <w:rPr>
                <w:color w:val="231F20"/>
                <w:sz w:val="20"/>
              </w:rPr>
              <w:t>to</w:t>
            </w:r>
            <w:r>
              <w:rPr>
                <w:color w:val="231F20"/>
                <w:spacing w:val="-8"/>
                <w:sz w:val="20"/>
              </w:rPr>
              <w:t xml:space="preserve"> </w:t>
            </w:r>
            <w:r>
              <w:rPr>
                <w:color w:val="231F20"/>
                <w:sz w:val="20"/>
              </w:rPr>
              <w:t>prevent</w:t>
            </w:r>
            <w:r>
              <w:rPr>
                <w:color w:val="231F20"/>
                <w:spacing w:val="-7"/>
                <w:sz w:val="20"/>
              </w:rPr>
              <w:t xml:space="preserve"> </w:t>
            </w:r>
            <w:r>
              <w:rPr>
                <w:color w:val="231F20"/>
                <w:sz w:val="20"/>
              </w:rPr>
              <w:t>any</w:t>
            </w:r>
            <w:r>
              <w:rPr>
                <w:color w:val="231F20"/>
                <w:spacing w:val="-6"/>
                <w:sz w:val="20"/>
              </w:rPr>
              <w:t xml:space="preserve"> </w:t>
            </w:r>
            <w:r>
              <w:rPr>
                <w:color w:val="231F20"/>
                <w:sz w:val="20"/>
              </w:rPr>
              <w:t>loss</w:t>
            </w:r>
            <w:r>
              <w:rPr>
                <w:color w:val="231F20"/>
                <w:spacing w:val="-7"/>
                <w:sz w:val="20"/>
              </w:rPr>
              <w:t xml:space="preserve"> </w:t>
            </w:r>
            <w:r>
              <w:rPr>
                <w:color w:val="231F20"/>
                <w:sz w:val="20"/>
              </w:rPr>
              <w:t>of</w:t>
            </w:r>
            <w:r>
              <w:rPr>
                <w:color w:val="231F20"/>
                <w:spacing w:val="-7"/>
                <w:sz w:val="20"/>
              </w:rPr>
              <w:t xml:space="preserve"> </w:t>
            </w:r>
            <w:r>
              <w:rPr>
                <w:color w:val="231F20"/>
                <w:sz w:val="20"/>
              </w:rPr>
              <w:t>contents</w:t>
            </w:r>
            <w:r>
              <w:rPr>
                <w:color w:val="231F20"/>
                <w:spacing w:val="-6"/>
                <w:sz w:val="20"/>
              </w:rPr>
              <w:t xml:space="preserve"> </w:t>
            </w:r>
            <w:r>
              <w:rPr>
                <w:color w:val="231F20"/>
                <w:sz w:val="20"/>
              </w:rPr>
              <w:t>that</w:t>
            </w:r>
            <w:r>
              <w:rPr>
                <w:color w:val="231F20"/>
                <w:spacing w:val="-7"/>
                <w:sz w:val="20"/>
              </w:rPr>
              <w:t xml:space="preserve"> </w:t>
            </w:r>
            <w:r>
              <w:rPr>
                <w:color w:val="231F20"/>
                <w:sz w:val="20"/>
              </w:rPr>
              <w:t>might</w:t>
            </w:r>
            <w:r>
              <w:rPr>
                <w:color w:val="231F20"/>
                <w:spacing w:val="-7"/>
                <w:sz w:val="20"/>
              </w:rPr>
              <w:t xml:space="preserve"> </w:t>
            </w:r>
            <w:r>
              <w:rPr>
                <w:color w:val="231F20"/>
                <w:sz w:val="20"/>
              </w:rPr>
              <w:t>be</w:t>
            </w:r>
            <w:r>
              <w:rPr>
                <w:color w:val="231F20"/>
                <w:spacing w:val="-6"/>
                <w:sz w:val="20"/>
              </w:rPr>
              <w:t xml:space="preserve"> </w:t>
            </w:r>
            <w:r>
              <w:rPr>
                <w:color w:val="231F20"/>
                <w:sz w:val="20"/>
              </w:rPr>
              <w:t>caused</w:t>
            </w:r>
            <w:r>
              <w:rPr>
                <w:color w:val="231F20"/>
                <w:spacing w:val="4"/>
                <w:sz w:val="20"/>
              </w:rPr>
              <w:t xml:space="preserve"> </w:t>
            </w:r>
            <w:r>
              <w:rPr>
                <w:color w:val="231F20"/>
                <w:sz w:val="20"/>
              </w:rPr>
              <w:t>under</w:t>
            </w:r>
            <w:r>
              <w:rPr>
                <w:color w:val="231F20"/>
                <w:spacing w:val="-47"/>
                <w:sz w:val="20"/>
              </w:rPr>
              <w:t xml:space="preserve"> </w:t>
            </w:r>
            <w:r>
              <w:rPr>
                <w:color w:val="231F20"/>
                <w:sz w:val="20"/>
              </w:rPr>
              <w:t>normal</w:t>
            </w:r>
            <w:r>
              <w:rPr>
                <w:color w:val="231F20"/>
                <w:spacing w:val="-1"/>
                <w:sz w:val="20"/>
              </w:rPr>
              <w:t xml:space="preserve"> </w:t>
            </w:r>
            <w:r>
              <w:rPr>
                <w:color w:val="231F20"/>
                <w:sz w:val="20"/>
              </w:rPr>
              <w:t>conditions</w:t>
            </w:r>
            <w:r>
              <w:rPr>
                <w:color w:val="231F20"/>
                <w:spacing w:val="-1"/>
                <w:sz w:val="20"/>
              </w:rPr>
              <w:t xml:space="preserve"> </w:t>
            </w:r>
            <w:r>
              <w:rPr>
                <w:color w:val="231F20"/>
                <w:sz w:val="20"/>
              </w:rPr>
              <w:t>of</w:t>
            </w:r>
            <w:r>
              <w:rPr>
                <w:color w:val="231F20"/>
                <w:spacing w:val="-1"/>
                <w:sz w:val="20"/>
              </w:rPr>
              <w:t xml:space="preserve"> </w:t>
            </w:r>
            <w:r>
              <w:rPr>
                <w:color w:val="231F20"/>
                <w:sz w:val="20"/>
              </w:rPr>
              <w:t>transport</w:t>
            </w:r>
            <w:r>
              <w:rPr>
                <w:color w:val="231F20"/>
                <w:spacing w:val="-4"/>
                <w:sz w:val="20"/>
              </w:rPr>
              <w:t xml:space="preserve"> </w:t>
            </w:r>
            <w:r>
              <w:rPr>
                <w:color w:val="231F20"/>
                <w:sz w:val="20"/>
              </w:rPr>
              <w:t>by</w:t>
            </w:r>
            <w:r>
              <w:rPr>
                <w:color w:val="231F20"/>
                <w:spacing w:val="-1"/>
                <w:sz w:val="20"/>
              </w:rPr>
              <w:t xml:space="preserve"> </w:t>
            </w:r>
            <w:r>
              <w:rPr>
                <w:color w:val="231F20"/>
                <w:sz w:val="20"/>
              </w:rPr>
              <w:t>vibration</w:t>
            </w:r>
            <w:r>
              <w:rPr>
                <w:color w:val="231F20"/>
                <w:spacing w:val="-3"/>
                <w:sz w:val="20"/>
              </w:rPr>
              <w:t xml:space="preserve"> </w:t>
            </w:r>
            <w:r>
              <w:rPr>
                <w:color w:val="231F20"/>
                <w:sz w:val="20"/>
              </w:rPr>
              <w:t>or by changes</w:t>
            </w:r>
            <w:r>
              <w:rPr>
                <w:color w:val="231F20"/>
                <w:spacing w:val="-1"/>
                <w:sz w:val="20"/>
              </w:rPr>
              <w:t xml:space="preserve"> </w:t>
            </w:r>
            <w:r>
              <w:rPr>
                <w:color w:val="231F20"/>
                <w:sz w:val="20"/>
              </w:rPr>
              <w:t>in</w:t>
            </w:r>
            <w:r>
              <w:rPr>
                <w:color w:val="231F20"/>
                <w:spacing w:val="-3"/>
                <w:sz w:val="20"/>
              </w:rPr>
              <w:t xml:space="preserve"> </w:t>
            </w:r>
            <w:r>
              <w:rPr>
                <w:color w:val="231F20"/>
                <w:sz w:val="20"/>
              </w:rPr>
              <w:t>temperature,</w:t>
            </w:r>
            <w:r>
              <w:rPr>
                <w:color w:val="231F20"/>
                <w:spacing w:val="-3"/>
                <w:sz w:val="20"/>
              </w:rPr>
              <w:t xml:space="preserve"> </w:t>
            </w:r>
            <w:r>
              <w:rPr>
                <w:color w:val="231F20"/>
                <w:sz w:val="20"/>
              </w:rPr>
              <w:t>humidity</w:t>
            </w:r>
            <w:r>
              <w:rPr>
                <w:color w:val="231F20"/>
                <w:spacing w:val="-3"/>
                <w:sz w:val="20"/>
              </w:rPr>
              <w:t xml:space="preserve"> </w:t>
            </w:r>
            <w:r>
              <w:rPr>
                <w:color w:val="231F20"/>
                <w:sz w:val="20"/>
              </w:rPr>
              <w:t>or</w:t>
            </w:r>
            <w:r>
              <w:rPr>
                <w:color w:val="231F20"/>
                <w:spacing w:val="-3"/>
                <w:sz w:val="20"/>
              </w:rPr>
              <w:t xml:space="preserve"> </w:t>
            </w:r>
            <w:r>
              <w:rPr>
                <w:color w:val="231F20"/>
                <w:sz w:val="20"/>
              </w:rPr>
              <w:t>pressure.</w:t>
            </w:r>
          </w:p>
          <w:p w14:paraId="4E0F102C" w14:textId="77777777" w:rsidR="00B9671A" w:rsidRDefault="00B9671A" w:rsidP="00B9671A">
            <w:pPr>
              <w:pStyle w:val="TableParagraph"/>
              <w:numPr>
                <w:ilvl w:val="0"/>
                <w:numId w:val="11"/>
              </w:numPr>
              <w:tabs>
                <w:tab w:val="left" w:pos="624"/>
              </w:tabs>
              <w:spacing w:before="62"/>
              <w:ind w:left="623"/>
              <w:jc w:val="both"/>
              <w:rPr>
                <w:sz w:val="20"/>
              </w:rPr>
            </w:pPr>
            <w:r>
              <w:rPr>
                <w:color w:val="231F20"/>
                <w:sz w:val="20"/>
              </w:rPr>
              <w:t>The</w:t>
            </w:r>
            <w:r>
              <w:rPr>
                <w:color w:val="231F20"/>
                <w:spacing w:val="-2"/>
                <w:sz w:val="20"/>
              </w:rPr>
              <w:t xml:space="preserve"> </w:t>
            </w:r>
            <w:r>
              <w:rPr>
                <w:color w:val="231F20"/>
                <w:sz w:val="20"/>
              </w:rPr>
              <w:t>packaging</w:t>
            </w:r>
            <w:r>
              <w:rPr>
                <w:color w:val="231F20"/>
                <w:spacing w:val="-2"/>
                <w:sz w:val="20"/>
              </w:rPr>
              <w:t xml:space="preserve"> </w:t>
            </w:r>
            <w:r>
              <w:rPr>
                <w:color w:val="231F20"/>
                <w:sz w:val="20"/>
              </w:rPr>
              <w:t>shall</w:t>
            </w:r>
            <w:r>
              <w:rPr>
                <w:color w:val="231F20"/>
                <w:spacing w:val="-2"/>
                <w:sz w:val="20"/>
              </w:rPr>
              <w:t xml:space="preserve"> </w:t>
            </w:r>
            <w:r>
              <w:rPr>
                <w:color w:val="231F20"/>
                <w:sz w:val="20"/>
              </w:rPr>
              <w:t>consist</w:t>
            </w:r>
            <w:r>
              <w:rPr>
                <w:color w:val="231F20"/>
                <w:spacing w:val="-2"/>
                <w:sz w:val="20"/>
              </w:rPr>
              <w:t xml:space="preserve"> </w:t>
            </w:r>
            <w:r>
              <w:rPr>
                <w:color w:val="231F20"/>
                <w:sz w:val="20"/>
              </w:rPr>
              <w:t>of</w:t>
            </w:r>
            <w:r>
              <w:rPr>
                <w:color w:val="231F20"/>
                <w:spacing w:val="-2"/>
                <w:sz w:val="20"/>
              </w:rPr>
              <w:t xml:space="preserve"> </w:t>
            </w:r>
            <w:r>
              <w:rPr>
                <w:color w:val="231F20"/>
                <w:sz w:val="20"/>
              </w:rPr>
              <w:t>at</w:t>
            </w:r>
            <w:r>
              <w:rPr>
                <w:color w:val="231F20"/>
                <w:spacing w:val="-1"/>
                <w:sz w:val="20"/>
              </w:rPr>
              <w:t xml:space="preserve"> </w:t>
            </w:r>
            <w:r>
              <w:rPr>
                <w:color w:val="231F20"/>
                <w:sz w:val="20"/>
              </w:rPr>
              <w:t>least</w:t>
            </w:r>
            <w:r>
              <w:rPr>
                <w:color w:val="231F20"/>
                <w:spacing w:val="-2"/>
                <w:sz w:val="20"/>
              </w:rPr>
              <w:t xml:space="preserve"> </w:t>
            </w:r>
            <w:r>
              <w:rPr>
                <w:color w:val="231F20"/>
                <w:sz w:val="20"/>
              </w:rPr>
              <w:t>three</w:t>
            </w:r>
            <w:r>
              <w:rPr>
                <w:color w:val="231F20"/>
                <w:spacing w:val="-2"/>
                <w:sz w:val="20"/>
              </w:rPr>
              <w:t xml:space="preserve"> </w:t>
            </w:r>
            <w:r>
              <w:rPr>
                <w:color w:val="231F20"/>
                <w:sz w:val="20"/>
              </w:rPr>
              <w:t>components:</w:t>
            </w:r>
          </w:p>
          <w:p w14:paraId="32EC426D" w14:textId="77777777" w:rsidR="00B9671A" w:rsidRDefault="00B9671A" w:rsidP="00B9671A">
            <w:pPr>
              <w:pStyle w:val="TableParagraph"/>
              <w:numPr>
                <w:ilvl w:val="1"/>
                <w:numId w:val="11"/>
              </w:numPr>
              <w:tabs>
                <w:tab w:val="left" w:pos="1164"/>
                <w:tab w:val="left" w:pos="1165"/>
              </w:tabs>
              <w:spacing w:before="30"/>
              <w:ind w:hanging="456"/>
              <w:rPr>
                <w:sz w:val="20"/>
              </w:rPr>
            </w:pPr>
            <w:r>
              <w:rPr>
                <w:color w:val="231F20"/>
                <w:sz w:val="20"/>
              </w:rPr>
              <w:t>a</w:t>
            </w:r>
            <w:r>
              <w:rPr>
                <w:color w:val="231F20"/>
                <w:spacing w:val="-2"/>
                <w:sz w:val="20"/>
              </w:rPr>
              <w:t xml:space="preserve"> </w:t>
            </w:r>
            <w:r>
              <w:rPr>
                <w:color w:val="231F20"/>
                <w:sz w:val="20"/>
              </w:rPr>
              <w:t>primary</w:t>
            </w:r>
            <w:r>
              <w:rPr>
                <w:color w:val="231F20"/>
                <w:spacing w:val="-2"/>
                <w:sz w:val="20"/>
              </w:rPr>
              <w:t xml:space="preserve"> </w:t>
            </w:r>
            <w:r>
              <w:rPr>
                <w:color w:val="231F20"/>
                <w:sz w:val="20"/>
              </w:rPr>
              <w:t>receptacle;</w:t>
            </w:r>
          </w:p>
          <w:p w14:paraId="2CBD0C4B" w14:textId="77777777" w:rsidR="00B9671A" w:rsidRDefault="00B9671A" w:rsidP="00B9671A">
            <w:pPr>
              <w:pStyle w:val="TableParagraph"/>
              <w:numPr>
                <w:ilvl w:val="1"/>
                <w:numId w:val="11"/>
              </w:numPr>
              <w:tabs>
                <w:tab w:val="left" w:pos="1163"/>
                <w:tab w:val="left" w:pos="1164"/>
              </w:tabs>
              <w:spacing w:before="29"/>
              <w:ind w:left="1163" w:hanging="179"/>
              <w:rPr>
                <w:sz w:val="20"/>
              </w:rPr>
            </w:pPr>
            <w:r>
              <w:rPr>
                <w:color w:val="231F20"/>
                <w:sz w:val="20"/>
              </w:rPr>
              <w:t>a</w:t>
            </w:r>
            <w:r>
              <w:rPr>
                <w:color w:val="231F20"/>
                <w:spacing w:val="-2"/>
                <w:sz w:val="20"/>
              </w:rPr>
              <w:t xml:space="preserve"> </w:t>
            </w:r>
            <w:r>
              <w:rPr>
                <w:color w:val="231F20"/>
                <w:sz w:val="20"/>
              </w:rPr>
              <w:t>secondary</w:t>
            </w:r>
            <w:r>
              <w:rPr>
                <w:color w:val="231F20"/>
                <w:spacing w:val="-4"/>
                <w:sz w:val="20"/>
              </w:rPr>
              <w:t xml:space="preserve"> </w:t>
            </w:r>
            <w:r>
              <w:rPr>
                <w:color w:val="231F20"/>
                <w:sz w:val="20"/>
              </w:rPr>
              <w:t>packaging;</w:t>
            </w:r>
            <w:r>
              <w:rPr>
                <w:color w:val="231F20"/>
                <w:spacing w:val="-3"/>
                <w:sz w:val="20"/>
              </w:rPr>
              <w:t xml:space="preserve"> </w:t>
            </w:r>
            <w:r>
              <w:rPr>
                <w:color w:val="231F20"/>
                <w:sz w:val="20"/>
              </w:rPr>
              <w:t>and</w:t>
            </w:r>
          </w:p>
          <w:p w14:paraId="6B8D51AA" w14:textId="77777777" w:rsidR="00B9671A" w:rsidRDefault="00B9671A" w:rsidP="00B9671A">
            <w:pPr>
              <w:pStyle w:val="TableParagraph"/>
              <w:numPr>
                <w:ilvl w:val="1"/>
                <w:numId w:val="11"/>
              </w:numPr>
              <w:tabs>
                <w:tab w:val="left" w:pos="1165"/>
                <w:tab w:val="left" w:pos="1166"/>
              </w:tabs>
              <w:spacing w:before="29"/>
              <w:ind w:left="1165" w:hanging="181"/>
              <w:rPr>
                <w:sz w:val="20"/>
              </w:rPr>
            </w:pPr>
            <w:r>
              <w:rPr>
                <w:color w:val="231F20"/>
                <w:sz w:val="20"/>
              </w:rPr>
              <w:t>an</w:t>
            </w:r>
            <w:r>
              <w:rPr>
                <w:color w:val="231F20"/>
                <w:spacing w:val="-1"/>
                <w:sz w:val="20"/>
              </w:rPr>
              <w:t xml:space="preserve"> </w:t>
            </w:r>
            <w:r>
              <w:rPr>
                <w:color w:val="231F20"/>
                <w:sz w:val="20"/>
              </w:rPr>
              <w:t>outer</w:t>
            </w:r>
            <w:r>
              <w:rPr>
                <w:color w:val="231F20"/>
                <w:spacing w:val="-4"/>
                <w:sz w:val="20"/>
              </w:rPr>
              <w:t xml:space="preserve"> </w:t>
            </w:r>
            <w:r>
              <w:rPr>
                <w:color w:val="231F20"/>
                <w:sz w:val="20"/>
              </w:rPr>
              <w:t>packaging</w:t>
            </w:r>
          </w:p>
          <w:p w14:paraId="2782DE58" w14:textId="77777777" w:rsidR="00B9671A" w:rsidRDefault="00B9671A" w:rsidP="00B848C7">
            <w:pPr>
              <w:pStyle w:val="TableParagraph"/>
              <w:spacing w:before="32"/>
              <w:ind w:left="624"/>
              <w:rPr>
                <w:sz w:val="20"/>
              </w:rPr>
            </w:pPr>
            <w:r>
              <w:rPr>
                <w:color w:val="231F20"/>
                <w:sz w:val="20"/>
              </w:rPr>
              <w:t>of</w:t>
            </w:r>
            <w:r>
              <w:rPr>
                <w:color w:val="231F20"/>
                <w:spacing w:val="-3"/>
                <w:sz w:val="20"/>
              </w:rPr>
              <w:t xml:space="preserve"> </w:t>
            </w:r>
            <w:r>
              <w:rPr>
                <w:color w:val="231F20"/>
                <w:sz w:val="20"/>
              </w:rPr>
              <w:t>which</w:t>
            </w:r>
            <w:r>
              <w:rPr>
                <w:color w:val="231F20"/>
                <w:spacing w:val="-1"/>
                <w:sz w:val="20"/>
              </w:rPr>
              <w:t xml:space="preserve"> </w:t>
            </w:r>
            <w:r>
              <w:rPr>
                <w:color w:val="231F20"/>
                <w:sz w:val="20"/>
              </w:rPr>
              <w:t>either</w:t>
            </w:r>
            <w:r>
              <w:rPr>
                <w:color w:val="231F20"/>
                <w:spacing w:val="-2"/>
                <w:sz w:val="20"/>
              </w:rPr>
              <w:t xml:space="preserve"> </w:t>
            </w:r>
            <w:r>
              <w:rPr>
                <w:color w:val="231F20"/>
                <w:sz w:val="20"/>
              </w:rPr>
              <w:t>the</w:t>
            </w:r>
            <w:r>
              <w:rPr>
                <w:color w:val="231F20"/>
                <w:spacing w:val="-2"/>
                <w:sz w:val="20"/>
              </w:rPr>
              <w:t xml:space="preserve"> </w:t>
            </w:r>
            <w:r>
              <w:rPr>
                <w:color w:val="231F20"/>
                <w:sz w:val="20"/>
              </w:rPr>
              <w:t>secondary</w:t>
            </w:r>
            <w:r>
              <w:rPr>
                <w:color w:val="231F20"/>
                <w:spacing w:val="-4"/>
                <w:sz w:val="20"/>
              </w:rPr>
              <w:t xml:space="preserve"> </w:t>
            </w:r>
            <w:r>
              <w:rPr>
                <w:color w:val="231F20"/>
                <w:sz w:val="20"/>
              </w:rPr>
              <w:t>or</w:t>
            </w:r>
            <w:r>
              <w:rPr>
                <w:color w:val="231F20"/>
                <w:spacing w:val="-2"/>
                <w:sz w:val="20"/>
              </w:rPr>
              <w:t xml:space="preserve"> </w:t>
            </w:r>
            <w:r>
              <w:rPr>
                <w:color w:val="231F20"/>
                <w:sz w:val="20"/>
              </w:rPr>
              <w:t>the</w:t>
            </w:r>
            <w:r>
              <w:rPr>
                <w:color w:val="231F20"/>
                <w:spacing w:val="-2"/>
                <w:sz w:val="20"/>
              </w:rPr>
              <w:t xml:space="preserve"> </w:t>
            </w:r>
            <w:r>
              <w:rPr>
                <w:color w:val="231F20"/>
                <w:sz w:val="20"/>
              </w:rPr>
              <w:t>outer</w:t>
            </w:r>
            <w:r>
              <w:rPr>
                <w:color w:val="231F20"/>
                <w:spacing w:val="-2"/>
                <w:sz w:val="20"/>
              </w:rPr>
              <w:t xml:space="preserve"> </w:t>
            </w:r>
            <w:r>
              <w:rPr>
                <w:color w:val="231F20"/>
                <w:sz w:val="20"/>
              </w:rPr>
              <w:t>packaging</w:t>
            </w:r>
            <w:r>
              <w:rPr>
                <w:color w:val="231F20"/>
                <w:spacing w:val="-2"/>
                <w:sz w:val="20"/>
              </w:rPr>
              <w:t xml:space="preserve"> </w:t>
            </w:r>
            <w:r>
              <w:rPr>
                <w:color w:val="231F20"/>
                <w:sz w:val="20"/>
              </w:rPr>
              <w:t>shall</w:t>
            </w:r>
            <w:r>
              <w:rPr>
                <w:color w:val="231F20"/>
                <w:spacing w:val="-2"/>
                <w:sz w:val="20"/>
              </w:rPr>
              <w:t xml:space="preserve"> </w:t>
            </w:r>
            <w:r>
              <w:rPr>
                <w:color w:val="231F20"/>
                <w:sz w:val="20"/>
              </w:rPr>
              <w:t>be</w:t>
            </w:r>
            <w:r>
              <w:rPr>
                <w:color w:val="231F20"/>
                <w:spacing w:val="-2"/>
                <w:sz w:val="20"/>
              </w:rPr>
              <w:t xml:space="preserve"> </w:t>
            </w:r>
            <w:r>
              <w:rPr>
                <w:color w:val="231F20"/>
                <w:sz w:val="20"/>
              </w:rPr>
              <w:t>rigid.</w:t>
            </w:r>
          </w:p>
          <w:p w14:paraId="6298ABE9" w14:textId="77777777" w:rsidR="00B9671A" w:rsidRDefault="00B9671A" w:rsidP="00B9671A">
            <w:pPr>
              <w:pStyle w:val="TableParagraph"/>
              <w:numPr>
                <w:ilvl w:val="0"/>
                <w:numId w:val="11"/>
              </w:numPr>
              <w:tabs>
                <w:tab w:val="left" w:pos="624"/>
              </w:tabs>
              <w:spacing w:before="58" w:line="228" w:lineRule="auto"/>
              <w:ind w:left="701" w:right="73" w:hanging="567"/>
              <w:jc w:val="both"/>
              <w:rPr>
                <w:sz w:val="20"/>
              </w:rPr>
            </w:pPr>
            <w:r>
              <w:rPr>
                <w:color w:val="231F20"/>
                <w:sz w:val="20"/>
              </w:rPr>
              <w:t>Primary receptacles shall be packed in secondary packagings in such a way that, under normal conditions of</w:t>
            </w:r>
            <w:r>
              <w:rPr>
                <w:color w:val="231F20"/>
                <w:spacing w:val="1"/>
                <w:sz w:val="20"/>
              </w:rPr>
              <w:t xml:space="preserve"> </w:t>
            </w:r>
            <w:r>
              <w:rPr>
                <w:color w:val="231F20"/>
                <w:sz w:val="20"/>
              </w:rPr>
              <w:t>transport, they cannot break, be punctured or leak their contents into the secondary packaging.</w:t>
            </w:r>
            <w:r>
              <w:rPr>
                <w:color w:val="231F20"/>
                <w:spacing w:val="1"/>
                <w:sz w:val="20"/>
              </w:rPr>
              <w:t xml:space="preserve"> </w:t>
            </w:r>
            <w:r>
              <w:rPr>
                <w:color w:val="231F20"/>
                <w:sz w:val="20"/>
              </w:rPr>
              <w:t>Secondary</w:t>
            </w:r>
            <w:r>
              <w:rPr>
                <w:color w:val="231F20"/>
                <w:spacing w:val="1"/>
                <w:sz w:val="20"/>
              </w:rPr>
              <w:t xml:space="preserve"> </w:t>
            </w:r>
            <w:r>
              <w:rPr>
                <w:color w:val="231F20"/>
                <w:sz w:val="20"/>
              </w:rPr>
              <w:t>packagings shall be secured in outer packagings with suitable cushioning material. Any leakage of the contents</w:t>
            </w:r>
            <w:r>
              <w:rPr>
                <w:color w:val="231F20"/>
                <w:spacing w:val="-47"/>
                <w:sz w:val="20"/>
              </w:rPr>
              <w:t xml:space="preserve"> </w:t>
            </w:r>
            <w:r>
              <w:rPr>
                <w:color w:val="231F20"/>
                <w:sz w:val="20"/>
              </w:rPr>
              <w:t>shall</w:t>
            </w:r>
            <w:r>
              <w:rPr>
                <w:color w:val="231F20"/>
                <w:spacing w:val="-1"/>
                <w:sz w:val="20"/>
              </w:rPr>
              <w:t xml:space="preserve"> </w:t>
            </w:r>
            <w:r>
              <w:rPr>
                <w:color w:val="231F20"/>
                <w:sz w:val="20"/>
              </w:rPr>
              <w:t>not</w:t>
            </w:r>
            <w:r>
              <w:rPr>
                <w:color w:val="231F20"/>
                <w:spacing w:val="-1"/>
                <w:sz w:val="20"/>
              </w:rPr>
              <w:t xml:space="preserve"> </w:t>
            </w:r>
            <w:r>
              <w:rPr>
                <w:color w:val="231F20"/>
                <w:sz w:val="20"/>
              </w:rPr>
              <w:t>compromise</w:t>
            </w:r>
            <w:r>
              <w:rPr>
                <w:color w:val="231F20"/>
                <w:spacing w:val="-1"/>
                <w:sz w:val="20"/>
              </w:rPr>
              <w:t xml:space="preserve"> </w:t>
            </w:r>
            <w:r>
              <w:rPr>
                <w:color w:val="231F20"/>
                <w:sz w:val="20"/>
              </w:rPr>
              <w:t>the integrity</w:t>
            </w:r>
            <w:r>
              <w:rPr>
                <w:color w:val="231F20"/>
                <w:spacing w:val="-1"/>
                <w:sz w:val="20"/>
              </w:rPr>
              <w:t xml:space="preserve"> </w:t>
            </w:r>
            <w:r>
              <w:rPr>
                <w:color w:val="231F20"/>
                <w:sz w:val="20"/>
              </w:rPr>
              <w:t>of</w:t>
            </w:r>
            <w:r>
              <w:rPr>
                <w:color w:val="231F20"/>
                <w:spacing w:val="-3"/>
                <w:sz w:val="20"/>
              </w:rPr>
              <w:t xml:space="preserve"> </w:t>
            </w:r>
            <w:r>
              <w:rPr>
                <w:color w:val="231F20"/>
                <w:sz w:val="20"/>
              </w:rPr>
              <w:t>the cushioning</w:t>
            </w:r>
            <w:r>
              <w:rPr>
                <w:color w:val="231F20"/>
                <w:spacing w:val="-1"/>
                <w:sz w:val="20"/>
              </w:rPr>
              <w:t xml:space="preserve"> </w:t>
            </w:r>
            <w:r>
              <w:rPr>
                <w:color w:val="231F20"/>
                <w:sz w:val="20"/>
              </w:rPr>
              <w:t>material</w:t>
            </w:r>
            <w:r>
              <w:rPr>
                <w:color w:val="231F20"/>
                <w:spacing w:val="-2"/>
                <w:sz w:val="20"/>
              </w:rPr>
              <w:t xml:space="preserve"> </w:t>
            </w:r>
            <w:r>
              <w:rPr>
                <w:color w:val="231F20"/>
                <w:sz w:val="20"/>
              </w:rPr>
              <w:t>or of</w:t>
            </w:r>
            <w:r>
              <w:rPr>
                <w:color w:val="231F20"/>
                <w:spacing w:val="-3"/>
                <w:sz w:val="20"/>
              </w:rPr>
              <w:t xml:space="preserve"> </w:t>
            </w:r>
            <w:r>
              <w:rPr>
                <w:color w:val="231F20"/>
                <w:sz w:val="20"/>
              </w:rPr>
              <w:t>the</w:t>
            </w:r>
            <w:r>
              <w:rPr>
                <w:color w:val="231F20"/>
                <w:spacing w:val="-1"/>
                <w:sz w:val="20"/>
              </w:rPr>
              <w:t xml:space="preserve"> </w:t>
            </w:r>
            <w:r>
              <w:rPr>
                <w:color w:val="231F20"/>
                <w:sz w:val="20"/>
              </w:rPr>
              <w:t>outer packaging.</w:t>
            </w:r>
          </w:p>
          <w:p w14:paraId="1607F099" w14:textId="77777777" w:rsidR="00B9671A" w:rsidRDefault="00B9671A" w:rsidP="00B9671A">
            <w:pPr>
              <w:pStyle w:val="TableParagraph"/>
              <w:numPr>
                <w:ilvl w:val="0"/>
                <w:numId w:val="11"/>
              </w:numPr>
              <w:tabs>
                <w:tab w:val="left" w:pos="624"/>
              </w:tabs>
              <w:spacing w:before="62" w:line="228" w:lineRule="auto"/>
              <w:ind w:left="559" w:right="71" w:hanging="425"/>
              <w:jc w:val="both"/>
              <w:rPr>
                <w:sz w:val="20"/>
              </w:rPr>
            </w:pPr>
            <w:r>
              <w:rPr>
                <w:color w:val="231F20"/>
                <w:sz w:val="20"/>
              </w:rPr>
              <w:t>For transport, the mark illustrated below shall be displayed on the external surface of the outer packaging on a</w:t>
            </w:r>
            <w:r>
              <w:rPr>
                <w:color w:val="231F20"/>
                <w:spacing w:val="1"/>
                <w:sz w:val="20"/>
              </w:rPr>
              <w:t xml:space="preserve"> </w:t>
            </w:r>
            <w:r>
              <w:rPr>
                <w:color w:val="231F20"/>
                <w:sz w:val="20"/>
              </w:rPr>
              <w:t>background of a contrasting colour and shall be clearly visible and legible. The mark shall be in the form of a</w:t>
            </w:r>
            <w:r>
              <w:rPr>
                <w:color w:val="231F20"/>
                <w:spacing w:val="1"/>
                <w:sz w:val="20"/>
              </w:rPr>
              <w:t xml:space="preserve"> </w:t>
            </w:r>
            <w:r>
              <w:rPr>
                <w:color w:val="231F20"/>
                <w:sz w:val="20"/>
              </w:rPr>
              <w:t>square set at an angle of 45° (diamond-shaped) with each side having a length of at least 50 mm; the width of</w:t>
            </w:r>
            <w:r>
              <w:rPr>
                <w:color w:val="231F20"/>
                <w:spacing w:val="1"/>
                <w:sz w:val="20"/>
              </w:rPr>
              <w:t xml:space="preserve"> </w:t>
            </w:r>
            <w:r>
              <w:rPr>
                <w:color w:val="231F20"/>
                <w:sz w:val="20"/>
              </w:rPr>
              <w:t>the</w:t>
            </w:r>
            <w:r>
              <w:rPr>
                <w:color w:val="231F20"/>
                <w:spacing w:val="-7"/>
                <w:sz w:val="20"/>
              </w:rPr>
              <w:t xml:space="preserve"> </w:t>
            </w:r>
            <w:r>
              <w:rPr>
                <w:color w:val="231F20"/>
                <w:sz w:val="20"/>
              </w:rPr>
              <w:t>line</w:t>
            </w:r>
            <w:r>
              <w:rPr>
                <w:color w:val="231F20"/>
                <w:spacing w:val="-7"/>
                <w:sz w:val="20"/>
              </w:rPr>
              <w:t xml:space="preserve"> </w:t>
            </w:r>
            <w:r>
              <w:rPr>
                <w:color w:val="231F20"/>
                <w:sz w:val="20"/>
              </w:rPr>
              <w:t>shall</w:t>
            </w:r>
            <w:r>
              <w:rPr>
                <w:color w:val="231F20"/>
                <w:spacing w:val="-6"/>
                <w:sz w:val="20"/>
              </w:rPr>
              <w:t xml:space="preserve"> </w:t>
            </w:r>
            <w:r>
              <w:rPr>
                <w:color w:val="231F20"/>
                <w:sz w:val="20"/>
              </w:rPr>
              <w:t>be</w:t>
            </w:r>
            <w:r>
              <w:rPr>
                <w:color w:val="231F20"/>
                <w:spacing w:val="-7"/>
                <w:sz w:val="20"/>
              </w:rPr>
              <w:t xml:space="preserve"> </w:t>
            </w:r>
            <w:r>
              <w:rPr>
                <w:color w:val="231F20"/>
                <w:sz w:val="20"/>
              </w:rPr>
              <w:t>at</w:t>
            </w:r>
            <w:r>
              <w:rPr>
                <w:color w:val="231F20"/>
                <w:spacing w:val="-9"/>
                <w:sz w:val="20"/>
              </w:rPr>
              <w:t xml:space="preserve"> </w:t>
            </w:r>
            <w:r>
              <w:rPr>
                <w:color w:val="231F20"/>
                <w:sz w:val="20"/>
              </w:rPr>
              <w:t>least</w:t>
            </w:r>
            <w:r>
              <w:rPr>
                <w:color w:val="231F20"/>
                <w:spacing w:val="-6"/>
                <w:sz w:val="20"/>
              </w:rPr>
              <w:t xml:space="preserve"> </w:t>
            </w:r>
            <w:r>
              <w:rPr>
                <w:color w:val="231F20"/>
                <w:sz w:val="20"/>
              </w:rPr>
              <w:t>2</w:t>
            </w:r>
            <w:r>
              <w:rPr>
                <w:color w:val="231F20"/>
                <w:spacing w:val="-7"/>
                <w:sz w:val="20"/>
              </w:rPr>
              <w:t xml:space="preserve"> </w:t>
            </w:r>
            <w:r>
              <w:rPr>
                <w:color w:val="231F20"/>
                <w:sz w:val="20"/>
              </w:rPr>
              <w:t>mm</w:t>
            </w:r>
            <w:r>
              <w:rPr>
                <w:color w:val="231F20"/>
                <w:spacing w:val="-8"/>
                <w:sz w:val="20"/>
              </w:rPr>
              <w:t xml:space="preserve"> </w:t>
            </w:r>
            <w:r>
              <w:rPr>
                <w:color w:val="231F20"/>
                <w:sz w:val="20"/>
              </w:rPr>
              <w:t>and</w:t>
            </w:r>
            <w:r>
              <w:rPr>
                <w:color w:val="231F20"/>
                <w:spacing w:val="-7"/>
                <w:sz w:val="20"/>
              </w:rPr>
              <w:t xml:space="preserve"> </w:t>
            </w:r>
            <w:r>
              <w:rPr>
                <w:color w:val="231F20"/>
                <w:sz w:val="20"/>
              </w:rPr>
              <w:t>the</w:t>
            </w:r>
            <w:r>
              <w:rPr>
                <w:color w:val="231F20"/>
                <w:spacing w:val="-5"/>
                <w:sz w:val="20"/>
              </w:rPr>
              <w:t xml:space="preserve"> </w:t>
            </w:r>
            <w:r>
              <w:rPr>
                <w:color w:val="231F20"/>
                <w:sz w:val="20"/>
              </w:rPr>
              <w:t>letters</w:t>
            </w:r>
            <w:r>
              <w:rPr>
                <w:color w:val="231F20"/>
                <w:spacing w:val="-6"/>
                <w:sz w:val="20"/>
              </w:rPr>
              <w:t xml:space="preserve"> </w:t>
            </w:r>
            <w:r>
              <w:rPr>
                <w:color w:val="231F20"/>
                <w:sz w:val="20"/>
              </w:rPr>
              <w:t>and</w:t>
            </w:r>
            <w:r>
              <w:rPr>
                <w:color w:val="231F20"/>
                <w:spacing w:val="-7"/>
                <w:sz w:val="20"/>
              </w:rPr>
              <w:t xml:space="preserve"> </w:t>
            </w:r>
            <w:r>
              <w:rPr>
                <w:color w:val="231F20"/>
                <w:sz w:val="20"/>
              </w:rPr>
              <w:t>numbers</w:t>
            </w:r>
            <w:r>
              <w:rPr>
                <w:color w:val="231F20"/>
                <w:spacing w:val="-7"/>
                <w:sz w:val="20"/>
              </w:rPr>
              <w:t xml:space="preserve"> </w:t>
            </w:r>
            <w:r>
              <w:rPr>
                <w:color w:val="231F20"/>
                <w:sz w:val="20"/>
              </w:rPr>
              <w:t>shall</w:t>
            </w:r>
            <w:r>
              <w:rPr>
                <w:color w:val="231F20"/>
                <w:spacing w:val="-6"/>
                <w:sz w:val="20"/>
              </w:rPr>
              <w:t xml:space="preserve"> </w:t>
            </w:r>
            <w:r>
              <w:rPr>
                <w:color w:val="231F20"/>
                <w:sz w:val="20"/>
              </w:rPr>
              <w:t>be</w:t>
            </w:r>
            <w:r>
              <w:rPr>
                <w:color w:val="231F20"/>
                <w:spacing w:val="-7"/>
                <w:sz w:val="20"/>
              </w:rPr>
              <w:t xml:space="preserve"> </w:t>
            </w:r>
            <w:r>
              <w:rPr>
                <w:color w:val="231F20"/>
                <w:sz w:val="20"/>
              </w:rPr>
              <w:t>at</w:t>
            </w:r>
            <w:r>
              <w:rPr>
                <w:color w:val="231F20"/>
                <w:spacing w:val="-7"/>
                <w:sz w:val="20"/>
              </w:rPr>
              <w:t xml:space="preserve"> </w:t>
            </w:r>
            <w:r>
              <w:rPr>
                <w:color w:val="231F20"/>
                <w:sz w:val="20"/>
              </w:rPr>
              <w:t>least</w:t>
            </w:r>
            <w:r>
              <w:rPr>
                <w:color w:val="231F20"/>
                <w:spacing w:val="-6"/>
                <w:sz w:val="20"/>
              </w:rPr>
              <w:t xml:space="preserve"> </w:t>
            </w:r>
            <w:r>
              <w:rPr>
                <w:color w:val="231F20"/>
                <w:sz w:val="20"/>
              </w:rPr>
              <w:t>6</w:t>
            </w:r>
            <w:r>
              <w:rPr>
                <w:color w:val="231F20"/>
                <w:spacing w:val="-7"/>
                <w:sz w:val="20"/>
              </w:rPr>
              <w:t xml:space="preserve"> </w:t>
            </w:r>
            <w:r>
              <w:rPr>
                <w:color w:val="231F20"/>
                <w:sz w:val="20"/>
              </w:rPr>
              <w:t>mm</w:t>
            </w:r>
            <w:r>
              <w:rPr>
                <w:color w:val="231F20"/>
                <w:spacing w:val="-9"/>
                <w:sz w:val="20"/>
              </w:rPr>
              <w:t xml:space="preserve"> </w:t>
            </w:r>
            <w:r>
              <w:rPr>
                <w:color w:val="231F20"/>
                <w:sz w:val="20"/>
              </w:rPr>
              <w:t>high.</w:t>
            </w:r>
            <w:r>
              <w:rPr>
                <w:color w:val="231F20"/>
                <w:spacing w:val="-5"/>
                <w:sz w:val="20"/>
              </w:rPr>
              <w:t xml:space="preserve"> </w:t>
            </w:r>
            <w:r>
              <w:rPr>
                <w:color w:val="231F20"/>
                <w:sz w:val="20"/>
              </w:rPr>
              <w:t>The</w:t>
            </w:r>
            <w:r>
              <w:rPr>
                <w:color w:val="231F20"/>
                <w:spacing w:val="-11"/>
                <w:sz w:val="20"/>
              </w:rPr>
              <w:t xml:space="preserve"> </w:t>
            </w:r>
            <w:r>
              <w:rPr>
                <w:color w:val="231F20"/>
                <w:sz w:val="20"/>
              </w:rPr>
              <w:t>proper</w:t>
            </w:r>
            <w:r>
              <w:rPr>
                <w:color w:val="231F20"/>
                <w:spacing w:val="-7"/>
                <w:sz w:val="20"/>
              </w:rPr>
              <w:t xml:space="preserve"> </w:t>
            </w:r>
            <w:r>
              <w:rPr>
                <w:color w:val="231F20"/>
                <w:sz w:val="20"/>
              </w:rPr>
              <w:t>shipping</w:t>
            </w:r>
            <w:r>
              <w:rPr>
                <w:color w:val="231F20"/>
                <w:spacing w:val="-6"/>
                <w:sz w:val="20"/>
              </w:rPr>
              <w:t xml:space="preserve"> </w:t>
            </w:r>
            <w:r>
              <w:rPr>
                <w:color w:val="231F20"/>
                <w:sz w:val="20"/>
              </w:rPr>
              <w:t>name</w:t>
            </w:r>
            <w:r>
              <w:rPr>
                <w:color w:val="231F20"/>
                <w:spacing w:val="-48"/>
                <w:sz w:val="20"/>
              </w:rPr>
              <w:t xml:space="preserve"> </w:t>
            </w:r>
            <w:r>
              <w:rPr>
                <w:color w:val="231F20"/>
                <w:sz w:val="20"/>
              </w:rPr>
              <w:t>“BIOLOGICAL SUBSTANCE, CATEGORY B” in letters at least 6 mm high shall be marked on the outer</w:t>
            </w:r>
            <w:r>
              <w:rPr>
                <w:color w:val="231F20"/>
                <w:spacing w:val="1"/>
                <w:sz w:val="20"/>
              </w:rPr>
              <w:t xml:space="preserve"> </w:t>
            </w:r>
            <w:r>
              <w:rPr>
                <w:color w:val="231F20"/>
                <w:sz w:val="20"/>
              </w:rPr>
              <w:t>packaging</w:t>
            </w:r>
            <w:r>
              <w:rPr>
                <w:color w:val="231F20"/>
                <w:spacing w:val="-1"/>
                <w:sz w:val="20"/>
              </w:rPr>
              <w:t xml:space="preserve"> </w:t>
            </w:r>
            <w:r>
              <w:rPr>
                <w:color w:val="231F20"/>
                <w:sz w:val="20"/>
              </w:rPr>
              <w:t>adjacent to the</w:t>
            </w:r>
            <w:r>
              <w:rPr>
                <w:color w:val="231F20"/>
                <w:spacing w:val="1"/>
                <w:sz w:val="20"/>
              </w:rPr>
              <w:t xml:space="preserve"> </w:t>
            </w:r>
            <w:r>
              <w:rPr>
                <w:color w:val="231F20"/>
                <w:sz w:val="20"/>
              </w:rPr>
              <w:t>diamond-shaped</w:t>
            </w:r>
            <w:r>
              <w:rPr>
                <w:color w:val="231F20"/>
                <w:spacing w:val="1"/>
                <w:sz w:val="20"/>
              </w:rPr>
              <w:t xml:space="preserve"> </w:t>
            </w:r>
            <w:r>
              <w:rPr>
                <w:color w:val="231F20"/>
                <w:sz w:val="20"/>
              </w:rPr>
              <w:t>mark.</w:t>
            </w:r>
          </w:p>
          <w:p w14:paraId="49A5E716" w14:textId="77777777" w:rsidR="00B9671A" w:rsidRDefault="00B9671A" w:rsidP="00B848C7">
            <w:pPr>
              <w:pStyle w:val="TableParagraph"/>
              <w:rPr>
                <w:b/>
                <w:i/>
                <w:sz w:val="26"/>
              </w:rPr>
            </w:pPr>
          </w:p>
          <w:p w14:paraId="73130A36" w14:textId="37C2EA1C" w:rsidR="00B9671A" w:rsidRDefault="007E396C" w:rsidP="008A5DCD">
            <w:pPr>
              <w:pStyle w:val="TableParagraph"/>
              <w:jc w:val="center"/>
              <w:rPr>
                <w:sz w:val="20"/>
              </w:rPr>
            </w:pPr>
            <w:r w:rsidRPr="00E35622">
              <w:rPr>
                <w:noProof/>
                <w:lang w:val="en-GB" w:eastAsia="en-GB"/>
              </w:rPr>
              <w:drawing>
                <wp:inline distT="0" distB="0" distL="0" distR="0" wp14:anchorId="5D0A1D63" wp14:editId="593D3E07">
                  <wp:extent cx="1568450" cy="1568450"/>
                  <wp:effectExtent l="0" t="0" r="0" b="0"/>
                  <wp:docPr id="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2187" cy="1582187"/>
                          </a:xfrm>
                          <a:prstGeom prst="rect">
                            <a:avLst/>
                          </a:prstGeom>
                          <a:noFill/>
                          <a:ln>
                            <a:noFill/>
                          </a:ln>
                        </pic:spPr>
                      </pic:pic>
                    </a:graphicData>
                  </a:graphic>
                </wp:inline>
              </w:drawing>
            </w:r>
          </w:p>
          <w:p w14:paraId="398B0087" w14:textId="77777777" w:rsidR="008A5DCD" w:rsidRDefault="008A5DCD" w:rsidP="008A5DCD">
            <w:pPr>
              <w:pStyle w:val="TableParagraph"/>
              <w:jc w:val="center"/>
              <w:rPr>
                <w:sz w:val="20"/>
              </w:rPr>
            </w:pPr>
          </w:p>
          <w:p w14:paraId="3C7BB39A" w14:textId="77777777" w:rsidR="00B9671A" w:rsidRDefault="00B9671A" w:rsidP="00B9671A">
            <w:pPr>
              <w:pStyle w:val="TableParagraph"/>
              <w:numPr>
                <w:ilvl w:val="0"/>
                <w:numId w:val="11"/>
              </w:numPr>
              <w:tabs>
                <w:tab w:val="left" w:pos="625"/>
              </w:tabs>
              <w:spacing w:before="51"/>
              <w:ind w:left="843" w:hanging="426"/>
              <w:jc w:val="both"/>
              <w:rPr>
                <w:sz w:val="20"/>
              </w:rPr>
            </w:pPr>
            <w:r>
              <w:rPr>
                <w:color w:val="231F20"/>
                <w:sz w:val="20"/>
              </w:rPr>
              <w:t>At</w:t>
            </w:r>
            <w:r>
              <w:rPr>
                <w:color w:val="231F20"/>
                <w:spacing w:val="-3"/>
                <w:sz w:val="20"/>
              </w:rPr>
              <w:t xml:space="preserve"> </w:t>
            </w:r>
            <w:r>
              <w:rPr>
                <w:color w:val="231F20"/>
                <w:sz w:val="20"/>
              </w:rPr>
              <w:t>least</w:t>
            </w:r>
            <w:r>
              <w:rPr>
                <w:color w:val="231F20"/>
                <w:spacing w:val="-2"/>
                <w:sz w:val="20"/>
              </w:rPr>
              <w:t xml:space="preserve"> </w:t>
            </w:r>
            <w:r>
              <w:rPr>
                <w:color w:val="231F20"/>
                <w:sz w:val="20"/>
              </w:rPr>
              <w:t>one</w:t>
            </w:r>
            <w:r>
              <w:rPr>
                <w:color w:val="231F20"/>
                <w:spacing w:val="-2"/>
                <w:sz w:val="20"/>
              </w:rPr>
              <w:t xml:space="preserve"> </w:t>
            </w:r>
            <w:r>
              <w:rPr>
                <w:color w:val="231F20"/>
                <w:sz w:val="20"/>
              </w:rPr>
              <w:t>surface</w:t>
            </w:r>
            <w:r>
              <w:rPr>
                <w:color w:val="231F20"/>
                <w:spacing w:val="-2"/>
                <w:sz w:val="20"/>
              </w:rPr>
              <w:t xml:space="preserve"> </w:t>
            </w:r>
            <w:r>
              <w:rPr>
                <w:color w:val="231F20"/>
                <w:sz w:val="20"/>
              </w:rPr>
              <w:t>of</w:t>
            </w:r>
            <w:r>
              <w:rPr>
                <w:color w:val="231F20"/>
                <w:spacing w:val="-2"/>
                <w:sz w:val="20"/>
              </w:rPr>
              <w:t xml:space="preserve"> </w:t>
            </w:r>
            <w:r>
              <w:rPr>
                <w:color w:val="231F20"/>
                <w:sz w:val="20"/>
              </w:rPr>
              <w:t>the</w:t>
            </w:r>
            <w:r>
              <w:rPr>
                <w:color w:val="231F20"/>
                <w:spacing w:val="-2"/>
                <w:sz w:val="20"/>
              </w:rPr>
              <w:t xml:space="preserve"> </w:t>
            </w:r>
            <w:r>
              <w:rPr>
                <w:color w:val="231F20"/>
                <w:sz w:val="20"/>
              </w:rPr>
              <w:t>outer</w:t>
            </w:r>
            <w:r>
              <w:rPr>
                <w:color w:val="231F20"/>
                <w:spacing w:val="-2"/>
                <w:sz w:val="20"/>
              </w:rPr>
              <w:t xml:space="preserve"> </w:t>
            </w:r>
            <w:r>
              <w:rPr>
                <w:color w:val="231F20"/>
                <w:sz w:val="20"/>
              </w:rPr>
              <w:t>packaging</w:t>
            </w:r>
            <w:r>
              <w:rPr>
                <w:color w:val="231F20"/>
                <w:spacing w:val="-1"/>
                <w:sz w:val="20"/>
              </w:rPr>
              <w:t xml:space="preserve"> </w:t>
            </w:r>
            <w:r>
              <w:rPr>
                <w:color w:val="231F20"/>
                <w:sz w:val="20"/>
              </w:rPr>
              <w:t>shall</w:t>
            </w:r>
            <w:r>
              <w:rPr>
                <w:color w:val="231F20"/>
                <w:spacing w:val="-3"/>
                <w:sz w:val="20"/>
              </w:rPr>
              <w:t xml:space="preserve"> </w:t>
            </w:r>
            <w:r>
              <w:rPr>
                <w:color w:val="231F20"/>
                <w:sz w:val="20"/>
              </w:rPr>
              <w:t>have</w:t>
            </w:r>
            <w:r>
              <w:rPr>
                <w:color w:val="231F20"/>
                <w:spacing w:val="-1"/>
                <w:sz w:val="20"/>
              </w:rPr>
              <w:t xml:space="preserve"> </w:t>
            </w:r>
            <w:r>
              <w:rPr>
                <w:color w:val="231F20"/>
                <w:sz w:val="20"/>
              </w:rPr>
              <w:t>a</w:t>
            </w:r>
            <w:r>
              <w:rPr>
                <w:color w:val="231F20"/>
                <w:spacing w:val="-1"/>
                <w:sz w:val="20"/>
              </w:rPr>
              <w:t xml:space="preserve"> </w:t>
            </w:r>
            <w:r>
              <w:rPr>
                <w:color w:val="231F20"/>
                <w:sz w:val="20"/>
              </w:rPr>
              <w:t>minimum</w:t>
            </w:r>
            <w:r>
              <w:rPr>
                <w:color w:val="231F20"/>
                <w:spacing w:val="-1"/>
                <w:sz w:val="20"/>
              </w:rPr>
              <w:t xml:space="preserve"> </w:t>
            </w:r>
            <w:r>
              <w:rPr>
                <w:color w:val="231F20"/>
                <w:sz w:val="20"/>
              </w:rPr>
              <w:t>dimension</w:t>
            </w:r>
            <w:r>
              <w:rPr>
                <w:color w:val="231F20"/>
                <w:spacing w:val="-1"/>
                <w:sz w:val="20"/>
              </w:rPr>
              <w:t xml:space="preserve"> </w:t>
            </w:r>
            <w:r>
              <w:rPr>
                <w:color w:val="231F20"/>
                <w:sz w:val="20"/>
              </w:rPr>
              <w:t>of</w:t>
            </w:r>
            <w:r>
              <w:rPr>
                <w:color w:val="231F20"/>
                <w:spacing w:val="-4"/>
                <w:sz w:val="20"/>
              </w:rPr>
              <w:t xml:space="preserve"> </w:t>
            </w:r>
            <w:r>
              <w:rPr>
                <w:color w:val="231F20"/>
                <w:sz w:val="20"/>
              </w:rPr>
              <w:t>100</w:t>
            </w:r>
            <w:r>
              <w:rPr>
                <w:color w:val="231F20"/>
                <w:spacing w:val="8"/>
                <w:sz w:val="20"/>
              </w:rPr>
              <w:t xml:space="preserve"> </w:t>
            </w:r>
            <w:r>
              <w:rPr>
                <w:color w:val="231F20"/>
                <w:sz w:val="20"/>
              </w:rPr>
              <w:t>mm</w:t>
            </w:r>
            <w:r>
              <w:rPr>
                <w:color w:val="231F20"/>
                <w:spacing w:val="-3"/>
                <w:sz w:val="20"/>
              </w:rPr>
              <w:t xml:space="preserve"> </w:t>
            </w:r>
            <w:r>
              <w:rPr>
                <w:rFonts w:ascii="Symbol" w:hAnsi="Symbol"/>
                <w:color w:val="231F20"/>
                <w:sz w:val="20"/>
              </w:rPr>
              <w:t></w:t>
            </w:r>
            <w:r>
              <w:rPr>
                <w:color w:val="231F20"/>
                <w:spacing w:val="-6"/>
                <w:sz w:val="20"/>
              </w:rPr>
              <w:t xml:space="preserve"> </w:t>
            </w:r>
            <w:r>
              <w:rPr>
                <w:color w:val="231F20"/>
                <w:sz w:val="20"/>
              </w:rPr>
              <w:t>100</w:t>
            </w:r>
            <w:r>
              <w:rPr>
                <w:color w:val="231F20"/>
                <w:spacing w:val="-1"/>
                <w:sz w:val="20"/>
              </w:rPr>
              <w:t xml:space="preserve"> </w:t>
            </w:r>
            <w:r>
              <w:rPr>
                <w:color w:val="231F20"/>
                <w:sz w:val="20"/>
              </w:rPr>
              <w:t>mm.</w:t>
            </w:r>
          </w:p>
          <w:p w14:paraId="70A5E9B1" w14:textId="68437BCF" w:rsidR="00B9671A" w:rsidRPr="00B9671A" w:rsidRDefault="00B9671A" w:rsidP="00B9671A">
            <w:pPr>
              <w:pStyle w:val="TableParagraph"/>
              <w:numPr>
                <w:ilvl w:val="0"/>
                <w:numId w:val="11"/>
              </w:numPr>
              <w:tabs>
                <w:tab w:val="left" w:pos="625"/>
              </w:tabs>
              <w:spacing w:before="51"/>
              <w:ind w:left="843" w:hanging="426"/>
              <w:jc w:val="both"/>
              <w:rPr>
                <w:color w:val="231F20"/>
                <w:sz w:val="20"/>
                <w:u w:val="single"/>
              </w:rPr>
            </w:pPr>
            <w:r w:rsidRPr="00B9671A">
              <w:rPr>
                <w:color w:val="231F20"/>
                <w:sz w:val="20"/>
                <w:u w:val="single"/>
              </w:rPr>
              <w:t>The completed package shall be capable of withstanding a 1.2 m drop in any orientation without leakage from the primary receptacle(s)</w:t>
            </w:r>
            <w:r w:rsidR="003F1287">
              <w:rPr>
                <w:color w:val="231F20"/>
                <w:sz w:val="20"/>
                <w:u w:val="single"/>
              </w:rPr>
              <w:t>,</w:t>
            </w:r>
            <w:r w:rsidRPr="00B9671A">
              <w:rPr>
                <w:color w:val="231F20"/>
                <w:sz w:val="20"/>
                <w:u w:val="single"/>
              </w:rPr>
              <w:t xml:space="preserve"> which shall remain protected by absorbent material, when required, in the secondary packaging. </w:t>
            </w:r>
          </w:p>
          <w:p w14:paraId="280327D5" w14:textId="60918D90" w:rsidR="00B9671A" w:rsidRPr="00720F4B" w:rsidRDefault="00B9671A" w:rsidP="00B848C7">
            <w:pPr>
              <w:pStyle w:val="TableParagraph"/>
              <w:tabs>
                <w:tab w:val="left" w:pos="625"/>
              </w:tabs>
              <w:spacing w:before="51"/>
              <w:ind w:left="624"/>
              <w:jc w:val="both"/>
              <w:rPr>
                <w:sz w:val="20"/>
                <w:u w:val="single"/>
              </w:rPr>
            </w:pPr>
            <w:r w:rsidRPr="00720F4B">
              <w:rPr>
                <w:sz w:val="20"/>
                <w:u w:val="single"/>
              </w:rPr>
              <w:t>Note</w:t>
            </w:r>
            <w:r>
              <w:rPr>
                <w:sz w:val="20"/>
                <w:u w:val="single"/>
              </w:rPr>
              <w:t xml:space="preserve">: </w:t>
            </w:r>
            <w:r w:rsidRPr="00B9671A">
              <w:rPr>
                <w:i/>
                <w:iCs/>
                <w:sz w:val="20"/>
                <w:u w:val="single"/>
              </w:rPr>
              <w:t>Capability does not require physical testing, but may be demonstrated by means such as but not limited to direct testing, engineering analysis, testing with an item of similar mass and size, modeling, experience or other equivalent means</w:t>
            </w:r>
            <w:r>
              <w:rPr>
                <w:i/>
                <w:iCs/>
                <w:sz w:val="20"/>
                <w:u w:val="single"/>
              </w:rPr>
              <w:t>.</w:t>
            </w:r>
          </w:p>
          <w:p w14:paraId="1C1BEC06" w14:textId="77777777" w:rsidR="00B9671A" w:rsidRDefault="00B9671A" w:rsidP="00B9671A">
            <w:pPr>
              <w:pStyle w:val="TableParagraph"/>
              <w:numPr>
                <w:ilvl w:val="0"/>
                <w:numId w:val="12"/>
              </w:numPr>
              <w:tabs>
                <w:tab w:val="left" w:pos="691"/>
              </w:tabs>
              <w:spacing w:before="26"/>
              <w:ind w:hanging="1325"/>
              <w:jc w:val="both"/>
              <w:rPr>
                <w:sz w:val="20"/>
              </w:rPr>
            </w:pPr>
            <w:r>
              <w:rPr>
                <w:color w:val="231F20"/>
                <w:sz w:val="20"/>
              </w:rPr>
              <w:t>For</w:t>
            </w:r>
            <w:r>
              <w:rPr>
                <w:color w:val="231F20"/>
                <w:spacing w:val="-2"/>
                <w:sz w:val="20"/>
              </w:rPr>
              <w:t xml:space="preserve"> </w:t>
            </w:r>
            <w:r>
              <w:rPr>
                <w:color w:val="231F20"/>
                <w:sz w:val="20"/>
              </w:rPr>
              <w:t>liquid</w:t>
            </w:r>
            <w:r>
              <w:rPr>
                <w:color w:val="231F20"/>
                <w:spacing w:val="-2"/>
                <w:sz w:val="20"/>
              </w:rPr>
              <w:t xml:space="preserve"> </w:t>
            </w:r>
            <w:r>
              <w:rPr>
                <w:color w:val="231F20"/>
                <w:sz w:val="20"/>
              </w:rPr>
              <w:t>substances</w:t>
            </w:r>
          </w:p>
          <w:p w14:paraId="763A6D41" w14:textId="77777777" w:rsidR="00B9671A" w:rsidRDefault="00B9671A" w:rsidP="00B9671A">
            <w:pPr>
              <w:pStyle w:val="TableParagraph"/>
              <w:numPr>
                <w:ilvl w:val="1"/>
                <w:numId w:val="12"/>
              </w:numPr>
              <w:tabs>
                <w:tab w:val="left" w:pos="1260"/>
              </w:tabs>
              <w:spacing w:before="56"/>
              <w:ind w:left="1259" w:hanging="572"/>
              <w:jc w:val="both"/>
              <w:rPr>
                <w:sz w:val="20"/>
              </w:rPr>
            </w:pPr>
            <w:r>
              <w:rPr>
                <w:color w:val="231F20"/>
                <w:sz w:val="20"/>
              </w:rPr>
              <w:t>The</w:t>
            </w:r>
            <w:r>
              <w:rPr>
                <w:color w:val="231F20"/>
                <w:spacing w:val="-4"/>
                <w:sz w:val="20"/>
              </w:rPr>
              <w:t xml:space="preserve"> </w:t>
            </w:r>
            <w:r>
              <w:rPr>
                <w:color w:val="231F20"/>
                <w:sz w:val="20"/>
              </w:rPr>
              <w:t>primary</w:t>
            </w:r>
            <w:r>
              <w:rPr>
                <w:color w:val="231F20"/>
                <w:spacing w:val="-4"/>
                <w:sz w:val="20"/>
              </w:rPr>
              <w:t xml:space="preserve"> </w:t>
            </w:r>
            <w:r>
              <w:rPr>
                <w:color w:val="231F20"/>
                <w:sz w:val="20"/>
              </w:rPr>
              <w:t>receptacle(s)</w:t>
            </w:r>
            <w:r>
              <w:rPr>
                <w:color w:val="231F20"/>
                <w:spacing w:val="-3"/>
                <w:sz w:val="20"/>
              </w:rPr>
              <w:t xml:space="preserve"> </w:t>
            </w:r>
            <w:r>
              <w:rPr>
                <w:color w:val="231F20"/>
                <w:sz w:val="20"/>
              </w:rPr>
              <w:t>shall</w:t>
            </w:r>
            <w:r>
              <w:rPr>
                <w:color w:val="231F20"/>
                <w:spacing w:val="-4"/>
                <w:sz w:val="20"/>
              </w:rPr>
              <w:t xml:space="preserve"> </w:t>
            </w:r>
            <w:r>
              <w:rPr>
                <w:color w:val="231F20"/>
                <w:sz w:val="20"/>
              </w:rPr>
              <w:t>be</w:t>
            </w:r>
            <w:r>
              <w:rPr>
                <w:color w:val="231F20"/>
                <w:spacing w:val="-3"/>
                <w:sz w:val="20"/>
              </w:rPr>
              <w:t xml:space="preserve"> </w:t>
            </w:r>
            <w:r>
              <w:rPr>
                <w:color w:val="231F20"/>
                <w:sz w:val="20"/>
              </w:rPr>
              <w:t>leakproof;</w:t>
            </w:r>
          </w:p>
          <w:p w14:paraId="3A7E56F7" w14:textId="77777777" w:rsidR="00B9671A" w:rsidRDefault="00B9671A" w:rsidP="00B9671A">
            <w:pPr>
              <w:pStyle w:val="TableParagraph"/>
              <w:numPr>
                <w:ilvl w:val="1"/>
                <w:numId w:val="12"/>
              </w:numPr>
              <w:tabs>
                <w:tab w:val="left" w:pos="1257"/>
              </w:tabs>
              <w:spacing w:before="56"/>
              <w:ind w:left="1256" w:hanging="569"/>
              <w:jc w:val="both"/>
              <w:rPr>
                <w:sz w:val="20"/>
              </w:rPr>
            </w:pPr>
            <w:r>
              <w:rPr>
                <w:color w:val="231F20"/>
                <w:sz w:val="20"/>
              </w:rPr>
              <w:t>The</w:t>
            </w:r>
            <w:r>
              <w:rPr>
                <w:color w:val="231F20"/>
                <w:spacing w:val="-4"/>
                <w:sz w:val="20"/>
              </w:rPr>
              <w:t xml:space="preserve"> </w:t>
            </w:r>
            <w:r>
              <w:rPr>
                <w:color w:val="231F20"/>
                <w:sz w:val="20"/>
              </w:rPr>
              <w:t>secondary</w:t>
            </w:r>
            <w:r>
              <w:rPr>
                <w:color w:val="231F20"/>
                <w:spacing w:val="-3"/>
                <w:sz w:val="20"/>
              </w:rPr>
              <w:t xml:space="preserve"> </w:t>
            </w:r>
            <w:r>
              <w:rPr>
                <w:color w:val="231F20"/>
                <w:sz w:val="20"/>
              </w:rPr>
              <w:t>packaging</w:t>
            </w:r>
            <w:r>
              <w:rPr>
                <w:color w:val="231F20"/>
                <w:spacing w:val="-4"/>
                <w:sz w:val="20"/>
              </w:rPr>
              <w:t xml:space="preserve"> </w:t>
            </w:r>
            <w:r>
              <w:rPr>
                <w:color w:val="231F20"/>
                <w:sz w:val="20"/>
              </w:rPr>
              <w:t>shall</w:t>
            </w:r>
            <w:r>
              <w:rPr>
                <w:color w:val="231F20"/>
                <w:spacing w:val="-4"/>
                <w:sz w:val="20"/>
              </w:rPr>
              <w:t xml:space="preserve"> </w:t>
            </w:r>
            <w:r>
              <w:rPr>
                <w:color w:val="231F20"/>
                <w:sz w:val="20"/>
              </w:rPr>
              <w:t>be</w:t>
            </w:r>
            <w:r>
              <w:rPr>
                <w:color w:val="231F20"/>
                <w:spacing w:val="-3"/>
                <w:sz w:val="20"/>
              </w:rPr>
              <w:t xml:space="preserve"> </w:t>
            </w:r>
            <w:r>
              <w:rPr>
                <w:color w:val="231F20"/>
                <w:sz w:val="20"/>
              </w:rPr>
              <w:t>leakproof;</w:t>
            </w:r>
          </w:p>
          <w:p w14:paraId="1BDB216B" w14:textId="77777777" w:rsidR="00B9671A" w:rsidRDefault="00B9671A" w:rsidP="00B9671A">
            <w:pPr>
              <w:pStyle w:val="TableParagraph"/>
              <w:numPr>
                <w:ilvl w:val="1"/>
                <w:numId w:val="12"/>
              </w:numPr>
              <w:tabs>
                <w:tab w:val="left" w:pos="1258"/>
              </w:tabs>
              <w:spacing w:before="57" w:line="235" w:lineRule="auto"/>
              <w:ind w:left="1257" w:right="76" w:hanging="569"/>
              <w:jc w:val="both"/>
              <w:rPr>
                <w:sz w:val="20"/>
              </w:rPr>
            </w:pPr>
            <w:r>
              <w:rPr>
                <w:color w:val="231F20"/>
                <w:sz w:val="20"/>
              </w:rPr>
              <w:t>If multiple fragile primary receptacles are placed in a single secondary packaging, they shall be either</w:t>
            </w:r>
            <w:r>
              <w:rPr>
                <w:color w:val="231F20"/>
                <w:spacing w:val="1"/>
                <w:sz w:val="20"/>
              </w:rPr>
              <w:t xml:space="preserve"> </w:t>
            </w:r>
            <w:r>
              <w:rPr>
                <w:color w:val="231F20"/>
                <w:sz w:val="20"/>
              </w:rPr>
              <w:t>individually</w:t>
            </w:r>
            <w:r>
              <w:rPr>
                <w:color w:val="231F20"/>
                <w:spacing w:val="-1"/>
                <w:sz w:val="20"/>
              </w:rPr>
              <w:t xml:space="preserve"> </w:t>
            </w:r>
            <w:r>
              <w:rPr>
                <w:color w:val="231F20"/>
                <w:sz w:val="20"/>
              </w:rPr>
              <w:t>wrapped or</w:t>
            </w:r>
            <w:r>
              <w:rPr>
                <w:color w:val="231F20"/>
                <w:spacing w:val="-1"/>
                <w:sz w:val="20"/>
              </w:rPr>
              <w:t xml:space="preserve"> </w:t>
            </w:r>
            <w:r>
              <w:rPr>
                <w:color w:val="231F20"/>
                <w:sz w:val="20"/>
              </w:rPr>
              <w:t>separated</w:t>
            </w:r>
            <w:r>
              <w:rPr>
                <w:color w:val="231F20"/>
                <w:spacing w:val="2"/>
                <w:sz w:val="20"/>
              </w:rPr>
              <w:t xml:space="preserve"> </w:t>
            </w:r>
            <w:r>
              <w:rPr>
                <w:color w:val="231F20"/>
                <w:sz w:val="20"/>
              </w:rPr>
              <w:t>to</w:t>
            </w:r>
            <w:r>
              <w:rPr>
                <w:color w:val="231F20"/>
                <w:spacing w:val="-1"/>
                <w:sz w:val="20"/>
              </w:rPr>
              <w:t xml:space="preserve"> </w:t>
            </w:r>
            <w:r>
              <w:rPr>
                <w:color w:val="231F20"/>
                <w:sz w:val="20"/>
              </w:rPr>
              <w:t>prevent contact</w:t>
            </w:r>
            <w:r>
              <w:rPr>
                <w:color w:val="231F20"/>
                <w:spacing w:val="-1"/>
                <w:sz w:val="20"/>
              </w:rPr>
              <w:t xml:space="preserve"> </w:t>
            </w:r>
            <w:r>
              <w:rPr>
                <w:color w:val="231F20"/>
                <w:sz w:val="20"/>
              </w:rPr>
              <w:t>between</w:t>
            </w:r>
            <w:r>
              <w:rPr>
                <w:color w:val="231F20"/>
                <w:spacing w:val="1"/>
                <w:sz w:val="20"/>
              </w:rPr>
              <w:t xml:space="preserve"> </w:t>
            </w:r>
            <w:r>
              <w:rPr>
                <w:color w:val="231F20"/>
                <w:sz w:val="20"/>
              </w:rPr>
              <w:t>them;</w:t>
            </w:r>
          </w:p>
          <w:p w14:paraId="409DB7A0" w14:textId="77777777" w:rsidR="00B9671A" w:rsidRDefault="00B9671A" w:rsidP="00B9671A">
            <w:pPr>
              <w:pStyle w:val="TableParagraph"/>
              <w:numPr>
                <w:ilvl w:val="1"/>
                <w:numId w:val="12"/>
              </w:numPr>
              <w:tabs>
                <w:tab w:val="left" w:pos="1257"/>
              </w:tabs>
              <w:spacing w:before="60" w:line="235" w:lineRule="auto"/>
              <w:ind w:left="1257" w:right="76" w:hanging="569"/>
              <w:jc w:val="both"/>
              <w:rPr>
                <w:sz w:val="20"/>
              </w:rPr>
            </w:pPr>
            <w:r>
              <w:rPr>
                <w:color w:val="231F20"/>
                <w:sz w:val="20"/>
              </w:rPr>
              <w:lastRenderedPageBreak/>
              <w:t>Absorbent</w:t>
            </w:r>
            <w:r>
              <w:rPr>
                <w:color w:val="231F20"/>
                <w:spacing w:val="-10"/>
                <w:sz w:val="20"/>
              </w:rPr>
              <w:t xml:space="preserve"> </w:t>
            </w:r>
            <w:r>
              <w:rPr>
                <w:color w:val="231F20"/>
                <w:sz w:val="20"/>
              </w:rPr>
              <w:t>material</w:t>
            </w:r>
            <w:r>
              <w:rPr>
                <w:color w:val="231F20"/>
                <w:spacing w:val="-9"/>
                <w:sz w:val="20"/>
              </w:rPr>
              <w:t xml:space="preserve"> </w:t>
            </w:r>
            <w:r>
              <w:rPr>
                <w:color w:val="231F20"/>
                <w:sz w:val="20"/>
              </w:rPr>
              <w:t>shall</w:t>
            </w:r>
            <w:r>
              <w:rPr>
                <w:color w:val="231F20"/>
                <w:spacing w:val="-10"/>
                <w:sz w:val="20"/>
              </w:rPr>
              <w:t xml:space="preserve"> </w:t>
            </w:r>
            <w:r>
              <w:rPr>
                <w:color w:val="231F20"/>
                <w:sz w:val="20"/>
              </w:rPr>
              <w:t>be</w:t>
            </w:r>
            <w:r>
              <w:rPr>
                <w:color w:val="231F20"/>
                <w:spacing w:val="-9"/>
                <w:sz w:val="20"/>
              </w:rPr>
              <w:t xml:space="preserve"> </w:t>
            </w:r>
            <w:r>
              <w:rPr>
                <w:color w:val="231F20"/>
                <w:sz w:val="20"/>
              </w:rPr>
              <w:t>placed</w:t>
            </w:r>
            <w:r>
              <w:rPr>
                <w:color w:val="231F20"/>
                <w:spacing w:val="-10"/>
                <w:sz w:val="20"/>
              </w:rPr>
              <w:t xml:space="preserve"> </w:t>
            </w:r>
            <w:r>
              <w:rPr>
                <w:color w:val="231F20"/>
                <w:sz w:val="20"/>
              </w:rPr>
              <w:t>between</w:t>
            </w:r>
            <w:r>
              <w:rPr>
                <w:color w:val="231F20"/>
                <w:spacing w:val="-9"/>
                <w:sz w:val="20"/>
              </w:rPr>
              <w:t xml:space="preserve"> </w:t>
            </w:r>
            <w:r>
              <w:rPr>
                <w:color w:val="231F20"/>
                <w:sz w:val="20"/>
              </w:rPr>
              <w:t>the</w:t>
            </w:r>
            <w:r>
              <w:rPr>
                <w:color w:val="231F20"/>
                <w:spacing w:val="-9"/>
                <w:sz w:val="20"/>
              </w:rPr>
              <w:t xml:space="preserve"> </w:t>
            </w:r>
            <w:r>
              <w:rPr>
                <w:color w:val="231F20"/>
                <w:sz w:val="20"/>
              </w:rPr>
              <w:t>primary</w:t>
            </w:r>
            <w:r>
              <w:rPr>
                <w:color w:val="231F20"/>
                <w:spacing w:val="-9"/>
                <w:sz w:val="20"/>
              </w:rPr>
              <w:t xml:space="preserve"> </w:t>
            </w:r>
            <w:r>
              <w:rPr>
                <w:color w:val="231F20"/>
                <w:sz w:val="20"/>
              </w:rPr>
              <w:t>receptacle(s)</w:t>
            </w:r>
            <w:r>
              <w:rPr>
                <w:color w:val="231F20"/>
                <w:spacing w:val="-10"/>
                <w:sz w:val="20"/>
              </w:rPr>
              <w:t xml:space="preserve"> </w:t>
            </w:r>
            <w:r>
              <w:rPr>
                <w:color w:val="231F20"/>
                <w:sz w:val="20"/>
              </w:rPr>
              <w:t>and</w:t>
            </w:r>
            <w:r>
              <w:rPr>
                <w:color w:val="231F20"/>
                <w:spacing w:val="-9"/>
                <w:sz w:val="20"/>
              </w:rPr>
              <w:t xml:space="preserve"> </w:t>
            </w:r>
            <w:r>
              <w:rPr>
                <w:color w:val="231F20"/>
                <w:sz w:val="20"/>
              </w:rPr>
              <w:t>the</w:t>
            </w:r>
            <w:r>
              <w:rPr>
                <w:color w:val="231F20"/>
                <w:spacing w:val="-8"/>
                <w:sz w:val="20"/>
              </w:rPr>
              <w:t xml:space="preserve"> </w:t>
            </w:r>
            <w:r>
              <w:rPr>
                <w:color w:val="231F20"/>
                <w:sz w:val="20"/>
              </w:rPr>
              <w:t>secondary</w:t>
            </w:r>
            <w:r>
              <w:rPr>
                <w:color w:val="231F20"/>
                <w:spacing w:val="-9"/>
                <w:sz w:val="20"/>
              </w:rPr>
              <w:t xml:space="preserve"> </w:t>
            </w:r>
            <w:r>
              <w:rPr>
                <w:color w:val="231F20"/>
                <w:sz w:val="20"/>
              </w:rPr>
              <w:t>packaging.</w:t>
            </w:r>
            <w:r>
              <w:rPr>
                <w:color w:val="231F20"/>
                <w:spacing w:val="32"/>
                <w:sz w:val="20"/>
              </w:rPr>
              <w:t xml:space="preserve"> </w:t>
            </w:r>
            <w:r>
              <w:rPr>
                <w:color w:val="231F20"/>
                <w:sz w:val="20"/>
              </w:rPr>
              <w:t>The</w:t>
            </w:r>
            <w:r>
              <w:rPr>
                <w:color w:val="231F20"/>
                <w:spacing w:val="-47"/>
                <w:sz w:val="20"/>
              </w:rPr>
              <w:t xml:space="preserve"> </w:t>
            </w:r>
            <w:r>
              <w:rPr>
                <w:color w:val="231F20"/>
                <w:spacing w:val="-1"/>
                <w:sz w:val="20"/>
              </w:rPr>
              <w:t>absorbent</w:t>
            </w:r>
            <w:r>
              <w:rPr>
                <w:color w:val="231F20"/>
                <w:spacing w:val="-12"/>
                <w:sz w:val="20"/>
              </w:rPr>
              <w:t xml:space="preserve"> </w:t>
            </w:r>
            <w:r>
              <w:rPr>
                <w:color w:val="231F20"/>
                <w:spacing w:val="-1"/>
                <w:sz w:val="20"/>
              </w:rPr>
              <w:t>material</w:t>
            </w:r>
            <w:r>
              <w:rPr>
                <w:color w:val="231F20"/>
                <w:spacing w:val="-9"/>
                <w:sz w:val="20"/>
              </w:rPr>
              <w:t xml:space="preserve"> </w:t>
            </w:r>
            <w:r>
              <w:rPr>
                <w:color w:val="231F20"/>
                <w:spacing w:val="-1"/>
                <w:sz w:val="20"/>
              </w:rPr>
              <w:t>shall</w:t>
            </w:r>
            <w:r>
              <w:rPr>
                <w:color w:val="231F20"/>
                <w:spacing w:val="-8"/>
                <w:sz w:val="20"/>
              </w:rPr>
              <w:t xml:space="preserve"> </w:t>
            </w:r>
            <w:r>
              <w:rPr>
                <w:color w:val="231F20"/>
                <w:spacing w:val="-1"/>
                <w:sz w:val="20"/>
              </w:rPr>
              <w:t>be</w:t>
            </w:r>
            <w:r>
              <w:rPr>
                <w:color w:val="231F20"/>
                <w:spacing w:val="-12"/>
                <w:sz w:val="20"/>
              </w:rPr>
              <w:t xml:space="preserve"> </w:t>
            </w:r>
            <w:r>
              <w:rPr>
                <w:color w:val="231F20"/>
                <w:spacing w:val="-1"/>
                <w:sz w:val="20"/>
              </w:rPr>
              <w:t>in</w:t>
            </w:r>
            <w:r>
              <w:rPr>
                <w:color w:val="231F20"/>
                <w:spacing w:val="-8"/>
                <w:sz w:val="20"/>
              </w:rPr>
              <w:t xml:space="preserve"> </w:t>
            </w:r>
            <w:r>
              <w:rPr>
                <w:color w:val="231F20"/>
                <w:spacing w:val="-1"/>
                <w:sz w:val="20"/>
              </w:rPr>
              <w:t>quantity</w:t>
            </w:r>
            <w:r>
              <w:rPr>
                <w:color w:val="231F20"/>
                <w:spacing w:val="-9"/>
                <w:sz w:val="20"/>
              </w:rPr>
              <w:t xml:space="preserve"> </w:t>
            </w:r>
            <w:r>
              <w:rPr>
                <w:color w:val="231F20"/>
                <w:sz w:val="20"/>
              </w:rPr>
              <w:t>sufficient</w:t>
            </w:r>
            <w:r>
              <w:rPr>
                <w:color w:val="231F20"/>
                <w:spacing w:val="-12"/>
                <w:sz w:val="20"/>
              </w:rPr>
              <w:t xml:space="preserve"> </w:t>
            </w:r>
            <w:r>
              <w:rPr>
                <w:color w:val="231F20"/>
                <w:sz w:val="20"/>
              </w:rPr>
              <w:t>to</w:t>
            </w:r>
            <w:r>
              <w:rPr>
                <w:color w:val="231F20"/>
                <w:spacing w:val="-10"/>
                <w:sz w:val="20"/>
              </w:rPr>
              <w:t xml:space="preserve"> </w:t>
            </w:r>
            <w:r>
              <w:rPr>
                <w:color w:val="231F20"/>
                <w:sz w:val="20"/>
              </w:rPr>
              <w:t>absorb</w:t>
            </w:r>
            <w:r>
              <w:rPr>
                <w:color w:val="231F20"/>
                <w:spacing w:val="-11"/>
                <w:sz w:val="20"/>
              </w:rPr>
              <w:t xml:space="preserve"> </w:t>
            </w:r>
            <w:r>
              <w:rPr>
                <w:color w:val="231F20"/>
                <w:sz w:val="20"/>
              </w:rPr>
              <w:t>the</w:t>
            </w:r>
            <w:r>
              <w:rPr>
                <w:color w:val="231F20"/>
                <w:spacing w:val="-13"/>
                <w:sz w:val="20"/>
              </w:rPr>
              <w:t xml:space="preserve"> </w:t>
            </w:r>
            <w:r>
              <w:rPr>
                <w:color w:val="231F20"/>
                <w:sz w:val="20"/>
              </w:rPr>
              <w:t>entire</w:t>
            </w:r>
            <w:r>
              <w:rPr>
                <w:color w:val="231F20"/>
                <w:spacing w:val="-10"/>
                <w:sz w:val="20"/>
              </w:rPr>
              <w:t xml:space="preserve"> </w:t>
            </w:r>
            <w:r>
              <w:rPr>
                <w:color w:val="231F20"/>
                <w:sz w:val="20"/>
              </w:rPr>
              <w:t>contents</w:t>
            </w:r>
            <w:r>
              <w:rPr>
                <w:color w:val="231F20"/>
                <w:spacing w:val="-8"/>
                <w:sz w:val="20"/>
              </w:rPr>
              <w:t xml:space="preserve"> </w:t>
            </w:r>
            <w:r>
              <w:rPr>
                <w:color w:val="231F20"/>
                <w:sz w:val="20"/>
              </w:rPr>
              <w:t>of</w:t>
            </w:r>
            <w:r>
              <w:rPr>
                <w:color w:val="231F20"/>
                <w:spacing w:val="-11"/>
                <w:sz w:val="20"/>
              </w:rPr>
              <w:t xml:space="preserve"> </w:t>
            </w:r>
            <w:r>
              <w:rPr>
                <w:color w:val="231F20"/>
                <w:sz w:val="20"/>
              </w:rPr>
              <w:t>the</w:t>
            </w:r>
            <w:r>
              <w:rPr>
                <w:color w:val="231F20"/>
                <w:spacing w:val="-11"/>
                <w:sz w:val="20"/>
              </w:rPr>
              <w:t xml:space="preserve"> </w:t>
            </w:r>
            <w:r>
              <w:rPr>
                <w:color w:val="231F20"/>
                <w:sz w:val="20"/>
              </w:rPr>
              <w:t>primary</w:t>
            </w:r>
            <w:r>
              <w:rPr>
                <w:color w:val="231F20"/>
                <w:spacing w:val="-8"/>
                <w:sz w:val="20"/>
              </w:rPr>
              <w:t xml:space="preserve"> </w:t>
            </w:r>
            <w:r>
              <w:rPr>
                <w:color w:val="231F20"/>
                <w:sz w:val="20"/>
              </w:rPr>
              <w:t>receptacle(s)</w:t>
            </w:r>
            <w:r>
              <w:rPr>
                <w:color w:val="231F20"/>
                <w:spacing w:val="-48"/>
                <w:sz w:val="20"/>
              </w:rPr>
              <w:t xml:space="preserve"> </w:t>
            </w:r>
            <w:r>
              <w:rPr>
                <w:color w:val="231F20"/>
                <w:sz w:val="20"/>
              </w:rPr>
              <w:t xml:space="preserve">so that any release of the liquid substance will not compromise the integrity of the cushioning </w:t>
            </w:r>
            <w:r w:rsidRPr="00B91EF7">
              <w:rPr>
                <w:color w:val="231F20"/>
                <w:sz w:val="20"/>
              </w:rPr>
              <w:t>material</w:t>
            </w:r>
            <w:r w:rsidRPr="00B91EF7">
              <w:rPr>
                <w:color w:val="231F20"/>
                <w:spacing w:val="1"/>
                <w:sz w:val="20"/>
              </w:rPr>
              <w:t xml:space="preserve"> </w:t>
            </w:r>
            <w:r w:rsidRPr="00B91EF7">
              <w:rPr>
                <w:color w:val="231F20"/>
                <w:sz w:val="20"/>
              </w:rPr>
              <w:t>or</w:t>
            </w:r>
            <w:r>
              <w:rPr>
                <w:color w:val="231F20"/>
                <w:spacing w:val="-1"/>
                <w:sz w:val="20"/>
              </w:rPr>
              <w:t xml:space="preserve"> </w:t>
            </w:r>
            <w:r>
              <w:rPr>
                <w:color w:val="231F20"/>
                <w:sz w:val="20"/>
              </w:rPr>
              <w:t>of</w:t>
            </w:r>
            <w:r>
              <w:rPr>
                <w:color w:val="231F20"/>
                <w:spacing w:val="1"/>
                <w:sz w:val="20"/>
              </w:rPr>
              <w:t xml:space="preserve"> </w:t>
            </w:r>
            <w:r>
              <w:rPr>
                <w:color w:val="231F20"/>
                <w:sz w:val="20"/>
              </w:rPr>
              <w:t xml:space="preserve">the outer packaging; </w:t>
            </w:r>
            <w:r w:rsidRPr="00720F4B">
              <w:rPr>
                <w:color w:val="231F20"/>
                <w:sz w:val="20"/>
                <w:u w:val="single"/>
              </w:rPr>
              <w:t>and</w:t>
            </w:r>
          </w:p>
          <w:p w14:paraId="7D9A3FFA" w14:textId="77777777" w:rsidR="00B9671A" w:rsidRPr="00720F4B" w:rsidRDefault="00B9671A" w:rsidP="00B9671A">
            <w:pPr>
              <w:pStyle w:val="TableParagraph"/>
              <w:numPr>
                <w:ilvl w:val="1"/>
                <w:numId w:val="12"/>
              </w:numPr>
              <w:shd w:val="clear" w:color="auto" w:fill="FFFFFF"/>
              <w:tabs>
                <w:tab w:val="left" w:pos="1259"/>
              </w:tabs>
              <w:spacing w:before="59" w:line="235" w:lineRule="auto"/>
              <w:ind w:left="1268" w:right="75" w:hanging="567"/>
              <w:jc w:val="both"/>
              <w:rPr>
                <w:sz w:val="20"/>
                <w:szCs w:val="20"/>
              </w:rPr>
            </w:pPr>
            <w:r w:rsidRPr="00720F4B">
              <w:rPr>
                <w:sz w:val="20"/>
              </w:rPr>
              <w:t>The primary receptacle or the secondary packaging shall be capable of withstanding, without leakage,</w:t>
            </w:r>
            <w:r w:rsidRPr="00720F4B">
              <w:rPr>
                <w:spacing w:val="1"/>
                <w:sz w:val="20"/>
              </w:rPr>
              <w:t xml:space="preserve"> </w:t>
            </w:r>
            <w:r w:rsidRPr="00720F4B">
              <w:rPr>
                <w:sz w:val="20"/>
              </w:rPr>
              <w:t>an internal pressure</w:t>
            </w:r>
            <w:r w:rsidRPr="00720F4B">
              <w:rPr>
                <w:spacing w:val="1"/>
                <w:sz w:val="20"/>
              </w:rPr>
              <w:t xml:space="preserve"> </w:t>
            </w:r>
            <w:r w:rsidRPr="00720F4B">
              <w:rPr>
                <w:sz w:val="20"/>
              </w:rPr>
              <w:t>of</w:t>
            </w:r>
            <w:r w:rsidRPr="00720F4B">
              <w:rPr>
                <w:spacing w:val="-2"/>
                <w:sz w:val="20"/>
              </w:rPr>
              <w:t xml:space="preserve"> </w:t>
            </w:r>
            <w:r w:rsidRPr="00720F4B">
              <w:rPr>
                <w:sz w:val="20"/>
              </w:rPr>
              <w:t>95</w:t>
            </w:r>
            <w:r w:rsidRPr="00720F4B">
              <w:rPr>
                <w:spacing w:val="2"/>
                <w:sz w:val="20"/>
              </w:rPr>
              <w:t xml:space="preserve"> </w:t>
            </w:r>
            <w:r w:rsidRPr="00720F4B">
              <w:rPr>
                <w:sz w:val="20"/>
              </w:rPr>
              <w:t>kPa (0.95</w:t>
            </w:r>
            <w:r w:rsidRPr="00720F4B">
              <w:rPr>
                <w:spacing w:val="-1"/>
                <w:sz w:val="20"/>
              </w:rPr>
              <w:t xml:space="preserve"> </w:t>
            </w:r>
            <w:r w:rsidRPr="00720F4B">
              <w:rPr>
                <w:sz w:val="20"/>
              </w:rPr>
              <w:t xml:space="preserve">bar. </w:t>
            </w:r>
          </w:p>
          <w:p w14:paraId="5253E9AF" w14:textId="77777777" w:rsidR="00B9671A" w:rsidRPr="00720F4B" w:rsidRDefault="00B9671A" w:rsidP="00B9671A">
            <w:pPr>
              <w:pStyle w:val="TableParagraph"/>
              <w:tabs>
                <w:tab w:val="left" w:pos="625"/>
              </w:tabs>
              <w:spacing w:before="51"/>
              <w:ind w:left="624"/>
              <w:jc w:val="both"/>
              <w:rPr>
                <w:sz w:val="20"/>
                <w:u w:val="single"/>
              </w:rPr>
            </w:pPr>
            <w:r w:rsidRPr="00720F4B">
              <w:rPr>
                <w:sz w:val="20"/>
                <w:u w:val="single"/>
              </w:rPr>
              <w:t>Note</w:t>
            </w:r>
            <w:r>
              <w:rPr>
                <w:sz w:val="20"/>
                <w:u w:val="single"/>
              </w:rPr>
              <w:t xml:space="preserve">: </w:t>
            </w:r>
            <w:r w:rsidRPr="00B9671A">
              <w:rPr>
                <w:i/>
                <w:iCs/>
                <w:sz w:val="20"/>
                <w:u w:val="single"/>
              </w:rPr>
              <w:t>Capability does not require physical testing, but may be demonstrated by means such as but not limited to direct testing, engineering analysis, testing with an item of similar mass and size, modeling, experience or other equivalent means</w:t>
            </w:r>
            <w:r>
              <w:rPr>
                <w:i/>
                <w:iCs/>
                <w:sz w:val="20"/>
                <w:u w:val="single"/>
              </w:rPr>
              <w:t>.</w:t>
            </w:r>
          </w:p>
          <w:p w14:paraId="768F2DD2" w14:textId="77777777" w:rsidR="00B9671A" w:rsidRPr="00E512D8" w:rsidRDefault="00B9671A" w:rsidP="00B848C7">
            <w:pPr>
              <w:pStyle w:val="TableParagraph"/>
              <w:shd w:val="clear" w:color="auto" w:fill="FFFFFF"/>
              <w:tabs>
                <w:tab w:val="left" w:pos="1259"/>
              </w:tabs>
              <w:spacing w:before="59" w:line="235" w:lineRule="auto"/>
              <w:ind w:left="1268" w:right="75"/>
              <w:jc w:val="both"/>
              <w:rPr>
                <w:color w:val="FF0000"/>
                <w:sz w:val="20"/>
                <w:szCs w:val="20"/>
              </w:rPr>
            </w:pPr>
          </w:p>
          <w:p w14:paraId="6DDDD59C" w14:textId="77777777" w:rsidR="00B9671A" w:rsidRDefault="00B9671A" w:rsidP="00B9671A">
            <w:pPr>
              <w:pStyle w:val="TableParagraph"/>
              <w:numPr>
                <w:ilvl w:val="0"/>
                <w:numId w:val="12"/>
              </w:numPr>
              <w:tabs>
                <w:tab w:val="left" w:pos="691"/>
              </w:tabs>
              <w:spacing w:before="59"/>
              <w:ind w:left="690"/>
              <w:jc w:val="both"/>
              <w:rPr>
                <w:sz w:val="20"/>
              </w:rPr>
            </w:pPr>
            <w:r>
              <w:rPr>
                <w:color w:val="231F20"/>
                <w:sz w:val="20"/>
              </w:rPr>
              <w:t>For</w:t>
            </w:r>
            <w:r>
              <w:rPr>
                <w:color w:val="231F20"/>
                <w:spacing w:val="-2"/>
                <w:sz w:val="20"/>
              </w:rPr>
              <w:t xml:space="preserve"> </w:t>
            </w:r>
            <w:r>
              <w:rPr>
                <w:color w:val="231F20"/>
                <w:sz w:val="20"/>
              </w:rPr>
              <w:t>solid</w:t>
            </w:r>
            <w:r>
              <w:rPr>
                <w:color w:val="231F20"/>
                <w:spacing w:val="-2"/>
                <w:sz w:val="20"/>
              </w:rPr>
              <w:t xml:space="preserve"> </w:t>
            </w:r>
            <w:r>
              <w:rPr>
                <w:color w:val="231F20"/>
                <w:sz w:val="20"/>
              </w:rPr>
              <w:t>substances</w:t>
            </w:r>
          </w:p>
          <w:p w14:paraId="7258B97B" w14:textId="77777777" w:rsidR="00B9671A" w:rsidRDefault="00B9671A" w:rsidP="00B9671A">
            <w:pPr>
              <w:pStyle w:val="TableParagraph"/>
              <w:numPr>
                <w:ilvl w:val="1"/>
                <w:numId w:val="12"/>
              </w:numPr>
              <w:tabs>
                <w:tab w:val="left" w:pos="1259"/>
              </w:tabs>
              <w:spacing w:before="53"/>
              <w:ind w:left="1258"/>
              <w:jc w:val="both"/>
              <w:rPr>
                <w:sz w:val="20"/>
              </w:rPr>
            </w:pPr>
            <w:r>
              <w:rPr>
                <w:color w:val="231F20"/>
                <w:sz w:val="20"/>
              </w:rPr>
              <w:t>The</w:t>
            </w:r>
            <w:r>
              <w:rPr>
                <w:color w:val="231F20"/>
                <w:spacing w:val="-4"/>
                <w:sz w:val="20"/>
              </w:rPr>
              <w:t xml:space="preserve"> </w:t>
            </w:r>
            <w:r>
              <w:rPr>
                <w:color w:val="231F20"/>
                <w:sz w:val="20"/>
              </w:rPr>
              <w:t>primary</w:t>
            </w:r>
            <w:r>
              <w:rPr>
                <w:color w:val="231F20"/>
                <w:spacing w:val="-4"/>
                <w:sz w:val="20"/>
              </w:rPr>
              <w:t xml:space="preserve"> </w:t>
            </w:r>
            <w:r>
              <w:rPr>
                <w:color w:val="231F20"/>
                <w:sz w:val="20"/>
              </w:rPr>
              <w:t>receptacle(s)</w:t>
            </w:r>
            <w:r>
              <w:rPr>
                <w:color w:val="231F20"/>
                <w:spacing w:val="-4"/>
                <w:sz w:val="20"/>
              </w:rPr>
              <w:t xml:space="preserve"> </w:t>
            </w:r>
            <w:r>
              <w:rPr>
                <w:color w:val="231F20"/>
                <w:sz w:val="20"/>
              </w:rPr>
              <w:t>shall</w:t>
            </w:r>
            <w:r>
              <w:rPr>
                <w:color w:val="231F20"/>
                <w:spacing w:val="-3"/>
                <w:sz w:val="20"/>
              </w:rPr>
              <w:t xml:space="preserve"> </w:t>
            </w:r>
            <w:r>
              <w:rPr>
                <w:color w:val="231F20"/>
                <w:sz w:val="20"/>
              </w:rPr>
              <w:t>be</w:t>
            </w:r>
            <w:r>
              <w:rPr>
                <w:color w:val="231F20"/>
                <w:spacing w:val="-4"/>
                <w:sz w:val="20"/>
              </w:rPr>
              <w:t xml:space="preserve"> </w:t>
            </w:r>
            <w:r>
              <w:rPr>
                <w:color w:val="231F20"/>
                <w:sz w:val="20"/>
              </w:rPr>
              <w:t>sift-proof;</w:t>
            </w:r>
          </w:p>
          <w:p w14:paraId="50D08E9B" w14:textId="77777777" w:rsidR="00B9671A" w:rsidRDefault="00B9671A" w:rsidP="00B9671A">
            <w:pPr>
              <w:pStyle w:val="TableParagraph"/>
              <w:numPr>
                <w:ilvl w:val="1"/>
                <w:numId w:val="12"/>
              </w:numPr>
              <w:tabs>
                <w:tab w:val="left" w:pos="1258"/>
              </w:tabs>
              <w:spacing w:before="56"/>
              <w:ind w:left="1257" w:hanging="570"/>
              <w:jc w:val="both"/>
              <w:rPr>
                <w:sz w:val="20"/>
              </w:rPr>
            </w:pPr>
            <w:r>
              <w:rPr>
                <w:color w:val="231F20"/>
                <w:sz w:val="20"/>
              </w:rPr>
              <w:t>The</w:t>
            </w:r>
            <w:r>
              <w:rPr>
                <w:color w:val="231F20"/>
                <w:spacing w:val="-3"/>
                <w:sz w:val="20"/>
              </w:rPr>
              <w:t xml:space="preserve"> </w:t>
            </w:r>
            <w:r>
              <w:rPr>
                <w:color w:val="231F20"/>
                <w:sz w:val="20"/>
              </w:rPr>
              <w:t>secondary</w:t>
            </w:r>
            <w:r>
              <w:rPr>
                <w:color w:val="231F20"/>
                <w:spacing w:val="-3"/>
                <w:sz w:val="20"/>
              </w:rPr>
              <w:t xml:space="preserve"> </w:t>
            </w:r>
            <w:r>
              <w:rPr>
                <w:color w:val="231F20"/>
                <w:sz w:val="20"/>
              </w:rPr>
              <w:t>packaging</w:t>
            </w:r>
            <w:r>
              <w:rPr>
                <w:color w:val="231F20"/>
                <w:spacing w:val="-5"/>
                <w:sz w:val="20"/>
              </w:rPr>
              <w:t xml:space="preserve"> </w:t>
            </w:r>
            <w:r>
              <w:rPr>
                <w:color w:val="231F20"/>
                <w:sz w:val="20"/>
              </w:rPr>
              <w:t>shall</w:t>
            </w:r>
            <w:r>
              <w:rPr>
                <w:color w:val="231F20"/>
                <w:spacing w:val="-3"/>
                <w:sz w:val="20"/>
              </w:rPr>
              <w:t xml:space="preserve"> </w:t>
            </w:r>
            <w:r>
              <w:rPr>
                <w:color w:val="231F20"/>
                <w:sz w:val="20"/>
              </w:rPr>
              <w:t>be</w:t>
            </w:r>
            <w:r>
              <w:rPr>
                <w:color w:val="231F20"/>
                <w:spacing w:val="-3"/>
                <w:sz w:val="20"/>
              </w:rPr>
              <w:t xml:space="preserve"> </w:t>
            </w:r>
            <w:r>
              <w:rPr>
                <w:color w:val="231F20"/>
                <w:sz w:val="20"/>
              </w:rPr>
              <w:t>sift-proof;</w:t>
            </w:r>
          </w:p>
          <w:p w14:paraId="6BFBB1F0" w14:textId="77777777" w:rsidR="00B9671A" w:rsidRDefault="00B9671A" w:rsidP="00B9671A">
            <w:pPr>
              <w:pStyle w:val="TableParagraph"/>
              <w:numPr>
                <w:ilvl w:val="1"/>
                <w:numId w:val="12"/>
              </w:numPr>
              <w:tabs>
                <w:tab w:val="left" w:pos="1258"/>
              </w:tabs>
              <w:spacing w:before="67"/>
              <w:ind w:left="1257" w:right="81" w:hanging="569"/>
              <w:jc w:val="both"/>
              <w:rPr>
                <w:sz w:val="20"/>
              </w:rPr>
            </w:pPr>
            <w:r>
              <w:rPr>
                <w:color w:val="231F20"/>
                <w:sz w:val="20"/>
              </w:rPr>
              <w:t>If multiple fragile primary receptacles are placed in a single secondary packaging, they shall be either</w:t>
            </w:r>
            <w:r>
              <w:rPr>
                <w:color w:val="231F20"/>
                <w:spacing w:val="1"/>
                <w:sz w:val="20"/>
              </w:rPr>
              <w:t xml:space="preserve"> </w:t>
            </w:r>
            <w:r>
              <w:rPr>
                <w:color w:val="231F20"/>
                <w:sz w:val="20"/>
              </w:rPr>
              <w:t>individually</w:t>
            </w:r>
            <w:r>
              <w:rPr>
                <w:color w:val="231F20"/>
                <w:spacing w:val="-1"/>
                <w:sz w:val="20"/>
              </w:rPr>
              <w:t xml:space="preserve"> </w:t>
            </w:r>
            <w:r>
              <w:rPr>
                <w:color w:val="231F20"/>
                <w:sz w:val="20"/>
              </w:rPr>
              <w:t>wrapped or</w:t>
            </w:r>
            <w:r>
              <w:rPr>
                <w:color w:val="231F20"/>
                <w:spacing w:val="-1"/>
                <w:sz w:val="20"/>
              </w:rPr>
              <w:t xml:space="preserve"> </w:t>
            </w:r>
            <w:r>
              <w:rPr>
                <w:color w:val="231F20"/>
                <w:sz w:val="20"/>
              </w:rPr>
              <w:t>separated</w:t>
            </w:r>
            <w:r>
              <w:rPr>
                <w:color w:val="231F20"/>
                <w:spacing w:val="2"/>
                <w:sz w:val="20"/>
              </w:rPr>
              <w:t xml:space="preserve"> </w:t>
            </w:r>
            <w:r>
              <w:rPr>
                <w:color w:val="231F20"/>
                <w:sz w:val="20"/>
              </w:rPr>
              <w:t>to</w:t>
            </w:r>
            <w:r>
              <w:rPr>
                <w:color w:val="231F20"/>
                <w:spacing w:val="-1"/>
                <w:sz w:val="20"/>
              </w:rPr>
              <w:t xml:space="preserve"> </w:t>
            </w:r>
            <w:r>
              <w:rPr>
                <w:color w:val="231F20"/>
                <w:sz w:val="20"/>
              </w:rPr>
              <w:t>prevent contact</w:t>
            </w:r>
            <w:r>
              <w:rPr>
                <w:color w:val="231F20"/>
                <w:spacing w:val="-1"/>
                <w:sz w:val="20"/>
              </w:rPr>
              <w:t xml:space="preserve"> </w:t>
            </w:r>
            <w:r>
              <w:rPr>
                <w:color w:val="231F20"/>
                <w:sz w:val="20"/>
              </w:rPr>
              <w:t>between</w:t>
            </w:r>
            <w:r>
              <w:rPr>
                <w:color w:val="231F20"/>
                <w:spacing w:val="1"/>
                <w:sz w:val="20"/>
              </w:rPr>
              <w:t xml:space="preserve"> </w:t>
            </w:r>
            <w:r>
              <w:rPr>
                <w:color w:val="231F20"/>
                <w:sz w:val="20"/>
              </w:rPr>
              <w:t xml:space="preserve">them; </w:t>
            </w:r>
            <w:r w:rsidRPr="00720F4B">
              <w:rPr>
                <w:color w:val="231F20"/>
                <w:sz w:val="20"/>
                <w:u w:val="single"/>
              </w:rPr>
              <w:t>and</w:t>
            </w:r>
          </w:p>
          <w:p w14:paraId="31E63807" w14:textId="77777777" w:rsidR="00B9671A" w:rsidRDefault="00B9671A" w:rsidP="00B9671A">
            <w:pPr>
              <w:pStyle w:val="TableParagraph"/>
              <w:numPr>
                <w:ilvl w:val="1"/>
                <w:numId w:val="12"/>
              </w:numPr>
              <w:tabs>
                <w:tab w:val="left" w:pos="1257"/>
              </w:tabs>
              <w:spacing w:before="56" w:line="235" w:lineRule="auto"/>
              <w:ind w:left="1257" w:right="76" w:hanging="569"/>
              <w:jc w:val="both"/>
              <w:rPr>
                <w:sz w:val="20"/>
              </w:rPr>
            </w:pPr>
            <w:r>
              <w:rPr>
                <w:color w:val="231F20"/>
                <w:sz w:val="20"/>
              </w:rPr>
              <w:t>If</w:t>
            </w:r>
            <w:r>
              <w:rPr>
                <w:color w:val="231F20"/>
                <w:spacing w:val="-5"/>
                <w:sz w:val="20"/>
              </w:rPr>
              <w:t xml:space="preserve"> </w:t>
            </w:r>
            <w:r>
              <w:rPr>
                <w:color w:val="231F20"/>
                <w:sz w:val="20"/>
              </w:rPr>
              <w:t>there</w:t>
            </w:r>
            <w:r>
              <w:rPr>
                <w:color w:val="231F20"/>
                <w:spacing w:val="-4"/>
                <w:sz w:val="20"/>
              </w:rPr>
              <w:t xml:space="preserve"> </w:t>
            </w:r>
            <w:r>
              <w:rPr>
                <w:color w:val="231F20"/>
                <w:sz w:val="20"/>
              </w:rPr>
              <w:t>is</w:t>
            </w:r>
            <w:r>
              <w:rPr>
                <w:color w:val="231F20"/>
                <w:spacing w:val="-5"/>
                <w:sz w:val="20"/>
              </w:rPr>
              <w:t xml:space="preserve"> </w:t>
            </w:r>
            <w:r>
              <w:rPr>
                <w:color w:val="231F20"/>
                <w:sz w:val="20"/>
              </w:rPr>
              <w:t>any</w:t>
            </w:r>
            <w:r>
              <w:rPr>
                <w:color w:val="231F20"/>
                <w:spacing w:val="-4"/>
                <w:sz w:val="20"/>
              </w:rPr>
              <w:t xml:space="preserve"> </w:t>
            </w:r>
            <w:r>
              <w:rPr>
                <w:color w:val="231F20"/>
                <w:sz w:val="20"/>
              </w:rPr>
              <w:t>doubt</w:t>
            </w:r>
            <w:r>
              <w:rPr>
                <w:color w:val="231F20"/>
                <w:spacing w:val="-5"/>
                <w:sz w:val="20"/>
              </w:rPr>
              <w:t xml:space="preserve"> </w:t>
            </w:r>
            <w:r>
              <w:rPr>
                <w:color w:val="231F20"/>
                <w:sz w:val="20"/>
              </w:rPr>
              <w:t>as</w:t>
            </w:r>
            <w:r>
              <w:rPr>
                <w:color w:val="231F20"/>
                <w:spacing w:val="-4"/>
                <w:sz w:val="20"/>
              </w:rPr>
              <w:t xml:space="preserve"> </w:t>
            </w:r>
            <w:r>
              <w:rPr>
                <w:color w:val="231F20"/>
                <w:sz w:val="20"/>
              </w:rPr>
              <w:t>to</w:t>
            </w:r>
            <w:r>
              <w:rPr>
                <w:color w:val="231F20"/>
                <w:spacing w:val="-5"/>
                <w:sz w:val="20"/>
              </w:rPr>
              <w:t xml:space="preserve"> </w:t>
            </w:r>
            <w:r>
              <w:rPr>
                <w:color w:val="231F20"/>
                <w:sz w:val="20"/>
              </w:rPr>
              <w:t>whether</w:t>
            </w:r>
            <w:r>
              <w:rPr>
                <w:color w:val="231F20"/>
                <w:spacing w:val="-4"/>
                <w:sz w:val="20"/>
              </w:rPr>
              <w:t xml:space="preserve"> </w:t>
            </w:r>
            <w:r>
              <w:rPr>
                <w:color w:val="231F20"/>
                <w:sz w:val="20"/>
              </w:rPr>
              <w:t>or</w:t>
            </w:r>
            <w:r>
              <w:rPr>
                <w:color w:val="231F20"/>
                <w:spacing w:val="-6"/>
                <w:sz w:val="20"/>
              </w:rPr>
              <w:t xml:space="preserve"> </w:t>
            </w:r>
            <w:r>
              <w:rPr>
                <w:color w:val="231F20"/>
                <w:sz w:val="20"/>
              </w:rPr>
              <w:t>not</w:t>
            </w:r>
            <w:r>
              <w:rPr>
                <w:color w:val="231F20"/>
                <w:spacing w:val="-5"/>
                <w:sz w:val="20"/>
              </w:rPr>
              <w:t xml:space="preserve"> </w:t>
            </w:r>
            <w:r>
              <w:rPr>
                <w:color w:val="231F20"/>
                <w:sz w:val="20"/>
              </w:rPr>
              <w:t>residual</w:t>
            </w:r>
            <w:r>
              <w:rPr>
                <w:color w:val="231F20"/>
                <w:spacing w:val="-4"/>
                <w:sz w:val="20"/>
              </w:rPr>
              <w:t xml:space="preserve"> </w:t>
            </w:r>
            <w:r>
              <w:rPr>
                <w:color w:val="231F20"/>
                <w:sz w:val="20"/>
              </w:rPr>
              <w:t>liquid</w:t>
            </w:r>
            <w:r>
              <w:rPr>
                <w:color w:val="231F20"/>
                <w:spacing w:val="-5"/>
                <w:sz w:val="20"/>
              </w:rPr>
              <w:t xml:space="preserve"> </w:t>
            </w:r>
            <w:r>
              <w:rPr>
                <w:color w:val="231F20"/>
                <w:sz w:val="20"/>
              </w:rPr>
              <w:t>may</w:t>
            </w:r>
            <w:r>
              <w:rPr>
                <w:color w:val="231F20"/>
                <w:spacing w:val="-6"/>
                <w:sz w:val="20"/>
              </w:rPr>
              <w:t xml:space="preserve"> </w:t>
            </w:r>
            <w:r>
              <w:rPr>
                <w:color w:val="231F20"/>
                <w:sz w:val="20"/>
              </w:rPr>
              <w:t>be</w:t>
            </w:r>
            <w:r>
              <w:rPr>
                <w:color w:val="231F20"/>
                <w:spacing w:val="-4"/>
                <w:sz w:val="20"/>
              </w:rPr>
              <w:t xml:space="preserve"> </w:t>
            </w:r>
            <w:r>
              <w:rPr>
                <w:color w:val="231F20"/>
                <w:sz w:val="20"/>
              </w:rPr>
              <w:t>present</w:t>
            </w:r>
            <w:r>
              <w:rPr>
                <w:color w:val="231F20"/>
                <w:spacing w:val="-5"/>
                <w:sz w:val="20"/>
              </w:rPr>
              <w:t xml:space="preserve"> </w:t>
            </w:r>
            <w:r>
              <w:rPr>
                <w:color w:val="231F20"/>
                <w:sz w:val="20"/>
              </w:rPr>
              <w:t>in</w:t>
            </w:r>
            <w:r>
              <w:rPr>
                <w:color w:val="231F20"/>
                <w:spacing w:val="-4"/>
                <w:sz w:val="20"/>
              </w:rPr>
              <w:t xml:space="preserve"> </w:t>
            </w:r>
            <w:r>
              <w:rPr>
                <w:color w:val="231F20"/>
                <w:sz w:val="20"/>
              </w:rPr>
              <w:t>the</w:t>
            </w:r>
            <w:r>
              <w:rPr>
                <w:color w:val="231F20"/>
                <w:spacing w:val="2"/>
                <w:sz w:val="20"/>
              </w:rPr>
              <w:t xml:space="preserve"> </w:t>
            </w:r>
            <w:r>
              <w:rPr>
                <w:color w:val="231F20"/>
                <w:sz w:val="20"/>
              </w:rPr>
              <w:t>primary</w:t>
            </w:r>
            <w:r>
              <w:rPr>
                <w:color w:val="231F20"/>
                <w:spacing w:val="-5"/>
                <w:sz w:val="20"/>
              </w:rPr>
              <w:t xml:space="preserve"> </w:t>
            </w:r>
            <w:r>
              <w:rPr>
                <w:color w:val="231F20"/>
                <w:sz w:val="20"/>
              </w:rPr>
              <w:t>receptacle</w:t>
            </w:r>
            <w:r>
              <w:rPr>
                <w:color w:val="231F20"/>
                <w:spacing w:val="-4"/>
                <w:sz w:val="20"/>
              </w:rPr>
              <w:t xml:space="preserve"> </w:t>
            </w:r>
            <w:r>
              <w:rPr>
                <w:color w:val="231F20"/>
                <w:sz w:val="20"/>
              </w:rPr>
              <w:t>during</w:t>
            </w:r>
            <w:r>
              <w:rPr>
                <w:color w:val="231F20"/>
                <w:spacing w:val="-48"/>
                <w:sz w:val="20"/>
              </w:rPr>
              <w:t xml:space="preserve"> </w:t>
            </w:r>
            <w:r>
              <w:rPr>
                <w:color w:val="231F20"/>
                <w:sz w:val="20"/>
              </w:rPr>
              <w:t>transport</w:t>
            </w:r>
            <w:r>
              <w:rPr>
                <w:color w:val="231F20"/>
                <w:spacing w:val="-2"/>
                <w:sz w:val="20"/>
              </w:rPr>
              <w:t xml:space="preserve"> </w:t>
            </w:r>
            <w:r>
              <w:rPr>
                <w:color w:val="231F20"/>
                <w:sz w:val="20"/>
              </w:rPr>
              <w:t>then</w:t>
            </w:r>
            <w:r>
              <w:rPr>
                <w:color w:val="231F20"/>
                <w:spacing w:val="-1"/>
                <w:sz w:val="20"/>
              </w:rPr>
              <w:t xml:space="preserve"> </w:t>
            </w:r>
            <w:r>
              <w:rPr>
                <w:color w:val="231F20"/>
                <w:sz w:val="20"/>
              </w:rPr>
              <w:t>a</w:t>
            </w:r>
            <w:r>
              <w:rPr>
                <w:color w:val="231F20"/>
                <w:spacing w:val="-1"/>
                <w:sz w:val="20"/>
              </w:rPr>
              <w:t xml:space="preserve"> </w:t>
            </w:r>
            <w:r>
              <w:rPr>
                <w:color w:val="231F20"/>
                <w:sz w:val="20"/>
              </w:rPr>
              <w:t>packaging</w:t>
            </w:r>
            <w:r>
              <w:rPr>
                <w:color w:val="231F20"/>
                <w:spacing w:val="-1"/>
                <w:sz w:val="20"/>
              </w:rPr>
              <w:t xml:space="preserve"> </w:t>
            </w:r>
            <w:r>
              <w:rPr>
                <w:color w:val="231F20"/>
                <w:sz w:val="20"/>
              </w:rPr>
              <w:t>suitable</w:t>
            </w:r>
            <w:r>
              <w:rPr>
                <w:color w:val="231F20"/>
                <w:spacing w:val="-1"/>
                <w:sz w:val="20"/>
              </w:rPr>
              <w:t xml:space="preserve"> </w:t>
            </w:r>
            <w:r>
              <w:rPr>
                <w:color w:val="231F20"/>
                <w:sz w:val="20"/>
              </w:rPr>
              <w:t>for</w:t>
            </w:r>
            <w:r>
              <w:rPr>
                <w:color w:val="231F20"/>
                <w:spacing w:val="-1"/>
                <w:sz w:val="20"/>
              </w:rPr>
              <w:t xml:space="preserve"> </w:t>
            </w:r>
            <w:r>
              <w:rPr>
                <w:color w:val="231F20"/>
                <w:sz w:val="20"/>
              </w:rPr>
              <w:t>liquids,</w:t>
            </w:r>
            <w:r>
              <w:rPr>
                <w:color w:val="231F20"/>
                <w:spacing w:val="-1"/>
                <w:sz w:val="20"/>
              </w:rPr>
              <w:t xml:space="preserve"> </w:t>
            </w:r>
            <w:r>
              <w:rPr>
                <w:color w:val="231F20"/>
                <w:sz w:val="20"/>
              </w:rPr>
              <w:t>including</w:t>
            </w:r>
            <w:r>
              <w:rPr>
                <w:color w:val="231F20"/>
                <w:spacing w:val="-1"/>
                <w:sz w:val="20"/>
              </w:rPr>
              <w:t xml:space="preserve"> </w:t>
            </w:r>
            <w:r>
              <w:rPr>
                <w:color w:val="231F20"/>
                <w:sz w:val="20"/>
              </w:rPr>
              <w:t>absorbent</w:t>
            </w:r>
            <w:r>
              <w:rPr>
                <w:color w:val="231F20"/>
                <w:spacing w:val="-1"/>
                <w:sz w:val="20"/>
              </w:rPr>
              <w:t xml:space="preserve"> </w:t>
            </w:r>
            <w:r>
              <w:rPr>
                <w:color w:val="231F20"/>
                <w:sz w:val="20"/>
              </w:rPr>
              <w:t>materials,</w:t>
            </w:r>
            <w:r>
              <w:rPr>
                <w:color w:val="231F20"/>
                <w:spacing w:val="-1"/>
                <w:sz w:val="20"/>
              </w:rPr>
              <w:t xml:space="preserve"> </w:t>
            </w:r>
            <w:r>
              <w:rPr>
                <w:color w:val="231F20"/>
                <w:sz w:val="20"/>
              </w:rPr>
              <w:t>shall</w:t>
            </w:r>
            <w:r>
              <w:rPr>
                <w:color w:val="231F20"/>
                <w:spacing w:val="-1"/>
                <w:sz w:val="20"/>
              </w:rPr>
              <w:t xml:space="preserve"> </w:t>
            </w:r>
            <w:r>
              <w:rPr>
                <w:color w:val="231F20"/>
                <w:sz w:val="20"/>
              </w:rPr>
              <w:t>be</w:t>
            </w:r>
            <w:r>
              <w:rPr>
                <w:color w:val="231F20"/>
                <w:spacing w:val="-1"/>
                <w:sz w:val="20"/>
              </w:rPr>
              <w:t xml:space="preserve"> </w:t>
            </w:r>
            <w:r>
              <w:rPr>
                <w:color w:val="231F20"/>
                <w:sz w:val="20"/>
              </w:rPr>
              <w:t>used.</w:t>
            </w:r>
          </w:p>
          <w:p w14:paraId="6800377D" w14:textId="77777777" w:rsidR="00B9671A" w:rsidRDefault="00B9671A" w:rsidP="00B9671A">
            <w:pPr>
              <w:pStyle w:val="TableParagraph"/>
              <w:numPr>
                <w:ilvl w:val="0"/>
                <w:numId w:val="12"/>
              </w:numPr>
              <w:tabs>
                <w:tab w:val="left" w:pos="691"/>
              </w:tabs>
              <w:spacing w:before="59"/>
              <w:ind w:left="690"/>
              <w:jc w:val="both"/>
              <w:rPr>
                <w:sz w:val="20"/>
              </w:rPr>
            </w:pPr>
            <w:r>
              <w:rPr>
                <w:color w:val="231F20"/>
                <w:sz w:val="20"/>
              </w:rPr>
              <w:t>Refrigerated</w:t>
            </w:r>
            <w:r>
              <w:rPr>
                <w:color w:val="231F20"/>
                <w:spacing w:val="-2"/>
                <w:sz w:val="20"/>
              </w:rPr>
              <w:t xml:space="preserve"> </w:t>
            </w:r>
            <w:r>
              <w:rPr>
                <w:color w:val="231F20"/>
                <w:sz w:val="20"/>
              </w:rPr>
              <w:t>or</w:t>
            </w:r>
            <w:r>
              <w:rPr>
                <w:color w:val="231F20"/>
                <w:spacing w:val="-4"/>
                <w:sz w:val="20"/>
              </w:rPr>
              <w:t xml:space="preserve"> </w:t>
            </w:r>
            <w:r>
              <w:rPr>
                <w:color w:val="231F20"/>
                <w:sz w:val="20"/>
              </w:rPr>
              <w:t>frozen</w:t>
            </w:r>
            <w:r>
              <w:rPr>
                <w:color w:val="231F20"/>
                <w:spacing w:val="-2"/>
                <w:sz w:val="20"/>
              </w:rPr>
              <w:t xml:space="preserve"> </w:t>
            </w:r>
            <w:r>
              <w:rPr>
                <w:color w:val="231F20"/>
                <w:sz w:val="20"/>
              </w:rPr>
              <w:t>specimens:</w:t>
            </w:r>
            <w:r>
              <w:rPr>
                <w:color w:val="231F20"/>
                <w:spacing w:val="-3"/>
                <w:sz w:val="20"/>
              </w:rPr>
              <w:t xml:space="preserve"> </w:t>
            </w:r>
            <w:r>
              <w:rPr>
                <w:color w:val="231F20"/>
                <w:sz w:val="20"/>
              </w:rPr>
              <w:t>Ice,</w:t>
            </w:r>
            <w:r>
              <w:rPr>
                <w:color w:val="231F20"/>
                <w:spacing w:val="-2"/>
                <w:sz w:val="20"/>
              </w:rPr>
              <w:t xml:space="preserve"> </w:t>
            </w:r>
            <w:r>
              <w:rPr>
                <w:color w:val="231F20"/>
                <w:sz w:val="20"/>
              </w:rPr>
              <w:t>dry</w:t>
            </w:r>
            <w:r>
              <w:rPr>
                <w:color w:val="231F20"/>
                <w:spacing w:val="-3"/>
                <w:sz w:val="20"/>
              </w:rPr>
              <w:t xml:space="preserve"> </w:t>
            </w:r>
            <w:r>
              <w:rPr>
                <w:color w:val="231F20"/>
                <w:sz w:val="20"/>
              </w:rPr>
              <w:t>ice</w:t>
            </w:r>
            <w:r>
              <w:rPr>
                <w:color w:val="231F20"/>
                <w:spacing w:val="-2"/>
                <w:sz w:val="20"/>
              </w:rPr>
              <w:t xml:space="preserve"> </w:t>
            </w:r>
            <w:r>
              <w:rPr>
                <w:color w:val="231F20"/>
                <w:sz w:val="20"/>
              </w:rPr>
              <w:t>and</w:t>
            </w:r>
            <w:r>
              <w:rPr>
                <w:color w:val="231F20"/>
                <w:spacing w:val="-3"/>
                <w:sz w:val="20"/>
              </w:rPr>
              <w:t xml:space="preserve"> </w:t>
            </w:r>
            <w:r>
              <w:rPr>
                <w:color w:val="231F20"/>
                <w:sz w:val="20"/>
              </w:rPr>
              <w:t>liquid</w:t>
            </w:r>
            <w:r>
              <w:rPr>
                <w:color w:val="231F20"/>
                <w:spacing w:val="-2"/>
                <w:sz w:val="20"/>
              </w:rPr>
              <w:t xml:space="preserve"> </w:t>
            </w:r>
            <w:r>
              <w:rPr>
                <w:color w:val="231F20"/>
                <w:sz w:val="20"/>
              </w:rPr>
              <w:t>nitrogen</w:t>
            </w:r>
          </w:p>
          <w:p w14:paraId="6B5D932B" w14:textId="77777777" w:rsidR="00B9671A" w:rsidRDefault="00B9671A" w:rsidP="00B9671A">
            <w:pPr>
              <w:pStyle w:val="TableParagraph"/>
              <w:numPr>
                <w:ilvl w:val="1"/>
                <w:numId w:val="12"/>
              </w:numPr>
              <w:tabs>
                <w:tab w:val="left" w:pos="1259"/>
              </w:tabs>
              <w:spacing w:before="55" w:line="235" w:lineRule="auto"/>
              <w:ind w:left="1257" w:right="78" w:hanging="569"/>
              <w:jc w:val="both"/>
              <w:rPr>
                <w:sz w:val="20"/>
              </w:rPr>
            </w:pPr>
            <w:r>
              <w:rPr>
                <w:color w:val="231F20"/>
                <w:sz w:val="20"/>
              </w:rPr>
              <w:t>When dry ice or liquid nitrogen is used as a coolant, the requirements of 5.5.3 shall apply. When used,</w:t>
            </w:r>
            <w:r>
              <w:rPr>
                <w:color w:val="231F20"/>
                <w:spacing w:val="1"/>
                <w:sz w:val="20"/>
              </w:rPr>
              <w:t xml:space="preserve"> </w:t>
            </w:r>
            <w:r>
              <w:rPr>
                <w:color w:val="231F20"/>
                <w:sz w:val="20"/>
              </w:rPr>
              <w:t>ice shall be placed outside the secondary packagings or in the outer packaging or an overpack. Interior</w:t>
            </w:r>
            <w:r>
              <w:rPr>
                <w:color w:val="231F20"/>
                <w:spacing w:val="1"/>
                <w:sz w:val="20"/>
              </w:rPr>
              <w:t xml:space="preserve"> </w:t>
            </w:r>
            <w:r>
              <w:rPr>
                <w:color w:val="231F20"/>
                <w:sz w:val="20"/>
              </w:rPr>
              <w:t>supports</w:t>
            </w:r>
            <w:r>
              <w:rPr>
                <w:color w:val="231F20"/>
                <w:spacing w:val="-5"/>
                <w:sz w:val="20"/>
              </w:rPr>
              <w:t xml:space="preserve"> </w:t>
            </w:r>
            <w:r>
              <w:rPr>
                <w:color w:val="231F20"/>
                <w:sz w:val="20"/>
              </w:rPr>
              <w:t>shall</w:t>
            </w:r>
            <w:r>
              <w:rPr>
                <w:color w:val="231F20"/>
                <w:spacing w:val="-4"/>
                <w:sz w:val="20"/>
              </w:rPr>
              <w:t xml:space="preserve"> </w:t>
            </w:r>
            <w:r>
              <w:rPr>
                <w:color w:val="231F20"/>
                <w:sz w:val="20"/>
              </w:rPr>
              <w:t>be</w:t>
            </w:r>
            <w:r>
              <w:rPr>
                <w:color w:val="231F20"/>
                <w:spacing w:val="-4"/>
                <w:sz w:val="20"/>
              </w:rPr>
              <w:t xml:space="preserve"> </w:t>
            </w:r>
            <w:r>
              <w:rPr>
                <w:color w:val="231F20"/>
                <w:sz w:val="20"/>
              </w:rPr>
              <w:t>provided</w:t>
            </w:r>
            <w:r>
              <w:rPr>
                <w:color w:val="231F20"/>
                <w:spacing w:val="-3"/>
                <w:sz w:val="20"/>
              </w:rPr>
              <w:t xml:space="preserve"> </w:t>
            </w:r>
            <w:r>
              <w:rPr>
                <w:color w:val="231F20"/>
                <w:sz w:val="20"/>
              </w:rPr>
              <w:t>to</w:t>
            </w:r>
            <w:r>
              <w:rPr>
                <w:color w:val="231F20"/>
                <w:spacing w:val="-4"/>
                <w:sz w:val="20"/>
              </w:rPr>
              <w:t xml:space="preserve"> </w:t>
            </w:r>
            <w:r>
              <w:rPr>
                <w:color w:val="231F20"/>
                <w:sz w:val="20"/>
              </w:rPr>
              <w:t>secure</w:t>
            </w:r>
            <w:r>
              <w:rPr>
                <w:color w:val="231F20"/>
                <w:spacing w:val="-4"/>
                <w:sz w:val="20"/>
              </w:rPr>
              <w:t xml:space="preserve"> </w:t>
            </w:r>
            <w:r>
              <w:rPr>
                <w:color w:val="231F20"/>
                <w:sz w:val="20"/>
              </w:rPr>
              <w:t>the</w:t>
            </w:r>
            <w:r>
              <w:rPr>
                <w:color w:val="231F20"/>
                <w:spacing w:val="-4"/>
                <w:sz w:val="20"/>
              </w:rPr>
              <w:t xml:space="preserve"> </w:t>
            </w:r>
            <w:r>
              <w:rPr>
                <w:color w:val="231F20"/>
                <w:sz w:val="20"/>
              </w:rPr>
              <w:t>secondary</w:t>
            </w:r>
            <w:r>
              <w:rPr>
                <w:color w:val="231F20"/>
                <w:spacing w:val="-5"/>
                <w:sz w:val="20"/>
              </w:rPr>
              <w:t xml:space="preserve"> </w:t>
            </w:r>
            <w:r>
              <w:rPr>
                <w:color w:val="231F20"/>
                <w:sz w:val="20"/>
              </w:rPr>
              <w:t>packagings</w:t>
            </w:r>
            <w:r>
              <w:rPr>
                <w:color w:val="231F20"/>
                <w:spacing w:val="-5"/>
                <w:sz w:val="20"/>
              </w:rPr>
              <w:t xml:space="preserve"> </w:t>
            </w:r>
            <w:r>
              <w:rPr>
                <w:color w:val="231F20"/>
                <w:sz w:val="20"/>
              </w:rPr>
              <w:t>in</w:t>
            </w:r>
            <w:r>
              <w:rPr>
                <w:color w:val="231F20"/>
                <w:spacing w:val="-4"/>
                <w:sz w:val="20"/>
              </w:rPr>
              <w:t xml:space="preserve"> </w:t>
            </w:r>
            <w:r>
              <w:rPr>
                <w:color w:val="231F20"/>
                <w:sz w:val="20"/>
              </w:rPr>
              <w:t>the</w:t>
            </w:r>
            <w:r>
              <w:rPr>
                <w:color w:val="231F20"/>
                <w:spacing w:val="-3"/>
                <w:sz w:val="20"/>
              </w:rPr>
              <w:t xml:space="preserve"> </w:t>
            </w:r>
            <w:r>
              <w:rPr>
                <w:color w:val="231F20"/>
                <w:sz w:val="20"/>
              </w:rPr>
              <w:t>original</w:t>
            </w:r>
            <w:r>
              <w:rPr>
                <w:color w:val="231F20"/>
                <w:spacing w:val="-4"/>
                <w:sz w:val="20"/>
              </w:rPr>
              <w:t xml:space="preserve"> </w:t>
            </w:r>
            <w:r>
              <w:rPr>
                <w:color w:val="231F20"/>
                <w:sz w:val="20"/>
              </w:rPr>
              <w:t>position.</w:t>
            </w:r>
            <w:r>
              <w:rPr>
                <w:color w:val="231F20"/>
                <w:spacing w:val="-4"/>
                <w:sz w:val="20"/>
              </w:rPr>
              <w:t xml:space="preserve"> </w:t>
            </w:r>
            <w:r>
              <w:rPr>
                <w:color w:val="231F20"/>
                <w:sz w:val="20"/>
              </w:rPr>
              <w:t>If</w:t>
            </w:r>
            <w:r>
              <w:rPr>
                <w:color w:val="231F20"/>
                <w:spacing w:val="-4"/>
                <w:sz w:val="20"/>
              </w:rPr>
              <w:t xml:space="preserve"> </w:t>
            </w:r>
            <w:r>
              <w:rPr>
                <w:color w:val="231F20"/>
                <w:sz w:val="20"/>
              </w:rPr>
              <w:t>ice</w:t>
            </w:r>
            <w:r>
              <w:rPr>
                <w:color w:val="231F20"/>
                <w:spacing w:val="-3"/>
                <w:sz w:val="20"/>
              </w:rPr>
              <w:t xml:space="preserve"> </w:t>
            </w:r>
            <w:r>
              <w:rPr>
                <w:color w:val="231F20"/>
                <w:sz w:val="20"/>
              </w:rPr>
              <w:t>is</w:t>
            </w:r>
            <w:r>
              <w:rPr>
                <w:color w:val="231F20"/>
                <w:spacing w:val="-4"/>
                <w:sz w:val="20"/>
              </w:rPr>
              <w:t xml:space="preserve"> </w:t>
            </w:r>
            <w:r>
              <w:rPr>
                <w:color w:val="231F20"/>
                <w:sz w:val="20"/>
              </w:rPr>
              <w:t>used,</w:t>
            </w:r>
            <w:r>
              <w:rPr>
                <w:color w:val="231F20"/>
                <w:spacing w:val="-4"/>
                <w:sz w:val="20"/>
              </w:rPr>
              <w:t xml:space="preserve"> </w:t>
            </w:r>
            <w:r>
              <w:rPr>
                <w:color w:val="231F20"/>
                <w:sz w:val="20"/>
              </w:rPr>
              <w:t>the</w:t>
            </w:r>
            <w:r>
              <w:rPr>
                <w:color w:val="231F20"/>
                <w:spacing w:val="-48"/>
                <w:sz w:val="20"/>
              </w:rPr>
              <w:t xml:space="preserve"> </w:t>
            </w:r>
            <w:r>
              <w:rPr>
                <w:color w:val="231F20"/>
                <w:sz w:val="20"/>
              </w:rPr>
              <w:t>outside</w:t>
            </w:r>
            <w:r>
              <w:rPr>
                <w:color w:val="231F20"/>
                <w:spacing w:val="-1"/>
                <w:sz w:val="20"/>
              </w:rPr>
              <w:t xml:space="preserve"> </w:t>
            </w:r>
            <w:r>
              <w:rPr>
                <w:color w:val="231F20"/>
                <w:sz w:val="20"/>
              </w:rPr>
              <w:t>packaging or overpack</w:t>
            </w:r>
            <w:r>
              <w:rPr>
                <w:color w:val="231F20"/>
                <w:spacing w:val="-1"/>
                <w:sz w:val="20"/>
              </w:rPr>
              <w:t xml:space="preserve"> </w:t>
            </w:r>
            <w:r>
              <w:rPr>
                <w:color w:val="231F20"/>
                <w:sz w:val="20"/>
              </w:rPr>
              <w:t>shall</w:t>
            </w:r>
            <w:r>
              <w:rPr>
                <w:color w:val="231F20"/>
                <w:spacing w:val="-1"/>
                <w:sz w:val="20"/>
              </w:rPr>
              <w:t xml:space="preserve"> </w:t>
            </w:r>
            <w:r>
              <w:rPr>
                <w:color w:val="231F20"/>
                <w:sz w:val="20"/>
              </w:rPr>
              <w:t xml:space="preserve">be leakproof; </w:t>
            </w:r>
            <w:r w:rsidRPr="00720F4B">
              <w:rPr>
                <w:color w:val="231F20"/>
                <w:sz w:val="20"/>
                <w:u w:val="single"/>
              </w:rPr>
              <w:t>and</w:t>
            </w:r>
          </w:p>
          <w:p w14:paraId="7FE3D3E0" w14:textId="77777777" w:rsidR="00B9671A" w:rsidRDefault="00B9671A" w:rsidP="00B9671A">
            <w:pPr>
              <w:pStyle w:val="TableParagraph"/>
              <w:numPr>
                <w:ilvl w:val="1"/>
                <w:numId w:val="12"/>
              </w:numPr>
              <w:tabs>
                <w:tab w:val="left" w:pos="1257"/>
              </w:tabs>
              <w:spacing w:before="60" w:line="235" w:lineRule="auto"/>
              <w:ind w:left="1257" w:right="71" w:hanging="569"/>
              <w:jc w:val="both"/>
              <w:rPr>
                <w:sz w:val="20"/>
              </w:rPr>
            </w:pPr>
            <w:r>
              <w:rPr>
                <w:color w:val="231F20"/>
                <w:sz w:val="20"/>
              </w:rPr>
              <w:t xml:space="preserve">The primary receptacle and the secondary packaging shall maintain their integrity at the temperature of </w:t>
            </w:r>
            <w:r>
              <w:rPr>
                <w:color w:val="231F20"/>
                <w:spacing w:val="-47"/>
                <w:sz w:val="20"/>
              </w:rPr>
              <w:t xml:space="preserve"> </w:t>
            </w:r>
            <w:r>
              <w:rPr>
                <w:color w:val="231F20"/>
                <w:sz w:val="20"/>
              </w:rPr>
              <w:t>the</w:t>
            </w:r>
            <w:r>
              <w:rPr>
                <w:color w:val="231F20"/>
                <w:spacing w:val="-8"/>
                <w:sz w:val="20"/>
              </w:rPr>
              <w:t xml:space="preserve"> </w:t>
            </w:r>
            <w:r>
              <w:rPr>
                <w:color w:val="231F20"/>
                <w:sz w:val="20"/>
              </w:rPr>
              <w:t>refrigerant</w:t>
            </w:r>
            <w:r>
              <w:rPr>
                <w:color w:val="231F20"/>
                <w:spacing w:val="-10"/>
                <w:sz w:val="20"/>
              </w:rPr>
              <w:t xml:space="preserve"> </w:t>
            </w:r>
            <w:r>
              <w:rPr>
                <w:color w:val="231F20"/>
                <w:sz w:val="20"/>
              </w:rPr>
              <w:t>used</w:t>
            </w:r>
            <w:r>
              <w:rPr>
                <w:color w:val="231F20"/>
                <w:spacing w:val="-8"/>
                <w:sz w:val="20"/>
              </w:rPr>
              <w:t xml:space="preserve"> </w:t>
            </w:r>
            <w:r>
              <w:rPr>
                <w:color w:val="231F20"/>
                <w:sz w:val="20"/>
              </w:rPr>
              <w:t>as</w:t>
            </w:r>
            <w:r>
              <w:rPr>
                <w:color w:val="231F20"/>
                <w:spacing w:val="-7"/>
                <w:sz w:val="20"/>
              </w:rPr>
              <w:t xml:space="preserve"> </w:t>
            </w:r>
            <w:r>
              <w:rPr>
                <w:color w:val="231F20"/>
                <w:sz w:val="20"/>
              </w:rPr>
              <w:t>well</w:t>
            </w:r>
            <w:r>
              <w:rPr>
                <w:color w:val="231F20"/>
                <w:spacing w:val="-8"/>
                <w:sz w:val="20"/>
              </w:rPr>
              <w:t xml:space="preserve"> </w:t>
            </w:r>
            <w:r>
              <w:rPr>
                <w:color w:val="231F20"/>
                <w:sz w:val="20"/>
              </w:rPr>
              <w:t>as</w:t>
            </w:r>
            <w:r>
              <w:rPr>
                <w:color w:val="231F20"/>
                <w:spacing w:val="-8"/>
                <w:sz w:val="20"/>
              </w:rPr>
              <w:t xml:space="preserve"> </w:t>
            </w:r>
            <w:r>
              <w:rPr>
                <w:color w:val="231F20"/>
                <w:sz w:val="20"/>
              </w:rPr>
              <w:t>the</w:t>
            </w:r>
            <w:r>
              <w:rPr>
                <w:color w:val="231F20"/>
                <w:spacing w:val="-4"/>
                <w:sz w:val="20"/>
              </w:rPr>
              <w:t xml:space="preserve"> </w:t>
            </w:r>
            <w:r>
              <w:rPr>
                <w:color w:val="231F20"/>
                <w:sz w:val="20"/>
              </w:rPr>
              <w:t>temperatures</w:t>
            </w:r>
            <w:r>
              <w:rPr>
                <w:color w:val="231F20"/>
                <w:spacing w:val="-8"/>
                <w:sz w:val="20"/>
              </w:rPr>
              <w:t xml:space="preserve"> </w:t>
            </w:r>
            <w:r>
              <w:rPr>
                <w:color w:val="231F20"/>
                <w:sz w:val="20"/>
              </w:rPr>
              <w:t>and</w:t>
            </w:r>
            <w:r>
              <w:rPr>
                <w:color w:val="231F20"/>
                <w:spacing w:val="-8"/>
                <w:sz w:val="20"/>
              </w:rPr>
              <w:t xml:space="preserve"> </w:t>
            </w:r>
            <w:r>
              <w:rPr>
                <w:color w:val="231F20"/>
                <w:sz w:val="20"/>
              </w:rPr>
              <w:t>the</w:t>
            </w:r>
            <w:r>
              <w:rPr>
                <w:color w:val="231F20"/>
                <w:spacing w:val="-10"/>
                <w:sz w:val="20"/>
              </w:rPr>
              <w:t xml:space="preserve"> </w:t>
            </w:r>
            <w:r>
              <w:rPr>
                <w:color w:val="231F20"/>
                <w:sz w:val="20"/>
              </w:rPr>
              <w:t>pressures</w:t>
            </w:r>
            <w:r>
              <w:rPr>
                <w:color w:val="231F20"/>
                <w:spacing w:val="-7"/>
                <w:sz w:val="20"/>
              </w:rPr>
              <w:t xml:space="preserve"> </w:t>
            </w:r>
            <w:r>
              <w:rPr>
                <w:color w:val="231F20"/>
                <w:sz w:val="20"/>
              </w:rPr>
              <w:t>which</w:t>
            </w:r>
            <w:r>
              <w:rPr>
                <w:color w:val="231F20"/>
                <w:spacing w:val="-5"/>
                <w:sz w:val="20"/>
              </w:rPr>
              <w:t xml:space="preserve"> </w:t>
            </w:r>
            <w:r>
              <w:rPr>
                <w:color w:val="231F20"/>
                <w:sz w:val="20"/>
              </w:rPr>
              <w:t>could</w:t>
            </w:r>
            <w:r>
              <w:rPr>
                <w:color w:val="231F20"/>
                <w:spacing w:val="-8"/>
                <w:sz w:val="20"/>
              </w:rPr>
              <w:t xml:space="preserve"> </w:t>
            </w:r>
            <w:r>
              <w:rPr>
                <w:color w:val="231F20"/>
                <w:sz w:val="20"/>
              </w:rPr>
              <w:t>result</w:t>
            </w:r>
            <w:r>
              <w:rPr>
                <w:color w:val="231F20"/>
                <w:spacing w:val="-8"/>
                <w:sz w:val="20"/>
              </w:rPr>
              <w:t xml:space="preserve"> </w:t>
            </w:r>
            <w:r>
              <w:rPr>
                <w:color w:val="231F20"/>
                <w:sz w:val="20"/>
              </w:rPr>
              <w:t>if</w:t>
            </w:r>
            <w:r>
              <w:rPr>
                <w:color w:val="231F20"/>
                <w:spacing w:val="-7"/>
                <w:sz w:val="20"/>
              </w:rPr>
              <w:t xml:space="preserve"> </w:t>
            </w:r>
            <w:r>
              <w:rPr>
                <w:color w:val="231F20"/>
                <w:sz w:val="20"/>
              </w:rPr>
              <w:t>refrigeration</w:t>
            </w:r>
            <w:r>
              <w:rPr>
                <w:color w:val="231F20"/>
                <w:spacing w:val="-7"/>
                <w:sz w:val="20"/>
              </w:rPr>
              <w:t xml:space="preserve"> </w:t>
            </w:r>
            <w:r w:rsidRPr="00B91EF7">
              <w:rPr>
                <w:color w:val="231F20"/>
                <w:sz w:val="20"/>
              </w:rPr>
              <w:t>were</w:t>
            </w:r>
            <w:r>
              <w:rPr>
                <w:color w:val="231F20"/>
                <w:sz w:val="20"/>
              </w:rPr>
              <w:t xml:space="preserve"> </w:t>
            </w:r>
            <w:r w:rsidRPr="00B91EF7">
              <w:rPr>
                <w:color w:val="231F20"/>
                <w:spacing w:val="-48"/>
                <w:sz w:val="20"/>
              </w:rPr>
              <w:t xml:space="preserve">     </w:t>
            </w:r>
            <w:r w:rsidRPr="00B91EF7">
              <w:rPr>
                <w:color w:val="231F20"/>
                <w:sz w:val="20"/>
              </w:rPr>
              <w:t>lost.</w:t>
            </w:r>
          </w:p>
          <w:p w14:paraId="624430EF" w14:textId="77777777" w:rsidR="00B9671A" w:rsidRDefault="00B9671A" w:rsidP="00B9671A">
            <w:pPr>
              <w:pStyle w:val="TableParagraph"/>
              <w:numPr>
                <w:ilvl w:val="0"/>
                <w:numId w:val="12"/>
              </w:numPr>
              <w:tabs>
                <w:tab w:val="left" w:pos="690"/>
              </w:tabs>
              <w:spacing w:before="55"/>
              <w:ind w:left="691" w:right="79"/>
              <w:jc w:val="both"/>
              <w:rPr>
                <w:sz w:val="20"/>
              </w:rPr>
            </w:pPr>
            <w:r>
              <w:rPr>
                <w:color w:val="231F20"/>
                <w:sz w:val="20"/>
              </w:rPr>
              <w:t>When packages are placed in an overpack, the package marks required by this packing instruction shall either</w:t>
            </w:r>
            <w:r>
              <w:rPr>
                <w:color w:val="231F20"/>
                <w:spacing w:val="1"/>
                <w:sz w:val="20"/>
              </w:rPr>
              <w:t xml:space="preserve"> </w:t>
            </w:r>
            <w:r>
              <w:rPr>
                <w:color w:val="231F20"/>
                <w:sz w:val="20"/>
              </w:rPr>
              <w:t>be clearly</w:t>
            </w:r>
            <w:r>
              <w:rPr>
                <w:color w:val="231F20"/>
                <w:spacing w:val="1"/>
                <w:sz w:val="20"/>
              </w:rPr>
              <w:t xml:space="preserve"> </w:t>
            </w:r>
            <w:r>
              <w:rPr>
                <w:color w:val="231F20"/>
                <w:sz w:val="20"/>
              </w:rPr>
              <w:t>visible or</w:t>
            </w:r>
            <w:r>
              <w:rPr>
                <w:color w:val="231F20"/>
                <w:spacing w:val="-2"/>
                <w:sz w:val="20"/>
              </w:rPr>
              <w:t xml:space="preserve"> </w:t>
            </w:r>
            <w:r>
              <w:rPr>
                <w:color w:val="231F20"/>
                <w:sz w:val="20"/>
              </w:rPr>
              <w:t>be</w:t>
            </w:r>
            <w:r>
              <w:rPr>
                <w:color w:val="231F20"/>
                <w:spacing w:val="1"/>
                <w:sz w:val="20"/>
              </w:rPr>
              <w:t xml:space="preserve"> </w:t>
            </w:r>
            <w:r>
              <w:rPr>
                <w:color w:val="231F20"/>
                <w:sz w:val="20"/>
              </w:rPr>
              <w:t>reproduced</w:t>
            </w:r>
            <w:r>
              <w:rPr>
                <w:color w:val="231F20"/>
                <w:spacing w:val="-3"/>
                <w:sz w:val="20"/>
              </w:rPr>
              <w:t xml:space="preserve"> </w:t>
            </w:r>
            <w:r>
              <w:rPr>
                <w:color w:val="231F20"/>
                <w:sz w:val="20"/>
              </w:rPr>
              <w:t>on</w:t>
            </w:r>
            <w:r>
              <w:rPr>
                <w:color w:val="231F20"/>
                <w:spacing w:val="1"/>
                <w:sz w:val="20"/>
              </w:rPr>
              <w:t xml:space="preserve"> </w:t>
            </w:r>
            <w:r>
              <w:rPr>
                <w:color w:val="231F20"/>
                <w:sz w:val="20"/>
              </w:rPr>
              <w:t>the outside</w:t>
            </w:r>
            <w:r>
              <w:rPr>
                <w:color w:val="231F20"/>
                <w:spacing w:val="-1"/>
                <w:sz w:val="20"/>
              </w:rPr>
              <w:t xml:space="preserve"> </w:t>
            </w:r>
            <w:r>
              <w:rPr>
                <w:color w:val="231F20"/>
                <w:sz w:val="20"/>
              </w:rPr>
              <w:t>of the</w:t>
            </w:r>
            <w:r>
              <w:rPr>
                <w:color w:val="231F20"/>
                <w:spacing w:val="5"/>
                <w:sz w:val="20"/>
              </w:rPr>
              <w:t xml:space="preserve"> </w:t>
            </w:r>
            <w:r>
              <w:rPr>
                <w:color w:val="231F20"/>
                <w:sz w:val="20"/>
              </w:rPr>
              <w:t xml:space="preserve">overpack.                                                                                                                                                                                                                                                                                                                                                                                                                                                                                    </w:t>
            </w:r>
          </w:p>
          <w:p w14:paraId="6D1624B4" w14:textId="77777777" w:rsidR="00B9671A" w:rsidRDefault="00B9671A" w:rsidP="00B9671A">
            <w:pPr>
              <w:pStyle w:val="TableParagraph"/>
              <w:numPr>
                <w:ilvl w:val="0"/>
                <w:numId w:val="12"/>
              </w:numPr>
              <w:tabs>
                <w:tab w:val="left" w:pos="690"/>
              </w:tabs>
              <w:spacing w:before="106"/>
              <w:ind w:left="691" w:right="79"/>
              <w:jc w:val="both"/>
              <w:rPr>
                <w:sz w:val="20"/>
              </w:rPr>
            </w:pPr>
            <w:r>
              <w:rPr>
                <w:color w:val="231F20"/>
                <w:sz w:val="20"/>
              </w:rPr>
              <w:t>Infectious substances assigned to UN 3373 which are packed and marked in accordance with this packing</w:t>
            </w:r>
            <w:r>
              <w:rPr>
                <w:color w:val="231F20"/>
                <w:spacing w:val="1"/>
                <w:sz w:val="20"/>
              </w:rPr>
              <w:t xml:space="preserve"> </w:t>
            </w:r>
            <w:r>
              <w:rPr>
                <w:color w:val="231F20"/>
                <w:sz w:val="20"/>
              </w:rPr>
              <w:t>instruction</w:t>
            </w:r>
            <w:r>
              <w:rPr>
                <w:color w:val="231F20"/>
                <w:spacing w:val="-1"/>
                <w:sz w:val="20"/>
              </w:rPr>
              <w:t xml:space="preserve"> </w:t>
            </w:r>
            <w:r>
              <w:rPr>
                <w:color w:val="231F20"/>
                <w:sz w:val="20"/>
              </w:rPr>
              <w:t>are not subject</w:t>
            </w:r>
            <w:r>
              <w:rPr>
                <w:color w:val="231F20"/>
                <w:spacing w:val="-1"/>
                <w:sz w:val="20"/>
              </w:rPr>
              <w:t xml:space="preserve"> </w:t>
            </w:r>
            <w:r>
              <w:rPr>
                <w:color w:val="231F20"/>
                <w:sz w:val="20"/>
              </w:rPr>
              <w:t>to any other</w:t>
            </w:r>
            <w:r>
              <w:rPr>
                <w:color w:val="231F20"/>
                <w:spacing w:val="-1"/>
                <w:sz w:val="20"/>
              </w:rPr>
              <w:t xml:space="preserve"> </w:t>
            </w:r>
            <w:r>
              <w:rPr>
                <w:color w:val="231F20"/>
                <w:sz w:val="20"/>
              </w:rPr>
              <w:t>requirement in these</w:t>
            </w:r>
            <w:r>
              <w:rPr>
                <w:color w:val="231F20"/>
                <w:spacing w:val="-3"/>
                <w:sz w:val="20"/>
              </w:rPr>
              <w:t xml:space="preserve"> </w:t>
            </w:r>
            <w:r>
              <w:rPr>
                <w:color w:val="231F20"/>
                <w:sz w:val="20"/>
              </w:rPr>
              <w:t>Regulations.</w:t>
            </w:r>
          </w:p>
          <w:p w14:paraId="4A4F0875" w14:textId="77777777" w:rsidR="00B012CB" w:rsidRPr="00B012CB" w:rsidRDefault="00B9671A" w:rsidP="00B012CB">
            <w:pPr>
              <w:pStyle w:val="TableParagraph"/>
              <w:numPr>
                <w:ilvl w:val="0"/>
                <w:numId w:val="12"/>
              </w:numPr>
              <w:tabs>
                <w:tab w:val="left" w:pos="690"/>
              </w:tabs>
              <w:spacing w:before="161" w:line="235" w:lineRule="auto"/>
              <w:ind w:left="691" w:right="76"/>
              <w:jc w:val="both"/>
              <w:rPr>
                <w:sz w:val="20"/>
              </w:rPr>
            </w:pPr>
            <w:r>
              <w:rPr>
                <w:color w:val="231F20"/>
                <w:sz w:val="20"/>
              </w:rPr>
              <w:t>Clear instructions on filling and closing such packages shall be provided by packaging manufacturers and</w:t>
            </w:r>
            <w:r>
              <w:rPr>
                <w:color w:val="231F20"/>
                <w:spacing w:val="1"/>
                <w:sz w:val="20"/>
              </w:rPr>
              <w:t xml:space="preserve"> </w:t>
            </w:r>
            <w:r>
              <w:rPr>
                <w:color w:val="231F20"/>
                <w:sz w:val="20"/>
              </w:rPr>
              <w:t>subsequent distributors to the consignor or to the person who prepares the package (e.g. patient) to enable the</w:t>
            </w:r>
            <w:r>
              <w:rPr>
                <w:color w:val="231F20"/>
                <w:spacing w:val="1"/>
                <w:sz w:val="20"/>
              </w:rPr>
              <w:t xml:space="preserve"> </w:t>
            </w:r>
            <w:r>
              <w:rPr>
                <w:color w:val="231F20"/>
                <w:sz w:val="20"/>
              </w:rPr>
              <w:t>package</w:t>
            </w:r>
            <w:r>
              <w:rPr>
                <w:color w:val="231F20"/>
                <w:spacing w:val="-1"/>
                <w:sz w:val="20"/>
              </w:rPr>
              <w:t xml:space="preserve"> </w:t>
            </w:r>
            <w:r>
              <w:rPr>
                <w:color w:val="231F20"/>
                <w:sz w:val="20"/>
              </w:rPr>
              <w:t>to</w:t>
            </w:r>
            <w:r>
              <w:rPr>
                <w:color w:val="231F20"/>
                <w:spacing w:val="-2"/>
                <w:sz w:val="20"/>
              </w:rPr>
              <w:t xml:space="preserve"> </w:t>
            </w:r>
            <w:r>
              <w:rPr>
                <w:color w:val="231F20"/>
                <w:sz w:val="20"/>
              </w:rPr>
              <w:t>be correctly prepared</w:t>
            </w:r>
            <w:r>
              <w:rPr>
                <w:color w:val="231F20"/>
                <w:spacing w:val="1"/>
                <w:sz w:val="20"/>
              </w:rPr>
              <w:t xml:space="preserve"> </w:t>
            </w:r>
            <w:r>
              <w:rPr>
                <w:color w:val="231F20"/>
                <w:sz w:val="20"/>
              </w:rPr>
              <w:t xml:space="preserve">for transport. </w:t>
            </w:r>
          </w:p>
          <w:p w14:paraId="07D4578C" w14:textId="040CDEEB" w:rsidR="00592F4D" w:rsidRDefault="00B9671A" w:rsidP="00592F4D">
            <w:pPr>
              <w:pStyle w:val="TableParagraph"/>
              <w:numPr>
                <w:ilvl w:val="0"/>
                <w:numId w:val="12"/>
              </w:numPr>
              <w:tabs>
                <w:tab w:val="left" w:pos="690"/>
              </w:tabs>
              <w:spacing w:before="161" w:line="235" w:lineRule="auto"/>
              <w:ind w:left="691" w:right="76"/>
              <w:jc w:val="both"/>
              <w:rPr>
                <w:sz w:val="20"/>
              </w:rPr>
            </w:pPr>
            <w:r w:rsidRPr="00592F4D">
              <w:rPr>
                <w:color w:val="231F20"/>
                <w:sz w:val="20"/>
              </w:rPr>
              <w:t>Other dangerous goods shall not be packed in the same packaging as Division 6.2 infectious substances unless</w:t>
            </w:r>
            <w:r w:rsidRPr="00592F4D">
              <w:rPr>
                <w:color w:val="231F20"/>
                <w:spacing w:val="-47"/>
                <w:sz w:val="20"/>
              </w:rPr>
              <w:t xml:space="preserve"> </w:t>
            </w:r>
            <w:r w:rsidRPr="00592F4D">
              <w:rPr>
                <w:color w:val="231F20"/>
                <w:spacing w:val="-1"/>
                <w:sz w:val="20"/>
              </w:rPr>
              <w:t>they</w:t>
            </w:r>
            <w:r w:rsidRPr="00592F4D">
              <w:rPr>
                <w:color w:val="231F20"/>
                <w:spacing w:val="-8"/>
                <w:sz w:val="20"/>
              </w:rPr>
              <w:t xml:space="preserve"> </w:t>
            </w:r>
            <w:r w:rsidRPr="00592F4D">
              <w:rPr>
                <w:color w:val="231F20"/>
                <w:spacing w:val="-1"/>
                <w:sz w:val="20"/>
              </w:rPr>
              <w:t>are</w:t>
            </w:r>
            <w:r w:rsidRPr="00592F4D">
              <w:rPr>
                <w:color w:val="231F20"/>
                <w:spacing w:val="-11"/>
                <w:sz w:val="20"/>
              </w:rPr>
              <w:t xml:space="preserve"> </w:t>
            </w:r>
            <w:r w:rsidRPr="00592F4D">
              <w:rPr>
                <w:color w:val="231F20"/>
                <w:spacing w:val="-1"/>
                <w:sz w:val="20"/>
              </w:rPr>
              <w:t>necessary</w:t>
            </w:r>
            <w:r w:rsidRPr="00592F4D">
              <w:rPr>
                <w:color w:val="231F20"/>
                <w:spacing w:val="-11"/>
                <w:sz w:val="20"/>
              </w:rPr>
              <w:t xml:space="preserve"> </w:t>
            </w:r>
            <w:r w:rsidRPr="00592F4D">
              <w:rPr>
                <w:color w:val="231F20"/>
                <w:spacing w:val="-1"/>
                <w:sz w:val="20"/>
              </w:rPr>
              <w:t>for</w:t>
            </w:r>
            <w:r w:rsidRPr="00592F4D">
              <w:rPr>
                <w:color w:val="231F20"/>
                <w:spacing w:val="-11"/>
                <w:sz w:val="20"/>
              </w:rPr>
              <w:t xml:space="preserve"> </w:t>
            </w:r>
            <w:r w:rsidRPr="00592F4D">
              <w:rPr>
                <w:color w:val="231F20"/>
                <w:spacing w:val="-1"/>
                <w:sz w:val="20"/>
              </w:rPr>
              <w:t>maintaining</w:t>
            </w:r>
            <w:r w:rsidRPr="00592F4D">
              <w:rPr>
                <w:color w:val="231F20"/>
                <w:spacing w:val="-9"/>
                <w:sz w:val="20"/>
              </w:rPr>
              <w:t xml:space="preserve"> </w:t>
            </w:r>
            <w:r w:rsidRPr="00592F4D">
              <w:rPr>
                <w:color w:val="231F20"/>
                <w:spacing w:val="-1"/>
                <w:sz w:val="20"/>
              </w:rPr>
              <w:t>the</w:t>
            </w:r>
            <w:r w:rsidRPr="00592F4D">
              <w:rPr>
                <w:color w:val="231F20"/>
                <w:spacing w:val="-8"/>
                <w:sz w:val="20"/>
              </w:rPr>
              <w:t xml:space="preserve"> </w:t>
            </w:r>
            <w:r w:rsidRPr="00592F4D">
              <w:rPr>
                <w:color w:val="231F20"/>
                <w:spacing w:val="-1"/>
                <w:sz w:val="20"/>
              </w:rPr>
              <w:t>viability,</w:t>
            </w:r>
            <w:r w:rsidRPr="00592F4D">
              <w:rPr>
                <w:color w:val="231F20"/>
                <w:spacing w:val="-9"/>
                <w:sz w:val="20"/>
              </w:rPr>
              <w:t xml:space="preserve"> </w:t>
            </w:r>
            <w:r w:rsidRPr="00592F4D">
              <w:rPr>
                <w:color w:val="231F20"/>
                <w:spacing w:val="-1"/>
                <w:sz w:val="20"/>
              </w:rPr>
              <w:t>stabilizing</w:t>
            </w:r>
            <w:r w:rsidRPr="00592F4D">
              <w:rPr>
                <w:color w:val="231F20"/>
                <w:spacing w:val="-11"/>
                <w:sz w:val="20"/>
              </w:rPr>
              <w:t xml:space="preserve"> </w:t>
            </w:r>
            <w:r w:rsidRPr="00592F4D">
              <w:rPr>
                <w:color w:val="231F20"/>
                <w:sz w:val="20"/>
              </w:rPr>
              <w:t>or</w:t>
            </w:r>
            <w:r w:rsidRPr="00592F4D">
              <w:rPr>
                <w:color w:val="231F20"/>
                <w:spacing w:val="-8"/>
                <w:sz w:val="20"/>
              </w:rPr>
              <w:t xml:space="preserve"> </w:t>
            </w:r>
            <w:r w:rsidRPr="00592F4D">
              <w:rPr>
                <w:color w:val="231F20"/>
                <w:sz w:val="20"/>
              </w:rPr>
              <w:t>preventing</w:t>
            </w:r>
            <w:r w:rsidRPr="00592F4D">
              <w:rPr>
                <w:color w:val="231F20"/>
                <w:spacing w:val="-11"/>
                <w:sz w:val="20"/>
              </w:rPr>
              <w:t xml:space="preserve"> </w:t>
            </w:r>
            <w:r w:rsidRPr="00592F4D">
              <w:rPr>
                <w:color w:val="231F20"/>
                <w:sz w:val="20"/>
              </w:rPr>
              <w:t>degradation</w:t>
            </w:r>
            <w:r w:rsidRPr="00592F4D">
              <w:rPr>
                <w:color w:val="231F20"/>
                <w:spacing w:val="-10"/>
                <w:sz w:val="20"/>
              </w:rPr>
              <w:t xml:space="preserve"> </w:t>
            </w:r>
            <w:r w:rsidRPr="00592F4D">
              <w:rPr>
                <w:color w:val="231F20"/>
                <w:sz w:val="20"/>
              </w:rPr>
              <w:t>or</w:t>
            </w:r>
            <w:r w:rsidRPr="00592F4D">
              <w:rPr>
                <w:color w:val="231F20"/>
                <w:spacing w:val="-8"/>
                <w:sz w:val="20"/>
              </w:rPr>
              <w:t xml:space="preserve"> </w:t>
            </w:r>
            <w:r w:rsidRPr="00592F4D">
              <w:rPr>
                <w:color w:val="231F20"/>
                <w:sz w:val="20"/>
              </w:rPr>
              <w:t>neutralizing</w:t>
            </w:r>
            <w:r w:rsidRPr="00592F4D">
              <w:rPr>
                <w:color w:val="231F20"/>
                <w:spacing w:val="-9"/>
                <w:sz w:val="20"/>
              </w:rPr>
              <w:t xml:space="preserve"> </w:t>
            </w:r>
            <w:r w:rsidRPr="00592F4D">
              <w:rPr>
                <w:color w:val="231F20"/>
                <w:sz w:val="20"/>
              </w:rPr>
              <w:t>the</w:t>
            </w:r>
            <w:r w:rsidRPr="00592F4D">
              <w:rPr>
                <w:color w:val="231F20"/>
                <w:spacing w:val="-11"/>
                <w:sz w:val="20"/>
              </w:rPr>
              <w:t xml:space="preserve"> </w:t>
            </w:r>
            <w:r w:rsidRPr="00592F4D">
              <w:rPr>
                <w:color w:val="231F20"/>
                <w:sz w:val="20"/>
              </w:rPr>
              <w:t>hazards</w:t>
            </w:r>
            <w:r w:rsidRPr="00592F4D">
              <w:rPr>
                <w:color w:val="231F20"/>
                <w:spacing w:val="-48"/>
                <w:sz w:val="20"/>
              </w:rPr>
              <w:t xml:space="preserve"> </w:t>
            </w:r>
            <w:r w:rsidRPr="00592F4D">
              <w:rPr>
                <w:color w:val="231F20"/>
                <w:sz w:val="20"/>
              </w:rPr>
              <w:t>of the infectious substances. A quantity of 30 ml or less of dangerous goods included in Classes 3, 8 or 9 may</w:t>
            </w:r>
            <w:r w:rsidRPr="00592F4D">
              <w:rPr>
                <w:color w:val="231F20"/>
                <w:spacing w:val="1"/>
                <w:sz w:val="20"/>
              </w:rPr>
              <w:t xml:space="preserve"> </w:t>
            </w:r>
            <w:r w:rsidRPr="00592F4D">
              <w:rPr>
                <w:color w:val="231F20"/>
                <w:sz w:val="20"/>
              </w:rPr>
              <w:t>be</w:t>
            </w:r>
            <w:r w:rsidRPr="00592F4D">
              <w:rPr>
                <w:color w:val="231F20"/>
                <w:spacing w:val="1"/>
                <w:sz w:val="20"/>
              </w:rPr>
              <w:t xml:space="preserve"> </w:t>
            </w:r>
            <w:r w:rsidRPr="00592F4D">
              <w:rPr>
                <w:color w:val="231F20"/>
                <w:sz w:val="20"/>
              </w:rPr>
              <w:t>packed</w:t>
            </w:r>
            <w:r w:rsidRPr="00592F4D">
              <w:rPr>
                <w:color w:val="231F20"/>
                <w:spacing w:val="1"/>
                <w:sz w:val="20"/>
              </w:rPr>
              <w:t xml:space="preserve"> </w:t>
            </w:r>
            <w:r w:rsidRPr="00592F4D">
              <w:rPr>
                <w:color w:val="231F20"/>
                <w:sz w:val="20"/>
              </w:rPr>
              <w:t>in</w:t>
            </w:r>
            <w:r w:rsidRPr="00592F4D">
              <w:rPr>
                <w:color w:val="231F20"/>
                <w:spacing w:val="1"/>
                <w:sz w:val="20"/>
              </w:rPr>
              <w:t xml:space="preserve"> </w:t>
            </w:r>
            <w:r w:rsidRPr="00592F4D">
              <w:rPr>
                <w:color w:val="231F20"/>
                <w:sz w:val="20"/>
              </w:rPr>
              <w:t>each</w:t>
            </w:r>
            <w:r w:rsidRPr="00592F4D">
              <w:rPr>
                <w:color w:val="231F20"/>
                <w:spacing w:val="1"/>
                <w:sz w:val="20"/>
              </w:rPr>
              <w:t xml:space="preserve"> </w:t>
            </w:r>
            <w:r w:rsidRPr="00592F4D">
              <w:rPr>
                <w:color w:val="231F20"/>
                <w:sz w:val="20"/>
              </w:rPr>
              <w:t>primary</w:t>
            </w:r>
            <w:r w:rsidRPr="00592F4D">
              <w:rPr>
                <w:color w:val="231F20"/>
                <w:spacing w:val="1"/>
                <w:sz w:val="20"/>
              </w:rPr>
              <w:t xml:space="preserve"> </w:t>
            </w:r>
            <w:r w:rsidRPr="00592F4D">
              <w:rPr>
                <w:color w:val="231F20"/>
                <w:sz w:val="20"/>
              </w:rPr>
              <w:t>receptacle</w:t>
            </w:r>
            <w:r w:rsidRPr="00592F4D">
              <w:rPr>
                <w:color w:val="231F20"/>
                <w:spacing w:val="1"/>
                <w:sz w:val="20"/>
              </w:rPr>
              <w:t xml:space="preserve"> </w:t>
            </w:r>
            <w:r w:rsidRPr="00592F4D">
              <w:rPr>
                <w:color w:val="231F20"/>
                <w:sz w:val="20"/>
              </w:rPr>
              <w:t>containing</w:t>
            </w:r>
            <w:r w:rsidRPr="00592F4D">
              <w:rPr>
                <w:color w:val="231F20"/>
                <w:spacing w:val="1"/>
                <w:sz w:val="20"/>
              </w:rPr>
              <w:t xml:space="preserve"> </w:t>
            </w:r>
            <w:r w:rsidRPr="00592F4D">
              <w:rPr>
                <w:color w:val="231F20"/>
                <w:sz w:val="20"/>
              </w:rPr>
              <w:t>infectious</w:t>
            </w:r>
            <w:r w:rsidRPr="00592F4D">
              <w:rPr>
                <w:color w:val="231F20"/>
                <w:spacing w:val="1"/>
                <w:sz w:val="20"/>
              </w:rPr>
              <w:t xml:space="preserve"> </w:t>
            </w:r>
            <w:r w:rsidRPr="00592F4D">
              <w:rPr>
                <w:color w:val="231F20"/>
                <w:sz w:val="20"/>
              </w:rPr>
              <w:t>substances.</w:t>
            </w:r>
            <w:r w:rsidRPr="00592F4D">
              <w:rPr>
                <w:color w:val="231F20"/>
                <w:spacing w:val="1"/>
                <w:sz w:val="20"/>
              </w:rPr>
              <w:t xml:space="preserve"> </w:t>
            </w:r>
            <w:r w:rsidRPr="00592F4D">
              <w:rPr>
                <w:color w:val="231F20"/>
                <w:sz w:val="20"/>
              </w:rPr>
              <w:t>When</w:t>
            </w:r>
            <w:r w:rsidRPr="00592F4D">
              <w:rPr>
                <w:color w:val="231F20"/>
                <w:spacing w:val="1"/>
                <w:sz w:val="20"/>
              </w:rPr>
              <w:t xml:space="preserve"> </w:t>
            </w:r>
            <w:r w:rsidRPr="00592F4D">
              <w:rPr>
                <w:color w:val="231F20"/>
                <w:sz w:val="20"/>
              </w:rPr>
              <w:t>these</w:t>
            </w:r>
            <w:r w:rsidRPr="00592F4D">
              <w:rPr>
                <w:color w:val="231F20"/>
                <w:spacing w:val="1"/>
                <w:sz w:val="20"/>
              </w:rPr>
              <w:t xml:space="preserve"> </w:t>
            </w:r>
            <w:r w:rsidRPr="00592F4D">
              <w:rPr>
                <w:color w:val="231F20"/>
                <w:sz w:val="20"/>
              </w:rPr>
              <w:t>small</w:t>
            </w:r>
            <w:r w:rsidRPr="00592F4D">
              <w:rPr>
                <w:color w:val="231F20"/>
                <w:spacing w:val="1"/>
                <w:sz w:val="20"/>
              </w:rPr>
              <w:t xml:space="preserve"> </w:t>
            </w:r>
            <w:r w:rsidRPr="00592F4D">
              <w:rPr>
                <w:color w:val="231F20"/>
                <w:sz w:val="20"/>
              </w:rPr>
              <w:t>quantities</w:t>
            </w:r>
            <w:r w:rsidRPr="00592F4D">
              <w:rPr>
                <w:color w:val="231F20"/>
                <w:spacing w:val="1"/>
                <w:sz w:val="20"/>
              </w:rPr>
              <w:t xml:space="preserve"> </w:t>
            </w:r>
            <w:r w:rsidRPr="00592F4D">
              <w:rPr>
                <w:color w:val="231F20"/>
                <w:sz w:val="20"/>
              </w:rPr>
              <w:t>of</w:t>
            </w:r>
            <w:r w:rsidRPr="00592F4D">
              <w:rPr>
                <w:color w:val="231F20"/>
                <w:spacing w:val="-47"/>
                <w:sz w:val="20"/>
              </w:rPr>
              <w:t xml:space="preserve"> </w:t>
            </w:r>
            <w:r w:rsidRPr="00592F4D">
              <w:rPr>
                <w:color w:val="231F20"/>
                <w:sz w:val="20"/>
              </w:rPr>
              <w:t>dangerous goods are packed with infectious substances in accordance with this packing instruction no other</w:t>
            </w:r>
            <w:r w:rsidRPr="00592F4D">
              <w:rPr>
                <w:color w:val="231F20"/>
                <w:spacing w:val="1"/>
                <w:sz w:val="20"/>
              </w:rPr>
              <w:t xml:space="preserve"> </w:t>
            </w:r>
            <w:r w:rsidRPr="00592F4D">
              <w:rPr>
                <w:color w:val="231F20"/>
                <w:sz w:val="20"/>
              </w:rPr>
              <w:t>requirements</w:t>
            </w:r>
            <w:r w:rsidRPr="00592F4D">
              <w:rPr>
                <w:color w:val="231F20"/>
                <w:spacing w:val="-1"/>
                <w:sz w:val="20"/>
              </w:rPr>
              <w:t xml:space="preserve"> </w:t>
            </w:r>
            <w:r w:rsidRPr="00592F4D">
              <w:rPr>
                <w:color w:val="231F20"/>
                <w:sz w:val="20"/>
              </w:rPr>
              <w:t>in these Regulations need</w:t>
            </w:r>
            <w:r w:rsidRPr="00592F4D">
              <w:rPr>
                <w:color w:val="231F20"/>
                <w:spacing w:val="-2"/>
                <w:sz w:val="20"/>
              </w:rPr>
              <w:t xml:space="preserve"> </w:t>
            </w:r>
            <w:r w:rsidRPr="00592F4D">
              <w:rPr>
                <w:color w:val="231F20"/>
                <w:sz w:val="20"/>
              </w:rPr>
              <w:t>be met.</w:t>
            </w:r>
          </w:p>
        </w:tc>
      </w:tr>
    </w:tbl>
    <w:tbl>
      <w:tblPr>
        <w:tblStyle w:val="TableGrid"/>
        <w:tblW w:w="9214" w:type="dxa"/>
        <w:tblInd w:w="562" w:type="dxa"/>
        <w:tblLook w:val="04A0" w:firstRow="1" w:lastRow="0" w:firstColumn="1" w:lastColumn="0" w:noHBand="0" w:noVBand="1"/>
      </w:tblPr>
      <w:tblGrid>
        <w:gridCol w:w="9214"/>
      </w:tblGrid>
      <w:tr w:rsidR="006D2684" w:rsidRPr="006D2684" w14:paraId="247D5159" w14:textId="77777777" w:rsidTr="00D1146A">
        <w:tc>
          <w:tcPr>
            <w:tcW w:w="9214" w:type="dxa"/>
          </w:tcPr>
          <w:p w14:paraId="62F32272" w14:textId="77777777" w:rsidR="006D2684" w:rsidRPr="006D2684" w:rsidRDefault="006D2684" w:rsidP="00652271">
            <w:pPr>
              <w:suppressAutoHyphens w:val="0"/>
              <w:autoSpaceDE w:val="0"/>
              <w:autoSpaceDN w:val="0"/>
              <w:adjustRightInd w:val="0"/>
              <w:spacing w:line="240" w:lineRule="auto"/>
              <w:rPr>
                <w:b/>
                <w:bCs/>
              </w:rPr>
            </w:pPr>
            <w:r w:rsidRPr="006D2684">
              <w:rPr>
                <w:b/>
                <w:bCs/>
              </w:rPr>
              <w:lastRenderedPageBreak/>
              <w:t>Additional requirement:</w:t>
            </w:r>
          </w:p>
        </w:tc>
      </w:tr>
      <w:tr w:rsidR="006D2684" w:rsidRPr="006D2684" w14:paraId="6D7BBA19" w14:textId="77777777" w:rsidTr="00D1146A">
        <w:tc>
          <w:tcPr>
            <w:tcW w:w="9214" w:type="dxa"/>
          </w:tcPr>
          <w:p w14:paraId="76A68651" w14:textId="77777777" w:rsidR="006D2684" w:rsidRPr="006D2684" w:rsidRDefault="006D2684" w:rsidP="00652271">
            <w:pPr>
              <w:suppressAutoHyphens w:val="0"/>
              <w:autoSpaceDE w:val="0"/>
              <w:autoSpaceDN w:val="0"/>
              <w:adjustRightInd w:val="0"/>
              <w:spacing w:line="240" w:lineRule="auto"/>
            </w:pPr>
            <w:r w:rsidRPr="006D2684">
              <w:t>Alternative packagings for the transport of animal material may be authorized by the competent authority in accordance with the provisions of 4.1.3.7</w:t>
            </w:r>
          </w:p>
        </w:tc>
      </w:tr>
    </w:tbl>
    <w:p w14:paraId="33222A42" w14:textId="5CEC1C1F" w:rsidR="00D85B93" w:rsidRPr="00B7248B" w:rsidRDefault="00B7248B" w:rsidP="00B7248B">
      <w:pPr>
        <w:spacing w:before="240"/>
        <w:jc w:val="center"/>
        <w:rPr>
          <w:u w:val="single"/>
        </w:rPr>
      </w:pPr>
      <w:r>
        <w:rPr>
          <w:u w:val="single"/>
        </w:rPr>
        <w:tab/>
      </w:r>
      <w:r>
        <w:rPr>
          <w:u w:val="single"/>
        </w:rPr>
        <w:tab/>
      </w:r>
      <w:r>
        <w:rPr>
          <w:u w:val="single"/>
        </w:rPr>
        <w:tab/>
      </w:r>
    </w:p>
    <w:sectPr w:rsidR="00D85B93" w:rsidRPr="00B7248B" w:rsidSect="0099001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78C2" w14:textId="77777777" w:rsidR="000A5EAB" w:rsidRDefault="000A5EAB"/>
  </w:endnote>
  <w:endnote w:type="continuationSeparator" w:id="0">
    <w:p w14:paraId="1A455D47" w14:textId="77777777" w:rsidR="000A5EAB" w:rsidRDefault="000A5EAB"/>
  </w:endnote>
  <w:endnote w:type="continuationNotice" w:id="1">
    <w:p w14:paraId="244155BB" w14:textId="77777777" w:rsidR="000A5EAB" w:rsidRDefault="000A5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DDCF"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D71F"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1A42" w14:textId="77777777" w:rsidR="00B7248B" w:rsidRDefault="00B7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7955" w14:textId="77777777" w:rsidR="000A5EAB" w:rsidRPr="000B175B" w:rsidRDefault="000A5EAB" w:rsidP="000B175B">
      <w:pPr>
        <w:tabs>
          <w:tab w:val="right" w:pos="2155"/>
        </w:tabs>
        <w:spacing w:after="80"/>
        <w:ind w:left="680"/>
        <w:rPr>
          <w:u w:val="single"/>
        </w:rPr>
      </w:pPr>
      <w:r>
        <w:rPr>
          <w:u w:val="single"/>
        </w:rPr>
        <w:tab/>
      </w:r>
    </w:p>
  </w:footnote>
  <w:footnote w:type="continuationSeparator" w:id="0">
    <w:p w14:paraId="479E95A3" w14:textId="77777777" w:rsidR="000A5EAB" w:rsidRPr="00FC68B7" w:rsidRDefault="000A5EAB" w:rsidP="00FC68B7">
      <w:pPr>
        <w:tabs>
          <w:tab w:val="left" w:pos="2155"/>
        </w:tabs>
        <w:spacing w:after="80"/>
        <w:ind w:left="680"/>
        <w:rPr>
          <w:u w:val="single"/>
        </w:rPr>
      </w:pPr>
      <w:r>
        <w:rPr>
          <w:u w:val="single"/>
        </w:rPr>
        <w:tab/>
      </w:r>
    </w:p>
  </w:footnote>
  <w:footnote w:type="continuationNotice" w:id="1">
    <w:p w14:paraId="7BCFC56F" w14:textId="77777777" w:rsidR="000A5EAB" w:rsidRDefault="000A5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BF79" w14:textId="2AEE4268" w:rsidR="006C0DC6" w:rsidRPr="0099001C" w:rsidRDefault="006C0DC6" w:rsidP="00366CA7">
    <w:pPr>
      <w:pStyle w:val="Header"/>
    </w:pPr>
    <w:r>
      <w:t>UN/SCE</w:t>
    </w:r>
    <w:r w:rsidR="00C01A22">
      <w:t>TDG</w:t>
    </w:r>
    <w:r>
      <w:t>/</w:t>
    </w:r>
    <w:r w:rsidR="00224BDB">
      <w:t>60</w:t>
    </w:r>
    <w:r>
      <w:t>/INF</w:t>
    </w:r>
    <w:r w:rsidR="002330E6">
      <w:t>.</w:t>
    </w:r>
    <w:r w:rsidR="00B7248B">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18C9" w14:textId="545DF79F" w:rsidR="006C0DC6" w:rsidRPr="0099001C" w:rsidRDefault="006C0DC6" w:rsidP="0099001C">
    <w:pPr>
      <w:pStyle w:val="Header"/>
      <w:jc w:val="right"/>
    </w:pPr>
    <w:r>
      <w:t>UN/SCE</w:t>
    </w:r>
    <w:r w:rsidR="00C01A22">
      <w:t>TDG</w:t>
    </w:r>
    <w:r>
      <w:t>/</w:t>
    </w:r>
    <w:r w:rsidR="00224BDB">
      <w:t>60</w:t>
    </w:r>
    <w:r w:rsidR="00C07F9E">
      <w:t>/</w:t>
    </w:r>
    <w:r>
      <w:t>INF.</w:t>
    </w:r>
    <w:r w:rsidR="00B7248B">
      <w:t>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B2F1" w14:textId="77777777" w:rsidR="00B7248B" w:rsidRDefault="00B7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BF4E96"/>
    <w:multiLevelType w:val="hybridMultilevel"/>
    <w:tmpl w:val="42A66864"/>
    <w:lvl w:ilvl="0" w:tplc="3960891A">
      <w:start w:val="7"/>
      <w:numFmt w:val="decimal"/>
      <w:lvlText w:val="(%1)"/>
      <w:lvlJc w:val="left"/>
      <w:pPr>
        <w:ind w:left="1742" w:hanging="608"/>
      </w:pPr>
      <w:rPr>
        <w:rFonts w:ascii="Times New Roman" w:eastAsia="Times New Roman" w:hAnsi="Times New Roman" w:cs="Times New Roman" w:hint="default"/>
        <w:color w:val="231F20"/>
        <w:w w:val="99"/>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69617C"/>
    <w:multiLevelType w:val="hybridMultilevel"/>
    <w:tmpl w:val="2702FA1A"/>
    <w:lvl w:ilvl="0" w:tplc="5F4680CE">
      <w:start w:val="1"/>
      <w:numFmt w:val="decimal"/>
      <w:lvlText w:val="(%1)"/>
      <w:lvlJc w:val="left"/>
      <w:pPr>
        <w:ind w:left="1675" w:hanging="541"/>
      </w:pPr>
      <w:rPr>
        <w:rFonts w:ascii="Times New Roman" w:eastAsia="Times New Roman" w:hAnsi="Times New Roman" w:cs="Times New Roman" w:hint="default"/>
        <w:color w:val="231F20"/>
        <w:w w:val="99"/>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0"/>
  </w:num>
  <w:num w:numId="9">
    <w:abstractNumId w:val="0"/>
  </w:num>
  <w:num w:numId="10">
    <w:abstractNumId w:val="1"/>
  </w:num>
  <w:num w:numId="11">
    <w:abstractNumId w:val="8"/>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5E5"/>
    <w:rsid w:val="00012767"/>
    <w:rsid w:val="000137FF"/>
    <w:rsid w:val="00013D99"/>
    <w:rsid w:val="0002214E"/>
    <w:rsid w:val="00024AB3"/>
    <w:rsid w:val="00030639"/>
    <w:rsid w:val="0003123C"/>
    <w:rsid w:val="00031CBB"/>
    <w:rsid w:val="00033B3D"/>
    <w:rsid w:val="0003793B"/>
    <w:rsid w:val="00042858"/>
    <w:rsid w:val="00043E1A"/>
    <w:rsid w:val="0004433E"/>
    <w:rsid w:val="000448F5"/>
    <w:rsid w:val="00050F6B"/>
    <w:rsid w:val="00051214"/>
    <w:rsid w:val="00054C58"/>
    <w:rsid w:val="0005512E"/>
    <w:rsid w:val="00057F51"/>
    <w:rsid w:val="000609DB"/>
    <w:rsid w:val="00065499"/>
    <w:rsid w:val="0006754E"/>
    <w:rsid w:val="000723E7"/>
    <w:rsid w:val="00072C8C"/>
    <w:rsid w:val="00076279"/>
    <w:rsid w:val="000765DD"/>
    <w:rsid w:val="00076E62"/>
    <w:rsid w:val="000778B2"/>
    <w:rsid w:val="00081647"/>
    <w:rsid w:val="00081F44"/>
    <w:rsid w:val="00083694"/>
    <w:rsid w:val="00083C33"/>
    <w:rsid w:val="000877CA"/>
    <w:rsid w:val="00090A51"/>
    <w:rsid w:val="000915A0"/>
    <w:rsid w:val="00092AAD"/>
    <w:rsid w:val="000931C0"/>
    <w:rsid w:val="0009390A"/>
    <w:rsid w:val="00096CD4"/>
    <w:rsid w:val="000A0664"/>
    <w:rsid w:val="000A155C"/>
    <w:rsid w:val="000A18E8"/>
    <w:rsid w:val="000A22EE"/>
    <w:rsid w:val="000A2837"/>
    <w:rsid w:val="000A2BF0"/>
    <w:rsid w:val="000A3E88"/>
    <w:rsid w:val="000A5146"/>
    <w:rsid w:val="000A5EAB"/>
    <w:rsid w:val="000B175B"/>
    <w:rsid w:val="000B3A0F"/>
    <w:rsid w:val="000B4C96"/>
    <w:rsid w:val="000B7378"/>
    <w:rsid w:val="000C1589"/>
    <w:rsid w:val="000C25B7"/>
    <w:rsid w:val="000C38D0"/>
    <w:rsid w:val="000C5B0B"/>
    <w:rsid w:val="000C6544"/>
    <w:rsid w:val="000C6A00"/>
    <w:rsid w:val="000D191F"/>
    <w:rsid w:val="000D39F8"/>
    <w:rsid w:val="000D3B0C"/>
    <w:rsid w:val="000D7DB6"/>
    <w:rsid w:val="000E0415"/>
    <w:rsid w:val="000E11A8"/>
    <w:rsid w:val="000E1ED2"/>
    <w:rsid w:val="000E45CC"/>
    <w:rsid w:val="000F10C6"/>
    <w:rsid w:val="000F2CE1"/>
    <w:rsid w:val="000F368C"/>
    <w:rsid w:val="000F3DDC"/>
    <w:rsid w:val="000F6C7B"/>
    <w:rsid w:val="00100A9D"/>
    <w:rsid w:val="00102373"/>
    <w:rsid w:val="001035FB"/>
    <w:rsid w:val="00107042"/>
    <w:rsid w:val="00110386"/>
    <w:rsid w:val="0011098D"/>
    <w:rsid w:val="00110D99"/>
    <w:rsid w:val="00110DF6"/>
    <w:rsid w:val="00111F3F"/>
    <w:rsid w:val="00114F74"/>
    <w:rsid w:val="0011793B"/>
    <w:rsid w:val="00120412"/>
    <w:rsid w:val="001211BC"/>
    <w:rsid w:val="001220B8"/>
    <w:rsid w:val="00123D08"/>
    <w:rsid w:val="001240C5"/>
    <w:rsid w:val="0013106B"/>
    <w:rsid w:val="00132A27"/>
    <w:rsid w:val="00132EE2"/>
    <w:rsid w:val="0013317B"/>
    <w:rsid w:val="0013397C"/>
    <w:rsid w:val="001362CB"/>
    <w:rsid w:val="0013641F"/>
    <w:rsid w:val="0013733A"/>
    <w:rsid w:val="00137D36"/>
    <w:rsid w:val="00144078"/>
    <w:rsid w:val="00147485"/>
    <w:rsid w:val="001475C0"/>
    <w:rsid w:val="001547CA"/>
    <w:rsid w:val="00156F3C"/>
    <w:rsid w:val="00162BF7"/>
    <w:rsid w:val="00163012"/>
    <w:rsid w:val="00163D0D"/>
    <w:rsid w:val="00165823"/>
    <w:rsid w:val="0016583F"/>
    <w:rsid w:val="0016793D"/>
    <w:rsid w:val="00172643"/>
    <w:rsid w:val="00172C04"/>
    <w:rsid w:val="001806E6"/>
    <w:rsid w:val="001832FF"/>
    <w:rsid w:val="00190AEA"/>
    <w:rsid w:val="00191F25"/>
    <w:rsid w:val="00195105"/>
    <w:rsid w:val="00196CD0"/>
    <w:rsid w:val="001A1B3F"/>
    <w:rsid w:val="001A2C53"/>
    <w:rsid w:val="001A3CE1"/>
    <w:rsid w:val="001A42F3"/>
    <w:rsid w:val="001A62B6"/>
    <w:rsid w:val="001B1308"/>
    <w:rsid w:val="001B1F42"/>
    <w:rsid w:val="001B2C77"/>
    <w:rsid w:val="001B36BA"/>
    <w:rsid w:val="001B4B04"/>
    <w:rsid w:val="001B7FE6"/>
    <w:rsid w:val="001C0B64"/>
    <w:rsid w:val="001C6663"/>
    <w:rsid w:val="001C7895"/>
    <w:rsid w:val="001D1E09"/>
    <w:rsid w:val="001D1E2A"/>
    <w:rsid w:val="001D26DF"/>
    <w:rsid w:val="001D5DE1"/>
    <w:rsid w:val="001D6D9F"/>
    <w:rsid w:val="001E2D52"/>
    <w:rsid w:val="001E47FD"/>
    <w:rsid w:val="001E4C75"/>
    <w:rsid w:val="001E5BA9"/>
    <w:rsid w:val="001E710B"/>
    <w:rsid w:val="001F20EB"/>
    <w:rsid w:val="001F3237"/>
    <w:rsid w:val="00201E38"/>
    <w:rsid w:val="00205370"/>
    <w:rsid w:val="00206DE0"/>
    <w:rsid w:val="00211ADF"/>
    <w:rsid w:val="00211D0D"/>
    <w:rsid w:val="00211E0B"/>
    <w:rsid w:val="00217F00"/>
    <w:rsid w:val="00224BDB"/>
    <w:rsid w:val="00226D5F"/>
    <w:rsid w:val="00226D9D"/>
    <w:rsid w:val="002330E6"/>
    <w:rsid w:val="00234380"/>
    <w:rsid w:val="002348F4"/>
    <w:rsid w:val="0023564D"/>
    <w:rsid w:val="00236E81"/>
    <w:rsid w:val="00237890"/>
    <w:rsid w:val="002401EF"/>
    <w:rsid w:val="002405A7"/>
    <w:rsid w:val="00244673"/>
    <w:rsid w:val="00245F5C"/>
    <w:rsid w:val="0024624B"/>
    <w:rsid w:val="002505DA"/>
    <w:rsid w:val="00252056"/>
    <w:rsid w:val="002570BC"/>
    <w:rsid w:val="00257E45"/>
    <w:rsid w:val="00262488"/>
    <w:rsid w:val="00263951"/>
    <w:rsid w:val="00265671"/>
    <w:rsid w:val="0026663D"/>
    <w:rsid w:val="00266898"/>
    <w:rsid w:val="0027313E"/>
    <w:rsid w:val="00275D77"/>
    <w:rsid w:val="00284A54"/>
    <w:rsid w:val="00285613"/>
    <w:rsid w:val="00286659"/>
    <w:rsid w:val="00295894"/>
    <w:rsid w:val="002A537C"/>
    <w:rsid w:val="002A5947"/>
    <w:rsid w:val="002A5A2D"/>
    <w:rsid w:val="002A7047"/>
    <w:rsid w:val="002B079A"/>
    <w:rsid w:val="002B3993"/>
    <w:rsid w:val="002B66EE"/>
    <w:rsid w:val="002B670E"/>
    <w:rsid w:val="002B6A44"/>
    <w:rsid w:val="002C116B"/>
    <w:rsid w:val="002C133E"/>
    <w:rsid w:val="002C1386"/>
    <w:rsid w:val="002C21E5"/>
    <w:rsid w:val="002C22EC"/>
    <w:rsid w:val="002C710D"/>
    <w:rsid w:val="002D1E27"/>
    <w:rsid w:val="002D3652"/>
    <w:rsid w:val="002D59D3"/>
    <w:rsid w:val="002E0624"/>
    <w:rsid w:val="002E6284"/>
    <w:rsid w:val="002E7C49"/>
    <w:rsid w:val="002F1024"/>
    <w:rsid w:val="002F1089"/>
    <w:rsid w:val="002F178F"/>
    <w:rsid w:val="002F19CB"/>
    <w:rsid w:val="002F7CA4"/>
    <w:rsid w:val="00305C3C"/>
    <w:rsid w:val="003073F4"/>
    <w:rsid w:val="003107FA"/>
    <w:rsid w:val="003118D4"/>
    <w:rsid w:val="003127A2"/>
    <w:rsid w:val="003140CE"/>
    <w:rsid w:val="003217B0"/>
    <w:rsid w:val="00321878"/>
    <w:rsid w:val="003229D8"/>
    <w:rsid w:val="003234A7"/>
    <w:rsid w:val="0032442E"/>
    <w:rsid w:val="0032489E"/>
    <w:rsid w:val="003265CA"/>
    <w:rsid w:val="00334D85"/>
    <w:rsid w:val="003366EC"/>
    <w:rsid w:val="0033745A"/>
    <w:rsid w:val="00337513"/>
    <w:rsid w:val="003376D4"/>
    <w:rsid w:val="00342302"/>
    <w:rsid w:val="003443E5"/>
    <w:rsid w:val="00350692"/>
    <w:rsid w:val="003506B8"/>
    <w:rsid w:val="00351974"/>
    <w:rsid w:val="00352E14"/>
    <w:rsid w:val="00353DBA"/>
    <w:rsid w:val="003565E5"/>
    <w:rsid w:val="00360834"/>
    <w:rsid w:val="00364E58"/>
    <w:rsid w:val="00366CA7"/>
    <w:rsid w:val="0037249C"/>
    <w:rsid w:val="00373F65"/>
    <w:rsid w:val="003819B1"/>
    <w:rsid w:val="00382921"/>
    <w:rsid w:val="003841B8"/>
    <w:rsid w:val="003864F3"/>
    <w:rsid w:val="0038656E"/>
    <w:rsid w:val="00387A81"/>
    <w:rsid w:val="00390529"/>
    <w:rsid w:val="0039277A"/>
    <w:rsid w:val="003937A6"/>
    <w:rsid w:val="003972E0"/>
    <w:rsid w:val="003A26B0"/>
    <w:rsid w:val="003A402E"/>
    <w:rsid w:val="003A4B23"/>
    <w:rsid w:val="003A5D05"/>
    <w:rsid w:val="003B39CC"/>
    <w:rsid w:val="003B7321"/>
    <w:rsid w:val="003C2CC4"/>
    <w:rsid w:val="003C32AD"/>
    <w:rsid w:val="003C3936"/>
    <w:rsid w:val="003C3C04"/>
    <w:rsid w:val="003C4B7F"/>
    <w:rsid w:val="003C54C2"/>
    <w:rsid w:val="003C7292"/>
    <w:rsid w:val="003C72DD"/>
    <w:rsid w:val="003D02C2"/>
    <w:rsid w:val="003D1EA9"/>
    <w:rsid w:val="003D4B23"/>
    <w:rsid w:val="003D621B"/>
    <w:rsid w:val="003E02A3"/>
    <w:rsid w:val="003E117E"/>
    <w:rsid w:val="003E1216"/>
    <w:rsid w:val="003E1B5B"/>
    <w:rsid w:val="003E1E60"/>
    <w:rsid w:val="003E4D37"/>
    <w:rsid w:val="003F0752"/>
    <w:rsid w:val="003F1287"/>
    <w:rsid w:val="003F18A0"/>
    <w:rsid w:val="003F1ED3"/>
    <w:rsid w:val="003F2060"/>
    <w:rsid w:val="003F29E4"/>
    <w:rsid w:val="003F4CBA"/>
    <w:rsid w:val="003F5E77"/>
    <w:rsid w:val="003F668F"/>
    <w:rsid w:val="003F6DAE"/>
    <w:rsid w:val="003F7973"/>
    <w:rsid w:val="003F7A75"/>
    <w:rsid w:val="0040598C"/>
    <w:rsid w:val="00410733"/>
    <w:rsid w:val="004160C6"/>
    <w:rsid w:val="00416BC8"/>
    <w:rsid w:val="004230C0"/>
    <w:rsid w:val="00424C81"/>
    <w:rsid w:val="0042573C"/>
    <w:rsid w:val="0042588C"/>
    <w:rsid w:val="00426C3A"/>
    <w:rsid w:val="00426C9C"/>
    <w:rsid w:val="00431C5B"/>
    <w:rsid w:val="004325CB"/>
    <w:rsid w:val="00433BFC"/>
    <w:rsid w:val="0043783F"/>
    <w:rsid w:val="00437EFC"/>
    <w:rsid w:val="00446DE4"/>
    <w:rsid w:val="00451562"/>
    <w:rsid w:val="0045333F"/>
    <w:rsid w:val="0045616D"/>
    <w:rsid w:val="00460DD9"/>
    <w:rsid w:val="004618A1"/>
    <w:rsid w:val="0046228F"/>
    <w:rsid w:val="00467579"/>
    <w:rsid w:val="004750BF"/>
    <w:rsid w:val="00475ACA"/>
    <w:rsid w:val="004774B9"/>
    <w:rsid w:val="0048291A"/>
    <w:rsid w:val="0048651D"/>
    <w:rsid w:val="004901B7"/>
    <w:rsid w:val="0049427E"/>
    <w:rsid w:val="00497A7B"/>
    <w:rsid w:val="004A2EA2"/>
    <w:rsid w:val="004A3F42"/>
    <w:rsid w:val="004A41CA"/>
    <w:rsid w:val="004A6072"/>
    <w:rsid w:val="004A6319"/>
    <w:rsid w:val="004A6C6E"/>
    <w:rsid w:val="004A707C"/>
    <w:rsid w:val="004A7239"/>
    <w:rsid w:val="004B6733"/>
    <w:rsid w:val="004C012B"/>
    <w:rsid w:val="004C7AF7"/>
    <w:rsid w:val="004D16C5"/>
    <w:rsid w:val="004D5CB2"/>
    <w:rsid w:val="004D6E91"/>
    <w:rsid w:val="004D7EFA"/>
    <w:rsid w:val="004E09B1"/>
    <w:rsid w:val="004E478E"/>
    <w:rsid w:val="004E5083"/>
    <w:rsid w:val="004E674C"/>
    <w:rsid w:val="004E76F6"/>
    <w:rsid w:val="004E7AD9"/>
    <w:rsid w:val="004E7DE6"/>
    <w:rsid w:val="004F1932"/>
    <w:rsid w:val="004F43E6"/>
    <w:rsid w:val="004F47EC"/>
    <w:rsid w:val="004F4B24"/>
    <w:rsid w:val="004F65C1"/>
    <w:rsid w:val="00501115"/>
    <w:rsid w:val="00501D18"/>
    <w:rsid w:val="00503228"/>
    <w:rsid w:val="00503516"/>
    <w:rsid w:val="00505384"/>
    <w:rsid w:val="00516318"/>
    <w:rsid w:val="0051748D"/>
    <w:rsid w:val="00517A1B"/>
    <w:rsid w:val="00525275"/>
    <w:rsid w:val="0052543F"/>
    <w:rsid w:val="00526E8A"/>
    <w:rsid w:val="00532EF8"/>
    <w:rsid w:val="005356FB"/>
    <w:rsid w:val="00536886"/>
    <w:rsid w:val="00540DD6"/>
    <w:rsid w:val="005420F2"/>
    <w:rsid w:val="005433C8"/>
    <w:rsid w:val="005450F3"/>
    <w:rsid w:val="00545150"/>
    <w:rsid w:val="00545F1A"/>
    <w:rsid w:val="005504B6"/>
    <w:rsid w:val="00551AB9"/>
    <w:rsid w:val="00551FC6"/>
    <w:rsid w:val="00553222"/>
    <w:rsid w:val="005560DB"/>
    <w:rsid w:val="00562548"/>
    <w:rsid w:val="00562694"/>
    <w:rsid w:val="00564D53"/>
    <w:rsid w:val="0056627E"/>
    <w:rsid w:val="00567BC7"/>
    <w:rsid w:val="0057024D"/>
    <w:rsid w:val="00570364"/>
    <w:rsid w:val="00570CC4"/>
    <w:rsid w:val="00571FB2"/>
    <w:rsid w:val="00572B36"/>
    <w:rsid w:val="005777F3"/>
    <w:rsid w:val="00585A18"/>
    <w:rsid w:val="00586F4A"/>
    <w:rsid w:val="005900D3"/>
    <w:rsid w:val="00592D34"/>
    <w:rsid w:val="00592F4D"/>
    <w:rsid w:val="00592FDB"/>
    <w:rsid w:val="005A0903"/>
    <w:rsid w:val="005A1E22"/>
    <w:rsid w:val="005A43C6"/>
    <w:rsid w:val="005A503C"/>
    <w:rsid w:val="005A79B8"/>
    <w:rsid w:val="005B054C"/>
    <w:rsid w:val="005B1B47"/>
    <w:rsid w:val="005B1F1B"/>
    <w:rsid w:val="005B1F57"/>
    <w:rsid w:val="005B2C89"/>
    <w:rsid w:val="005B3DB3"/>
    <w:rsid w:val="005B408C"/>
    <w:rsid w:val="005C13CD"/>
    <w:rsid w:val="005C22AD"/>
    <w:rsid w:val="005C4858"/>
    <w:rsid w:val="005C53DB"/>
    <w:rsid w:val="005D33AB"/>
    <w:rsid w:val="005D425A"/>
    <w:rsid w:val="005D4725"/>
    <w:rsid w:val="005D529D"/>
    <w:rsid w:val="005E0F2B"/>
    <w:rsid w:val="005E1591"/>
    <w:rsid w:val="005E249C"/>
    <w:rsid w:val="005E27AB"/>
    <w:rsid w:val="005E37E7"/>
    <w:rsid w:val="005E46D3"/>
    <w:rsid w:val="005E743D"/>
    <w:rsid w:val="005F2648"/>
    <w:rsid w:val="00600487"/>
    <w:rsid w:val="00602EE8"/>
    <w:rsid w:val="00602FF5"/>
    <w:rsid w:val="006034C6"/>
    <w:rsid w:val="00603B91"/>
    <w:rsid w:val="00603E59"/>
    <w:rsid w:val="006055EE"/>
    <w:rsid w:val="00606679"/>
    <w:rsid w:val="00611FC4"/>
    <w:rsid w:val="006176FB"/>
    <w:rsid w:val="006218CD"/>
    <w:rsid w:val="00623353"/>
    <w:rsid w:val="006241C1"/>
    <w:rsid w:val="00624260"/>
    <w:rsid w:val="0062490D"/>
    <w:rsid w:val="0062753C"/>
    <w:rsid w:val="00627ED0"/>
    <w:rsid w:val="00633DBA"/>
    <w:rsid w:val="00633ED0"/>
    <w:rsid w:val="00634702"/>
    <w:rsid w:val="00640B26"/>
    <w:rsid w:val="00640FD5"/>
    <w:rsid w:val="00641F8E"/>
    <w:rsid w:val="00642B1E"/>
    <w:rsid w:val="00643E18"/>
    <w:rsid w:val="0064479D"/>
    <w:rsid w:val="006507DE"/>
    <w:rsid w:val="006545BA"/>
    <w:rsid w:val="00654697"/>
    <w:rsid w:val="00661F7A"/>
    <w:rsid w:val="006632CE"/>
    <w:rsid w:val="00665595"/>
    <w:rsid w:val="006666F6"/>
    <w:rsid w:val="006743E5"/>
    <w:rsid w:val="0068043C"/>
    <w:rsid w:val="006879C9"/>
    <w:rsid w:val="00687A18"/>
    <w:rsid w:val="00691F20"/>
    <w:rsid w:val="00693543"/>
    <w:rsid w:val="00693F47"/>
    <w:rsid w:val="00694263"/>
    <w:rsid w:val="006944AB"/>
    <w:rsid w:val="00694E7D"/>
    <w:rsid w:val="00695C1E"/>
    <w:rsid w:val="006A26C8"/>
    <w:rsid w:val="006A7392"/>
    <w:rsid w:val="006A7757"/>
    <w:rsid w:val="006B0029"/>
    <w:rsid w:val="006B195F"/>
    <w:rsid w:val="006B4E5D"/>
    <w:rsid w:val="006B533E"/>
    <w:rsid w:val="006B5E68"/>
    <w:rsid w:val="006B79E3"/>
    <w:rsid w:val="006C0DC6"/>
    <w:rsid w:val="006C241B"/>
    <w:rsid w:val="006C2471"/>
    <w:rsid w:val="006C36AA"/>
    <w:rsid w:val="006C3F77"/>
    <w:rsid w:val="006C41F5"/>
    <w:rsid w:val="006C52B9"/>
    <w:rsid w:val="006D2106"/>
    <w:rsid w:val="006D2684"/>
    <w:rsid w:val="006D36D1"/>
    <w:rsid w:val="006D383D"/>
    <w:rsid w:val="006D633D"/>
    <w:rsid w:val="006E1A35"/>
    <w:rsid w:val="006E1F95"/>
    <w:rsid w:val="006E20C4"/>
    <w:rsid w:val="006E2A58"/>
    <w:rsid w:val="006E2CE0"/>
    <w:rsid w:val="006E41A2"/>
    <w:rsid w:val="006E41F6"/>
    <w:rsid w:val="006E564B"/>
    <w:rsid w:val="006E7306"/>
    <w:rsid w:val="006E762C"/>
    <w:rsid w:val="006E7CEF"/>
    <w:rsid w:val="006F17B5"/>
    <w:rsid w:val="006F2413"/>
    <w:rsid w:val="006F6BFA"/>
    <w:rsid w:val="00700E12"/>
    <w:rsid w:val="00702BA6"/>
    <w:rsid w:val="007103BF"/>
    <w:rsid w:val="0071349F"/>
    <w:rsid w:val="00717E07"/>
    <w:rsid w:val="00720DEB"/>
    <w:rsid w:val="00720E11"/>
    <w:rsid w:val="00725594"/>
    <w:rsid w:val="0072632A"/>
    <w:rsid w:val="0073084C"/>
    <w:rsid w:val="007316E1"/>
    <w:rsid w:val="007326E1"/>
    <w:rsid w:val="00733AAE"/>
    <w:rsid w:val="00735880"/>
    <w:rsid w:val="00736209"/>
    <w:rsid w:val="007372E2"/>
    <w:rsid w:val="00740598"/>
    <w:rsid w:val="0074105E"/>
    <w:rsid w:val="007435D4"/>
    <w:rsid w:val="00745024"/>
    <w:rsid w:val="007468B8"/>
    <w:rsid w:val="00752A06"/>
    <w:rsid w:val="00752BD5"/>
    <w:rsid w:val="0075458D"/>
    <w:rsid w:val="00754EE1"/>
    <w:rsid w:val="00762E85"/>
    <w:rsid w:val="00763C11"/>
    <w:rsid w:val="00766D93"/>
    <w:rsid w:val="0077406B"/>
    <w:rsid w:val="00774FA5"/>
    <w:rsid w:val="007750C3"/>
    <w:rsid w:val="00775D8C"/>
    <w:rsid w:val="00781A60"/>
    <w:rsid w:val="00783AF2"/>
    <w:rsid w:val="00783AF8"/>
    <w:rsid w:val="0078417F"/>
    <w:rsid w:val="00786A3A"/>
    <w:rsid w:val="00787C77"/>
    <w:rsid w:val="00790122"/>
    <w:rsid w:val="00792D96"/>
    <w:rsid w:val="00792ECE"/>
    <w:rsid w:val="007955EA"/>
    <w:rsid w:val="007A3FBD"/>
    <w:rsid w:val="007A4977"/>
    <w:rsid w:val="007A6A94"/>
    <w:rsid w:val="007B0262"/>
    <w:rsid w:val="007B6BA5"/>
    <w:rsid w:val="007B7FB2"/>
    <w:rsid w:val="007C269D"/>
    <w:rsid w:val="007C3390"/>
    <w:rsid w:val="007C4F4B"/>
    <w:rsid w:val="007C6044"/>
    <w:rsid w:val="007E18A9"/>
    <w:rsid w:val="007E396C"/>
    <w:rsid w:val="007E6124"/>
    <w:rsid w:val="007E70FF"/>
    <w:rsid w:val="007F025F"/>
    <w:rsid w:val="007F0B83"/>
    <w:rsid w:val="007F48EF"/>
    <w:rsid w:val="007F4FCD"/>
    <w:rsid w:val="007F650F"/>
    <w:rsid w:val="007F6611"/>
    <w:rsid w:val="00800FB0"/>
    <w:rsid w:val="00806235"/>
    <w:rsid w:val="00812CCE"/>
    <w:rsid w:val="008151D2"/>
    <w:rsid w:val="00816933"/>
    <w:rsid w:val="0081732C"/>
    <w:rsid w:val="008175E9"/>
    <w:rsid w:val="00820370"/>
    <w:rsid w:val="0082231C"/>
    <w:rsid w:val="0082396E"/>
    <w:rsid w:val="008242D7"/>
    <w:rsid w:val="008259DF"/>
    <w:rsid w:val="00826EFF"/>
    <w:rsid w:val="00827E05"/>
    <w:rsid w:val="008311A3"/>
    <w:rsid w:val="00832795"/>
    <w:rsid w:val="008349EC"/>
    <w:rsid w:val="00836AF7"/>
    <w:rsid w:val="00847D11"/>
    <w:rsid w:val="0085028A"/>
    <w:rsid w:val="0086000D"/>
    <w:rsid w:val="0086055B"/>
    <w:rsid w:val="00860D55"/>
    <w:rsid w:val="00862284"/>
    <w:rsid w:val="00865A21"/>
    <w:rsid w:val="00867086"/>
    <w:rsid w:val="00867562"/>
    <w:rsid w:val="00870D13"/>
    <w:rsid w:val="00871FD5"/>
    <w:rsid w:val="00872E35"/>
    <w:rsid w:val="00874FB8"/>
    <w:rsid w:val="00877A43"/>
    <w:rsid w:val="00882090"/>
    <w:rsid w:val="008852E3"/>
    <w:rsid w:val="00887755"/>
    <w:rsid w:val="0089033B"/>
    <w:rsid w:val="00890B04"/>
    <w:rsid w:val="00893992"/>
    <w:rsid w:val="00896186"/>
    <w:rsid w:val="00897025"/>
    <w:rsid w:val="008979B1"/>
    <w:rsid w:val="00897BD7"/>
    <w:rsid w:val="008A5DCD"/>
    <w:rsid w:val="008A6B25"/>
    <w:rsid w:val="008A6C1B"/>
    <w:rsid w:val="008A6C4F"/>
    <w:rsid w:val="008A7F3B"/>
    <w:rsid w:val="008B3F54"/>
    <w:rsid w:val="008B40B7"/>
    <w:rsid w:val="008B46F0"/>
    <w:rsid w:val="008B52E8"/>
    <w:rsid w:val="008B6E26"/>
    <w:rsid w:val="008C0DD5"/>
    <w:rsid w:val="008C3353"/>
    <w:rsid w:val="008C34B0"/>
    <w:rsid w:val="008C3FFB"/>
    <w:rsid w:val="008D02E6"/>
    <w:rsid w:val="008D314A"/>
    <w:rsid w:val="008D3F4B"/>
    <w:rsid w:val="008D7B55"/>
    <w:rsid w:val="008E0E46"/>
    <w:rsid w:val="008E0FB3"/>
    <w:rsid w:val="008E1F9C"/>
    <w:rsid w:val="008E4640"/>
    <w:rsid w:val="008E4C4C"/>
    <w:rsid w:val="008E646E"/>
    <w:rsid w:val="008E64AE"/>
    <w:rsid w:val="008F02B0"/>
    <w:rsid w:val="008F29C1"/>
    <w:rsid w:val="008F3CB0"/>
    <w:rsid w:val="008F583E"/>
    <w:rsid w:val="0090052B"/>
    <w:rsid w:val="00902BF1"/>
    <w:rsid w:val="0090431C"/>
    <w:rsid w:val="00907AD2"/>
    <w:rsid w:val="00910260"/>
    <w:rsid w:val="00911047"/>
    <w:rsid w:val="009134D8"/>
    <w:rsid w:val="00917321"/>
    <w:rsid w:val="00921DF8"/>
    <w:rsid w:val="009265B7"/>
    <w:rsid w:val="00927819"/>
    <w:rsid w:val="00930308"/>
    <w:rsid w:val="00931073"/>
    <w:rsid w:val="00933D9F"/>
    <w:rsid w:val="0093545E"/>
    <w:rsid w:val="00936565"/>
    <w:rsid w:val="0094040C"/>
    <w:rsid w:val="009404A6"/>
    <w:rsid w:val="00940847"/>
    <w:rsid w:val="0094386E"/>
    <w:rsid w:val="009440D4"/>
    <w:rsid w:val="009449FD"/>
    <w:rsid w:val="00944D2D"/>
    <w:rsid w:val="00946F0A"/>
    <w:rsid w:val="00951778"/>
    <w:rsid w:val="00952BE3"/>
    <w:rsid w:val="00956B99"/>
    <w:rsid w:val="00957AD6"/>
    <w:rsid w:val="009612BF"/>
    <w:rsid w:val="00963CBA"/>
    <w:rsid w:val="00963FED"/>
    <w:rsid w:val="0096659B"/>
    <w:rsid w:val="00966CD6"/>
    <w:rsid w:val="00966CD7"/>
    <w:rsid w:val="009715EE"/>
    <w:rsid w:val="00974146"/>
    <w:rsid w:val="00974A8D"/>
    <w:rsid w:val="00974ABE"/>
    <w:rsid w:val="00974C60"/>
    <w:rsid w:val="00974F4C"/>
    <w:rsid w:val="00975059"/>
    <w:rsid w:val="0098016B"/>
    <w:rsid w:val="009866D5"/>
    <w:rsid w:val="00987072"/>
    <w:rsid w:val="0098707E"/>
    <w:rsid w:val="0099001C"/>
    <w:rsid w:val="00991261"/>
    <w:rsid w:val="009A0D5F"/>
    <w:rsid w:val="009A1082"/>
    <w:rsid w:val="009A527C"/>
    <w:rsid w:val="009A5B4A"/>
    <w:rsid w:val="009B157C"/>
    <w:rsid w:val="009B43E1"/>
    <w:rsid w:val="009B4939"/>
    <w:rsid w:val="009B55EC"/>
    <w:rsid w:val="009B6D3A"/>
    <w:rsid w:val="009B71F3"/>
    <w:rsid w:val="009C13A1"/>
    <w:rsid w:val="009C1781"/>
    <w:rsid w:val="009C17AC"/>
    <w:rsid w:val="009C31E7"/>
    <w:rsid w:val="009C36B5"/>
    <w:rsid w:val="009D0EC7"/>
    <w:rsid w:val="009D0FA6"/>
    <w:rsid w:val="009D1B37"/>
    <w:rsid w:val="009D43BC"/>
    <w:rsid w:val="009D49A6"/>
    <w:rsid w:val="009D623C"/>
    <w:rsid w:val="009E72B5"/>
    <w:rsid w:val="009E7885"/>
    <w:rsid w:val="009E7F76"/>
    <w:rsid w:val="009F16FB"/>
    <w:rsid w:val="009F3106"/>
    <w:rsid w:val="009F3A17"/>
    <w:rsid w:val="009F3BF5"/>
    <w:rsid w:val="009F6CAF"/>
    <w:rsid w:val="00A008ED"/>
    <w:rsid w:val="00A0477C"/>
    <w:rsid w:val="00A123AB"/>
    <w:rsid w:val="00A1355C"/>
    <w:rsid w:val="00A1427D"/>
    <w:rsid w:val="00A142D1"/>
    <w:rsid w:val="00A14380"/>
    <w:rsid w:val="00A15CB4"/>
    <w:rsid w:val="00A1649D"/>
    <w:rsid w:val="00A20AEB"/>
    <w:rsid w:val="00A25163"/>
    <w:rsid w:val="00A257FA"/>
    <w:rsid w:val="00A25BA6"/>
    <w:rsid w:val="00A3227A"/>
    <w:rsid w:val="00A35008"/>
    <w:rsid w:val="00A35AE8"/>
    <w:rsid w:val="00A40A6E"/>
    <w:rsid w:val="00A429E3"/>
    <w:rsid w:val="00A463F1"/>
    <w:rsid w:val="00A50173"/>
    <w:rsid w:val="00A51DB9"/>
    <w:rsid w:val="00A52B4E"/>
    <w:rsid w:val="00A530ED"/>
    <w:rsid w:val="00A5477E"/>
    <w:rsid w:val="00A54F58"/>
    <w:rsid w:val="00A55FB2"/>
    <w:rsid w:val="00A67424"/>
    <w:rsid w:val="00A70749"/>
    <w:rsid w:val="00A70B89"/>
    <w:rsid w:val="00A71EC0"/>
    <w:rsid w:val="00A72F22"/>
    <w:rsid w:val="00A748A6"/>
    <w:rsid w:val="00A76B9A"/>
    <w:rsid w:val="00A77E77"/>
    <w:rsid w:val="00A805EB"/>
    <w:rsid w:val="00A80877"/>
    <w:rsid w:val="00A81711"/>
    <w:rsid w:val="00A8577D"/>
    <w:rsid w:val="00A879A4"/>
    <w:rsid w:val="00A91158"/>
    <w:rsid w:val="00A94CB3"/>
    <w:rsid w:val="00A958C8"/>
    <w:rsid w:val="00AA332B"/>
    <w:rsid w:val="00AA496B"/>
    <w:rsid w:val="00AA5028"/>
    <w:rsid w:val="00AA63F2"/>
    <w:rsid w:val="00AB1332"/>
    <w:rsid w:val="00AB16DB"/>
    <w:rsid w:val="00AB3FD6"/>
    <w:rsid w:val="00AB4960"/>
    <w:rsid w:val="00AB6280"/>
    <w:rsid w:val="00AB6B7D"/>
    <w:rsid w:val="00AB720C"/>
    <w:rsid w:val="00AC1F45"/>
    <w:rsid w:val="00AC35ED"/>
    <w:rsid w:val="00AC4E2F"/>
    <w:rsid w:val="00AD4169"/>
    <w:rsid w:val="00AD605D"/>
    <w:rsid w:val="00AD6EF5"/>
    <w:rsid w:val="00AE25DA"/>
    <w:rsid w:val="00AE3219"/>
    <w:rsid w:val="00AE3D8F"/>
    <w:rsid w:val="00AE405A"/>
    <w:rsid w:val="00AE4E50"/>
    <w:rsid w:val="00AF1FB0"/>
    <w:rsid w:val="00AF22E6"/>
    <w:rsid w:val="00AF475E"/>
    <w:rsid w:val="00AF7D41"/>
    <w:rsid w:val="00B012CB"/>
    <w:rsid w:val="00B078E8"/>
    <w:rsid w:val="00B10465"/>
    <w:rsid w:val="00B10CA2"/>
    <w:rsid w:val="00B13633"/>
    <w:rsid w:val="00B1509D"/>
    <w:rsid w:val="00B172A6"/>
    <w:rsid w:val="00B17E1A"/>
    <w:rsid w:val="00B208C1"/>
    <w:rsid w:val="00B226A3"/>
    <w:rsid w:val="00B30179"/>
    <w:rsid w:val="00B325A9"/>
    <w:rsid w:val="00B339D3"/>
    <w:rsid w:val="00B33EC0"/>
    <w:rsid w:val="00B33FCC"/>
    <w:rsid w:val="00B34226"/>
    <w:rsid w:val="00B36067"/>
    <w:rsid w:val="00B36BD5"/>
    <w:rsid w:val="00B4022A"/>
    <w:rsid w:val="00B406F6"/>
    <w:rsid w:val="00B47B0C"/>
    <w:rsid w:val="00B51069"/>
    <w:rsid w:val="00B520F8"/>
    <w:rsid w:val="00B523F6"/>
    <w:rsid w:val="00B52E4E"/>
    <w:rsid w:val="00B53CBD"/>
    <w:rsid w:val="00B5742C"/>
    <w:rsid w:val="00B577F4"/>
    <w:rsid w:val="00B61246"/>
    <w:rsid w:val="00B647CA"/>
    <w:rsid w:val="00B66E5A"/>
    <w:rsid w:val="00B66E74"/>
    <w:rsid w:val="00B7248B"/>
    <w:rsid w:val="00B74353"/>
    <w:rsid w:val="00B762D3"/>
    <w:rsid w:val="00B81E12"/>
    <w:rsid w:val="00B83093"/>
    <w:rsid w:val="00B839A7"/>
    <w:rsid w:val="00B845D6"/>
    <w:rsid w:val="00B85329"/>
    <w:rsid w:val="00B87CF1"/>
    <w:rsid w:val="00B90AC5"/>
    <w:rsid w:val="00B90C56"/>
    <w:rsid w:val="00B91D03"/>
    <w:rsid w:val="00B96314"/>
    <w:rsid w:val="00B963B2"/>
    <w:rsid w:val="00B9671A"/>
    <w:rsid w:val="00B968A0"/>
    <w:rsid w:val="00BA515F"/>
    <w:rsid w:val="00BA5FB4"/>
    <w:rsid w:val="00BB129E"/>
    <w:rsid w:val="00BB5E36"/>
    <w:rsid w:val="00BB60D4"/>
    <w:rsid w:val="00BB62BE"/>
    <w:rsid w:val="00BB6799"/>
    <w:rsid w:val="00BC2F52"/>
    <w:rsid w:val="00BC3830"/>
    <w:rsid w:val="00BC5C60"/>
    <w:rsid w:val="00BC6B7B"/>
    <w:rsid w:val="00BC7496"/>
    <w:rsid w:val="00BC74E9"/>
    <w:rsid w:val="00BD138D"/>
    <w:rsid w:val="00BD2146"/>
    <w:rsid w:val="00BD2E27"/>
    <w:rsid w:val="00BD6280"/>
    <w:rsid w:val="00BD7385"/>
    <w:rsid w:val="00BE37C1"/>
    <w:rsid w:val="00BE4F74"/>
    <w:rsid w:val="00BE6017"/>
    <w:rsid w:val="00BE618E"/>
    <w:rsid w:val="00BE62C1"/>
    <w:rsid w:val="00BE6BC5"/>
    <w:rsid w:val="00BF3D59"/>
    <w:rsid w:val="00BF512C"/>
    <w:rsid w:val="00C01A22"/>
    <w:rsid w:val="00C02512"/>
    <w:rsid w:val="00C030C9"/>
    <w:rsid w:val="00C04DFB"/>
    <w:rsid w:val="00C07F9E"/>
    <w:rsid w:val="00C10DD8"/>
    <w:rsid w:val="00C11473"/>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1B28"/>
    <w:rsid w:val="00C527B3"/>
    <w:rsid w:val="00C55437"/>
    <w:rsid w:val="00C55A7E"/>
    <w:rsid w:val="00C564FA"/>
    <w:rsid w:val="00C56E7F"/>
    <w:rsid w:val="00C61A61"/>
    <w:rsid w:val="00C63480"/>
    <w:rsid w:val="00C6468A"/>
    <w:rsid w:val="00C67B25"/>
    <w:rsid w:val="00C7172A"/>
    <w:rsid w:val="00C72BFC"/>
    <w:rsid w:val="00C745C3"/>
    <w:rsid w:val="00C7549B"/>
    <w:rsid w:val="00C7582B"/>
    <w:rsid w:val="00C766BF"/>
    <w:rsid w:val="00C86842"/>
    <w:rsid w:val="00C900CD"/>
    <w:rsid w:val="00C90FCB"/>
    <w:rsid w:val="00CA1321"/>
    <w:rsid w:val="00CA2E8B"/>
    <w:rsid w:val="00CA390E"/>
    <w:rsid w:val="00CA56FF"/>
    <w:rsid w:val="00CA73A2"/>
    <w:rsid w:val="00CA797A"/>
    <w:rsid w:val="00CB1281"/>
    <w:rsid w:val="00CB13B0"/>
    <w:rsid w:val="00CB70D1"/>
    <w:rsid w:val="00CC1344"/>
    <w:rsid w:val="00CC44E0"/>
    <w:rsid w:val="00CC4AD6"/>
    <w:rsid w:val="00CE025D"/>
    <w:rsid w:val="00CE10A8"/>
    <w:rsid w:val="00CE2A04"/>
    <w:rsid w:val="00CE3324"/>
    <w:rsid w:val="00CE4A8F"/>
    <w:rsid w:val="00CE4B9D"/>
    <w:rsid w:val="00CE4DA7"/>
    <w:rsid w:val="00CF13A6"/>
    <w:rsid w:val="00CF2FA9"/>
    <w:rsid w:val="00CF5B9E"/>
    <w:rsid w:val="00CF6929"/>
    <w:rsid w:val="00CF6EE8"/>
    <w:rsid w:val="00D00141"/>
    <w:rsid w:val="00D008DB"/>
    <w:rsid w:val="00D030E1"/>
    <w:rsid w:val="00D0613B"/>
    <w:rsid w:val="00D067AA"/>
    <w:rsid w:val="00D06CD2"/>
    <w:rsid w:val="00D07175"/>
    <w:rsid w:val="00D0737E"/>
    <w:rsid w:val="00D1146A"/>
    <w:rsid w:val="00D1722D"/>
    <w:rsid w:val="00D17E6C"/>
    <w:rsid w:val="00D2031B"/>
    <w:rsid w:val="00D21980"/>
    <w:rsid w:val="00D24347"/>
    <w:rsid w:val="00D2448E"/>
    <w:rsid w:val="00D25FE2"/>
    <w:rsid w:val="00D279BB"/>
    <w:rsid w:val="00D305E2"/>
    <w:rsid w:val="00D307F3"/>
    <w:rsid w:val="00D317BB"/>
    <w:rsid w:val="00D3192B"/>
    <w:rsid w:val="00D31A35"/>
    <w:rsid w:val="00D35D8F"/>
    <w:rsid w:val="00D4110A"/>
    <w:rsid w:val="00D42106"/>
    <w:rsid w:val="00D427EE"/>
    <w:rsid w:val="00D43252"/>
    <w:rsid w:val="00D45103"/>
    <w:rsid w:val="00D54AB1"/>
    <w:rsid w:val="00D60093"/>
    <w:rsid w:val="00D607E3"/>
    <w:rsid w:val="00D61666"/>
    <w:rsid w:val="00D61BE3"/>
    <w:rsid w:val="00D62C64"/>
    <w:rsid w:val="00D637C6"/>
    <w:rsid w:val="00D63AF3"/>
    <w:rsid w:val="00D655D5"/>
    <w:rsid w:val="00D71971"/>
    <w:rsid w:val="00D74237"/>
    <w:rsid w:val="00D74E9A"/>
    <w:rsid w:val="00D77993"/>
    <w:rsid w:val="00D77BE6"/>
    <w:rsid w:val="00D81879"/>
    <w:rsid w:val="00D81A2B"/>
    <w:rsid w:val="00D85B93"/>
    <w:rsid w:val="00D91C9C"/>
    <w:rsid w:val="00D978C6"/>
    <w:rsid w:val="00DA2989"/>
    <w:rsid w:val="00DA3054"/>
    <w:rsid w:val="00DA4AC8"/>
    <w:rsid w:val="00DA67AD"/>
    <w:rsid w:val="00DB187C"/>
    <w:rsid w:val="00DB2A67"/>
    <w:rsid w:val="00DB2BED"/>
    <w:rsid w:val="00DB579F"/>
    <w:rsid w:val="00DB5D0F"/>
    <w:rsid w:val="00DB723D"/>
    <w:rsid w:val="00DC3156"/>
    <w:rsid w:val="00DC3242"/>
    <w:rsid w:val="00DC410C"/>
    <w:rsid w:val="00DD5E5C"/>
    <w:rsid w:val="00DD5F36"/>
    <w:rsid w:val="00DD6DB6"/>
    <w:rsid w:val="00DD738F"/>
    <w:rsid w:val="00DD7C2D"/>
    <w:rsid w:val="00DE0552"/>
    <w:rsid w:val="00DE057D"/>
    <w:rsid w:val="00DE0580"/>
    <w:rsid w:val="00DE7C9F"/>
    <w:rsid w:val="00DF0A29"/>
    <w:rsid w:val="00DF12F7"/>
    <w:rsid w:val="00DF1FBC"/>
    <w:rsid w:val="00DF2C64"/>
    <w:rsid w:val="00DF30CC"/>
    <w:rsid w:val="00DF3BCA"/>
    <w:rsid w:val="00DF6813"/>
    <w:rsid w:val="00E01030"/>
    <w:rsid w:val="00E01575"/>
    <w:rsid w:val="00E023E0"/>
    <w:rsid w:val="00E027C0"/>
    <w:rsid w:val="00E02BA9"/>
    <w:rsid w:val="00E02C81"/>
    <w:rsid w:val="00E06EAB"/>
    <w:rsid w:val="00E07137"/>
    <w:rsid w:val="00E07263"/>
    <w:rsid w:val="00E11C15"/>
    <w:rsid w:val="00E130AB"/>
    <w:rsid w:val="00E1360D"/>
    <w:rsid w:val="00E26913"/>
    <w:rsid w:val="00E329E0"/>
    <w:rsid w:val="00E369CA"/>
    <w:rsid w:val="00E405EE"/>
    <w:rsid w:val="00E4125F"/>
    <w:rsid w:val="00E41B04"/>
    <w:rsid w:val="00E43A7D"/>
    <w:rsid w:val="00E57B4F"/>
    <w:rsid w:val="00E61D33"/>
    <w:rsid w:val="00E61DE0"/>
    <w:rsid w:val="00E61F55"/>
    <w:rsid w:val="00E6200B"/>
    <w:rsid w:val="00E64376"/>
    <w:rsid w:val="00E6498A"/>
    <w:rsid w:val="00E676B4"/>
    <w:rsid w:val="00E713DC"/>
    <w:rsid w:val="00E71905"/>
    <w:rsid w:val="00E7260F"/>
    <w:rsid w:val="00E72811"/>
    <w:rsid w:val="00E80F5F"/>
    <w:rsid w:val="00E826C0"/>
    <w:rsid w:val="00E828B8"/>
    <w:rsid w:val="00E82C26"/>
    <w:rsid w:val="00E85856"/>
    <w:rsid w:val="00E85ED4"/>
    <w:rsid w:val="00E862CA"/>
    <w:rsid w:val="00E87921"/>
    <w:rsid w:val="00E87EC4"/>
    <w:rsid w:val="00E94E5E"/>
    <w:rsid w:val="00E95C41"/>
    <w:rsid w:val="00E96630"/>
    <w:rsid w:val="00E96D11"/>
    <w:rsid w:val="00E97278"/>
    <w:rsid w:val="00E97F8A"/>
    <w:rsid w:val="00EA0243"/>
    <w:rsid w:val="00EA264E"/>
    <w:rsid w:val="00EA2D43"/>
    <w:rsid w:val="00EA3A41"/>
    <w:rsid w:val="00EA4CA3"/>
    <w:rsid w:val="00EA7F49"/>
    <w:rsid w:val="00EB15A9"/>
    <w:rsid w:val="00EB3339"/>
    <w:rsid w:val="00EB430E"/>
    <w:rsid w:val="00EB6C91"/>
    <w:rsid w:val="00EC1E1B"/>
    <w:rsid w:val="00EC2105"/>
    <w:rsid w:val="00EC326B"/>
    <w:rsid w:val="00EC3AE0"/>
    <w:rsid w:val="00EC48A8"/>
    <w:rsid w:val="00EC5C86"/>
    <w:rsid w:val="00EC65A6"/>
    <w:rsid w:val="00ED5C86"/>
    <w:rsid w:val="00ED7A2A"/>
    <w:rsid w:val="00EE6E0E"/>
    <w:rsid w:val="00EF09B7"/>
    <w:rsid w:val="00EF0A24"/>
    <w:rsid w:val="00EF1D7F"/>
    <w:rsid w:val="00EF3A31"/>
    <w:rsid w:val="00EF7CDC"/>
    <w:rsid w:val="00F05659"/>
    <w:rsid w:val="00F10E8A"/>
    <w:rsid w:val="00F14F1C"/>
    <w:rsid w:val="00F17440"/>
    <w:rsid w:val="00F23051"/>
    <w:rsid w:val="00F23C46"/>
    <w:rsid w:val="00F244D5"/>
    <w:rsid w:val="00F244F1"/>
    <w:rsid w:val="00F31D83"/>
    <w:rsid w:val="00F34768"/>
    <w:rsid w:val="00F359EF"/>
    <w:rsid w:val="00F35DD4"/>
    <w:rsid w:val="00F366BF"/>
    <w:rsid w:val="00F36C4A"/>
    <w:rsid w:val="00F377FC"/>
    <w:rsid w:val="00F429EB"/>
    <w:rsid w:val="00F434EE"/>
    <w:rsid w:val="00F44963"/>
    <w:rsid w:val="00F52A98"/>
    <w:rsid w:val="00F52B1B"/>
    <w:rsid w:val="00F53A2D"/>
    <w:rsid w:val="00F53B3F"/>
    <w:rsid w:val="00F53EDA"/>
    <w:rsid w:val="00F5718D"/>
    <w:rsid w:val="00F61158"/>
    <w:rsid w:val="00F618D8"/>
    <w:rsid w:val="00F65F0D"/>
    <w:rsid w:val="00F66BB0"/>
    <w:rsid w:val="00F707E4"/>
    <w:rsid w:val="00F70F95"/>
    <w:rsid w:val="00F72782"/>
    <w:rsid w:val="00F74D26"/>
    <w:rsid w:val="00F75508"/>
    <w:rsid w:val="00F7753D"/>
    <w:rsid w:val="00F811D5"/>
    <w:rsid w:val="00F8280A"/>
    <w:rsid w:val="00F85F34"/>
    <w:rsid w:val="00F93A12"/>
    <w:rsid w:val="00F96ABA"/>
    <w:rsid w:val="00FA06F7"/>
    <w:rsid w:val="00FA0B28"/>
    <w:rsid w:val="00FA3A6F"/>
    <w:rsid w:val="00FA51E0"/>
    <w:rsid w:val="00FA7945"/>
    <w:rsid w:val="00FB09F9"/>
    <w:rsid w:val="00FB171A"/>
    <w:rsid w:val="00FB213D"/>
    <w:rsid w:val="00FB48D5"/>
    <w:rsid w:val="00FB5541"/>
    <w:rsid w:val="00FC244C"/>
    <w:rsid w:val="00FC3D2E"/>
    <w:rsid w:val="00FC4669"/>
    <w:rsid w:val="00FC4F4B"/>
    <w:rsid w:val="00FC68B7"/>
    <w:rsid w:val="00FC6DE3"/>
    <w:rsid w:val="00FD3300"/>
    <w:rsid w:val="00FD4F7E"/>
    <w:rsid w:val="00FD7BF6"/>
    <w:rsid w:val="00FE3F20"/>
    <w:rsid w:val="00FE57F9"/>
    <w:rsid w:val="00FE6FC6"/>
    <w:rsid w:val="00FE7DCB"/>
    <w:rsid w:val="00FF0A40"/>
    <w:rsid w:val="00FF1281"/>
    <w:rsid w:val="00FF233A"/>
    <w:rsid w:val="00FF2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270FC"/>
  <w15:docId w15:val="{BA57869F-C56A-4C93-9DD7-D6BEA34F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B93"/>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semiHidden/>
    <w:unhideWhenUsed/>
    <w:rsid w:val="00874FB8"/>
    <w:rPr>
      <w:sz w:val="6"/>
    </w:rPr>
  </w:style>
  <w:style w:type="paragraph" w:styleId="BalloonText">
    <w:name w:val="Balloon Text"/>
    <w:basedOn w:val="Normal"/>
    <w:link w:val="BalloonTextChar"/>
    <w:uiPriority w:val="99"/>
    <w:semiHidden/>
    <w:unhideWhenUsed/>
    <w:rsid w:val="007E18A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customStyle="1" w:styleId="H1GChar">
    <w:name w:val="_ H_1_G Char"/>
    <w:link w:val="H1G"/>
    <w:qFormat/>
    <w:rsid w:val="000A2837"/>
    <w:rPr>
      <w:b/>
      <w:sz w:val="24"/>
      <w:lang w:eastAsia="en-US"/>
    </w:rPr>
  </w:style>
  <w:style w:type="character" w:customStyle="1" w:styleId="Heading1Char">
    <w:name w:val="Heading 1 Char"/>
    <w:aliases w:val="Table_G Char"/>
    <w:link w:val="Heading1"/>
    <w:rsid w:val="00AD6EF5"/>
    <w:rPr>
      <w:lang w:eastAsia="en-US"/>
    </w:rPr>
  </w:style>
  <w:style w:type="character" w:customStyle="1" w:styleId="Heading2Char">
    <w:name w:val="Heading 2 Char"/>
    <w:link w:val="Heading2"/>
    <w:rsid w:val="00AD6EF5"/>
    <w:rPr>
      <w:lang w:eastAsia="en-US"/>
    </w:rPr>
  </w:style>
  <w:style w:type="character" w:customStyle="1" w:styleId="Heading3Char">
    <w:name w:val="Heading 3 Char"/>
    <w:link w:val="Heading3"/>
    <w:rsid w:val="00AD6EF5"/>
    <w:rPr>
      <w:lang w:eastAsia="en-US"/>
    </w:rPr>
  </w:style>
  <w:style w:type="character" w:customStyle="1" w:styleId="Heading4Char">
    <w:name w:val="Heading 4 Char"/>
    <w:link w:val="Heading4"/>
    <w:rsid w:val="00AD6EF5"/>
    <w:rPr>
      <w:lang w:eastAsia="en-US"/>
    </w:rPr>
  </w:style>
  <w:style w:type="character" w:customStyle="1" w:styleId="Heading5Char">
    <w:name w:val="Heading 5 Char"/>
    <w:link w:val="Heading5"/>
    <w:rsid w:val="00AD6EF5"/>
    <w:rPr>
      <w:lang w:eastAsia="en-US"/>
    </w:rPr>
  </w:style>
  <w:style w:type="character" w:customStyle="1" w:styleId="Heading6Char">
    <w:name w:val="Heading 6 Char"/>
    <w:link w:val="Heading6"/>
    <w:rsid w:val="00AD6EF5"/>
    <w:rPr>
      <w:lang w:eastAsia="en-US"/>
    </w:rPr>
  </w:style>
  <w:style w:type="character" w:customStyle="1" w:styleId="Heading7Char">
    <w:name w:val="Heading 7 Char"/>
    <w:link w:val="Heading7"/>
    <w:rsid w:val="00AD6EF5"/>
    <w:rPr>
      <w:lang w:eastAsia="en-US"/>
    </w:rPr>
  </w:style>
  <w:style w:type="character" w:customStyle="1" w:styleId="Heading8Char">
    <w:name w:val="Heading 8 Char"/>
    <w:link w:val="Heading8"/>
    <w:rsid w:val="00AD6EF5"/>
    <w:rPr>
      <w:lang w:eastAsia="en-US"/>
    </w:rPr>
  </w:style>
  <w:style w:type="character" w:customStyle="1" w:styleId="Heading9Char">
    <w:name w:val="Heading 9 Char"/>
    <w:link w:val="Heading9"/>
    <w:rsid w:val="00AD6EF5"/>
    <w:rPr>
      <w:lang w:eastAsia="en-US"/>
    </w:rPr>
  </w:style>
  <w:style w:type="character" w:customStyle="1" w:styleId="HeaderChar">
    <w:name w:val="Header Char"/>
    <w:aliases w:val="6_G Char"/>
    <w:link w:val="Header"/>
    <w:rsid w:val="00AD6EF5"/>
    <w:rPr>
      <w:b/>
      <w:sz w:val="18"/>
      <w:lang w:eastAsia="en-US"/>
    </w:rPr>
  </w:style>
  <w:style w:type="character" w:customStyle="1" w:styleId="FooterChar">
    <w:name w:val="Footer Char"/>
    <w:aliases w:val="3_G Char"/>
    <w:link w:val="Footer"/>
    <w:rsid w:val="00AD6EF5"/>
    <w:rPr>
      <w:sz w:val="16"/>
      <w:lang w:eastAsia="en-US"/>
    </w:rPr>
  </w:style>
  <w:style w:type="paragraph" w:customStyle="1" w:styleId="ParNoG">
    <w:name w:val="_ParNo_G"/>
    <w:basedOn w:val="SingleTxtG"/>
    <w:qFormat/>
    <w:rsid w:val="00AD6EF5"/>
    <w:pPr>
      <w:numPr>
        <w:numId w:val="10"/>
      </w:numPr>
      <w:tabs>
        <w:tab w:val="clear" w:pos="1701"/>
        <w:tab w:val="num" w:pos="360"/>
      </w:tabs>
      <w:suppressAutoHyphens w:val="0"/>
    </w:pPr>
    <w:rPr>
      <w:lang w:eastAsia="zh-CN"/>
    </w:rPr>
  </w:style>
  <w:style w:type="numbering" w:styleId="111111">
    <w:name w:val="Outline List 2"/>
    <w:basedOn w:val="NoList"/>
    <w:semiHidden/>
    <w:rsid w:val="00AD6EF5"/>
    <w:pPr>
      <w:numPr>
        <w:numId w:val="5"/>
      </w:numPr>
    </w:pPr>
  </w:style>
  <w:style w:type="numbering" w:styleId="1ai">
    <w:name w:val="Outline List 1"/>
    <w:basedOn w:val="NoList"/>
    <w:semiHidden/>
    <w:rsid w:val="00AD6EF5"/>
    <w:pPr>
      <w:numPr>
        <w:numId w:val="6"/>
      </w:numPr>
    </w:pPr>
  </w:style>
  <w:style w:type="character" w:customStyle="1" w:styleId="EndnoteTextChar">
    <w:name w:val="Endnote Text Char"/>
    <w:aliases w:val="2_G Char"/>
    <w:link w:val="EndnoteText"/>
    <w:rsid w:val="00AD6EF5"/>
    <w:rPr>
      <w:sz w:val="18"/>
      <w:lang w:eastAsia="en-US"/>
    </w:rPr>
  </w:style>
  <w:style w:type="paragraph" w:styleId="NormalWeb">
    <w:name w:val="Normal (Web)"/>
    <w:basedOn w:val="Normal"/>
    <w:uiPriority w:val="99"/>
    <w:unhideWhenUsed/>
    <w:rsid w:val="00E862CA"/>
    <w:pPr>
      <w:suppressAutoHyphens w:val="0"/>
      <w:spacing w:before="100" w:beforeAutospacing="1" w:after="100" w:afterAutospacing="1" w:line="240" w:lineRule="auto"/>
    </w:pPr>
    <w:rPr>
      <w:sz w:val="24"/>
      <w:szCs w:val="24"/>
      <w:lang w:eastAsia="en-GB"/>
    </w:rPr>
  </w:style>
  <w:style w:type="paragraph" w:customStyle="1" w:styleId="TableParagraph">
    <w:name w:val="Table Paragraph"/>
    <w:basedOn w:val="Normal"/>
    <w:uiPriority w:val="1"/>
    <w:qFormat/>
    <w:rsid w:val="00B9671A"/>
    <w:pPr>
      <w:widowControl w:val="0"/>
      <w:suppressAutoHyphens w:val="0"/>
      <w:autoSpaceDE w:val="0"/>
      <w:autoSpaceDN w:val="0"/>
      <w:spacing w:line="240" w:lineRule="auto"/>
    </w:pPr>
    <w:rPr>
      <w:sz w:val="22"/>
      <w:szCs w:val="22"/>
      <w:lang w:val="en-US"/>
    </w:rPr>
  </w:style>
  <w:style w:type="table" w:customStyle="1" w:styleId="TableNormal2">
    <w:name w:val="Table Normal2"/>
    <w:uiPriority w:val="2"/>
    <w:semiHidden/>
    <w:unhideWhenUsed/>
    <w:qFormat/>
    <w:rsid w:val="00B967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4403">
      <w:bodyDiv w:val="1"/>
      <w:marLeft w:val="0"/>
      <w:marRight w:val="0"/>
      <w:marTop w:val="0"/>
      <w:marBottom w:val="0"/>
      <w:divBdr>
        <w:top w:val="none" w:sz="0" w:space="0" w:color="auto"/>
        <w:left w:val="none" w:sz="0" w:space="0" w:color="auto"/>
        <w:bottom w:val="none" w:sz="0" w:space="0" w:color="auto"/>
        <w:right w:val="none" w:sz="0" w:space="0" w:color="auto"/>
      </w:divBdr>
    </w:div>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768621448">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330475684">
      <w:bodyDiv w:val="1"/>
      <w:marLeft w:val="0"/>
      <w:marRight w:val="0"/>
      <w:marTop w:val="0"/>
      <w:marBottom w:val="0"/>
      <w:divBdr>
        <w:top w:val="none" w:sz="0" w:space="0" w:color="auto"/>
        <w:left w:val="none" w:sz="0" w:space="0" w:color="auto"/>
        <w:bottom w:val="none" w:sz="0" w:space="0" w:color="auto"/>
        <w:right w:val="none" w:sz="0" w:space="0" w:color="auto"/>
      </w:divBdr>
    </w:div>
    <w:div w:id="1428305311">
      <w:bodyDiv w:val="1"/>
      <w:marLeft w:val="0"/>
      <w:marRight w:val="0"/>
      <w:marTop w:val="0"/>
      <w:marBottom w:val="0"/>
      <w:divBdr>
        <w:top w:val="none" w:sz="0" w:space="0" w:color="auto"/>
        <w:left w:val="none" w:sz="0" w:space="0" w:color="auto"/>
        <w:bottom w:val="none" w:sz="0" w:space="0" w:color="auto"/>
        <w:right w:val="none" w:sz="0" w:space="0" w:color="auto"/>
      </w:divBdr>
    </w:div>
    <w:div w:id="1963683488">
      <w:bodyDiv w:val="1"/>
      <w:marLeft w:val="0"/>
      <w:marRight w:val="0"/>
      <w:marTop w:val="0"/>
      <w:marBottom w:val="0"/>
      <w:divBdr>
        <w:top w:val="none" w:sz="0" w:space="0" w:color="auto"/>
        <w:left w:val="none" w:sz="0" w:space="0" w:color="auto"/>
        <w:bottom w:val="none" w:sz="0" w:space="0" w:color="auto"/>
        <w:right w:val="none" w:sz="0" w:space="0" w:color="auto"/>
      </w:divBdr>
    </w:div>
    <w:div w:id="2045253643">
      <w:bodyDiv w:val="1"/>
      <w:marLeft w:val="0"/>
      <w:marRight w:val="0"/>
      <w:marTop w:val="0"/>
      <w:marBottom w:val="0"/>
      <w:divBdr>
        <w:top w:val="none" w:sz="0" w:space="0" w:color="auto"/>
        <w:left w:val="none" w:sz="0" w:space="0" w:color="auto"/>
        <w:bottom w:val="none" w:sz="0" w:space="0" w:color="auto"/>
        <w:right w:val="none" w:sz="0" w:space="0" w:color="auto"/>
      </w:divBdr>
    </w:div>
    <w:div w:id="20718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B0622BE-91E1-45DF-9B61-85653792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184367F1-9436-4098-9B61-7F2E306686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15</TotalTime>
  <Pages>3</Pages>
  <Words>1293</Words>
  <Characters>7376</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UN/SCEGHS/19/INF</vt:lpstr>
      <vt:lpstr>UN/SCEGHS/19/INF</vt:lpstr>
    </vt:vector>
  </TitlesOfParts>
  <Company>CSD</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cp:lastModifiedBy>Romain Hubert</cp:lastModifiedBy>
  <cp:revision>14</cp:revision>
  <cp:lastPrinted>2022-07-01T06:40:00Z</cp:lastPrinted>
  <dcterms:created xsi:type="dcterms:W3CDTF">2022-07-01T06:41:00Z</dcterms:created>
  <dcterms:modified xsi:type="dcterms:W3CDTF">2022-07-01T07:03:00Z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ies>
</file>