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C07983" w14:paraId="3EEA5169" w14:textId="77777777" w:rsidTr="00EE7E6D">
        <w:trPr>
          <w:cantSplit/>
          <w:trHeight w:hRule="exact" w:val="913"/>
        </w:trPr>
        <w:tc>
          <w:tcPr>
            <w:tcW w:w="9735" w:type="dxa"/>
            <w:tcBorders>
              <w:bottom w:val="single" w:sz="4" w:space="0" w:color="auto"/>
            </w:tcBorders>
            <w:vAlign w:val="bottom"/>
          </w:tcPr>
          <w:p w14:paraId="737A8918" w14:textId="1C941394" w:rsidR="0099001C" w:rsidRPr="00C07983" w:rsidRDefault="0099001C" w:rsidP="00BF400F">
            <w:pPr>
              <w:ind w:right="96"/>
              <w:jc w:val="right"/>
              <w:rPr>
                <w:b/>
                <w:sz w:val="40"/>
                <w:szCs w:val="40"/>
              </w:rPr>
            </w:pPr>
            <w:r w:rsidRPr="00C07983">
              <w:rPr>
                <w:b/>
                <w:sz w:val="40"/>
                <w:szCs w:val="40"/>
              </w:rPr>
              <w:t>UN/SCEGHS/</w:t>
            </w:r>
            <w:r w:rsidR="00802916" w:rsidRPr="00C07983">
              <w:rPr>
                <w:b/>
                <w:sz w:val="40"/>
                <w:szCs w:val="40"/>
              </w:rPr>
              <w:t>4</w:t>
            </w:r>
            <w:r w:rsidR="00062FE6" w:rsidRPr="00C07983">
              <w:rPr>
                <w:b/>
                <w:sz w:val="40"/>
                <w:szCs w:val="40"/>
              </w:rPr>
              <w:t>2</w:t>
            </w:r>
            <w:r w:rsidRPr="00C07983">
              <w:rPr>
                <w:b/>
                <w:sz w:val="40"/>
                <w:szCs w:val="40"/>
              </w:rPr>
              <w:t>/INF.</w:t>
            </w:r>
            <w:r w:rsidR="00740F50" w:rsidRPr="00C07983">
              <w:rPr>
                <w:b/>
                <w:sz w:val="40"/>
                <w:szCs w:val="40"/>
              </w:rPr>
              <w:t>22</w:t>
            </w:r>
          </w:p>
        </w:tc>
      </w:tr>
      <w:tr w:rsidR="0099001C" w14:paraId="0CF18C10" w14:textId="77777777" w:rsidTr="0080653A">
        <w:trPr>
          <w:cantSplit/>
          <w:trHeight w:hRule="exact" w:val="3639"/>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1B6A5440"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8B0631">
              <w:rPr>
                <w:b/>
                <w:lang w:val="en-US"/>
              </w:rPr>
              <w:t>6</w:t>
            </w:r>
            <w:r w:rsidR="006E3197" w:rsidRPr="00AD6198">
              <w:rPr>
                <w:b/>
                <w:lang w:val="en-US"/>
              </w:rPr>
              <w:t xml:space="preserve"> </w:t>
            </w:r>
            <w:r w:rsidR="00BC7DAB">
              <w:rPr>
                <w:b/>
                <w:lang w:val="en-US"/>
              </w:rPr>
              <w:t xml:space="preserve">July </w:t>
            </w:r>
            <w:r w:rsidR="00062FE6" w:rsidRPr="00AD6198">
              <w:rPr>
                <w:b/>
                <w:lang w:val="en-US"/>
              </w:rPr>
              <w:t>2022</w:t>
            </w:r>
          </w:p>
          <w:p w14:paraId="4FA8EFAD" w14:textId="77777777" w:rsidR="00BD13EB" w:rsidRDefault="00BD13EB" w:rsidP="00BD13EB">
            <w:pPr>
              <w:tabs>
                <w:tab w:val="left" w:pos="7230"/>
                <w:tab w:val="right" w:pos="9300"/>
              </w:tabs>
              <w:spacing w:before="120"/>
              <w:jc w:val="right"/>
              <w:rPr>
                <w:b/>
                <w:lang w:val="en-US"/>
              </w:rPr>
            </w:pPr>
          </w:p>
          <w:p w14:paraId="4A0871C0" w14:textId="6BA00376" w:rsidR="00965932" w:rsidRPr="008D513D" w:rsidRDefault="00802916" w:rsidP="00965932">
            <w:pPr>
              <w:jc w:val="both"/>
            </w:pPr>
            <w:r w:rsidRPr="008D513D">
              <w:rPr>
                <w:b/>
              </w:rPr>
              <w:t>Fort</w:t>
            </w:r>
            <w:r w:rsidR="007043A6" w:rsidRPr="008D513D">
              <w:rPr>
                <w:b/>
              </w:rPr>
              <w:t>y-</w:t>
            </w:r>
            <w:r w:rsidR="00062FE6" w:rsidRPr="008D513D">
              <w:rPr>
                <w:b/>
              </w:rPr>
              <w:t xml:space="preserve">second </w:t>
            </w:r>
            <w:r w:rsidR="00965932" w:rsidRPr="008D513D">
              <w:rPr>
                <w:b/>
              </w:rPr>
              <w:t>session</w:t>
            </w:r>
            <w:r w:rsidR="00965932" w:rsidRPr="008D513D">
              <w:t xml:space="preserve"> </w:t>
            </w:r>
          </w:p>
          <w:p w14:paraId="679CBA44" w14:textId="77777777" w:rsidR="00D36906" w:rsidRDefault="001772DB" w:rsidP="006141EE">
            <w:pPr>
              <w:tabs>
                <w:tab w:val="center" w:pos="4867"/>
              </w:tabs>
              <w:spacing w:before="40"/>
            </w:pPr>
            <w:r w:rsidRPr="008D513D">
              <w:t>Geneva, 6-8 July 2022</w:t>
            </w:r>
            <w:r w:rsidR="00BC7DAB">
              <w:tab/>
            </w:r>
            <w:r w:rsidR="000A48A1" w:rsidRPr="008D513D">
              <w:br/>
            </w:r>
            <w:r w:rsidR="00EE7E6D" w:rsidRPr="001E0CAB">
              <w:t>Item</w:t>
            </w:r>
            <w:r w:rsidR="00121C2E" w:rsidRPr="001E0CAB">
              <w:t>s</w:t>
            </w:r>
            <w:r w:rsidR="00EE7E6D" w:rsidRPr="001E0CAB">
              <w:t xml:space="preserve"> </w:t>
            </w:r>
            <w:r w:rsidR="00337F26" w:rsidRPr="001E0CAB">
              <w:t>2 (</w:t>
            </w:r>
            <w:r w:rsidR="00121C2E" w:rsidRPr="001E0CAB">
              <w:t>a</w:t>
            </w:r>
            <w:r w:rsidR="00786A3B" w:rsidRPr="001E0CAB">
              <w:t>)</w:t>
            </w:r>
            <w:r w:rsidR="006141EE" w:rsidRPr="001E0CAB">
              <w:t>, (f), (</w:t>
            </w:r>
            <w:proofErr w:type="spellStart"/>
            <w:r w:rsidR="006141EE" w:rsidRPr="001E0CAB">
              <w:t>i</w:t>
            </w:r>
            <w:proofErr w:type="spellEnd"/>
            <w:r w:rsidR="006141EE" w:rsidRPr="001E0CAB">
              <w:t>) and 6</w:t>
            </w:r>
            <w:r w:rsidR="00815255" w:rsidRPr="001E0CAB">
              <w:t xml:space="preserve"> </w:t>
            </w:r>
            <w:r w:rsidR="00EE7E6D" w:rsidRPr="001E0CAB">
              <w:t>of the provisional agenda</w:t>
            </w:r>
          </w:p>
          <w:p w14:paraId="4DA34DEE" w14:textId="6C432985" w:rsidR="00C61038" w:rsidRPr="00D36906" w:rsidRDefault="00C61038" w:rsidP="006141EE">
            <w:pPr>
              <w:tabs>
                <w:tab w:val="center" w:pos="4867"/>
              </w:tabs>
              <w:spacing w:before="40"/>
              <w:rPr>
                <w:b/>
                <w:bCs/>
              </w:rPr>
            </w:pPr>
          </w:p>
        </w:tc>
      </w:tr>
    </w:tbl>
    <w:p w14:paraId="2C14B561" w14:textId="66CA52CA" w:rsidR="00F11162" w:rsidRDefault="00786A3B" w:rsidP="00F11162">
      <w:pPr>
        <w:pStyle w:val="HChG"/>
        <w:ind w:right="521"/>
      </w:pPr>
      <w:r w:rsidRPr="009E7ABD">
        <w:rPr>
          <w:rFonts w:eastAsia="MS Mincho"/>
          <w:lang w:val="en-US" w:eastAsia="ja-JP"/>
        </w:rPr>
        <w:tab/>
      </w:r>
      <w:r>
        <w:tab/>
      </w:r>
      <w:r>
        <w:tab/>
      </w:r>
      <w:r w:rsidR="00F11162">
        <w:t xml:space="preserve">Work of the Sub-Committee of Experts on the Transport of Dangerous Goods (TDG) on matters of interest to the GHS Sub-Committee </w:t>
      </w:r>
      <w:r w:rsidR="00F11162" w:rsidRPr="003823CD">
        <w:t xml:space="preserve"> </w:t>
      </w:r>
    </w:p>
    <w:p w14:paraId="317F11F3" w14:textId="77777777" w:rsidR="00F11162" w:rsidRDefault="00F11162" w:rsidP="00F11162">
      <w:pPr>
        <w:pStyle w:val="H1G"/>
        <w:rPr>
          <w:rFonts w:eastAsia="MS Mincho"/>
        </w:rPr>
      </w:pPr>
      <w:r w:rsidRPr="003823CD">
        <w:rPr>
          <w:rFonts w:eastAsia="MS Mincho"/>
        </w:rPr>
        <w:tab/>
      </w:r>
      <w:r w:rsidRPr="003823CD">
        <w:rPr>
          <w:rFonts w:eastAsia="MS Mincho"/>
        </w:rPr>
        <w:tab/>
        <w:t>Note by the secretariat</w:t>
      </w:r>
    </w:p>
    <w:p w14:paraId="72E05B3C" w14:textId="244FA20F" w:rsidR="00F11162" w:rsidRPr="00D718A2" w:rsidRDefault="00F11162" w:rsidP="00F11162">
      <w:pPr>
        <w:pStyle w:val="SingleTxtG"/>
        <w:tabs>
          <w:tab w:val="left" w:pos="1701"/>
        </w:tabs>
      </w:pPr>
      <w:r w:rsidRPr="00D718A2">
        <w:t xml:space="preserve">At its </w:t>
      </w:r>
      <w:r w:rsidR="00216B63" w:rsidRPr="00D718A2">
        <w:t>s</w:t>
      </w:r>
      <w:r w:rsidR="00C07983">
        <w:t>ixti</w:t>
      </w:r>
      <w:r w:rsidR="00216B63" w:rsidRPr="00D718A2">
        <w:t xml:space="preserve">eth </w:t>
      </w:r>
      <w:r w:rsidRPr="00D718A2">
        <w:t>session, the Sub-Committee of Experts on the Transport of Dangerous Goods (TDG Sub-Committee) considered matters of interest to the GHS Sub-Committee under items 2</w:t>
      </w:r>
      <w:r w:rsidR="00DB2D33" w:rsidRPr="00D718A2">
        <w:t>, 3</w:t>
      </w:r>
      <w:r w:rsidRPr="00D718A2">
        <w:t xml:space="preserve"> and 10 of its agenda</w:t>
      </w:r>
      <w:r w:rsidRPr="00D718A2">
        <w:rPr>
          <w:rStyle w:val="FootnoteReference"/>
        </w:rPr>
        <w:footnoteReference w:id="2"/>
      </w:r>
      <w:r w:rsidRPr="00D718A2">
        <w:t xml:space="preserve"> (“explosives and related matters” and “Issues relating to the Globally Harmonized System of Classification and Labelling of Chemicals” respectively). </w:t>
      </w:r>
    </w:p>
    <w:p w14:paraId="24190356" w14:textId="58C4D591" w:rsidR="00F11162" w:rsidRPr="00D718A2" w:rsidRDefault="00F11162" w:rsidP="00DC3EA0">
      <w:pPr>
        <w:pStyle w:val="SingleTxtG"/>
        <w:tabs>
          <w:tab w:val="left" w:pos="1701"/>
        </w:tabs>
      </w:pPr>
      <w:r w:rsidRPr="00D718A2">
        <w:t xml:space="preserve">Questions under the agenda item “Explosives and related matters” were referred to the Working Group on Explosives, which met via web conference on </w:t>
      </w:r>
      <w:r w:rsidR="00747F24" w:rsidRPr="00D718A2">
        <w:t>27</w:t>
      </w:r>
      <w:r w:rsidRPr="00D718A2">
        <w:t xml:space="preserve"> - </w:t>
      </w:r>
      <w:r w:rsidR="00747F24" w:rsidRPr="00D718A2">
        <w:t>30</w:t>
      </w:r>
      <w:r w:rsidRPr="00D718A2">
        <w:t xml:space="preserve"> June 202</w:t>
      </w:r>
      <w:r w:rsidR="00747F24" w:rsidRPr="00D718A2">
        <w:t>2</w:t>
      </w:r>
      <w:r w:rsidRPr="00D718A2">
        <w:t xml:space="preserve"> to conclude its business prior to and in support of the work of the sub-committees</w:t>
      </w:r>
      <w:r w:rsidRPr="00916D57">
        <w:t>. The report of the Working Group on Explosives has been circulated to the TDG Sub-Committee as informal document INF.</w:t>
      </w:r>
      <w:r w:rsidR="00747F24" w:rsidRPr="00916D57">
        <w:t>44</w:t>
      </w:r>
      <w:r w:rsidR="00694787" w:rsidRPr="00916D57">
        <w:t>.</w:t>
      </w:r>
      <w:r w:rsidRPr="00916D57">
        <w:rPr>
          <w:rStyle w:val="FootnoteReference"/>
        </w:rPr>
        <w:footnoteReference w:id="3"/>
      </w:r>
    </w:p>
    <w:p w14:paraId="6EA1BB81" w14:textId="73EBC53A" w:rsidR="00F11162" w:rsidRDefault="00F11162" w:rsidP="00F11162">
      <w:pPr>
        <w:pStyle w:val="SingleTxtG"/>
        <w:tabs>
          <w:tab w:val="left" w:pos="1701"/>
        </w:tabs>
      </w:pPr>
      <w:r w:rsidRPr="00D718A2">
        <w:t>Having considered the report of the Working Group on Explosives and the explanations provided by its Chairman, the TDG Sub-Committee reached the conclusions listed below</w:t>
      </w:r>
      <w:r w:rsidR="00C64E43">
        <w:t xml:space="preserve"> on matters of interest to the GHS Sub-</w:t>
      </w:r>
      <w:r w:rsidR="00C64E43" w:rsidRPr="006141EE">
        <w:t>Committee</w:t>
      </w:r>
      <w:r w:rsidRPr="006141EE">
        <w:t>.</w:t>
      </w:r>
      <w:r>
        <w:t xml:space="preserve"> </w:t>
      </w:r>
    </w:p>
    <w:p w14:paraId="4DA325B8" w14:textId="77777777" w:rsidR="00F11162" w:rsidRDefault="00F11162" w:rsidP="00F11162">
      <w:pPr>
        <w:pStyle w:val="HChG"/>
      </w:pPr>
      <w:r>
        <w:tab/>
      </w:r>
      <w:r>
        <w:tab/>
      </w:r>
      <w:r w:rsidRPr="00FD5144">
        <w:t>GHS agenda item 2 (a)</w:t>
      </w:r>
      <w:r w:rsidRPr="00FD5144">
        <w:tab/>
      </w:r>
    </w:p>
    <w:p w14:paraId="33F25167" w14:textId="39FAE651" w:rsidR="00B30916" w:rsidRDefault="00EA4478" w:rsidP="00E50924">
      <w:pPr>
        <w:pStyle w:val="H1G"/>
      </w:pPr>
      <w:r>
        <w:tab/>
      </w:r>
      <w:r w:rsidR="00B30916">
        <w:t>1.</w:t>
      </w:r>
      <w:r w:rsidR="00B30916">
        <w:tab/>
      </w:r>
      <w:r w:rsidR="001A1977">
        <w:t xml:space="preserve">Amendment of the Manual of Tests and Criteria to appropriately </w:t>
      </w:r>
      <w:r w:rsidR="00497C7D">
        <w:t>reflect the Globally Harmonized System of Classification and Labelling of Chemicals</w:t>
      </w:r>
    </w:p>
    <w:p w14:paraId="7058949C" w14:textId="0B382BAB" w:rsidR="00497C7D" w:rsidRPr="00944972" w:rsidRDefault="00497C7D" w:rsidP="00A36F40">
      <w:pPr>
        <w:pStyle w:val="SingleTxtG"/>
        <w:ind w:left="2552" w:hanging="1418"/>
        <w:jc w:val="left"/>
      </w:pPr>
      <w:r w:rsidRPr="00944972">
        <w:rPr>
          <w:i/>
          <w:iCs/>
        </w:rPr>
        <w:t>Document:</w:t>
      </w:r>
      <w:r w:rsidRPr="00944972">
        <w:t xml:space="preserve"> </w:t>
      </w:r>
      <w:r w:rsidR="00EF4D06" w:rsidRPr="00944972">
        <w:tab/>
      </w:r>
      <w:r w:rsidR="001317E3" w:rsidRPr="00944972">
        <w:t>ST/SG/AC.10/C.3/2022/</w:t>
      </w:r>
      <w:r w:rsidR="00180149" w:rsidRPr="00944972">
        <w:t xml:space="preserve">11 - </w:t>
      </w:r>
      <w:r w:rsidR="00EF4D06" w:rsidRPr="00944972">
        <w:t xml:space="preserve">ST/SG/AC.10/C.4/2022/2 </w:t>
      </w:r>
      <w:r w:rsidR="00EF4D06" w:rsidRPr="00944972">
        <w:br/>
        <w:t>(Germany, Chair of the Explosives Working Group)</w:t>
      </w:r>
    </w:p>
    <w:p w14:paraId="5A4624DF" w14:textId="0B747C13" w:rsidR="00497C7D" w:rsidRPr="00944972" w:rsidRDefault="00497C7D" w:rsidP="00497C7D">
      <w:pPr>
        <w:pStyle w:val="SingleTxtG"/>
        <w:ind w:left="2552" w:hanging="1418"/>
      </w:pPr>
      <w:r w:rsidRPr="00944972">
        <w:t>Informal document: TDG/INF.44, para. 1</w:t>
      </w:r>
      <w:r w:rsidR="00B26528" w:rsidRPr="00944972">
        <w:t>7</w:t>
      </w:r>
      <w:r w:rsidRPr="00944972">
        <w:t xml:space="preserve"> (report of the Working Group on Explosives)</w:t>
      </w:r>
    </w:p>
    <w:p w14:paraId="3436F566" w14:textId="7A4F3C4E" w:rsidR="00B87F10" w:rsidRDefault="00EF456D" w:rsidP="00B87F10">
      <w:pPr>
        <w:pStyle w:val="SingleTxtG"/>
      </w:pPr>
      <w:r>
        <w:t>“</w:t>
      </w:r>
      <w:r w:rsidR="00B87F10">
        <w:t xml:space="preserve">Taking into account the conclusions of the EWG on document </w:t>
      </w:r>
      <w:r w:rsidR="00B87F10" w:rsidRPr="00B03207">
        <w:t>ST/SG/AC.10/C.3/20</w:t>
      </w:r>
      <w:r w:rsidR="00B87F10">
        <w:t>22</w:t>
      </w:r>
      <w:r w:rsidR="00B87F10" w:rsidRPr="00B03207">
        <w:t>/</w:t>
      </w:r>
      <w:r w:rsidR="00B87F10">
        <w:t>11, the TDG</w:t>
      </w:r>
      <w:r w:rsidR="00B87F10" w:rsidRPr="00837B90">
        <w:t xml:space="preserve"> Sub-Committee adopted the </w:t>
      </w:r>
      <w:r w:rsidR="00B87F10">
        <w:t xml:space="preserve">amendments </w:t>
      </w:r>
      <w:r w:rsidR="00B87F10" w:rsidRPr="00837B90">
        <w:t>proposed in paragraph</w:t>
      </w:r>
      <w:r w:rsidR="00B87F10">
        <w:t>s</w:t>
      </w:r>
      <w:r w:rsidR="00B87F10" w:rsidRPr="00837B90">
        <w:t xml:space="preserve"> 5 </w:t>
      </w:r>
      <w:r w:rsidR="00B87F10">
        <w:t xml:space="preserve">and 9 </w:t>
      </w:r>
      <w:r w:rsidR="00B87F10" w:rsidRPr="00837B90">
        <w:t xml:space="preserve">of the </w:t>
      </w:r>
      <w:proofErr w:type="gramStart"/>
      <w:r w:rsidR="00B87F10" w:rsidRPr="00837B90">
        <w:t>document</w:t>
      </w:r>
      <w:proofErr w:type="gramEnd"/>
      <w:r w:rsidR="00B87F10">
        <w:t xml:space="preserve"> </w:t>
      </w:r>
      <w:r w:rsidR="00B87F10" w:rsidRPr="00837B90">
        <w:t>(see annex</w:t>
      </w:r>
      <w:r w:rsidR="00B87F10">
        <w:t>…</w:t>
      </w:r>
      <w:r w:rsidR="00B87F10" w:rsidRPr="00837B90">
        <w:t>)</w:t>
      </w:r>
      <w:r w:rsidR="00B87F10">
        <w:t>, subject to the confirmation by the GHS Sub-Committee</w:t>
      </w:r>
      <w:r w:rsidR="00B87F10" w:rsidRPr="00837B90">
        <w:t>.</w:t>
      </w:r>
      <w:r w:rsidR="00B87F10">
        <w:t xml:space="preserve"> On the amendments proposed in paragraphs 10 and 12, it was agreed to resume discussion at the next session </w:t>
      </w:r>
      <w:proofErr w:type="gramStart"/>
      <w:r w:rsidR="00B87F10">
        <w:t>on the basis of</w:t>
      </w:r>
      <w:proofErr w:type="gramEnd"/>
      <w:r w:rsidR="00B87F10">
        <w:t xml:space="preserve"> a new document by Germany.</w:t>
      </w:r>
      <w:r>
        <w:t>”</w:t>
      </w:r>
    </w:p>
    <w:p w14:paraId="3747193F" w14:textId="545E057B" w:rsidR="00C66B32" w:rsidRDefault="00C66B32" w:rsidP="00C66B32">
      <w:pPr>
        <w:pStyle w:val="H1G"/>
      </w:pPr>
      <w:r>
        <w:lastRenderedPageBreak/>
        <w:tab/>
      </w:r>
      <w:r w:rsidRPr="00C66B32">
        <w:t>2.</w:t>
      </w:r>
      <w:r>
        <w:tab/>
      </w:r>
      <w:r w:rsidR="009D6BB6">
        <w:t xml:space="preserve">Exit from Class 1 for very low hazard energetic articles </w:t>
      </w:r>
    </w:p>
    <w:p w14:paraId="7E4EE8BA" w14:textId="196F956A" w:rsidR="009D6BB6" w:rsidRDefault="009D6BB6" w:rsidP="00A01612">
      <w:pPr>
        <w:spacing w:after="240"/>
      </w:pPr>
      <w:r>
        <w:tab/>
      </w:r>
      <w:r>
        <w:tab/>
      </w:r>
      <w:r w:rsidRPr="00F50B92">
        <w:rPr>
          <w:i/>
          <w:iCs/>
        </w:rPr>
        <w:t>Document:</w:t>
      </w:r>
      <w:r>
        <w:t xml:space="preserve"> </w:t>
      </w:r>
      <w:r w:rsidR="00A01612">
        <w:tab/>
      </w:r>
      <w:r w:rsidR="00A01612">
        <w:tab/>
      </w:r>
      <w:r w:rsidR="00EF34F9">
        <w:t xml:space="preserve">ST/SG/AC.10/C.4/2022/4 - </w:t>
      </w:r>
      <w:r w:rsidR="00A1256E">
        <w:t xml:space="preserve">ST/SG/AC.10/C.3/2022/36 (COSTHA, </w:t>
      </w:r>
      <w:r w:rsidR="004E7E06">
        <w:t>SAAMI)</w:t>
      </w:r>
    </w:p>
    <w:p w14:paraId="648F8CD2" w14:textId="6A4D09C5" w:rsidR="00A01612" w:rsidRPr="00944972" w:rsidRDefault="004E7E06" w:rsidP="00A01612">
      <w:pPr>
        <w:pStyle w:val="SingleTxtG"/>
        <w:ind w:left="2552" w:hanging="1418"/>
      </w:pPr>
      <w:r w:rsidRPr="00F50B92">
        <w:rPr>
          <w:i/>
          <w:iCs/>
        </w:rPr>
        <w:t>Informal document:</w:t>
      </w:r>
      <w:r>
        <w:t xml:space="preserve"> </w:t>
      </w:r>
      <w:r w:rsidR="00A01612">
        <w:t>TDG/</w:t>
      </w:r>
      <w:r>
        <w:t>INF.44</w:t>
      </w:r>
      <w:r w:rsidR="00A01612">
        <w:t xml:space="preserve">, paragraph </w:t>
      </w:r>
      <w:r w:rsidR="009C314F">
        <w:t>8</w:t>
      </w:r>
      <w:r>
        <w:t xml:space="preserve"> </w:t>
      </w:r>
      <w:r w:rsidR="00A01612" w:rsidRPr="00944972">
        <w:t>(report of the Working Group on Explosives)</w:t>
      </w:r>
    </w:p>
    <w:p w14:paraId="57EC104B" w14:textId="77231FAB" w:rsidR="004E7E06" w:rsidRDefault="00552821" w:rsidP="00E1214E">
      <w:pPr>
        <w:pStyle w:val="SingleTxtG"/>
      </w:pPr>
      <w:r>
        <w:tab/>
      </w:r>
      <w:r w:rsidR="00594CC8">
        <w:t>The explosives working group supported SAAMI continuing exploratory work to inform future discussions</w:t>
      </w:r>
      <w:r w:rsidR="00DD0E56">
        <w:t xml:space="preserve"> regarding the potential differentiation of hazards from articles currently in division 1.4S. This may include alternative designations</w:t>
      </w:r>
      <w:r w:rsidR="00E1214E">
        <w:t xml:space="preserve"> based on criteria to be determined.</w:t>
      </w:r>
    </w:p>
    <w:p w14:paraId="5A9D8040" w14:textId="5FF6DC09" w:rsidR="00360B34" w:rsidRDefault="00360B34" w:rsidP="00F50B92">
      <w:pPr>
        <w:pStyle w:val="H1G"/>
      </w:pPr>
      <w:r>
        <w:tab/>
        <w:t>3.</w:t>
      </w:r>
      <w:r>
        <w:tab/>
      </w:r>
      <w:r w:rsidR="00F50B92">
        <w:tab/>
      </w:r>
      <w:r>
        <w:t>Manual of Tests and Criteria</w:t>
      </w:r>
      <w:r w:rsidR="00566096">
        <w:t>, sections 1.2.1.4.3 and 20.2.5 on self-heating test N.4 for organic peroxides</w:t>
      </w:r>
    </w:p>
    <w:p w14:paraId="7B4607FD" w14:textId="3C9AC9E0" w:rsidR="008813B3" w:rsidRDefault="00566096" w:rsidP="00566096">
      <w:pPr>
        <w:pStyle w:val="SingleTxtG"/>
        <w:ind w:left="2552" w:hanging="1418"/>
      </w:pPr>
      <w:r w:rsidRPr="00F50B92">
        <w:rPr>
          <w:i/>
          <w:iCs/>
        </w:rPr>
        <w:t>Informal document</w:t>
      </w:r>
      <w:r w:rsidR="008813B3">
        <w:rPr>
          <w:i/>
          <w:iCs/>
        </w:rPr>
        <w:t>s</w:t>
      </w:r>
      <w:r w:rsidRPr="00F50B92">
        <w:rPr>
          <w:i/>
          <w:iCs/>
        </w:rPr>
        <w:t>:</w:t>
      </w:r>
      <w:r>
        <w:t xml:space="preserve"> </w:t>
      </w:r>
      <w:r w:rsidR="008813B3">
        <w:t>TDG/INF.</w:t>
      </w:r>
      <w:r w:rsidR="00FA7124">
        <w:t>5 – GHS/INF.6 (</w:t>
      </w:r>
      <w:proofErr w:type="spellStart"/>
      <w:r w:rsidR="00FA7124">
        <w:t>Cefic</w:t>
      </w:r>
      <w:proofErr w:type="spellEnd"/>
      <w:r w:rsidR="00FA7124">
        <w:t>)</w:t>
      </w:r>
    </w:p>
    <w:p w14:paraId="4C73F405" w14:textId="31EBDDB7" w:rsidR="00566096" w:rsidRPr="00944972" w:rsidRDefault="00566096" w:rsidP="00FA7124">
      <w:pPr>
        <w:pStyle w:val="SingleTxtG"/>
        <w:ind w:left="2552" w:firstLine="283"/>
      </w:pPr>
      <w:r>
        <w:t xml:space="preserve">TDG/INF.44, paragraph </w:t>
      </w:r>
      <w:r w:rsidR="00FA7124">
        <w:t>6</w:t>
      </w:r>
      <w:r>
        <w:t xml:space="preserve"> </w:t>
      </w:r>
      <w:r w:rsidRPr="00944972">
        <w:t>(report of the Working Group on Explosives)</w:t>
      </w:r>
    </w:p>
    <w:p w14:paraId="35EB8CB2" w14:textId="355F7FA7" w:rsidR="00360B34" w:rsidRDefault="00FA7124" w:rsidP="00242A4A">
      <w:pPr>
        <w:pStyle w:val="SingleTxtG"/>
      </w:pPr>
      <w:r>
        <w:t>The</w:t>
      </w:r>
      <w:r w:rsidR="009B2962">
        <w:t xml:space="preserve">re was general support for the proposal and the representative of </w:t>
      </w:r>
      <w:proofErr w:type="spellStart"/>
      <w:r w:rsidR="009B2962">
        <w:t>Cefic</w:t>
      </w:r>
      <w:proofErr w:type="spellEnd"/>
      <w:r w:rsidR="009B2962">
        <w:t xml:space="preserve"> was invited to submit it as an official document for the next session for adoption. I</w:t>
      </w:r>
      <w:r w:rsidR="00242A4A">
        <w:t xml:space="preserve">n addition, it was suggested that polymerizing substances could be included as well as additional work on physical hazard testing. </w:t>
      </w:r>
    </w:p>
    <w:p w14:paraId="4F91BBA2" w14:textId="37CB43A7" w:rsidR="00096FC0" w:rsidRDefault="00093E09" w:rsidP="00096FC0">
      <w:pPr>
        <w:pStyle w:val="H1G"/>
      </w:pPr>
      <w:r>
        <w:tab/>
      </w:r>
      <w:r w:rsidR="00096FC0" w:rsidRPr="00FC3346">
        <w:t>4.</w:t>
      </w:r>
      <w:r w:rsidR="00096FC0" w:rsidRPr="00FC3346">
        <w:tab/>
        <w:t>Issues related to definition of Class 1</w:t>
      </w:r>
    </w:p>
    <w:p w14:paraId="156A9847" w14:textId="77777777" w:rsidR="00890DB8" w:rsidRDefault="00096FC0" w:rsidP="00096FC0">
      <w:pPr>
        <w:pStyle w:val="SingleTxtG"/>
        <w:ind w:left="2552" w:hanging="1418"/>
      </w:pPr>
      <w:r w:rsidRPr="00F50B92">
        <w:rPr>
          <w:i/>
          <w:iCs/>
        </w:rPr>
        <w:t>Informal document</w:t>
      </w:r>
      <w:r w:rsidR="007945E7">
        <w:rPr>
          <w:i/>
          <w:iCs/>
        </w:rPr>
        <w:t>s</w:t>
      </w:r>
      <w:r w:rsidRPr="00F50B92">
        <w:rPr>
          <w:i/>
          <w:iCs/>
        </w:rPr>
        <w:t>:</w:t>
      </w:r>
      <w:r>
        <w:t xml:space="preserve"> TDG/INF.</w:t>
      </w:r>
      <w:r w:rsidR="00890DB8">
        <w:t>12 (Sweden)</w:t>
      </w:r>
    </w:p>
    <w:p w14:paraId="129C2B6C" w14:textId="084F3340" w:rsidR="00096FC0" w:rsidRDefault="00890DB8" w:rsidP="00890DB8">
      <w:pPr>
        <w:pStyle w:val="SingleTxtG"/>
        <w:ind w:left="2552" w:firstLine="283"/>
      </w:pPr>
      <w:r>
        <w:t>TDG/INF.44</w:t>
      </w:r>
      <w:r w:rsidR="00096FC0">
        <w:t xml:space="preserve">, paragraph </w:t>
      </w:r>
      <w:r>
        <w:t>9</w:t>
      </w:r>
      <w:r w:rsidR="00096FC0">
        <w:t xml:space="preserve"> </w:t>
      </w:r>
      <w:r w:rsidR="00096FC0" w:rsidRPr="00944972">
        <w:t>(report of the Working Group on Explosives)</w:t>
      </w:r>
    </w:p>
    <w:p w14:paraId="4735DF3B" w14:textId="208EB07D" w:rsidR="00D70F0E" w:rsidRDefault="00D718A2" w:rsidP="00D70F0E">
      <w:pPr>
        <w:pStyle w:val="SingleTxtG"/>
      </w:pPr>
      <w:r>
        <w:t>“</w:t>
      </w:r>
      <w:r w:rsidR="00D70F0E" w:rsidRPr="00CF6ADC">
        <w:t>On the proposed amendment to</w:t>
      </w:r>
      <w:r w:rsidR="00D70F0E">
        <w:t xml:space="preserve"> definitions of Class 1 (amendment 3 in informal document INF.44), the Sub-Committee noted that the EWG had endorsed the proposal with some additional amendments </w:t>
      </w:r>
      <w:r w:rsidR="00D70F0E" w:rsidRPr="00CF6ADC">
        <w:t xml:space="preserve">(see </w:t>
      </w:r>
      <w:r w:rsidR="00D70F0E">
        <w:t>para. 9 in informal document INF.44</w:t>
      </w:r>
      <w:r w:rsidR="00D70F0E" w:rsidRPr="00CF6ADC">
        <w:t>).</w:t>
      </w:r>
      <w:r w:rsidR="00D70F0E">
        <w:t xml:space="preserve"> However, noting that the amended texts appeared in Chapter 2.1 of the GHS as well, the Sub-Committee invited the expert from Sweden to submit the proposal (including consequential amendments to the GHS, if applicable) for consideration by the TDG and GHS sub-committees at their next session.</w:t>
      </w:r>
      <w:r>
        <w:t>”</w:t>
      </w:r>
    </w:p>
    <w:p w14:paraId="14CFFE2D" w14:textId="46BC1AED" w:rsidR="009A3BCA" w:rsidRDefault="009A3BCA" w:rsidP="009A3BCA">
      <w:pPr>
        <w:pStyle w:val="SingleTxtG"/>
        <w:tabs>
          <w:tab w:val="left" w:pos="1701"/>
        </w:tabs>
        <w:rPr>
          <w:i/>
          <w:iCs/>
        </w:rPr>
      </w:pPr>
      <w:r w:rsidRPr="00944972">
        <w:rPr>
          <w:i/>
          <w:iCs/>
        </w:rPr>
        <w:t>(Ref.doc: ST/SG/AC.10/C.3/2022/R.1/Add.</w:t>
      </w:r>
      <w:r>
        <w:rPr>
          <w:i/>
          <w:iCs/>
        </w:rPr>
        <w:t xml:space="preserve">6 </w:t>
      </w:r>
      <w:r w:rsidRPr="00944972">
        <w:rPr>
          <w:i/>
          <w:iCs/>
        </w:rPr>
        <w:t>para</w:t>
      </w:r>
      <w:r>
        <w:rPr>
          <w:i/>
          <w:iCs/>
        </w:rPr>
        <w:t xml:space="preserve"> 56</w:t>
      </w:r>
      <w:r w:rsidRPr="00944972">
        <w:rPr>
          <w:i/>
          <w:iCs/>
        </w:rPr>
        <w:t>: draft report of the TDG Sub-Committee on its 60th session)</w:t>
      </w:r>
    </w:p>
    <w:p w14:paraId="11202473" w14:textId="6642631D" w:rsidR="00FF6890" w:rsidRPr="00FF6890" w:rsidRDefault="009E6929" w:rsidP="00594BF5">
      <w:pPr>
        <w:pStyle w:val="SingleTxtG"/>
        <w:tabs>
          <w:tab w:val="left" w:pos="1701"/>
        </w:tabs>
      </w:pPr>
      <w:r>
        <w:t xml:space="preserve">The explosives working group did not support proposal 1 </w:t>
      </w:r>
      <w:r w:rsidR="007B2525">
        <w:t>to amend the definition of Class</w:t>
      </w:r>
      <w:r w:rsidR="00C30C38">
        <w:t> </w:t>
      </w:r>
      <w:r w:rsidR="007B2525">
        <w:t>1</w:t>
      </w:r>
      <w:r w:rsidR="00C30C38">
        <w:t xml:space="preserve"> </w:t>
      </w:r>
      <w:r w:rsidR="007B2525">
        <w:t xml:space="preserve">but </w:t>
      </w:r>
      <w:r w:rsidR="0095791A">
        <w:t xml:space="preserve">was in favour of continuing </w:t>
      </w:r>
      <w:r w:rsidR="007B2525">
        <w:t>w</w:t>
      </w:r>
      <w:r w:rsidR="00406A2B">
        <w:t xml:space="preserve">ork </w:t>
      </w:r>
      <w:r w:rsidR="00594BF5">
        <w:t xml:space="preserve">to develop </w:t>
      </w:r>
      <w:r w:rsidR="00A871D7">
        <w:t>explanations and guidance to address the issues raised by Sweden in informal document INF.12</w:t>
      </w:r>
      <w:r w:rsidR="0095791A">
        <w:t>.</w:t>
      </w:r>
    </w:p>
    <w:p w14:paraId="079875EF" w14:textId="4C72E00D" w:rsidR="00360B34" w:rsidRDefault="00093E09" w:rsidP="00093E09">
      <w:pPr>
        <w:pStyle w:val="HChG"/>
      </w:pPr>
      <w:r>
        <w:tab/>
      </w:r>
      <w:r>
        <w:tab/>
      </w:r>
      <w:r w:rsidR="0084610D" w:rsidRPr="00FD5144">
        <w:t>GHS agenda item 2 (</w:t>
      </w:r>
      <w:r w:rsidR="0084610D">
        <w:t>f</w:t>
      </w:r>
      <w:r w:rsidR="0084610D" w:rsidRPr="00FD5144">
        <w:t>)</w:t>
      </w:r>
      <w:r w:rsidR="0084610D" w:rsidRPr="00FD5144">
        <w:tab/>
      </w:r>
    </w:p>
    <w:p w14:paraId="0187B2B8" w14:textId="0729DDFE" w:rsidR="000045CC" w:rsidRPr="00837B90" w:rsidRDefault="000045CC" w:rsidP="00903786">
      <w:pPr>
        <w:pStyle w:val="H1G"/>
      </w:pPr>
      <w:r>
        <w:tab/>
      </w:r>
      <w:r w:rsidR="00DC3EA0">
        <w:t>5.</w:t>
      </w:r>
      <w:r w:rsidRPr="00837B90">
        <w:tab/>
      </w:r>
      <w:r w:rsidR="001922C7">
        <w:t xml:space="preserve">Practical classification issues: </w:t>
      </w:r>
      <w:r w:rsidRPr="00903786">
        <w:t xml:space="preserve">Guidance on how to convert experimental inhalation toxicity values for exposure times other than 1 or 4 hours for gases, vapours, </w:t>
      </w:r>
      <w:proofErr w:type="gramStart"/>
      <w:r w:rsidRPr="00903786">
        <w:t>dusts</w:t>
      </w:r>
      <w:proofErr w:type="gramEnd"/>
      <w:r w:rsidRPr="00903786">
        <w:t xml:space="preserve"> and mists</w:t>
      </w:r>
    </w:p>
    <w:p w14:paraId="4DDFFFC1" w14:textId="11B3DBE5" w:rsidR="000045CC" w:rsidRPr="00837B90" w:rsidRDefault="000045CC" w:rsidP="00903786">
      <w:pPr>
        <w:pStyle w:val="SingleTxtG"/>
        <w:tabs>
          <w:tab w:val="left" w:pos="2268"/>
        </w:tabs>
        <w:ind w:left="2268" w:hanging="1134"/>
      </w:pPr>
      <w:r w:rsidRPr="00837B90">
        <w:rPr>
          <w:i/>
          <w:iCs/>
        </w:rPr>
        <w:t>Document:</w:t>
      </w:r>
      <w:r w:rsidRPr="00837B90">
        <w:t xml:space="preserve"> </w:t>
      </w:r>
      <w:r w:rsidRPr="00837B90">
        <w:tab/>
      </w:r>
      <w:r w:rsidRPr="00B03207">
        <w:t>ST/SG/AC.10/C.3/20</w:t>
      </w:r>
      <w:r>
        <w:t>22</w:t>
      </w:r>
      <w:r w:rsidRPr="00B03207">
        <w:t>/2</w:t>
      </w:r>
      <w:r>
        <w:t>1</w:t>
      </w:r>
      <w:r w:rsidR="00903786">
        <w:t>-</w:t>
      </w:r>
      <w:r w:rsidR="00903786" w:rsidRPr="00903786">
        <w:t xml:space="preserve"> </w:t>
      </w:r>
      <w:r w:rsidR="00903786" w:rsidRPr="00C30C38">
        <w:t xml:space="preserve">ST/SG/AC.10/C.3/2022/3 </w:t>
      </w:r>
      <w:r w:rsidR="00903786">
        <w:tab/>
      </w:r>
      <w:r w:rsidR="00903786">
        <w:br/>
      </w:r>
      <w:r w:rsidRPr="00B03207">
        <w:t>(</w:t>
      </w:r>
      <w:r>
        <w:t>United States of America</w:t>
      </w:r>
      <w:r w:rsidRPr="00837B90">
        <w:t>)</w:t>
      </w:r>
    </w:p>
    <w:p w14:paraId="256370D3" w14:textId="1423943F" w:rsidR="000045CC" w:rsidRDefault="00AF2C4B" w:rsidP="000045CC">
      <w:pPr>
        <w:pStyle w:val="SingleTxtG"/>
      </w:pPr>
      <w:r>
        <w:t>“</w:t>
      </w:r>
      <w:r w:rsidR="000045CC" w:rsidRPr="006E07FE">
        <w:t xml:space="preserve">The Sub-Committee took note of the proposal to insert guidance in the GHS on how to convert experimental toxicity values using exposure times other than 1 or 4 hours. The expert from China suggested to replace the accepted exposure times for conversion in 3.1.5.3.2 from “30 minutes to </w:t>
      </w:r>
      <w:proofErr w:type="gramStart"/>
      <w:r w:rsidR="000045CC" w:rsidRPr="006E07FE">
        <w:t>8 hour</w:t>
      </w:r>
      <w:proofErr w:type="gramEnd"/>
      <w:r w:rsidR="000045CC" w:rsidRPr="006E07FE">
        <w:t xml:space="preserve"> exposures” to “30 minutes to 6 hour exposures” in accordance with OECD Guideline 39</w:t>
      </w:r>
      <w:r w:rsidR="000045CC">
        <w:t>. T</w:t>
      </w:r>
      <w:r w:rsidR="000045CC" w:rsidRPr="006E07FE">
        <w:t xml:space="preserve">he expert from Germany suggested to include a table about the available “n” values for different chemicals based on rat models for lethal endpoints. Noting that the Model Regulations give guidance on how to convert exposure times from 1 to 4 hours for inhalation toxicity in Chapter 2.6, a member of the secretariat invited the Sub-Committee </w:t>
      </w:r>
      <w:r w:rsidR="000045CC" w:rsidRPr="006E07FE">
        <w:lastRenderedPageBreak/>
        <w:t>to consider whether it would be appropriate to introduce guidance on conversion of toxicity values for other exposure times in the Model Regulations as well.</w:t>
      </w:r>
      <w:r w:rsidR="006B28E5">
        <w:t xml:space="preserve"> The GHS Sub-Committee will be informed about the outcome of the discussion.</w:t>
      </w:r>
      <w:r>
        <w:t>”</w:t>
      </w:r>
    </w:p>
    <w:p w14:paraId="79444386" w14:textId="65769D7D" w:rsidR="00AF2C4B" w:rsidRDefault="00AF2C4B" w:rsidP="00AF2C4B">
      <w:pPr>
        <w:pStyle w:val="SingleTxtG"/>
        <w:tabs>
          <w:tab w:val="left" w:pos="1701"/>
        </w:tabs>
        <w:rPr>
          <w:i/>
          <w:iCs/>
        </w:rPr>
      </w:pPr>
      <w:r w:rsidRPr="00944972">
        <w:rPr>
          <w:i/>
          <w:iCs/>
        </w:rPr>
        <w:t>(Ref.doc: ST/SG/AC.10/C.3/2022/R.1/Add.</w:t>
      </w:r>
      <w:r>
        <w:rPr>
          <w:i/>
          <w:iCs/>
        </w:rPr>
        <w:t xml:space="preserve">9 </w:t>
      </w:r>
      <w:r w:rsidRPr="00944972">
        <w:rPr>
          <w:i/>
          <w:iCs/>
        </w:rPr>
        <w:t>para</w:t>
      </w:r>
      <w:r>
        <w:rPr>
          <w:i/>
          <w:iCs/>
        </w:rPr>
        <w:t xml:space="preserve"> </w:t>
      </w:r>
      <w:r w:rsidR="007E1CC9">
        <w:rPr>
          <w:i/>
          <w:iCs/>
        </w:rPr>
        <w:t>94</w:t>
      </w:r>
      <w:r w:rsidRPr="00944972">
        <w:rPr>
          <w:i/>
          <w:iCs/>
        </w:rPr>
        <w:t>: draft report of the TDG Sub-Committee on its 60th session)</w:t>
      </w:r>
    </w:p>
    <w:p w14:paraId="19B11278" w14:textId="50227D3F" w:rsidR="00B15237" w:rsidRDefault="00B15237" w:rsidP="00B15237">
      <w:pPr>
        <w:pStyle w:val="HChG"/>
      </w:pPr>
      <w:r>
        <w:tab/>
      </w:r>
      <w:r>
        <w:tab/>
      </w:r>
      <w:r w:rsidRPr="00FD5144">
        <w:t>GHS agenda item 2 (</w:t>
      </w:r>
      <w:proofErr w:type="spellStart"/>
      <w:r w:rsidR="00A24413">
        <w:t>i</w:t>
      </w:r>
      <w:proofErr w:type="spellEnd"/>
      <w:r w:rsidRPr="00FD5144">
        <w:t>)</w:t>
      </w:r>
      <w:r w:rsidRPr="00FD5144">
        <w:tab/>
      </w:r>
    </w:p>
    <w:p w14:paraId="06EAE661" w14:textId="6C36045B" w:rsidR="00F11162" w:rsidRPr="00B87F10" w:rsidRDefault="00A24413" w:rsidP="00B87F10">
      <w:pPr>
        <w:pStyle w:val="H1G"/>
      </w:pPr>
      <w:r>
        <w:tab/>
      </w:r>
      <w:r w:rsidR="00DC3EA0">
        <w:t>6</w:t>
      </w:r>
      <w:r w:rsidR="00F11162" w:rsidRPr="00B87F10">
        <w:t>.</w:t>
      </w:r>
      <w:r w:rsidR="00F11162" w:rsidRPr="00B87F10">
        <w:tab/>
      </w:r>
      <w:r w:rsidR="00A6751D">
        <w:t>Desensitized explosives</w:t>
      </w:r>
      <w:r w:rsidR="00F11162" w:rsidRPr="00B87F10">
        <w:t xml:space="preserve"> </w:t>
      </w:r>
    </w:p>
    <w:p w14:paraId="2DEC6128" w14:textId="23A32421" w:rsidR="00886638" w:rsidRPr="00414C0B" w:rsidRDefault="00F11162" w:rsidP="007E7FCA">
      <w:pPr>
        <w:pStyle w:val="SingleTxtG"/>
        <w:ind w:left="3119" w:hanging="1985"/>
      </w:pPr>
      <w:r w:rsidRPr="00414C0B">
        <w:rPr>
          <w:i/>
          <w:iCs/>
        </w:rPr>
        <w:t>Informal document</w:t>
      </w:r>
      <w:r w:rsidR="00886638" w:rsidRPr="00414C0B">
        <w:rPr>
          <w:i/>
          <w:iCs/>
        </w:rPr>
        <w:t>s</w:t>
      </w:r>
      <w:r w:rsidRPr="00414C0B">
        <w:rPr>
          <w:i/>
          <w:iCs/>
        </w:rPr>
        <w:t>:</w:t>
      </w:r>
      <w:r w:rsidRPr="00414C0B">
        <w:t xml:space="preserve"> </w:t>
      </w:r>
      <w:r w:rsidR="00886638" w:rsidRPr="00414C0B">
        <w:t xml:space="preserve"> </w:t>
      </w:r>
      <w:r w:rsidRPr="00414C0B">
        <w:t>TDG/INF.</w:t>
      </w:r>
      <w:r w:rsidR="00886638" w:rsidRPr="00414C0B">
        <w:t>28</w:t>
      </w:r>
      <w:r w:rsidR="00C679CF">
        <w:t xml:space="preserve"> – GHS/INF.8</w:t>
      </w:r>
      <w:r w:rsidR="00886638" w:rsidRPr="00414C0B">
        <w:t xml:space="preserve"> and INF.36</w:t>
      </w:r>
    </w:p>
    <w:p w14:paraId="7C94C53E" w14:textId="338A6DE1" w:rsidR="00F11162" w:rsidRPr="00414C0B" w:rsidRDefault="007E7FCA" w:rsidP="007E7FCA">
      <w:pPr>
        <w:pStyle w:val="SingleTxtG"/>
        <w:ind w:left="2977"/>
      </w:pPr>
      <w:r w:rsidRPr="00414C0B">
        <w:t>T</w:t>
      </w:r>
      <w:r w:rsidR="00886638" w:rsidRPr="00414C0B">
        <w:t>DG/INF.</w:t>
      </w:r>
      <w:r w:rsidRPr="00414C0B">
        <w:t>44, paragraph 18</w:t>
      </w:r>
      <w:r w:rsidR="00F11162" w:rsidRPr="00414C0B">
        <w:t xml:space="preserve"> (report of the Working Group on Explosives)</w:t>
      </w:r>
    </w:p>
    <w:p w14:paraId="1AB9B1CC" w14:textId="6C3FA657" w:rsidR="00944972" w:rsidRPr="00944972" w:rsidRDefault="00944972" w:rsidP="00944972">
      <w:pPr>
        <w:pStyle w:val="SingleTxtG"/>
        <w:tabs>
          <w:tab w:val="left" w:pos="1701"/>
          <w:tab w:val="left" w:pos="2977"/>
        </w:tabs>
      </w:pPr>
      <w:r w:rsidRPr="00944972">
        <w:t>“The Sub-Committee noted and endorsed the recommendations from the explosives working group contained in paragraph 18 of informal document INF.44. It was pointed out that the proposed amendments will not have an impact on the existing transport conditions of desensitized explosives.”</w:t>
      </w:r>
    </w:p>
    <w:p w14:paraId="5FC59F9D" w14:textId="142C49A7" w:rsidR="00F11162" w:rsidRDefault="00F11162" w:rsidP="00F11162">
      <w:pPr>
        <w:pStyle w:val="SingleTxtG"/>
        <w:tabs>
          <w:tab w:val="left" w:pos="1701"/>
        </w:tabs>
        <w:rPr>
          <w:i/>
          <w:iCs/>
        </w:rPr>
      </w:pPr>
      <w:r w:rsidRPr="00944972">
        <w:rPr>
          <w:i/>
          <w:iCs/>
        </w:rPr>
        <w:t>(Ref.doc: ST/SG/AC.10/C.3/202</w:t>
      </w:r>
      <w:r w:rsidR="00944972" w:rsidRPr="00944972">
        <w:rPr>
          <w:i/>
          <w:iCs/>
        </w:rPr>
        <w:t>2</w:t>
      </w:r>
      <w:r w:rsidRPr="00944972">
        <w:rPr>
          <w:i/>
          <w:iCs/>
        </w:rPr>
        <w:t>/R.1/Add.</w:t>
      </w:r>
      <w:r w:rsidR="00944972" w:rsidRPr="00944972">
        <w:rPr>
          <w:i/>
          <w:iCs/>
        </w:rPr>
        <w:t xml:space="preserve">9 </w:t>
      </w:r>
      <w:r w:rsidRPr="00944972">
        <w:rPr>
          <w:i/>
          <w:iCs/>
        </w:rPr>
        <w:t>para</w:t>
      </w:r>
      <w:r w:rsidR="00944972">
        <w:rPr>
          <w:i/>
          <w:iCs/>
        </w:rPr>
        <w:t xml:space="preserve"> </w:t>
      </w:r>
      <w:r w:rsidR="00944972" w:rsidRPr="00944972">
        <w:rPr>
          <w:i/>
          <w:iCs/>
        </w:rPr>
        <w:t>9</w:t>
      </w:r>
      <w:r w:rsidRPr="00944972">
        <w:rPr>
          <w:i/>
          <w:iCs/>
        </w:rPr>
        <w:t xml:space="preserve">3: draft report of the TDG Sub-Committee on its </w:t>
      </w:r>
      <w:r w:rsidR="00944972" w:rsidRPr="00944972">
        <w:rPr>
          <w:i/>
          <w:iCs/>
        </w:rPr>
        <w:t>60th</w:t>
      </w:r>
      <w:r w:rsidRPr="00944972">
        <w:rPr>
          <w:i/>
          <w:iCs/>
        </w:rPr>
        <w:t xml:space="preserve"> session)</w:t>
      </w:r>
    </w:p>
    <w:p w14:paraId="0C2DB38C" w14:textId="4F0F32DF" w:rsidR="00DA78C5" w:rsidRDefault="00DA78C5" w:rsidP="00DA78C5">
      <w:pPr>
        <w:pStyle w:val="HChG"/>
      </w:pPr>
      <w:r>
        <w:tab/>
      </w:r>
      <w:r>
        <w:tab/>
      </w:r>
      <w:r w:rsidRPr="00FD5144">
        <w:t xml:space="preserve">GHS agenda item </w:t>
      </w:r>
      <w:r>
        <w:t>6</w:t>
      </w:r>
      <w:r w:rsidRPr="00FD5144">
        <w:tab/>
      </w:r>
    </w:p>
    <w:p w14:paraId="353739C0" w14:textId="409371CA" w:rsidR="00691758" w:rsidRDefault="00691758" w:rsidP="00691758">
      <w:pPr>
        <w:pStyle w:val="H1G"/>
      </w:pPr>
      <w:r>
        <w:tab/>
        <w:t>7.</w:t>
      </w:r>
      <w:r>
        <w:tab/>
        <w:t>Seminar in follow-up to the 2020 Beirut port explosion: summary and conclusions</w:t>
      </w:r>
    </w:p>
    <w:p w14:paraId="22AF5664" w14:textId="77777777" w:rsidR="00691758" w:rsidRDefault="00691758" w:rsidP="00691758">
      <w:pPr>
        <w:pStyle w:val="SingleTxtG"/>
        <w:ind w:left="3119" w:hanging="1985"/>
        <w:rPr>
          <w:lang w:val="en-US"/>
        </w:rPr>
      </w:pPr>
      <w:r>
        <w:rPr>
          <w:i/>
          <w:iCs/>
        </w:rPr>
        <w:t>D</w:t>
      </w:r>
      <w:r w:rsidRPr="00414C0B">
        <w:rPr>
          <w:i/>
          <w:iCs/>
        </w:rPr>
        <w:t>ocument:</w:t>
      </w:r>
      <w:r w:rsidRPr="00414C0B">
        <w:t xml:space="preserve">  </w:t>
      </w:r>
      <w:r w:rsidRPr="00595336">
        <w:rPr>
          <w:lang w:val="en-US"/>
        </w:rPr>
        <w:t>ST/SG/AC.10/C.3/20</w:t>
      </w:r>
      <w:r>
        <w:rPr>
          <w:lang w:val="en-US"/>
        </w:rPr>
        <w:t>22</w:t>
      </w:r>
      <w:r w:rsidRPr="00595336">
        <w:rPr>
          <w:lang w:val="en-US"/>
        </w:rPr>
        <w:t>/</w:t>
      </w:r>
      <w:r>
        <w:rPr>
          <w:lang w:val="en-US"/>
        </w:rPr>
        <w:t xml:space="preserve">4 - </w:t>
      </w:r>
      <w:r w:rsidRPr="00595336">
        <w:rPr>
          <w:lang w:val="en-US"/>
        </w:rPr>
        <w:t>ST/SG/AC.10/C.</w:t>
      </w:r>
      <w:r>
        <w:rPr>
          <w:lang w:val="en-US"/>
        </w:rPr>
        <w:t>4</w:t>
      </w:r>
      <w:r w:rsidRPr="00595336">
        <w:rPr>
          <w:lang w:val="en-US"/>
        </w:rPr>
        <w:t>/20</w:t>
      </w:r>
      <w:r>
        <w:rPr>
          <w:lang w:val="en-US"/>
        </w:rPr>
        <w:t>22</w:t>
      </w:r>
      <w:r w:rsidRPr="00595336">
        <w:rPr>
          <w:lang w:val="en-US"/>
        </w:rPr>
        <w:t>/</w:t>
      </w:r>
      <w:r>
        <w:rPr>
          <w:lang w:val="en-US"/>
        </w:rPr>
        <w:t>1 (OECD, UNECE)</w:t>
      </w:r>
    </w:p>
    <w:p w14:paraId="3B91F36D" w14:textId="77777777" w:rsidR="00691758" w:rsidRDefault="00691758" w:rsidP="00691758">
      <w:pPr>
        <w:pStyle w:val="SingleTxtG"/>
      </w:pPr>
      <w:r>
        <w:t xml:space="preserve">The Sub-Committee noted the outcome of the online seminar held on 14 December 2021 on the </w:t>
      </w:r>
      <w:r w:rsidRPr="00B67330">
        <w:t>2020 Beirut port explosion</w:t>
      </w:r>
      <w:r>
        <w:t>, on l</w:t>
      </w:r>
      <w:r w:rsidRPr="00E121E7">
        <w:t xml:space="preserve">essons learned, experiences and good practices in managing risks of ammonium nitrate storage, </w:t>
      </w:r>
      <w:proofErr w:type="gramStart"/>
      <w:r w:rsidRPr="00E121E7">
        <w:t>handling</w:t>
      </w:r>
      <w:proofErr w:type="gramEnd"/>
      <w:r w:rsidRPr="00E121E7">
        <w:t xml:space="preserve"> and transport in port areas, preventing accidents and mitigating their consequences</w:t>
      </w:r>
      <w:r>
        <w:t>.</w:t>
      </w:r>
    </w:p>
    <w:p w14:paraId="69345FCE" w14:textId="77777777" w:rsidR="00691758" w:rsidRPr="00D34EBE" w:rsidRDefault="00691758" w:rsidP="00691758">
      <w:pPr>
        <w:pStyle w:val="SingleTxtG"/>
      </w:pPr>
      <w:r>
        <w:t>A member of the secretariat informed the Sub-Committee that the Bureau of the Industrial Accidents Convention has recently approved the inclusion in the Convention’s workplan for 2023-24 a follow-up activity on r</w:t>
      </w:r>
      <w:r w:rsidRPr="00D34EBE">
        <w:t xml:space="preserve">isk management </w:t>
      </w:r>
      <w:r>
        <w:t>on this subject, which b</w:t>
      </w:r>
      <w:r w:rsidRPr="00D34EBE">
        <w:t xml:space="preserve">uilds on the outcomes of the UN/OECD seminar and its preceding survey. It </w:t>
      </w:r>
      <w:r>
        <w:t xml:space="preserve">also </w:t>
      </w:r>
      <w:r w:rsidRPr="00D34EBE">
        <w:t xml:space="preserve">entails the preparation of an online webpage/repository </w:t>
      </w:r>
      <w:r>
        <w:t>for</w:t>
      </w:r>
      <w:r w:rsidRPr="00D34EBE">
        <w:t xml:space="preserve"> information and good practice, which </w:t>
      </w:r>
      <w:r>
        <w:t>can</w:t>
      </w:r>
      <w:r w:rsidRPr="00D34EBE">
        <w:t xml:space="preserve"> be supplemented by promotional materials to share information on</w:t>
      </w:r>
      <w:r>
        <w:t xml:space="preserve"> related</w:t>
      </w:r>
      <w:r w:rsidRPr="00D34EBE">
        <w:t>:</w:t>
      </w:r>
    </w:p>
    <w:p w14:paraId="194C5F6B" w14:textId="77777777" w:rsidR="00691758" w:rsidRPr="00D34EBE" w:rsidRDefault="00691758" w:rsidP="00691758">
      <w:pPr>
        <w:pStyle w:val="SingleTxtG"/>
        <w:ind w:left="1701"/>
      </w:pPr>
      <w:r w:rsidRPr="00D34EBE">
        <w:t>(</w:t>
      </w:r>
      <w:proofErr w:type="spellStart"/>
      <w:r w:rsidRPr="00D34EBE">
        <w:t>i</w:t>
      </w:r>
      <w:proofErr w:type="spellEnd"/>
      <w:r w:rsidRPr="00D34EBE">
        <w:t>)</w:t>
      </w:r>
      <w:r>
        <w:tab/>
      </w:r>
      <w:r w:rsidRPr="00D34EBE">
        <w:t xml:space="preserve">international legal and policy instruments; and </w:t>
      </w:r>
    </w:p>
    <w:p w14:paraId="21F54FD5" w14:textId="77777777" w:rsidR="00691758" w:rsidRPr="00D34EBE" w:rsidRDefault="00691758" w:rsidP="00691758">
      <w:pPr>
        <w:pStyle w:val="SingleTxtG"/>
        <w:ind w:left="1701"/>
      </w:pPr>
      <w:r w:rsidRPr="00D34EBE">
        <w:t>(ii)</w:t>
      </w:r>
      <w:r>
        <w:tab/>
      </w:r>
      <w:r w:rsidRPr="00D34EBE">
        <w:t>existing guidance, national experiences, lessons learned and good practices.</w:t>
      </w:r>
    </w:p>
    <w:p w14:paraId="5B046E8D" w14:textId="77777777" w:rsidR="00691758" w:rsidRPr="00D34EBE" w:rsidRDefault="00691758" w:rsidP="00691758">
      <w:pPr>
        <w:pStyle w:val="SingleTxtG"/>
      </w:pPr>
      <w:r>
        <w:tab/>
        <w:t>The representative of IVODGA welcomed the UN/OECD outcome document and said that a further “White Paper” on storage and handling of dangerous goods in preparation for, or after, sea-transport was published and publicly available on their website</w:t>
      </w:r>
      <w:r>
        <w:rPr>
          <w:rStyle w:val="FootnoteReference"/>
        </w:rPr>
        <w:footnoteReference w:id="4"/>
      </w:r>
      <w:r>
        <w:t>. The representative of AEISG added that delegates may find related information being the AEISG Code of Practice – Storage and Handling of Solid Ammonium Nitrate</w:t>
      </w:r>
      <w:r w:rsidDel="004207A8">
        <w:t xml:space="preserve"> </w:t>
      </w:r>
      <w:r>
        <w:t>on their website</w:t>
      </w:r>
      <w:r>
        <w:rPr>
          <w:rStyle w:val="FootnoteReference"/>
        </w:rPr>
        <w:footnoteReference w:id="5"/>
      </w:r>
      <w:r>
        <w:t>. The representative of RPMASA underlined the need for capacity building on this subject in the South African region.</w:t>
      </w:r>
    </w:p>
    <w:p w14:paraId="3AED1B25" w14:textId="5411FEB3" w:rsidR="00691758" w:rsidRPr="00691758" w:rsidRDefault="00691758" w:rsidP="00691758">
      <w:pPr>
        <w:pStyle w:val="SingleTxtG"/>
        <w:rPr>
          <w:i/>
          <w:iCs/>
        </w:rPr>
      </w:pPr>
      <w:r w:rsidRPr="00691758">
        <w:rPr>
          <w:i/>
          <w:iCs/>
        </w:rPr>
        <w:t>(Ref.doc: ST/SG/AC.10/C.3/2022/R.1/Add.9 paras 98 to 100: draft report of the TDG Sub-Committee on its 60th session)</w:t>
      </w:r>
    </w:p>
    <w:p w14:paraId="088A22EC" w14:textId="6B1E64C2" w:rsidR="00C140FC" w:rsidRDefault="00C140FC" w:rsidP="00C140FC">
      <w:pPr>
        <w:pStyle w:val="H1G"/>
      </w:pPr>
      <w:r>
        <w:lastRenderedPageBreak/>
        <w:tab/>
      </w:r>
      <w:r w:rsidR="00691758">
        <w:t>8</w:t>
      </w:r>
      <w:r w:rsidR="00DC3EA0">
        <w:t>.</w:t>
      </w:r>
      <w:r>
        <w:tab/>
        <w:t>Review of the work of ECOSOC subsidiary bodies: Summary recommendations</w:t>
      </w:r>
    </w:p>
    <w:p w14:paraId="343D3F85" w14:textId="488E7779" w:rsidR="002D2042" w:rsidRPr="00414C0B" w:rsidRDefault="002D2042" w:rsidP="002D2042">
      <w:pPr>
        <w:pStyle w:val="SingleTxtG"/>
        <w:ind w:left="3119" w:hanging="1985"/>
      </w:pPr>
      <w:r w:rsidRPr="00414C0B">
        <w:rPr>
          <w:i/>
          <w:iCs/>
        </w:rPr>
        <w:t>Informal document:</w:t>
      </w:r>
      <w:r w:rsidRPr="00414C0B">
        <w:t xml:space="preserve">  TDG/INF.</w:t>
      </w:r>
      <w:r w:rsidR="00ED3EDF">
        <w:t>17</w:t>
      </w:r>
      <w:r>
        <w:t xml:space="preserve"> – GHS/INF.13 (secretariat)</w:t>
      </w:r>
    </w:p>
    <w:p w14:paraId="393E9EC7" w14:textId="7950DA32" w:rsidR="00A36AF8" w:rsidRDefault="00131353" w:rsidP="00A36AF8">
      <w:pPr>
        <w:pStyle w:val="SingleTxtG"/>
      </w:pPr>
      <w:r>
        <w:t>“</w:t>
      </w:r>
      <w:r w:rsidR="00A36AF8" w:rsidRPr="00B03207">
        <w:t xml:space="preserve">The Sub-Committee </w:t>
      </w:r>
      <w:r w:rsidR="00A36AF8">
        <w:t>considered informal document INF.17 during a lunchtime informal meeting on Friday, 1 July 2022 and noted several contributions and suggestions on possible actions to the summary recommendations in the annex to the ECOSOC decision as follows:</w:t>
      </w:r>
    </w:p>
    <w:p w14:paraId="325E0672" w14:textId="77777777" w:rsidR="00A36AF8" w:rsidRDefault="00A36AF8" w:rsidP="002F4077">
      <w:pPr>
        <w:pStyle w:val="SingleTxtG"/>
        <w:tabs>
          <w:tab w:val="left" w:pos="2268"/>
          <w:tab w:val="left" w:pos="2977"/>
        </w:tabs>
        <w:ind w:left="2268" w:hanging="567"/>
      </w:pPr>
      <w:r>
        <w:t>(a)</w:t>
      </w:r>
      <w:r>
        <w:tab/>
        <w:t>Delegations were invited to add in the justification part of their future proposals the interlinkage to the sustainable development goals,</w:t>
      </w:r>
      <w:r w:rsidRPr="00922AC9">
        <w:t xml:space="preserve"> </w:t>
      </w:r>
      <w:r>
        <w:t xml:space="preserve">when </w:t>
      </w:r>
      <w:proofErr w:type="gramStart"/>
      <w:r>
        <w:t>applicable;</w:t>
      </w:r>
      <w:proofErr w:type="gramEnd"/>
    </w:p>
    <w:p w14:paraId="5C2A0832" w14:textId="77777777" w:rsidR="00A36AF8" w:rsidRDefault="00A36AF8" w:rsidP="002F4077">
      <w:pPr>
        <w:pStyle w:val="SingleTxtG"/>
        <w:tabs>
          <w:tab w:val="left" w:pos="2268"/>
          <w:tab w:val="left" w:pos="2977"/>
        </w:tabs>
        <w:ind w:left="2268" w:hanging="567"/>
      </w:pPr>
      <w:r>
        <w:t>(b)</w:t>
      </w:r>
      <w:r>
        <w:tab/>
        <w:t xml:space="preserve">It was recommended to add a specific agenda item on the follow-up to the </w:t>
      </w:r>
      <w:proofErr w:type="gramStart"/>
      <w:r>
        <w:t>Agenda</w:t>
      </w:r>
      <w:proofErr w:type="gramEnd"/>
      <w:r>
        <w:t xml:space="preserve"> 2030 to ensure regular discussions by the Sub-Committee;</w:t>
      </w:r>
    </w:p>
    <w:p w14:paraId="53895CA0" w14:textId="77777777" w:rsidR="00A36AF8" w:rsidRDefault="00A36AF8" w:rsidP="002F4077">
      <w:pPr>
        <w:pStyle w:val="SingleTxtG"/>
        <w:tabs>
          <w:tab w:val="left" w:pos="2268"/>
          <w:tab w:val="left" w:pos="2977"/>
        </w:tabs>
        <w:ind w:left="2268" w:hanging="567"/>
      </w:pPr>
      <w:r>
        <w:t>(c)</w:t>
      </w:r>
      <w:r>
        <w:tab/>
        <w:t>It was suggested inserting a summary of the activities of the sub-committees on this subject into the draft report of the Secretary-General on the work of the Committee of Experts and its sub-</w:t>
      </w:r>
      <w:proofErr w:type="gramStart"/>
      <w:r>
        <w:t>committees;</w:t>
      </w:r>
      <w:proofErr w:type="gramEnd"/>
    </w:p>
    <w:p w14:paraId="57B346A2" w14:textId="1B88345E" w:rsidR="00A36AF8" w:rsidRDefault="00A36AF8" w:rsidP="002F4077">
      <w:pPr>
        <w:pStyle w:val="SingleTxtG"/>
        <w:tabs>
          <w:tab w:val="left" w:pos="2268"/>
          <w:tab w:val="left" w:pos="2977"/>
        </w:tabs>
        <w:ind w:left="2268" w:hanging="567"/>
      </w:pPr>
      <w:r>
        <w:t xml:space="preserve">(d) </w:t>
      </w:r>
      <w:r w:rsidR="002F4077">
        <w:tab/>
      </w:r>
      <w:r>
        <w:t>One expert suggested to consider organising one online session per biennium, basing on the experience gained in the hybrid sessions organized during the COVID-19 pandemic, and with the idea to both facilitate broader attendance and participation in the Sub-Committee’s activities according to the principle of the Agenda 2030 “Leaving no one behind” and also to avoid travelling with the aim to contribute to the principle of the Agenda 2030 “Take urgent action to combat climate change and its impacts”.</w:t>
      </w:r>
    </w:p>
    <w:p w14:paraId="13A98CE5" w14:textId="77777777" w:rsidR="00A36AF8" w:rsidRDefault="00A36AF8" w:rsidP="002F4077">
      <w:pPr>
        <w:pStyle w:val="SingleTxtG"/>
        <w:tabs>
          <w:tab w:val="left" w:pos="2268"/>
          <w:tab w:val="left" w:pos="2977"/>
        </w:tabs>
        <w:ind w:left="2268" w:hanging="567"/>
      </w:pPr>
      <w:r>
        <w:t>(e)</w:t>
      </w:r>
      <w:r>
        <w:tab/>
        <w:t xml:space="preserve">To ease the access by delegates to more detailed information and background information on Agenda 2030 and the review of the work of ECOSOC subsidiary bodies, the secretariat volunteered to insert a new entry on the homepage of the </w:t>
      </w:r>
      <w:r w:rsidRPr="006A0CE8">
        <w:t xml:space="preserve">Committee of Experts and its </w:t>
      </w:r>
      <w:r>
        <w:t>sub-committees</w:t>
      </w:r>
      <w:r>
        <w:rPr>
          <w:rStyle w:val="FootnoteReference"/>
        </w:rPr>
        <w:footnoteReference w:id="6"/>
      </w:r>
      <w:r>
        <w:t xml:space="preserve"> </w:t>
      </w:r>
    </w:p>
    <w:p w14:paraId="6A8EF113" w14:textId="2C1C2EA6" w:rsidR="00A36AF8" w:rsidRDefault="00A36AF8" w:rsidP="00A36AF8">
      <w:pPr>
        <w:pStyle w:val="SingleTxtG"/>
      </w:pPr>
      <w:r>
        <w:tab/>
      </w:r>
      <w:r w:rsidRPr="00B03207">
        <w:t xml:space="preserve">The </w:t>
      </w:r>
      <w:r>
        <w:t xml:space="preserve">TDG </w:t>
      </w:r>
      <w:r w:rsidRPr="00B03207">
        <w:t>Sub-Committee</w:t>
      </w:r>
      <w:r>
        <w:t xml:space="preserve"> agreed to coordinate with the GHS </w:t>
      </w:r>
      <w:r w:rsidRPr="00B03207">
        <w:t>Sub-Committee</w:t>
      </w:r>
      <w:r>
        <w:t xml:space="preserve"> on the follow-up actions listed above and to come back at the next session with a common recommendation for consideration.</w:t>
      </w:r>
      <w:r w:rsidR="00B94FE3">
        <w:t>”.</w:t>
      </w:r>
    </w:p>
    <w:p w14:paraId="1688F32D" w14:textId="40B8BD6E" w:rsidR="009325D3" w:rsidRDefault="009325D3" w:rsidP="009325D3">
      <w:pPr>
        <w:pStyle w:val="SingleTxtG"/>
        <w:tabs>
          <w:tab w:val="left" w:pos="1701"/>
        </w:tabs>
        <w:rPr>
          <w:i/>
          <w:iCs/>
        </w:rPr>
      </w:pPr>
      <w:r w:rsidRPr="00944972">
        <w:rPr>
          <w:i/>
          <w:iCs/>
        </w:rPr>
        <w:t>(Ref.doc: ST/SG/AC.10/C.3/2022/R.1/Add.</w:t>
      </w:r>
      <w:r>
        <w:rPr>
          <w:i/>
          <w:iCs/>
        </w:rPr>
        <w:t>7</w:t>
      </w:r>
      <w:r w:rsidRPr="00944972">
        <w:rPr>
          <w:i/>
          <w:iCs/>
        </w:rPr>
        <w:t xml:space="preserve"> para</w:t>
      </w:r>
      <w:r>
        <w:rPr>
          <w:i/>
          <w:iCs/>
        </w:rPr>
        <w:t>s 76 and 77</w:t>
      </w:r>
      <w:r w:rsidRPr="00944972">
        <w:rPr>
          <w:i/>
          <w:iCs/>
        </w:rPr>
        <w:t>: draft report of the TDG Sub-Committee on its 60th session</w:t>
      </w:r>
      <w:r w:rsidR="00131353">
        <w:rPr>
          <w:i/>
          <w:iCs/>
        </w:rPr>
        <w:t>, as amended</w:t>
      </w:r>
      <w:r w:rsidRPr="00944972">
        <w:rPr>
          <w:i/>
          <w:iCs/>
        </w:rPr>
        <w:t>)</w:t>
      </w:r>
    </w:p>
    <w:p w14:paraId="0390E1FD" w14:textId="415508C6" w:rsidR="00B568D4" w:rsidRPr="00B568D4" w:rsidRDefault="00562B2C" w:rsidP="00AD7E76">
      <w:pPr>
        <w:pStyle w:val="H1G"/>
        <w:rPr>
          <w:i/>
          <w:iCs/>
          <w:highlight w:val="yellow"/>
        </w:rPr>
      </w:pPr>
      <w:r>
        <w:tab/>
      </w:r>
    </w:p>
    <w:p w14:paraId="0241AEC4" w14:textId="4882F0E7" w:rsidR="00EE42D3" w:rsidRPr="00587EDB" w:rsidRDefault="00E4366D" w:rsidP="00E4366D">
      <w:pPr>
        <w:spacing w:before="240"/>
        <w:jc w:val="center"/>
      </w:pPr>
      <w:r>
        <w:rPr>
          <w:u w:val="single"/>
        </w:rPr>
        <w:tab/>
      </w:r>
      <w:r>
        <w:rPr>
          <w:u w:val="single"/>
        </w:rPr>
        <w:tab/>
      </w:r>
      <w:r>
        <w:rPr>
          <w:u w:val="single"/>
        </w:rPr>
        <w:tab/>
      </w:r>
    </w:p>
    <w:sectPr w:rsidR="00EE42D3" w:rsidRPr="00587EDB" w:rsidSect="00BC7DA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8AC5" w14:textId="77777777" w:rsidR="00EF061F" w:rsidRDefault="00EF061F"/>
  </w:endnote>
  <w:endnote w:type="continuationSeparator" w:id="0">
    <w:p w14:paraId="28FB9A8E" w14:textId="77777777" w:rsidR="00EF061F" w:rsidRDefault="00EF061F"/>
  </w:endnote>
  <w:endnote w:type="continuationNotice" w:id="1">
    <w:p w14:paraId="56F58454" w14:textId="77777777" w:rsidR="00EF061F" w:rsidRDefault="00EF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4591" w14:textId="70D25DF5" w:rsidR="00587EDB" w:rsidRPr="00587EDB" w:rsidRDefault="00587EDB" w:rsidP="00587EDB">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4203" w14:textId="4E3CD091" w:rsidR="00587EDB" w:rsidRPr="00587EDB" w:rsidRDefault="00587EDB" w:rsidP="00587ED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4198" w14:textId="77777777" w:rsidR="00EF061F" w:rsidRPr="000B175B" w:rsidRDefault="00EF061F" w:rsidP="000B175B">
      <w:pPr>
        <w:tabs>
          <w:tab w:val="right" w:pos="2155"/>
        </w:tabs>
        <w:spacing w:after="80"/>
        <w:ind w:left="680"/>
        <w:rPr>
          <w:u w:val="single"/>
        </w:rPr>
      </w:pPr>
      <w:r>
        <w:rPr>
          <w:u w:val="single"/>
        </w:rPr>
        <w:tab/>
      </w:r>
    </w:p>
  </w:footnote>
  <w:footnote w:type="continuationSeparator" w:id="0">
    <w:p w14:paraId="6377FDA9" w14:textId="77777777" w:rsidR="00EF061F" w:rsidRPr="00FC68B7" w:rsidRDefault="00EF061F" w:rsidP="00FC68B7">
      <w:pPr>
        <w:tabs>
          <w:tab w:val="left" w:pos="2155"/>
        </w:tabs>
        <w:spacing w:after="80"/>
        <w:ind w:left="680"/>
        <w:rPr>
          <w:u w:val="single"/>
        </w:rPr>
      </w:pPr>
      <w:r>
        <w:rPr>
          <w:u w:val="single"/>
        </w:rPr>
        <w:tab/>
      </w:r>
    </w:p>
  </w:footnote>
  <w:footnote w:type="continuationNotice" w:id="1">
    <w:p w14:paraId="14A0CD79" w14:textId="77777777" w:rsidR="00EF061F" w:rsidRDefault="00EF061F"/>
  </w:footnote>
  <w:footnote w:id="2">
    <w:p w14:paraId="1C745B35" w14:textId="79AE5EC8" w:rsidR="00F11162" w:rsidRPr="00944972" w:rsidRDefault="00F11162" w:rsidP="00F11162">
      <w:pPr>
        <w:pStyle w:val="FootnoteText"/>
        <w:rPr>
          <w:lang w:val="fr-CH"/>
        </w:rPr>
      </w:pPr>
      <w:r>
        <w:tab/>
      </w:r>
      <w:r w:rsidRPr="00944972">
        <w:rPr>
          <w:rStyle w:val="FootnoteReference"/>
        </w:rPr>
        <w:footnoteRef/>
      </w:r>
      <w:r w:rsidRPr="00944972">
        <w:t xml:space="preserve"> </w:t>
      </w:r>
      <w:r w:rsidRPr="00944972">
        <w:tab/>
        <w:t>ST/SG/AC.10/C.3/11</w:t>
      </w:r>
      <w:r w:rsidR="00A5193C" w:rsidRPr="00944972">
        <w:t>9</w:t>
      </w:r>
      <w:r w:rsidRPr="00944972">
        <w:t>/Add.1.</w:t>
      </w:r>
    </w:p>
  </w:footnote>
  <w:footnote w:id="3">
    <w:p w14:paraId="36DBBBF9" w14:textId="16EBAAB4" w:rsidR="00F11162" w:rsidRPr="00054722" w:rsidRDefault="00F11162" w:rsidP="00F11162">
      <w:pPr>
        <w:pStyle w:val="FootnoteText"/>
        <w:rPr>
          <w:lang w:val="fr-CH"/>
        </w:rPr>
      </w:pPr>
      <w:r w:rsidRPr="00776C9B">
        <w:tab/>
      </w:r>
      <w:r w:rsidRPr="00776C9B">
        <w:rPr>
          <w:rStyle w:val="FootnoteReference"/>
        </w:rPr>
        <w:footnoteRef/>
      </w:r>
      <w:r w:rsidRPr="00776C9B">
        <w:t xml:space="preserve"> </w:t>
      </w:r>
      <w:r w:rsidRPr="00776C9B">
        <w:tab/>
      </w:r>
      <w:r w:rsidR="008331BE" w:rsidRPr="008331BE">
        <w:t>https://unece.org/transport/documents/2022/07/informal-documents/report-working-group-explosives-chair-working-group</w:t>
      </w:r>
    </w:p>
  </w:footnote>
  <w:footnote w:id="4">
    <w:p w14:paraId="5164ECF2" w14:textId="5FEF2F4F" w:rsidR="00691758" w:rsidRPr="005F49DD" w:rsidRDefault="00893B9F" w:rsidP="00691758">
      <w:pPr>
        <w:pStyle w:val="FootnoteText"/>
        <w:rPr>
          <w:lang w:val="fr-CH"/>
        </w:rPr>
      </w:pPr>
      <w:r>
        <w:tab/>
      </w:r>
      <w:r w:rsidR="00691758">
        <w:rPr>
          <w:rStyle w:val="FootnoteReference"/>
        </w:rPr>
        <w:footnoteRef/>
      </w:r>
      <w:r w:rsidR="00691758">
        <w:t xml:space="preserve"> </w:t>
      </w:r>
      <w:r>
        <w:tab/>
      </w:r>
      <w:hyperlink r:id="rId1" w:history="1">
        <w:r w:rsidRPr="00E837AF">
          <w:rPr>
            <w:rStyle w:val="Hyperlink"/>
          </w:rPr>
          <w:t>www.ivodga.com</w:t>
        </w:r>
      </w:hyperlink>
    </w:p>
  </w:footnote>
  <w:footnote w:id="5">
    <w:p w14:paraId="27E2EA8A" w14:textId="04F01635" w:rsidR="00691758" w:rsidRPr="00E22C9A" w:rsidRDefault="00893B9F" w:rsidP="00691758">
      <w:pPr>
        <w:pStyle w:val="FootnoteText"/>
        <w:rPr>
          <w:lang w:val="fr-CH"/>
        </w:rPr>
      </w:pPr>
      <w:r>
        <w:tab/>
      </w:r>
      <w:r w:rsidR="00691758">
        <w:rPr>
          <w:rStyle w:val="FootnoteReference"/>
        </w:rPr>
        <w:footnoteRef/>
      </w:r>
      <w:r w:rsidR="00691758">
        <w:t xml:space="preserve"> </w:t>
      </w:r>
      <w:r>
        <w:tab/>
      </w:r>
      <w:r w:rsidR="00691758" w:rsidRPr="00581734">
        <w:t>https://www.aeisg.org.au/wp-content/uploads/STORAGE-AND-HANDLING-OF-UN3375-COP-EDITION-4-MAY-2017-1.pdf</w:t>
      </w:r>
    </w:p>
  </w:footnote>
  <w:footnote w:id="6">
    <w:p w14:paraId="08C35579" w14:textId="77777777" w:rsidR="00A36AF8" w:rsidRDefault="00A36AF8" w:rsidP="002F4077">
      <w:pPr>
        <w:pStyle w:val="SingleTxtG"/>
        <w:tabs>
          <w:tab w:val="left" w:pos="1985"/>
          <w:tab w:val="left" w:pos="2977"/>
        </w:tabs>
        <w:ind w:left="0"/>
      </w:pPr>
      <w:r>
        <w:rPr>
          <w:rStyle w:val="FootnoteReference"/>
        </w:rPr>
        <w:footnoteRef/>
      </w:r>
      <w:r>
        <w:t xml:space="preserve"> </w:t>
      </w:r>
      <w:hyperlink r:id="rId2" w:history="1">
        <w:r w:rsidRPr="003A4B9B">
          <w:rPr>
            <w:rStyle w:val="Hyperlink"/>
          </w:rPr>
          <w:t>unece.org/transport/dangerous-goods/ecosoc-bodies-dealing-chemicals-safety</w:t>
        </w:r>
      </w:hyperlink>
      <w:r>
        <w:t>.</w:t>
      </w:r>
    </w:p>
    <w:p w14:paraId="48B2C831" w14:textId="77777777" w:rsidR="00A36AF8" w:rsidRPr="00C75C2D" w:rsidRDefault="00A36AF8" w:rsidP="00A36AF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2695" w14:textId="0F4E09B2" w:rsidR="00587EDB" w:rsidRPr="00BE2EBA" w:rsidRDefault="00BE2EBA" w:rsidP="00587EDB">
    <w:pPr>
      <w:pStyle w:val="Header"/>
      <w:rPr>
        <w:lang w:val="fr-CH"/>
      </w:rPr>
    </w:pPr>
    <w:r>
      <w:rPr>
        <w:lang w:val="fr-CH"/>
      </w:rPr>
      <w:t>UN/SCEGHS/42/INF.</w:t>
    </w:r>
    <w:r w:rsidR="00740F50">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172" w14:textId="515B747B" w:rsidR="00587EDB" w:rsidRPr="00587EDB" w:rsidRDefault="003B6ABC" w:rsidP="00587EDB">
    <w:pPr>
      <w:pStyle w:val="Header"/>
      <w:jc w:val="right"/>
    </w:pPr>
    <w:r>
      <w:fldChar w:fldCharType="begin"/>
    </w:r>
    <w:r>
      <w:instrText xml:space="preserve"> TITLE  \* MERGEFORMAT </w:instrText>
    </w:r>
    <w:r>
      <w:fldChar w:fldCharType="separate"/>
    </w:r>
    <w:r>
      <w:t>UN/SCEGHS/19/INF</w:t>
    </w:r>
    <w:r>
      <w:fldChar w:fldCharType="end"/>
    </w:r>
    <w:r w:rsidR="00740F50">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0"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3356CF"/>
    <w:multiLevelType w:val="hybridMultilevel"/>
    <w:tmpl w:val="0C382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7A56842"/>
    <w:multiLevelType w:val="hybridMultilevel"/>
    <w:tmpl w:val="C5F0FEE8"/>
    <w:lvl w:ilvl="0" w:tplc="666C9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7"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9"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31"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5"/>
  </w:num>
  <w:num w:numId="3">
    <w:abstractNumId w:val="17"/>
  </w:num>
  <w:num w:numId="4">
    <w:abstractNumId w:val="7"/>
  </w:num>
  <w:num w:numId="5">
    <w:abstractNumId w:val="8"/>
  </w:num>
  <w:num w:numId="6">
    <w:abstractNumId w:val="9"/>
  </w:num>
  <w:num w:numId="7">
    <w:abstractNumId w:val="31"/>
  </w:num>
  <w:num w:numId="8">
    <w:abstractNumId w:val="1"/>
  </w:num>
  <w:num w:numId="9">
    <w:abstractNumId w:val="3"/>
  </w:num>
  <w:num w:numId="10">
    <w:abstractNumId w:val="2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6"/>
  </w:num>
  <w:num w:numId="16">
    <w:abstractNumId w:val="28"/>
  </w:num>
  <w:num w:numId="17">
    <w:abstractNumId w:val="13"/>
  </w:num>
  <w:num w:numId="18">
    <w:abstractNumId w:val="10"/>
  </w:num>
  <w:num w:numId="19">
    <w:abstractNumId w:val="23"/>
  </w:num>
  <w:num w:numId="20">
    <w:abstractNumId w:val="2"/>
  </w:num>
  <w:num w:numId="21">
    <w:abstractNumId w:val="4"/>
  </w:num>
  <w:num w:numId="22">
    <w:abstractNumId w:val="30"/>
  </w:num>
  <w:num w:numId="23">
    <w:abstractNumId w:val="16"/>
  </w:num>
  <w:num w:numId="24">
    <w:abstractNumId w:val="18"/>
  </w:num>
  <w:num w:numId="25">
    <w:abstractNumId w:val="15"/>
  </w:num>
  <w:num w:numId="26">
    <w:abstractNumId w:val="6"/>
  </w:num>
  <w:num w:numId="27">
    <w:abstractNumId w:val="27"/>
  </w:num>
  <w:num w:numId="28">
    <w:abstractNumId w:val="22"/>
  </w:num>
  <w:num w:numId="29">
    <w:abstractNumId w:val="11"/>
  </w:num>
  <w:num w:numId="30">
    <w:abstractNumId w:val="24"/>
  </w:num>
  <w:num w:numId="31">
    <w:abstractNumId w:val="14"/>
  </w:num>
  <w:num w:numId="32">
    <w:abstractNumId w:val="21"/>
  </w:num>
  <w:num w:numId="3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ctiveWritingStyle w:appName="MSWord" w:lang="en-AU"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C"/>
    <w:rsid w:val="00011A6C"/>
    <w:rsid w:val="00011B38"/>
    <w:rsid w:val="00012269"/>
    <w:rsid w:val="000126CC"/>
    <w:rsid w:val="00015281"/>
    <w:rsid w:val="00016322"/>
    <w:rsid w:val="00016F90"/>
    <w:rsid w:val="0001762F"/>
    <w:rsid w:val="000213CE"/>
    <w:rsid w:val="00021F69"/>
    <w:rsid w:val="00023D11"/>
    <w:rsid w:val="000247DA"/>
    <w:rsid w:val="000248C1"/>
    <w:rsid w:val="000309E1"/>
    <w:rsid w:val="00030DD3"/>
    <w:rsid w:val="00033B3D"/>
    <w:rsid w:val="0003402C"/>
    <w:rsid w:val="00036757"/>
    <w:rsid w:val="00041588"/>
    <w:rsid w:val="00041F29"/>
    <w:rsid w:val="000443D9"/>
    <w:rsid w:val="000465B1"/>
    <w:rsid w:val="000465C7"/>
    <w:rsid w:val="0004671B"/>
    <w:rsid w:val="00050F6B"/>
    <w:rsid w:val="00053700"/>
    <w:rsid w:val="0005585B"/>
    <w:rsid w:val="00056ADD"/>
    <w:rsid w:val="0006093B"/>
    <w:rsid w:val="00062FE6"/>
    <w:rsid w:val="00065DE6"/>
    <w:rsid w:val="00072C8C"/>
    <w:rsid w:val="00073D8C"/>
    <w:rsid w:val="0007479C"/>
    <w:rsid w:val="00074E61"/>
    <w:rsid w:val="00081647"/>
    <w:rsid w:val="00085D2B"/>
    <w:rsid w:val="00086CD6"/>
    <w:rsid w:val="00092477"/>
    <w:rsid w:val="000931C0"/>
    <w:rsid w:val="00093AA0"/>
    <w:rsid w:val="00093E09"/>
    <w:rsid w:val="00096FC0"/>
    <w:rsid w:val="000A48A1"/>
    <w:rsid w:val="000A6544"/>
    <w:rsid w:val="000A6AF2"/>
    <w:rsid w:val="000B037C"/>
    <w:rsid w:val="000B0443"/>
    <w:rsid w:val="000B175B"/>
    <w:rsid w:val="000B17CF"/>
    <w:rsid w:val="000B3A0F"/>
    <w:rsid w:val="000B3D62"/>
    <w:rsid w:val="000C6544"/>
    <w:rsid w:val="000D10AA"/>
    <w:rsid w:val="000D37A9"/>
    <w:rsid w:val="000D4EE2"/>
    <w:rsid w:val="000D5A91"/>
    <w:rsid w:val="000E0415"/>
    <w:rsid w:val="000F599C"/>
    <w:rsid w:val="0010146C"/>
    <w:rsid w:val="00105C37"/>
    <w:rsid w:val="001074C7"/>
    <w:rsid w:val="00111760"/>
    <w:rsid w:val="00115ECB"/>
    <w:rsid w:val="00121C2E"/>
    <w:rsid w:val="001220B8"/>
    <w:rsid w:val="00124186"/>
    <w:rsid w:val="00131353"/>
    <w:rsid w:val="001317E3"/>
    <w:rsid w:val="00135B50"/>
    <w:rsid w:val="00140DE6"/>
    <w:rsid w:val="00141658"/>
    <w:rsid w:val="00142E4D"/>
    <w:rsid w:val="0015005D"/>
    <w:rsid w:val="00154087"/>
    <w:rsid w:val="00156444"/>
    <w:rsid w:val="00156F3C"/>
    <w:rsid w:val="00160207"/>
    <w:rsid w:val="00162BF7"/>
    <w:rsid w:val="00170DBB"/>
    <w:rsid w:val="001748C5"/>
    <w:rsid w:val="00174D6F"/>
    <w:rsid w:val="001772DB"/>
    <w:rsid w:val="00180149"/>
    <w:rsid w:val="0018104F"/>
    <w:rsid w:val="00181192"/>
    <w:rsid w:val="00190AEA"/>
    <w:rsid w:val="00191F6F"/>
    <w:rsid w:val="001922C7"/>
    <w:rsid w:val="00195871"/>
    <w:rsid w:val="00196E86"/>
    <w:rsid w:val="00196F8A"/>
    <w:rsid w:val="001976A3"/>
    <w:rsid w:val="001A0F7B"/>
    <w:rsid w:val="001A1977"/>
    <w:rsid w:val="001A2FA5"/>
    <w:rsid w:val="001B4B04"/>
    <w:rsid w:val="001B5F24"/>
    <w:rsid w:val="001B69DC"/>
    <w:rsid w:val="001C6663"/>
    <w:rsid w:val="001C7895"/>
    <w:rsid w:val="001D02FD"/>
    <w:rsid w:val="001D13BA"/>
    <w:rsid w:val="001D1E83"/>
    <w:rsid w:val="001D26DF"/>
    <w:rsid w:val="001D3206"/>
    <w:rsid w:val="001D648C"/>
    <w:rsid w:val="001E0CAB"/>
    <w:rsid w:val="001E47FD"/>
    <w:rsid w:val="001E7F58"/>
    <w:rsid w:val="001F0115"/>
    <w:rsid w:val="001F661F"/>
    <w:rsid w:val="00202FFC"/>
    <w:rsid w:val="00204F06"/>
    <w:rsid w:val="002115B7"/>
    <w:rsid w:val="00211E0B"/>
    <w:rsid w:val="002122AE"/>
    <w:rsid w:val="00213E9F"/>
    <w:rsid w:val="00216B63"/>
    <w:rsid w:val="00217B78"/>
    <w:rsid w:val="00221DF0"/>
    <w:rsid w:val="00231C90"/>
    <w:rsid w:val="002353CC"/>
    <w:rsid w:val="002366A3"/>
    <w:rsid w:val="002405A7"/>
    <w:rsid w:val="00242A4A"/>
    <w:rsid w:val="00245FA7"/>
    <w:rsid w:val="0024633B"/>
    <w:rsid w:val="00247C31"/>
    <w:rsid w:val="0025322D"/>
    <w:rsid w:val="002544BF"/>
    <w:rsid w:val="00254C1C"/>
    <w:rsid w:val="00257E45"/>
    <w:rsid w:val="00261190"/>
    <w:rsid w:val="00262488"/>
    <w:rsid w:val="002706F2"/>
    <w:rsid w:val="00271E2A"/>
    <w:rsid w:val="0027295D"/>
    <w:rsid w:val="00273022"/>
    <w:rsid w:val="002737DA"/>
    <w:rsid w:val="00277C2D"/>
    <w:rsid w:val="00283970"/>
    <w:rsid w:val="00283EA1"/>
    <w:rsid w:val="00285190"/>
    <w:rsid w:val="0028578C"/>
    <w:rsid w:val="00286FDE"/>
    <w:rsid w:val="002B1884"/>
    <w:rsid w:val="002B37B6"/>
    <w:rsid w:val="002B3D6F"/>
    <w:rsid w:val="002B5590"/>
    <w:rsid w:val="002C7A9B"/>
    <w:rsid w:val="002D037D"/>
    <w:rsid w:val="002D0C22"/>
    <w:rsid w:val="002D1005"/>
    <w:rsid w:val="002D1872"/>
    <w:rsid w:val="002D2042"/>
    <w:rsid w:val="002D2D8D"/>
    <w:rsid w:val="002D2FB8"/>
    <w:rsid w:val="002D33A5"/>
    <w:rsid w:val="002D3A9B"/>
    <w:rsid w:val="002D59D3"/>
    <w:rsid w:val="002D6144"/>
    <w:rsid w:val="002E3936"/>
    <w:rsid w:val="002F4077"/>
    <w:rsid w:val="00303789"/>
    <w:rsid w:val="003107FA"/>
    <w:rsid w:val="003127A2"/>
    <w:rsid w:val="003229D8"/>
    <w:rsid w:val="00322FAA"/>
    <w:rsid w:val="0032550E"/>
    <w:rsid w:val="00327615"/>
    <w:rsid w:val="00330054"/>
    <w:rsid w:val="003327F0"/>
    <w:rsid w:val="00335925"/>
    <w:rsid w:val="0033745A"/>
    <w:rsid w:val="00337A81"/>
    <w:rsid w:val="00337F26"/>
    <w:rsid w:val="00341051"/>
    <w:rsid w:val="003430D8"/>
    <w:rsid w:val="003462CE"/>
    <w:rsid w:val="00357D6F"/>
    <w:rsid w:val="00360B34"/>
    <w:rsid w:val="00361772"/>
    <w:rsid w:val="003642AF"/>
    <w:rsid w:val="00366CA7"/>
    <w:rsid w:val="0037026E"/>
    <w:rsid w:val="00370421"/>
    <w:rsid w:val="00373660"/>
    <w:rsid w:val="0037693E"/>
    <w:rsid w:val="00383AC3"/>
    <w:rsid w:val="0039277A"/>
    <w:rsid w:val="003936C1"/>
    <w:rsid w:val="00395157"/>
    <w:rsid w:val="003956BB"/>
    <w:rsid w:val="0039696D"/>
    <w:rsid w:val="003972E0"/>
    <w:rsid w:val="003A3AEF"/>
    <w:rsid w:val="003A3BBF"/>
    <w:rsid w:val="003A6F49"/>
    <w:rsid w:val="003A737A"/>
    <w:rsid w:val="003A7753"/>
    <w:rsid w:val="003B0C4F"/>
    <w:rsid w:val="003B2CBD"/>
    <w:rsid w:val="003B3A99"/>
    <w:rsid w:val="003B6ABC"/>
    <w:rsid w:val="003C2CC4"/>
    <w:rsid w:val="003C3936"/>
    <w:rsid w:val="003C3E16"/>
    <w:rsid w:val="003D0D56"/>
    <w:rsid w:val="003D2270"/>
    <w:rsid w:val="003D4009"/>
    <w:rsid w:val="003D4B23"/>
    <w:rsid w:val="003D4D01"/>
    <w:rsid w:val="003D57CD"/>
    <w:rsid w:val="003E0CBE"/>
    <w:rsid w:val="003E1828"/>
    <w:rsid w:val="003E4C6B"/>
    <w:rsid w:val="003E6173"/>
    <w:rsid w:val="003F1ED3"/>
    <w:rsid w:val="003F548D"/>
    <w:rsid w:val="00403AF3"/>
    <w:rsid w:val="00404110"/>
    <w:rsid w:val="00404648"/>
    <w:rsid w:val="0040593A"/>
    <w:rsid w:val="00406A2B"/>
    <w:rsid w:val="00414C0B"/>
    <w:rsid w:val="00421612"/>
    <w:rsid w:val="00422AA7"/>
    <w:rsid w:val="00425CB5"/>
    <w:rsid w:val="00426F57"/>
    <w:rsid w:val="00427C61"/>
    <w:rsid w:val="004325CB"/>
    <w:rsid w:val="0044214D"/>
    <w:rsid w:val="004449CC"/>
    <w:rsid w:val="00446DE4"/>
    <w:rsid w:val="00455E21"/>
    <w:rsid w:val="00460165"/>
    <w:rsid w:val="00460DD9"/>
    <w:rsid w:val="0046499D"/>
    <w:rsid w:val="00467F71"/>
    <w:rsid w:val="004705A6"/>
    <w:rsid w:val="0047442B"/>
    <w:rsid w:val="00474F1C"/>
    <w:rsid w:val="00477371"/>
    <w:rsid w:val="00481AF5"/>
    <w:rsid w:val="004827D3"/>
    <w:rsid w:val="00485881"/>
    <w:rsid w:val="00491B50"/>
    <w:rsid w:val="00492FBB"/>
    <w:rsid w:val="00496EBE"/>
    <w:rsid w:val="004975BF"/>
    <w:rsid w:val="00497B96"/>
    <w:rsid w:val="00497C7D"/>
    <w:rsid w:val="00497EF1"/>
    <w:rsid w:val="004A371D"/>
    <w:rsid w:val="004A41CA"/>
    <w:rsid w:val="004A4C5A"/>
    <w:rsid w:val="004A4EB2"/>
    <w:rsid w:val="004A4F3D"/>
    <w:rsid w:val="004B0298"/>
    <w:rsid w:val="004B036A"/>
    <w:rsid w:val="004B073A"/>
    <w:rsid w:val="004B2692"/>
    <w:rsid w:val="004B288E"/>
    <w:rsid w:val="004B2B20"/>
    <w:rsid w:val="004B748C"/>
    <w:rsid w:val="004C2C20"/>
    <w:rsid w:val="004C3441"/>
    <w:rsid w:val="004C6E9B"/>
    <w:rsid w:val="004D0C85"/>
    <w:rsid w:val="004E0B23"/>
    <w:rsid w:val="004E31C7"/>
    <w:rsid w:val="004E33F9"/>
    <w:rsid w:val="004E36F5"/>
    <w:rsid w:val="004E3E6C"/>
    <w:rsid w:val="004E7E06"/>
    <w:rsid w:val="004E7ED6"/>
    <w:rsid w:val="004F6FA2"/>
    <w:rsid w:val="004F7D12"/>
    <w:rsid w:val="005014A3"/>
    <w:rsid w:val="00503228"/>
    <w:rsid w:val="005034AA"/>
    <w:rsid w:val="00505384"/>
    <w:rsid w:val="00507958"/>
    <w:rsid w:val="005163CC"/>
    <w:rsid w:val="00530929"/>
    <w:rsid w:val="0053092F"/>
    <w:rsid w:val="00530B20"/>
    <w:rsid w:val="00532617"/>
    <w:rsid w:val="005326D7"/>
    <w:rsid w:val="00532EF8"/>
    <w:rsid w:val="00533DBE"/>
    <w:rsid w:val="0053503F"/>
    <w:rsid w:val="00535116"/>
    <w:rsid w:val="00535BDE"/>
    <w:rsid w:val="0053769E"/>
    <w:rsid w:val="00540050"/>
    <w:rsid w:val="00541C35"/>
    <w:rsid w:val="005420F2"/>
    <w:rsid w:val="00543A6D"/>
    <w:rsid w:val="0054407A"/>
    <w:rsid w:val="00545F0E"/>
    <w:rsid w:val="00546218"/>
    <w:rsid w:val="00552821"/>
    <w:rsid w:val="005547AA"/>
    <w:rsid w:val="005560AA"/>
    <w:rsid w:val="00562B2C"/>
    <w:rsid w:val="00566096"/>
    <w:rsid w:val="005745F6"/>
    <w:rsid w:val="00583B10"/>
    <w:rsid w:val="00587EDB"/>
    <w:rsid w:val="005906CF"/>
    <w:rsid w:val="00594BF5"/>
    <w:rsid w:val="00594CC8"/>
    <w:rsid w:val="00596A1F"/>
    <w:rsid w:val="005A0C61"/>
    <w:rsid w:val="005A3BFC"/>
    <w:rsid w:val="005A6542"/>
    <w:rsid w:val="005B0D15"/>
    <w:rsid w:val="005B2C89"/>
    <w:rsid w:val="005B3DB3"/>
    <w:rsid w:val="005B758B"/>
    <w:rsid w:val="005C0B2E"/>
    <w:rsid w:val="005C47BF"/>
    <w:rsid w:val="005D1A62"/>
    <w:rsid w:val="005D23F3"/>
    <w:rsid w:val="005D2A49"/>
    <w:rsid w:val="005D7387"/>
    <w:rsid w:val="005E1EDC"/>
    <w:rsid w:val="005E22FE"/>
    <w:rsid w:val="005E2993"/>
    <w:rsid w:val="005E5FFD"/>
    <w:rsid w:val="005F7D6B"/>
    <w:rsid w:val="00601906"/>
    <w:rsid w:val="00603CBF"/>
    <w:rsid w:val="0060668D"/>
    <w:rsid w:val="00611326"/>
    <w:rsid w:val="0061196B"/>
    <w:rsid w:val="00611FC4"/>
    <w:rsid w:val="006141EE"/>
    <w:rsid w:val="0061427C"/>
    <w:rsid w:val="006170FC"/>
    <w:rsid w:val="006176FB"/>
    <w:rsid w:val="0061770D"/>
    <w:rsid w:val="00617FFE"/>
    <w:rsid w:val="00623801"/>
    <w:rsid w:val="0062434E"/>
    <w:rsid w:val="006247E1"/>
    <w:rsid w:val="00625098"/>
    <w:rsid w:val="00627ED0"/>
    <w:rsid w:val="00630F5A"/>
    <w:rsid w:val="006326F0"/>
    <w:rsid w:val="00635219"/>
    <w:rsid w:val="0063521D"/>
    <w:rsid w:val="00635EF4"/>
    <w:rsid w:val="00640B26"/>
    <w:rsid w:val="00643D24"/>
    <w:rsid w:val="00645B5D"/>
    <w:rsid w:val="00664127"/>
    <w:rsid w:val="006653E5"/>
    <w:rsid w:val="00665595"/>
    <w:rsid w:val="00680CDA"/>
    <w:rsid w:val="006866A5"/>
    <w:rsid w:val="0068708F"/>
    <w:rsid w:val="00691758"/>
    <w:rsid w:val="00691F20"/>
    <w:rsid w:val="00693543"/>
    <w:rsid w:val="00694787"/>
    <w:rsid w:val="00696A5B"/>
    <w:rsid w:val="00697787"/>
    <w:rsid w:val="006A7392"/>
    <w:rsid w:val="006A7757"/>
    <w:rsid w:val="006A7857"/>
    <w:rsid w:val="006A7DFD"/>
    <w:rsid w:val="006B1B5A"/>
    <w:rsid w:val="006B2509"/>
    <w:rsid w:val="006B28E5"/>
    <w:rsid w:val="006B6238"/>
    <w:rsid w:val="006C16AC"/>
    <w:rsid w:val="006C2521"/>
    <w:rsid w:val="006D3377"/>
    <w:rsid w:val="006E032B"/>
    <w:rsid w:val="006E10E3"/>
    <w:rsid w:val="006E2481"/>
    <w:rsid w:val="006E3197"/>
    <w:rsid w:val="006E564B"/>
    <w:rsid w:val="006F0395"/>
    <w:rsid w:val="007043A6"/>
    <w:rsid w:val="007107D8"/>
    <w:rsid w:val="0071248A"/>
    <w:rsid w:val="0071349F"/>
    <w:rsid w:val="00714AEE"/>
    <w:rsid w:val="00717623"/>
    <w:rsid w:val="00720DEB"/>
    <w:rsid w:val="0072632A"/>
    <w:rsid w:val="00727A68"/>
    <w:rsid w:val="00732654"/>
    <w:rsid w:val="00733AAE"/>
    <w:rsid w:val="00734A5D"/>
    <w:rsid w:val="007361DA"/>
    <w:rsid w:val="00737BC9"/>
    <w:rsid w:val="00740F50"/>
    <w:rsid w:val="007439EB"/>
    <w:rsid w:val="00747F24"/>
    <w:rsid w:val="007506A9"/>
    <w:rsid w:val="00754226"/>
    <w:rsid w:val="007560E6"/>
    <w:rsid w:val="0076223F"/>
    <w:rsid w:val="007640D5"/>
    <w:rsid w:val="007673C7"/>
    <w:rsid w:val="007719BA"/>
    <w:rsid w:val="007750CB"/>
    <w:rsid w:val="00775EC7"/>
    <w:rsid w:val="00776C9B"/>
    <w:rsid w:val="00781A60"/>
    <w:rsid w:val="00784208"/>
    <w:rsid w:val="0078428C"/>
    <w:rsid w:val="00786A3B"/>
    <w:rsid w:val="00787DA4"/>
    <w:rsid w:val="00791BCB"/>
    <w:rsid w:val="00793314"/>
    <w:rsid w:val="007945E7"/>
    <w:rsid w:val="007A0B22"/>
    <w:rsid w:val="007A1AF5"/>
    <w:rsid w:val="007A7E59"/>
    <w:rsid w:val="007B2525"/>
    <w:rsid w:val="007B525C"/>
    <w:rsid w:val="007B5399"/>
    <w:rsid w:val="007B6BA5"/>
    <w:rsid w:val="007C1201"/>
    <w:rsid w:val="007C3390"/>
    <w:rsid w:val="007C4F4B"/>
    <w:rsid w:val="007C5418"/>
    <w:rsid w:val="007C5A03"/>
    <w:rsid w:val="007C6F15"/>
    <w:rsid w:val="007C7065"/>
    <w:rsid w:val="007C710E"/>
    <w:rsid w:val="007C7B1E"/>
    <w:rsid w:val="007D2D6D"/>
    <w:rsid w:val="007D4D7A"/>
    <w:rsid w:val="007D61DF"/>
    <w:rsid w:val="007D7920"/>
    <w:rsid w:val="007E0557"/>
    <w:rsid w:val="007E1CC9"/>
    <w:rsid w:val="007E7FCA"/>
    <w:rsid w:val="007F0B83"/>
    <w:rsid w:val="007F48EF"/>
    <w:rsid w:val="007F4FCD"/>
    <w:rsid w:val="007F6611"/>
    <w:rsid w:val="00802916"/>
    <w:rsid w:val="00802F98"/>
    <w:rsid w:val="0080653A"/>
    <w:rsid w:val="00807005"/>
    <w:rsid w:val="0081004A"/>
    <w:rsid w:val="00811719"/>
    <w:rsid w:val="008121E9"/>
    <w:rsid w:val="00815255"/>
    <w:rsid w:val="0081732C"/>
    <w:rsid w:val="008175E9"/>
    <w:rsid w:val="008242D7"/>
    <w:rsid w:val="00826F10"/>
    <w:rsid w:val="0082702F"/>
    <w:rsid w:val="00827E05"/>
    <w:rsid w:val="008308E6"/>
    <w:rsid w:val="008311A3"/>
    <w:rsid w:val="00832AD0"/>
    <w:rsid w:val="00832B3A"/>
    <w:rsid w:val="008331BE"/>
    <w:rsid w:val="00836AF7"/>
    <w:rsid w:val="0084107B"/>
    <w:rsid w:val="00843C36"/>
    <w:rsid w:val="0084467B"/>
    <w:rsid w:val="0084610D"/>
    <w:rsid w:val="00862FF3"/>
    <w:rsid w:val="00864872"/>
    <w:rsid w:val="008705FA"/>
    <w:rsid w:val="00871FD5"/>
    <w:rsid w:val="008748E0"/>
    <w:rsid w:val="00875CAA"/>
    <w:rsid w:val="008762FC"/>
    <w:rsid w:val="00877165"/>
    <w:rsid w:val="008813B3"/>
    <w:rsid w:val="00882806"/>
    <w:rsid w:val="00883D22"/>
    <w:rsid w:val="00884C4B"/>
    <w:rsid w:val="00886638"/>
    <w:rsid w:val="00887D87"/>
    <w:rsid w:val="00887F74"/>
    <w:rsid w:val="00890DB8"/>
    <w:rsid w:val="00891141"/>
    <w:rsid w:val="00891B45"/>
    <w:rsid w:val="00893791"/>
    <w:rsid w:val="00893960"/>
    <w:rsid w:val="00893B9F"/>
    <w:rsid w:val="0089738F"/>
    <w:rsid w:val="008979B1"/>
    <w:rsid w:val="008A32BF"/>
    <w:rsid w:val="008A413C"/>
    <w:rsid w:val="008A583E"/>
    <w:rsid w:val="008A59AE"/>
    <w:rsid w:val="008A6B25"/>
    <w:rsid w:val="008A6C4F"/>
    <w:rsid w:val="008A6CA6"/>
    <w:rsid w:val="008B0631"/>
    <w:rsid w:val="008B2AE3"/>
    <w:rsid w:val="008B33DF"/>
    <w:rsid w:val="008B6E26"/>
    <w:rsid w:val="008C63EB"/>
    <w:rsid w:val="008C7D7C"/>
    <w:rsid w:val="008C7F06"/>
    <w:rsid w:val="008D16E2"/>
    <w:rsid w:val="008D513D"/>
    <w:rsid w:val="008E0E46"/>
    <w:rsid w:val="008E302A"/>
    <w:rsid w:val="008E4C4C"/>
    <w:rsid w:val="008F08B4"/>
    <w:rsid w:val="008F2D8E"/>
    <w:rsid w:val="008F2E36"/>
    <w:rsid w:val="008F5985"/>
    <w:rsid w:val="008F6FE3"/>
    <w:rsid w:val="008F7879"/>
    <w:rsid w:val="00903786"/>
    <w:rsid w:val="00907AD2"/>
    <w:rsid w:val="00911047"/>
    <w:rsid w:val="00916D57"/>
    <w:rsid w:val="00917E75"/>
    <w:rsid w:val="0092058D"/>
    <w:rsid w:val="00924BEA"/>
    <w:rsid w:val="009302FB"/>
    <w:rsid w:val="009315AB"/>
    <w:rsid w:val="009321E9"/>
    <w:rsid w:val="009325D3"/>
    <w:rsid w:val="00944678"/>
    <w:rsid w:val="00944972"/>
    <w:rsid w:val="009464AD"/>
    <w:rsid w:val="00947761"/>
    <w:rsid w:val="0095791A"/>
    <w:rsid w:val="0096014D"/>
    <w:rsid w:val="009605A3"/>
    <w:rsid w:val="00961A01"/>
    <w:rsid w:val="009632F4"/>
    <w:rsid w:val="00963CBA"/>
    <w:rsid w:val="009650E6"/>
    <w:rsid w:val="00965932"/>
    <w:rsid w:val="0096617E"/>
    <w:rsid w:val="009717C3"/>
    <w:rsid w:val="00971BB4"/>
    <w:rsid w:val="00974A8D"/>
    <w:rsid w:val="00987B97"/>
    <w:rsid w:val="0099001C"/>
    <w:rsid w:val="00991261"/>
    <w:rsid w:val="00992F6B"/>
    <w:rsid w:val="009A1558"/>
    <w:rsid w:val="009A1717"/>
    <w:rsid w:val="009A276C"/>
    <w:rsid w:val="009A3BCA"/>
    <w:rsid w:val="009A5C6B"/>
    <w:rsid w:val="009B1741"/>
    <w:rsid w:val="009B2962"/>
    <w:rsid w:val="009B7F3C"/>
    <w:rsid w:val="009C127C"/>
    <w:rsid w:val="009C12F6"/>
    <w:rsid w:val="009C2E40"/>
    <w:rsid w:val="009C314F"/>
    <w:rsid w:val="009D26EF"/>
    <w:rsid w:val="009D555E"/>
    <w:rsid w:val="009D6BB6"/>
    <w:rsid w:val="009E2F92"/>
    <w:rsid w:val="009E46E9"/>
    <w:rsid w:val="009E6929"/>
    <w:rsid w:val="009F1B31"/>
    <w:rsid w:val="009F1D82"/>
    <w:rsid w:val="009F3A17"/>
    <w:rsid w:val="009F3D53"/>
    <w:rsid w:val="009F7870"/>
    <w:rsid w:val="00A00230"/>
    <w:rsid w:val="00A01612"/>
    <w:rsid w:val="00A01958"/>
    <w:rsid w:val="00A021BA"/>
    <w:rsid w:val="00A02F4C"/>
    <w:rsid w:val="00A04085"/>
    <w:rsid w:val="00A07DC2"/>
    <w:rsid w:val="00A10E05"/>
    <w:rsid w:val="00A1256E"/>
    <w:rsid w:val="00A1427D"/>
    <w:rsid w:val="00A17045"/>
    <w:rsid w:val="00A17323"/>
    <w:rsid w:val="00A2158F"/>
    <w:rsid w:val="00A230AE"/>
    <w:rsid w:val="00A24413"/>
    <w:rsid w:val="00A250EB"/>
    <w:rsid w:val="00A2678C"/>
    <w:rsid w:val="00A31083"/>
    <w:rsid w:val="00A32AEE"/>
    <w:rsid w:val="00A352D7"/>
    <w:rsid w:val="00A36AF8"/>
    <w:rsid w:val="00A36F40"/>
    <w:rsid w:val="00A37265"/>
    <w:rsid w:val="00A426FB"/>
    <w:rsid w:val="00A47476"/>
    <w:rsid w:val="00A5193C"/>
    <w:rsid w:val="00A55FB2"/>
    <w:rsid w:val="00A57424"/>
    <w:rsid w:val="00A62A71"/>
    <w:rsid w:val="00A62DA8"/>
    <w:rsid w:val="00A63E4A"/>
    <w:rsid w:val="00A64D33"/>
    <w:rsid w:val="00A6751D"/>
    <w:rsid w:val="00A72F22"/>
    <w:rsid w:val="00A73939"/>
    <w:rsid w:val="00A74632"/>
    <w:rsid w:val="00A748A6"/>
    <w:rsid w:val="00A75A18"/>
    <w:rsid w:val="00A80459"/>
    <w:rsid w:val="00A805EB"/>
    <w:rsid w:val="00A80F63"/>
    <w:rsid w:val="00A8573F"/>
    <w:rsid w:val="00A85E95"/>
    <w:rsid w:val="00A871D7"/>
    <w:rsid w:val="00A8760B"/>
    <w:rsid w:val="00A8762E"/>
    <w:rsid w:val="00A87771"/>
    <w:rsid w:val="00A879A4"/>
    <w:rsid w:val="00A90064"/>
    <w:rsid w:val="00AA1504"/>
    <w:rsid w:val="00AA42B2"/>
    <w:rsid w:val="00AA496B"/>
    <w:rsid w:val="00AA68B6"/>
    <w:rsid w:val="00AB19FE"/>
    <w:rsid w:val="00AB3547"/>
    <w:rsid w:val="00AB38F8"/>
    <w:rsid w:val="00AC16CE"/>
    <w:rsid w:val="00AC5C02"/>
    <w:rsid w:val="00AC6691"/>
    <w:rsid w:val="00AC6CF5"/>
    <w:rsid w:val="00AD275E"/>
    <w:rsid w:val="00AD30B7"/>
    <w:rsid w:val="00AD6198"/>
    <w:rsid w:val="00AD6396"/>
    <w:rsid w:val="00AD67E3"/>
    <w:rsid w:val="00AD7E76"/>
    <w:rsid w:val="00AE0FFC"/>
    <w:rsid w:val="00AE122F"/>
    <w:rsid w:val="00AE1248"/>
    <w:rsid w:val="00AE1926"/>
    <w:rsid w:val="00AE50AE"/>
    <w:rsid w:val="00AE5F9C"/>
    <w:rsid w:val="00AE71F3"/>
    <w:rsid w:val="00AF2C4B"/>
    <w:rsid w:val="00AF3DD5"/>
    <w:rsid w:val="00B012DF"/>
    <w:rsid w:val="00B1225A"/>
    <w:rsid w:val="00B13651"/>
    <w:rsid w:val="00B13801"/>
    <w:rsid w:val="00B14DCA"/>
    <w:rsid w:val="00B150D8"/>
    <w:rsid w:val="00B15237"/>
    <w:rsid w:val="00B1615F"/>
    <w:rsid w:val="00B163F4"/>
    <w:rsid w:val="00B25709"/>
    <w:rsid w:val="00B26528"/>
    <w:rsid w:val="00B266A4"/>
    <w:rsid w:val="00B30179"/>
    <w:rsid w:val="00B30916"/>
    <w:rsid w:val="00B30BA7"/>
    <w:rsid w:val="00B30D47"/>
    <w:rsid w:val="00B30E8F"/>
    <w:rsid w:val="00B32301"/>
    <w:rsid w:val="00B32782"/>
    <w:rsid w:val="00B339B5"/>
    <w:rsid w:val="00B33EC0"/>
    <w:rsid w:val="00B543C9"/>
    <w:rsid w:val="00B55CCD"/>
    <w:rsid w:val="00B568D4"/>
    <w:rsid w:val="00B5760A"/>
    <w:rsid w:val="00B656C2"/>
    <w:rsid w:val="00B724A0"/>
    <w:rsid w:val="00B72D24"/>
    <w:rsid w:val="00B735E2"/>
    <w:rsid w:val="00B760A8"/>
    <w:rsid w:val="00B76F60"/>
    <w:rsid w:val="00B770F6"/>
    <w:rsid w:val="00B77928"/>
    <w:rsid w:val="00B80297"/>
    <w:rsid w:val="00B80B9B"/>
    <w:rsid w:val="00B80CCF"/>
    <w:rsid w:val="00B81E12"/>
    <w:rsid w:val="00B8484B"/>
    <w:rsid w:val="00B87F10"/>
    <w:rsid w:val="00B912C5"/>
    <w:rsid w:val="00B91C47"/>
    <w:rsid w:val="00B91E3A"/>
    <w:rsid w:val="00B94FE3"/>
    <w:rsid w:val="00B97D28"/>
    <w:rsid w:val="00BA69AB"/>
    <w:rsid w:val="00BC74E9"/>
    <w:rsid w:val="00BC7DAB"/>
    <w:rsid w:val="00BD13EB"/>
    <w:rsid w:val="00BD1504"/>
    <w:rsid w:val="00BD1EA1"/>
    <w:rsid w:val="00BD2146"/>
    <w:rsid w:val="00BD37C9"/>
    <w:rsid w:val="00BD62B0"/>
    <w:rsid w:val="00BD75EF"/>
    <w:rsid w:val="00BE2EBA"/>
    <w:rsid w:val="00BE3F8A"/>
    <w:rsid w:val="00BE4F74"/>
    <w:rsid w:val="00BE59FB"/>
    <w:rsid w:val="00BE618E"/>
    <w:rsid w:val="00BF0B77"/>
    <w:rsid w:val="00BF2962"/>
    <w:rsid w:val="00BF2C8E"/>
    <w:rsid w:val="00BF400F"/>
    <w:rsid w:val="00BF4542"/>
    <w:rsid w:val="00BF7F4E"/>
    <w:rsid w:val="00C01530"/>
    <w:rsid w:val="00C0361E"/>
    <w:rsid w:val="00C044FE"/>
    <w:rsid w:val="00C07983"/>
    <w:rsid w:val="00C07CD9"/>
    <w:rsid w:val="00C140FC"/>
    <w:rsid w:val="00C164A6"/>
    <w:rsid w:val="00C17699"/>
    <w:rsid w:val="00C1778D"/>
    <w:rsid w:val="00C21C71"/>
    <w:rsid w:val="00C22EE1"/>
    <w:rsid w:val="00C27390"/>
    <w:rsid w:val="00C30C38"/>
    <w:rsid w:val="00C31445"/>
    <w:rsid w:val="00C3770A"/>
    <w:rsid w:val="00C41A28"/>
    <w:rsid w:val="00C44200"/>
    <w:rsid w:val="00C4618D"/>
    <w:rsid w:val="00C463DD"/>
    <w:rsid w:val="00C51B20"/>
    <w:rsid w:val="00C524BA"/>
    <w:rsid w:val="00C56EB4"/>
    <w:rsid w:val="00C56F3F"/>
    <w:rsid w:val="00C60A9D"/>
    <w:rsid w:val="00C60AC5"/>
    <w:rsid w:val="00C61038"/>
    <w:rsid w:val="00C6127E"/>
    <w:rsid w:val="00C6210B"/>
    <w:rsid w:val="00C64E43"/>
    <w:rsid w:val="00C66551"/>
    <w:rsid w:val="00C66B32"/>
    <w:rsid w:val="00C679CF"/>
    <w:rsid w:val="00C745C3"/>
    <w:rsid w:val="00C77D44"/>
    <w:rsid w:val="00C8043E"/>
    <w:rsid w:val="00C80ECA"/>
    <w:rsid w:val="00C84CBF"/>
    <w:rsid w:val="00C8562E"/>
    <w:rsid w:val="00C86EEF"/>
    <w:rsid w:val="00C9219C"/>
    <w:rsid w:val="00C945EB"/>
    <w:rsid w:val="00C95AB8"/>
    <w:rsid w:val="00C961BD"/>
    <w:rsid w:val="00C972B7"/>
    <w:rsid w:val="00CA1158"/>
    <w:rsid w:val="00CA2305"/>
    <w:rsid w:val="00CB4208"/>
    <w:rsid w:val="00CB6800"/>
    <w:rsid w:val="00CC1C83"/>
    <w:rsid w:val="00CC4CCF"/>
    <w:rsid w:val="00CC65B7"/>
    <w:rsid w:val="00CD14FE"/>
    <w:rsid w:val="00CD2354"/>
    <w:rsid w:val="00CD3C6C"/>
    <w:rsid w:val="00CD5E11"/>
    <w:rsid w:val="00CD6C80"/>
    <w:rsid w:val="00CD7653"/>
    <w:rsid w:val="00CD7685"/>
    <w:rsid w:val="00CD7D8E"/>
    <w:rsid w:val="00CE0A90"/>
    <w:rsid w:val="00CE4865"/>
    <w:rsid w:val="00CE4A8F"/>
    <w:rsid w:val="00CF22A3"/>
    <w:rsid w:val="00CF6AE6"/>
    <w:rsid w:val="00D03FFD"/>
    <w:rsid w:val="00D04E00"/>
    <w:rsid w:val="00D055EB"/>
    <w:rsid w:val="00D0666B"/>
    <w:rsid w:val="00D11704"/>
    <w:rsid w:val="00D16719"/>
    <w:rsid w:val="00D2031B"/>
    <w:rsid w:val="00D22C96"/>
    <w:rsid w:val="00D2318A"/>
    <w:rsid w:val="00D25D04"/>
    <w:rsid w:val="00D25FE2"/>
    <w:rsid w:val="00D26258"/>
    <w:rsid w:val="00D27AEC"/>
    <w:rsid w:val="00D317BB"/>
    <w:rsid w:val="00D34FBA"/>
    <w:rsid w:val="00D350A0"/>
    <w:rsid w:val="00D355AF"/>
    <w:rsid w:val="00D35D8F"/>
    <w:rsid w:val="00D36906"/>
    <w:rsid w:val="00D37411"/>
    <w:rsid w:val="00D4297A"/>
    <w:rsid w:val="00D43252"/>
    <w:rsid w:val="00D470D5"/>
    <w:rsid w:val="00D515A1"/>
    <w:rsid w:val="00D527B3"/>
    <w:rsid w:val="00D53C77"/>
    <w:rsid w:val="00D55E97"/>
    <w:rsid w:val="00D60489"/>
    <w:rsid w:val="00D62155"/>
    <w:rsid w:val="00D6273B"/>
    <w:rsid w:val="00D63881"/>
    <w:rsid w:val="00D6703D"/>
    <w:rsid w:val="00D70F0E"/>
    <w:rsid w:val="00D718A2"/>
    <w:rsid w:val="00D7387D"/>
    <w:rsid w:val="00D833D0"/>
    <w:rsid w:val="00D844F6"/>
    <w:rsid w:val="00D85614"/>
    <w:rsid w:val="00D94392"/>
    <w:rsid w:val="00D96E16"/>
    <w:rsid w:val="00D978C6"/>
    <w:rsid w:val="00DA1089"/>
    <w:rsid w:val="00DA284A"/>
    <w:rsid w:val="00DA559E"/>
    <w:rsid w:val="00DA67AD"/>
    <w:rsid w:val="00DA78C5"/>
    <w:rsid w:val="00DB2D33"/>
    <w:rsid w:val="00DB4371"/>
    <w:rsid w:val="00DB4CDB"/>
    <w:rsid w:val="00DB5D0F"/>
    <w:rsid w:val="00DB63C8"/>
    <w:rsid w:val="00DC0F28"/>
    <w:rsid w:val="00DC3242"/>
    <w:rsid w:val="00DC3EA0"/>
    <w:rsid w:val="00DD0E56"/>
    <w:rsid w:val="00DD571C"/>
    <w:rsid w:val="00DD6914"/>
    <w:rsid w:val="00DD6C58"/>
    <w:rsid w:val="00DE167F"/>
    <w:rsid w:val="00DE30D2"/>
    <w:rsid w:val="00DE790E"/>
    <w:rsid w:val="00DE7F20"/>
    <w:rsid w:val="00DF03A4"/>
    <w:rsid w:val="00DF0793"/>
    <w:rsid w:val="00DF12F7"/>
    <w:rsid w:val="00DF1C68"/>
    <w:rsid w:val="00DF1C69"/>
    <w:rsid w:val="00DF2C64"/>
    <w:rsid w:val="00DF3AAD"/>
    <w:rsid w:val="00E024BA"/>
    <w:rsid w:val="00E02C81"/>
    <w:rsid w:val="00E041AA"/>
    <w:rsid w:val="00E04A75"/>
    <w:rsid w:val="00E06EAB"/>
    <w:rsid w:val="00E1025A"/>
    <w:rsid w:val="00E120AF"/>
    <w:rsid w:val="00E1214E"/>
    <w:rsid w:val="00E130AB"/>
    <w:rsid w:val="00E137B8"/>
    <w:rsid w:val="00E21BBE"/>
    <w:rsid w:val="00E22C9A"/>
    <w:rsid w:val="00E22E6E"/>
    <w:rsid w:val="00E2519A"/>
    <w:rsid w:val="00E2641E"/>
    <w:rsid w:val="00E31C87"/>
    <w:rsid w:val="00E32E6C"/>
    <w:rsid w:val="00E366A9"/>
    <w:rsid w:val="00E366C2"/>
    <w:rsid w:val="00E40F55"/>
    <w:rsid w:val="00E412E9"/>
    <w:rsid w:val="00E4366D"/>
    <w:rsid w:val="00E458FC"/>
    <w:rsid w:val="00E4605C"/>
    <w:rsid w:val="00E47F74"/>
    <w:rsid w:val="00E50924"/>
    <w:rsid w:val="00E50FEB"/>
    <w:rsid w:val="00E5372F"/>
    <w:rsid w:val="00E54C89"/>
    <w:rsid w:val="00E677EC"/>
    <w:rsid w:val="00E70663"/>
    <w:rsid w:val="00E70DD9"/>
    <w:rsid w:val="00E70DF5"/>
    <w:rsid w:val="00E7260F"/>
    <w:rsid w:val="00E72804"/>
    <w:rsid w:val="00E80F5F"/>
    <w:rsid w:val="00E81B89"/>
    <w:rsid w:val="00E82B4A"/>
    <w:rsid w:val="00E84CF6"/>
    <w:rsid w:val="00E87921"/>
    <w:rsid w:val="00E94075"/>
    <w:rsid w:val="00E95364"/>
    <w:rsid w:val="00E96630"/>
    <w:rsid w:val="00EA2284"/>
    <w:rsid w:val="00EA264E"/>
    <w:rsid w:val="00EA3A41"/>
    <w:rsid w:val="00EA4478"/>
    <w:rsid w:val="00EA612C"/>
    <w:rsid w:val="00EB3EB6"/>
    <w:rsid w:val="00EC01FD"/>
    <w:rsid w:val="00ED1541"/>
    <w:rsid w:val="00ED157F"/>
    <w:rsid w:val="00ED3980"/>
    <w:rsid w:val="00ED3EDF"/>
    <w:rsid w:val="00ED71D9"/>
    <w:rsid w:val="00ED76D4"/>
    <w:rsid w:val="00ED7A2A"/>
    <w:rsid w:val="00ED7CFC"/>
    <w:rsid w:val="00EE0215"/>
    <w:rsid w:val="00EE42D3"/>
    <w:rsid w:val="00EE5E9B"/>
    <w:rsid w:val="00EE7E6D"/>
    <w:rsid w:val="00EF061F"/>
    <w:rsid w:val="00EF17EB"/>
    <w:rsid w:val="00EF1D7F"/>
    <w:rsid w:val="00EF34F9"/>
    <w:rsid w:val="00EF358F"/>
    <w:rsid w:val="00EF456D"/>
    <w:rsid w:val="00EF4D06"/>
    <w:rsid w:val="00EF60B2"/>
    <w:rsid w:val="00F012BE"/>
    <w:rsid w:val="00F01F35"/>
    <w:rsid w:val="00F02CCD"/>
    <w:rsid w:val="00F07968"/>
    <w:rsid w:val="00F11162"/>
    <w:rsid w:val="00F124A0"/>
    <w:rsid w:val="00F15589"/>
    <w:rsid w:val="00F211E4"/>
    <w:rsid w:val="00F27517"/>
    <w:rsid w:val="00F3471F"/>
    <w:rsid w:val="00F35CB1"/>
    <w:rsid w:val="00F40D25"/>
    <w:rsid w:val="00F41C2D"/>
    <w:rsid w:val="00F451D9"/>
    <w:rsid w:val="00F452A5"/>
    <w:rsid w:val="00F47494"/>
    <w:rsid w:val="00F47732"/>
    <w:rsid w:val="00F47AA1"/>
    <w:rsid w:val="00F47E0F"/>
    <w:rsid w:val="00F50B92"/>
    <w:rsid w:val="00F50EBB"/>
    <w:rsid w:val="00F53EDA"/>
    <w:rsid w:val="00F61319"/>
    <w:rsid w:val="00F64BCC"/>
    <w:rsid w:val="00F6576F"/>
    <w:rsid w:val="00F66B60"/>
    <w:rsid w:val="00F72F74"/>
    <w:rsid w:val="00F73015"/>
    <w:rsid w:val="00F73D20"/>
    <w:rsid w:val="00F7753D"/>
    <w:rsid w:val="00F82328"/>
    <w:rsid w:val="00F845C0"/>
    <w:rsid w:val="00F85F34"/>
    <w:rsid w:val="00F911C3"/>
    <w:rsid w:val="00F9701C"/>
    <w:rsid w:val="00F97C71"/>
    <w:rsid w:val="00FA06F7"/>
    <w:rsid w:val="00FA0878"/>
    <w:rsid w:val="00FA7124"/>
    <w:rsid w:val="00FA7DBC"/>
    <w:rsid w:val="00FB171A"/>
    <w:rsid w:val="00FB6A32"/>
    <w:rsid w:val="00FB6CAB"/>
    <w:rsid w:val="00FC09B8"/>
    <w:rsid w:val="00FC0D04"/>
    <w:rsid w:val="00FC3346"/>
    <w:rsid w:val="00FC68B7"/>
    <w:rsid w:val="00FD10AB"/>
    <w:rsid w:val="00FD27F5"/>
    <w:rsid w:val="00FD4450"/>
    <w:rsid w:val="00FD4F7E"/>
    <w:rsid w:val="00FD5D25"/>
    <w:rsid w:val="00FD7BF6"/>
    <w:rsid w:val="00FF01E3"/>
    <w:rsid w:val="00FF0C03"/>
    <w:rsid w:val="00FF5BCB"/>
    <w:rsid w:val="00FF68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AC3"/>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2158F"/>
    <w:rPr>
      <w:sz w:val="16"/>
      <w:szCs w:val="16"/>
    </w:rPr>
  </w:style>
  <w:style w:type="paragraph" w:styleId="CommentText">
    <w:name w:val="annotation text"/>
    <w:basedOn w:val="Normal"/>
    <w:link w:val="CommentTextChar"/>
    <w:uiPriority w:val="99"/>
    <w:unhideWhenUsed/>
    <w:rsid w:val="00A2158F"/>
    <w:pPr>
      <w:spacing w:line="240" w:lineRule="auto"/>
    </w:pPr>
  </w:style>
  <w:style w:type="character" w:customStyle="1" w:styleId="CommentTextChar">
    <w:name w:val="Comment Text Char"/>
    <w:basedOn w:val="DefaultParagraphFont"/>
    <w:link w:val="CommentText"/>
    <w:uiPriority w:val="99"/>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uiPriority w:val="99"/>
    <w:rsid w:val="00C21C71"/>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 w:type="character" w:customStyle="1" w:styleId="Heading2Char">
    <w:name w:val="Heading 2 Char"/>
    <w:aliases w:val="GHS Chapter Heading Char"/>
    <w:basedOn w:val="DefaultParagraphFont"/>
    <w:link w:val="Heading2"/>
    <w:rsid w:val="00F01F35"/>
    <w:rPr>
      <w:lang w:eastAsia="en-US"/>
    </w:rPr>
  </w:style>
  <w:style w:type="paragraph" w:customStyle="1" w:styleId="GHSHeading5">
    <w:name w:val="GHSHeading5"/>
    <w:basedOn w:val="Normal"/>
    <w:rsid w:val="00F01F3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GHSHeading3">
    <w:name w:val="GHSHeading3"/>
    <w:basedOn w:val="Heading3"/>
    <w:rsid w:val="00F01F3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F01F3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F01F35"/>
    <w:rPr>
      <w:sz w:val="22"/>
      <w:lang w:eastAsia="en-US"/>
    </w:rPr>
  </w:style>
  <w:style w:type="paragraph" w:customStyle="1" w:styleId="StyleGHSHeading410pt">
    <w:name w:val="Style GHSHeading4 + 10 pt"/>
    <w:basedOn w:val="Normal"/>
    <w:rsid w:val="00F01F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paragraph" w:customStyle="1" w:styleId="GHStext">
    <w:name w:val="GHS_text"/>
    <w:basedOn w:val="Normal"/>
    <w:link w:val="GHStextChar"/>
    <w:qFormat/>
    <w:rsid w:val="00F01F3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F01F35"/>
    <w:rPr>
      <w:rFonts w:eastAsia="SimSun"/>
      <w:snapToGrid w:val="0"/>
      <w:color w:val="000000"/>
      <w:szCs w:val="22"/>
      <w:lang w:val="es-ES" w:eastAsia="en-US"/>
    </w:rPr>
  </w:style>
  <w:style w:type="paragraph" w:customStyle="1" w:styleId="GHSSubparas1">
    <w:name w:val="GHS Subparas1"/>
    <w:basedOn w:val="Normal"/>
    <w:qFormat/>
    <w:rsid w:val="00F01F35"/>
    <w:pPr>
      <w:suppressAutoHyphens w:val="0"/>
      <w:spacing w:after="240" w:line="240" w:lineRule="auto"/>
      <w:ind w:left="1973" w:hanging="561"/>
      <w:jc w:val="both"/>
    </w:pPr>
    <w:rPr>
      <w:bCs/>
      <w:color w:val="000000"/>
      <w:szCs w:val="24"/>
    </w:rPr>
  </w:style>
  <w:style w:type="paragraph" w:customStyle="1" w:styleId="GHS1stline">
    <w:name w:val="GHS_1st line"/>
    <w:basedOn w:val="GHSBodyText"/>
    <w:qFormat/>
    <w:rsid w:val="00F01F35"/>
    <w:pPr>
      <w:ind w:firstLine="1418"/>
    </w:pPr>
    <w:rPr>
      <w:sz w:val="20"/>
    </w:rPr>
  </w:style>
  <w:style w:type="paragraph" w:styleId="BodyText">
    <w:name w:val="Body Text"/>
    <w:basedOn w:val="Normal"/>
    <w:link w:val="BodyTextChar"/>
    <w:semiHidden/>
    <w:unhideWhenUsed/>
    <w:rsid w:val="00F01F35"/>
    <w:pPr>
      <w:spacing w:after="120"/>
    </w:pPr>
  </w:style>
  <w:style w:type="character" w:customStyle="1" w:styleId="BodyTextChar">
    <w:name w:val="Body Text Char"/>
    <w:basedOn w:val="DefaultParagraphFont"/>
    <w:link w:val="BodyText"/>
    <w:semiHidden/>
    <w:rsid w:val="00F01F35"/>
    <w:rPr>
      <w:lang w:eastAsia="en-US"/>
    </w:rPr>
  </w:style>
  <w:style w:type="character" w:customStyle="1" w:styleId="ListParagraphChar">
    <w:name w:val="List Paragraph Char"/>
    <w:basedOn w:val="DefaultParagraphFont"/>
    <w:link w:val="ListParagraph"/>
    <w:uiPriority w:val="34"/>
    <w:locked/>
    <w:rsid w:val="009A5C6B"/>
    <w:rPr>
      <w:lang w:eastAsia="en-US"/>
    </w:rPr>
  </w:style>
  <w:style w:type="paragraph" w:styleId="NormalIndent">
    <w:name w:val="Normal Indent"/>
    <w:basedOn w:val="Normal"/>
    <w:uiPriority w:val="99"/>
    <w:rsid w:val="00B656C2"/>
    <w:pPr>
      <w:suppressAutoHyphens w:val="0"/>
      <w:spacing w:line="240" w:lineRule="auto"/>
      <w:ind w:left="720"/>
    </w:pPr>
    <w:rPr>
      <w:sz w:val="22"/>
      <w:szCs w:val="24"/>
    </w:rPr>
  </w:style>
  <w:style w:type="paragraph" w:customStyle="1" w:styleId="Style1">
    <w:name w:val="Style1"/>
    <w:basedOn w:val="Normal"/>
    <w:rsid w:val="00DD6914"/>
    <w:pPr>
      <w:suppressAutoHyphens w:val="0"/>
      <w:spacing w:line="240" w:lineRule="auto"/>
    </w:pPr>
    <w:rPr>
      <w:sz w:val="22"/>
      <w:szCs w:val="24"/>
    </w:rPr>
  </w:style>
  <w:style w:type="paragraph" w:customStyle="1" w:styleId="GHSHeading4">
    <w:name w:val="GHSHeading4"/>
    <w:basedOn w:val="Normal"/>
    <w:rsid w:val="00664127"/>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StyleGHSHeading410ptAuto">
    <w:name w:val="Style GHSHeading4 + 10 pt Auto"/>
    <w:basedOn w:val="GHSHeading4"/>
    <w:rsid w:val="00664127"/>
    <w:pPr>
      <w:spacing w:after="240"/>
    </w:pPr>
    <w:rPr>
      <w:color w:val="auto"/>
      <w:sz w:val="20"/>
    </w:rPr>
  </w:style>
  <w:style w:type="paragraph" w:customStyle="1" w:styleId="paragraph">
    <w:name w:val="paragraph"/>
    <w:basedOn w:val="Normal"/>
    <w:rsid w:val="00041588"/>
    <w:pPr>
      <w:suppressAutoHyphens w:val="0"/>
      <w:spacing w:before="100" w:beforeAutospacing="1" w:after="100" w:afterAutospacing="1" w:line="240" w:lineRule="auto"/>
    </w:pPr>
    <w:rPr>
      <w:sz w:val="24"/>
      <w:szCs w:val="24"/>
      <w:lang w:val="it-IT" w:eastAsia="it-IT"/>
    </w:rPr>
  </w:style>
  <w:style w:type="character" w:customStyle="1" w:styleId="normaltextrun">
    <w:name w:val="normaltextrun"/>
    <w:basedOn w:val="DefaultParagraphFont"/>
    <w:rsid w:val="00041588"/>
  </w:style>
  <w:style w:type="character" w:customStyle="1" w:styleId="spellingerror">
    <w:name w:val="spellingerror"/>
    <w:basedOn w:val="DefaultParagraphFont"/>
    <w:rsid w:val="00041588"/>
  </w:style>
  <w:style w:type="character" w:customStyle="1" w:styleId="eop">
    <w:name w:val="eop"/>
    <w:basedOn w:val="DefaultParagraphFont"/>
    <w:rsid w:val="00041588"/>
  </w:style>
  <w:style w:type="character" w:customStyle="1" w:styleId="FooterChar">
    <w:name w:val="Footer Char"/>
    <w:aliases w:val="3_G Char"/>
    <w:basedOn w:val="DefaultParagraphFont"/>
    <w:link w:val="Footer"/>
    <w:uiPriority w:val="99"/>
    <w:rsid w:val="008A59AE"/>
    <w:rPr>
      <w:sz w:val="16"/>
      <w:lang w:eastAsia="en-US"/>
    </w:rPr>
  </w:style>
  <w:style w:type="character" w:customStyle="1" w:styleId="HeaderChar">
    <w:name w:val="Header Char"/>
    <w:aliases w:val="6_G Char"/>
    <w:basedOn w:val="DefaultParagraphFont"/>
    <w:link w:val="Header"/>
    <w:uiPriority w:val="99"/>
    <w:rsid w:val="00303789"/>
    <w:rPr>
      <w:b/>
      <w:sz w:val="18"/>
      <w:lang w:eastAsia="en-US"/>
    </w:rPr>
  </w:style>
  <w:style w:type="paragraph" w:customStyle="1" w:styleId="SingleTxt">
    <w:name w:val="__Single Txt"/>
    <w:basedOn w:val="Normal"/>
    <w:rsid w:val="00F111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H23GChar">
    <w:name w:val="_ H_2/3_G Char"/>
    <w:link w:val="H23G"/>
    <w:rsid w:val="000045C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 w:id="1176457318">
      <w:bodyDiv w:val="1"/>
      <w:marLeft w:val="0"/>
      <w:marRight w:val="0"/>
      <w:marTop w:val="0"/>
      <w:marBottom w:val="0"/>
      <w:divBdr>
        <w:top w:val="none" w:sz="0" w:space="0" w:color="auto"/>
        <w:left w:val="none" w:sz="0" w:space="0" w:color="auto"/>
        <w:bottom w:val="none" w:sz="0" w:space="0" w:color="auto"/>
        <w:right w:val="none" w:sz="0" w:space="0" w:color="auto"/>
      </w:divBdr>
    </w:div>
    <w:div w:id="1484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ecosoc-bodies-dealing-chemicals-safety" TargetMode="External"/><Relationship Id="rId1" Type="http://schemas.openxmlformats.org/officeDocument/2006/relationships/hyperlink" Target="http://www.ivodg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customXml/itemProps2.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3.xml><?xml version="1.0" encoding="utf-8"?>
<ds:datastoreItem xmlns:ds="http://schemas.openxmlformats.org/officeDocument/2006/customXml" ds:itemID="{8BFA5C5E-440B-4FD0-998C-E0BAB4C7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46CED-1725-4CB2-8183-7D31F935E5A8}">
  <ds:schemaRef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133</TotalTime>
  <Pages>4</Pages>
  <Words>1499</Words>
  <Characters>8547</Characters>
  <Application>Microsoft Office Word</Application>
  <DocSecurity>0</DocSecurity>
  <Lines>71</Lines>
  <Paragraphs>20</Paragraphs>
  <ScaleCrop>false</ScaleCrop>
  <HeadingPairs>
    <vt:vector size="8" baseType="variant">
      <vt:variant>
        <vt:lpstr>Title</vt:lpstr>
      </vt:variant>
      <vt:variant>
        <vt:i4>1</vt:i4>
      </vt:variant>
      <vt:variant>
        <vt:lpstr>Headings</vt:lpstr>
      </vt:variant>
      <vt:variant>
        <vt:i4>3</vt:i4>
      </vt:variant>
      <vt:variant>
        <vt:lpstr>Otsikko</vt:lpstr>
      </vt:variant>
      <vt:variant>
        <vt:i4>1</vt:i4>
      </vt:variant>
      <vt:variant>
        <vt:lpstr>Titre</vt:lpstr>
      </vt:variant>
      <vt:variant>
        <vt:i4>1</vt:i4>
      </vt:variant>
    </vt:vector>
  </HeadingPairs>
  <TitlesOfParts>
    <vt:vector size="6" baseType="lpstr">
      <vt:lpstr>UN/SCEGHS/19/INF</vt:lpstr>
      <vt:lpstr>    “CHAPTER 3.4</vt:lpstr>
      <vt:lpstr>        3.4.1	Definitions and general considerations</vt:lpstr>
      <vt:lpstr>        3.4.2	Classification criteria for substances</vt:lpstr>
      <vt:lpstr>UN/SCEGHS/19/INF</vt:lpstr>
      <vt:lpstr>UN/SCEGHS/19/INF</vt:lpstr>
    </vt:vector>
  </TitlesOfParts>
  <Company>CSD</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127</cp:revision>
  <cp:lastPrinted>2022-07-06T10:19:00Z</cp:lastPrinted>
  <dcterms:created xsi:type="dcterms:W3CDTF">2022-07-05T15:04:00Z</dcterms:created>
  <dcterms:modified xsi:type="dcterms:W3CDTF">2022-07-06T10:20:00Z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y fmtid="{D5CDD505-2E9C-101B-9397-08002B2CF9AE}" pid="10" name="MediaServiceImageTags">
    <vt:lpwstr/>
  </property>
</Properties>
</file>