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BB5190" w14:paraId="41B87087" w14:textId="77777777" w:rsidTr="00F01738">
        <w:trPr>
          <w:trHeight w:hRule="exact" w:val="851"/>
        </w:trPr>
        <w:tc>
          <w:tcPr>
            <w:tcW w:w="1276" w:type="dxa"/>
            <w:tcBorders>
              <w:bottom w:val="single" w:sz="4" w:space="0" w:color="auto"/>
            </w:tcBorders>
          </w:tcPr>
          <w:p w14:paraId="55CF2467" w14:textId="77777777" w:rsidR="00132EA9" w:rsidRPr="00DB58B5" w:rsidRDefault="00132EA9" w:rsidP="00BB5190"/>
        </w:tc>
        <w:tc>
          <w:tcPr>
            <w:tcW w:w="2268" w:type="dxa"/>
            <w:tcBorders>
              <w:bottom w:val="single" w:sz="4" w:space="0" w:color="auto"/>
            </w:tcBorders>
            <w:vAlign w:val="bottom"/>
          </w:tcPr>
          <w:p w14:paraId="06B46906"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22DCA58" w14:textId="7CFBABB5" w:rsidR="00132EA9" w:rsidRPr="00BB5190" w:rsidRDefault="00BB5190" w:rsidP="00BB5190">
            <w:pPr>
              <w:jc w:val="right"/>
              <w:rPr>
                <w:lang w:val="en-US"/>
              </w:rPr>
            </w:pPr>
            <w:r w:rsidRPr="00BB5190">
              <w:rPr>
                <w:sz w:val="40"/>
                <w:lang w:val="en-US"/>
              </w:rPr>
              <w:t>ST</w:t>
            </w:r>
            <w:r w:rsidRPr="00BB5190">
              <w:rPr>
                <w:lang w:val="en-US"/>
              </w:rPr>
              <w:t>/SG/AC.10/C.3/1</w:t>
            </w:r>
            <w:r w:rsidR="003629C8">
              <w:rPr>
                <w:lang w:val="en-US"/>
              </w:rPr>
              <w:t>20</w:t>
            </w:r>
            <w:r w:rsidRPr="00BB5190">
              <w:rPr>
                <w:lang w:val="en-US"/>
              </w:rPr>
              <w:t>/Add.1</w:t>
            </w:r>
          </w:p>
        </w:tc>
      </w:tr>
      <w:tr w:rsidR="00132EA9" w:rsidRPr="00DB58B5" w14:paraId="2EB1748B" w14:textId="77777777" w:rsidTr="00F01738">
        <w:trPr>
          <w:trHeight w:hRule="exact" w:val="2835"/>
        </w:trPr>
        <w:tc>
          <w:tcPr>
            <w:tcW w:w="1276" w:type="dxa"/>
            <w:tcBorders>
              <w:top w:val="single" w:sz="4" w:space="0" w:color="auto"/>
              <w:bottom w:val="single" w:sz="12" w:space="0" w:color="auto"/>
            </w:tcBorders>
          </w:tcPr>
          <w:p w14:paraId="5BC1CDB9" w14:textId="77777777" w:rsidR="00132EA9" w:rsidRPr="00DB58B5" w:rsidRDefault="00132EA9" w:rsidP="00F01738">
            <w:pPr>
              <w:spacing w:before="120"/>
              <w:jc w:val="center"/>
            </w:pPr>
            <w:r>
              <w:rPr>
                <w:noProof/>
                <w:lang w:eastAsia="fr-CH"/>
              </w:rPr>
              <w:drawing>
                <wp:inline distT="0" distB="0" distL="0" distR="0" wp14:anchorId="0127E721" wp14:editId="72DA984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4FE1484"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1265CB6C" w14:textId="77777777" w:rsidR="00132EA9" w:rsidRDefault="00BB5190" w:rsidP="00F01738">
            <w:pPr>
              <w:spacing w:before="240"/>
            </w:pPr>
            <w:proofErr w:type="spellStart"/>
            <w:r>
              <w:t>Distr</w:t>
            </w:r>
            <w:proofErr w:type="spellEnd"/>
            <w:r>
              <w:t xml:space="preserve">. </w:t>
            </w:r>
            <w:proofErr w:type="gramStart"/>
            <w:r>
              <w:t>générale</w:t>
            </w:r>
            <w:proofErr w:type="gramEnd"/>
          </w:p>
          <w:p w14:paraId="66399BF0" w14:textId="6F03A741" w:rsidR="00BB5190" w:rsidRDefault="00987AD9" w:rsidP="00BB5190">
            <w:pPr>
              <w:spacing w:line="240" w:lineRule="exact"/>
            </w:pPr>
            <w:r>
              <w:t>28 juillet</w:t>
            </w:r>
            <w:r w:rsidR="00BB5190">
              <w:t xml:space="preserve"> 2022</w:t>
            </w:r>
          </w:p>
          <w:p w14:paraId="4B203EBF" w14:textId="77777777" w:rsidR="00BB5190" w:rsidRDefault="00BB5190" w:rsidP="00BB5190">
            <w:pPr>
              <w:spacing w:line="240" w:lineRule="exact"/>
            </w:pPr>
            <w:r>
              <w:t>Français</w:t>
            </w:r>
          </w:p>
          <w:p w14:paraId="2F140931" w14:textId="55320A05" w:rsidR="00BB5190" w:rsidRPr="00DB58B5" w:rsidRDefault="00BB5190" w:rsidP="00BB5190">
            <w:pPr>
              <w:spacing w:line="240" w:lineRule="exact"/>
            </w:pPr>
            <w:r>
              <w:t xml:space="preserve">Original : </w:t>
            </w:r>
            <w:r w:rsidR="002539B1">
              <w:t>anglais et français</w:t>
            </w:r>
          </w:p>
        </w:tc>
      </w:tr>
    </w:tbl>
    <w:p w14:paraId="524783E0" w14:textId="77777777" w:rsidR="00BB5190" w:rsidRPr="00CA0680" w:rsidRDefault="00BB5190" w:rsidP="000305D3">
      <w:pPr>
        <w:spacing w:before="120"/>
        <w:rPr>
          <w:b/>
          <w:sz w:val="24"/>
          <w:szCs w:val="24"/>
        </w:rPr>
      </w:pPr>
      <w:r w:rsidRPr="00CA0680">
        <w:rPr>
          <w:b/>
          <w:sz w:val="24"/>
          <w:szCs w:val="24"/>
        </w:rPr>
        <w:t>Comité d’experts du transport</w:t>
      </w:r>
      <w:r>
        <w:rPr>
          <w:b/>
          <w:sz w:val="24"/>
          <w:szCs w:val="24"/>
        </w:rPr>
        <w:t xml:space="preserve"> </w:t>
      </w:r>
      <w:r w:rsidRPr="00CA0680">
        <w:rPr>
          <w:b/>
          <w:sz w:val="24"/>
          <w:szCs w:val="24"/>
        </w:rPr>
        <w:t>des marchandises dangereuses</w:t>
      </w:r>
      <w:r>
        <w:rPr>
          <w:b/>
          <w:sz w:val="24"/>
          <w:szCs w:val="24"/>
        </w:rPr>
        <w:br/>
      </w:r>
      <w:r w:rsidRPr="00CA0680">
        <w:rPr>
          <w:b/>
          <w:sz w:val="24"/>
          <w:szCs w:val="24"/>
        </w:rPr>
        <w:t>et</w:t>
      </w:r>
      <w:r>
        <w:rPr>
          <w:b/>
          <w:sz w:val="24"/>
          <w:szCs w:val="24"/>
        </w:rPr>
        <w:t xml:space="preserve"> </w:t>
      </w:r>
      <w:r w:rsidRPr="00CA0680">
        <w:rPr>
          <w:b/>
          <w:sz w:val="24"/>
          <w:szCs w:val="24"/>
        </w:rPr>
        <w:t xml:space="preserve">du </w:t>
      </w:r>
      <w:r>
        <w:rPr>
          <w:b/>
          <w:sz w:val="24"/>
          <w:szCs w:val="24"/>
        </w:rPr>
        <w:t>S</w:t>
      </w:r>
      <w:r w:rsidRPr="00CA0680">
        <w:rPr>
          <w:b/>
          <w:sz w:val="24"/>
          <w:szCs w:val="24"/>
        </w:rPr>
        <w:t>ystème général harmonisé</w:t>
      </w:r>
      <w:r>
        <w:rPr>
          <w:b/>
          <w:sz w:val="24"/>
          <w:szCs w:val="24"/>
        </w:rPr>
        <w:t xml:space="preserve"> </w:t>
      </w:r>
      <w:r w:rsidRPr="00CA0680">
        <w:rPr>
          <w:b/>
          <w:sz w:val="24"/>
          <w:szCs w:val="24"/>
        </w:rPr>
        <w:t>de classification</w:t>
      </w:r>
      <w:r>
        <w:rPr>
          <w:b/>
          <w:sz w:val="24"/>
          <w:szCs w:val="24"/>
        </w:rPr>
        <w:br/>
      </w:r>
      <w:r w:rsidRPr="00CA0680">
        <w:rPr>
          <w:b/>
          <w:sz w:val="24"/>
          <w:szCs w:val="24"/>
        </w:rPr>
        <w:t>et d’étiquetage</w:t>
      </w:r>
      <w:r>
        <w:rPr>
          <w:b/>
          <w:sz w:val="24"/>
          <w:szCs w:val="24"/>
        </w:rPr>
        <w:t xml:space="preserve"> </w:t>
      </w:r>
      <w:r w:rsidRPr="00CA0680">
        <w:rPr>
          <w:b/>
          <w:sz w:val="24"/>
          <w:szCs w:val="24"/>
        </w:rPr>
        <w:t>des produits chimiques</w:t>
      </w:r>
    </w:p>
    <w:p w14:paraId="1C9B04D7" w14:textId="77777777" w:rsidR="00BB5190" w:rsidRPr="00CA0680" w:rsidRDefault="00BB5190" w:rsidP="000305D3">
      <w:pPr>
        <w:spacing w:before="120"/>
        <w:rPr>
          <w:b/>
        </w:rPr>
      </w:pPr>
      <w:r w:rsidRPr="00CA0680">
        <w:rPr>
          <w:b/>
        </w:rPr>
        <w:t>Sous</w:t>
      </w:r>
      <w:r>
        <w:rPr>
          <w:b/>
        </w:rPr>
        <w:t>-</w:t>
      </w:r>
      <w:r w:rsidRPr="00CA0680">
        <w:rPr>
          <w:b/>
        </w:rPr>
        <w:t>Comité d’experts du transport des marchandises dangereuses</w:t>
      </w:r>
    </w:p>
    <w:p w14:paraId="5214069D" w14:textId="3C3C1058" w:rsidR="00BB5190" w:rsidRPr="000033CC" w:rsidRDefault="00BB5190" w:rsidP="00BB5190">
      <w:pPr>
        <w:pStyle w:val="HChG"/>
        <w:rPr>
          <w:lang w:val="fr-FR"/>
        </w:rPr>
      </w:pPr>
      <w:r w:rsidRPr="000033CC">
        <w:rPr>
          <w:lang w:val="fr-FR"/>
        </w:rPr>
        <w:tab/>
      </w:r>
      <w:r w:rsidRPr="000033CC">
        <w:rPr>
          <w:lang w:val="fr-FR"/>
        </w:rPr>
        <w:tab/>
        <w:t>Rapport du Sous-Comité d</w:t>
      </w:r>
      <w:r>
        <w:rPr>
          <w:lang w:val="fr-FR"/>
        </w:rPr>
        <w:t>’</w:t>
      </w:r>
      <w:r w:rsidRPr="000033CC">
        <w:rPr>
          <w:lang w:val="fr-FR"/>
        </w:rPr>
        <w:t xml:space="preserve">experts du transport </w:t>
      </w:r>
      <w:r>
        <w:rPr>
          <w:lang w:val="fr-FR"/>
        </w:rPr>
        <w:br/>
      </w:r>
      <w:r w:rsidRPr="000033CC">
        <w:rPr>
          <w:lang w:val="fr-FR"/>
        </w:rPr>
        <w:t xml:space="preserve">des marchandises dangereuses sur sa </w:t>
      </w:r>
      <w:r w:rsidR="002539B1">
        <w:rPr>
          <w:lang w:val="fr-FR"/>
        </w:rPr>
        <w:t>soixantième</w:t>
      </w:r>
      <w:r w:rsidRPr="000033CC">
        <w:rPr>
          <w:lang w:val="fr-FR"/>
        </w:rPr>
        <w:t xml:space="preserve"> session</w:t>
      </w:r>
    </w:p>
    <w:p w14:paraId="654E9E3C" w14:textId="2F02E827" w:rsidR="00BB5190" w:rsidRPr="000033CC" w:rsidRDefault="00BB5190" w:rsidP="00BB5190">
      <w:pPr>
        <w:pStyle w:val="H56G"/>
        <w:rPr>
          <w:lang w:val="fr-FR"/>
        </w:rPr>
      </w:pPr>
      <w:r w:rsidRPr="000033CC">
        <w:rPr>
          <w:lang w:val="fr-FR"/>
        </w:rPr>
        <w:tab/>
      </w:r>
      <w:r w:rsidRPr="000033CC">
        <w:rPr>
          <w:lang w:val="fr-FR"/>
        </w:rPr>
        <w:tab/>
      </w:r>
      <w:proofErr w:type="gramStart"/>
      <w:r w:rsidRPr="000033CC">
        <w:rPr>
          <w:lang w:val="fr-FR"/>
        </w:rPr>
        <w:t>tenue</w:t>
      </w:r>
      <w:proofErr w:type="gramEnd"/>
      <w:r w:rsidRPr="000033CC">
        <w:rPr>
          <w:lang w:val="fr-FR"/>
        </w:rPr>
        <w:t xml:space="preserve"> à Genève du 2</w:t>
      </w:r>
      <w:r w:rsidR="002539B1">
        <w:rPr>
          <w:lang w:val="fr-FR"/>
        </w:rPr>
        <w:t>7 juin au 6 juillet 2022</w:t>
      </w:r>
    </w:p>
    <w:p w14:paraId="14193E8A" w14:textId="77777777" w:rsidR="00BB5190" w:rsidRPr="000033CC" w:rsidRDefault="00BB5190" w:rsidP="00BB5190">
      <w:pPr>
        <w:pStyle w:val="H23G"/>
        <w:rPr>
          <w:lang w:val="fr-FR"/>
        </w:rPr>
      </w:pPr>
      <w:r w:rsidRPr="000033CC">
        <w:rPr>
          <w:lang w:val="fr-FR"/>
        </w:rPr>
        <w:tab/>
      </w:r>
      <w:r w:rsidRPr="000033CC">
        <w:rPr>
          <w:lang w:val="fr-FR"/>
        </w:rPr>
        <w:tab/>
        <w:t>Additif</w:t>
      </w:r>
    </w:p>
    <w:p w14:paraId="2C6A32B4" w14:textId="3D2EFFA2" w:rsidR="00446FE5" w:rsidRPr="00BB5190" w:rsidRDefault="00BB5190" w:rsidP="00BB5190">
      <w:pPr>
        <w:spacing w:after="120"/>
        <w:rPr>
          <w:sz w:val="28"/>
        </w:rPr>
      </w:pPr>
      <w:r w:rsidRPr="00BB5190">
        <w:rPr>
          <w:sz w:val="28"/>
        </w:rPr>
        <w:t>Table des matières</w:t>
      </w:r>
    </w:p>
    <w:p w14:paraId="46FB0C15" w14:textId="357CA223" w:rsidR="00BB5190" w:rsidRPr="00BB5190" w:rsidRDefault="00BB5190" w:rsidP="00BB5190">
      <w:pPr>
        <w:tabs>
          <w:tab w:val="right" w:pos="9638"/>
        </w:tabs>
        <w:spacing w:after="120"/>
        <w:ind w:left="283"/>
        <w:rPr>
          <w:i/>
          <w:sz w:val="18"/>
        </w:rPr>
      </w:pPr>
      <w:r w:rsidRPr="00BB5190">
        <w:rPr>
          <w:i/>
          <w:sz w:val="18"/>
        </w:rPr>
        <w:tab/>
        <w:t>Page</w:t>
      </w:r>
    </w:p>
    <w:p w14:paraId="77BD3B0B" w14:textId="77777777" w:rsidR="001B37FE" w:rsidRPr="001B37FE" w:rsidRDefault="001B37FE" w:rsidP="001B37FE">
      <w:pPr>
        <w:tabs>
          <w:tab w:val="right" w:pos="850"/>
        </w:tabs>
        <w:spacing w:after="120"/>
      </w:pPr>
      <w:r>
        <w:tab/>
        <w:t>Annexes</w:t>
      </w:r>
    </w:p>
    <w:p w14:paraId="5242E229" w14:textId="0DCEE6EC" w:rsidR="00F10E60" w:rsidRPr="001D3960" w:rsidRDefault="00F10E60" w:rsidP="00F10E60">
      <w:pPr>
        <w:tabs>
          <w:tab w:val="right" w:pos="850"/>
          <w:tab w:val="right" w:leader="dot" w:pos="8787"/>
          <w:tab w:val="right" w:pos="9638"/>
        </w:tabs>
        <w:spacing w:after="120"/>
        <w:ind w:left="1134" w:hanging="1134"/>
      </w:pPr>
      <w:r>
        <w:tab/>
      </w:r>
      <w:r w:rsidRPr="001D3960">
        <w:t>I.</w:t>
      </w:r>
      <w:r w:rsidRPr="001D3960">
        <w:tab/>
      </w:r>
      <w:r w:rsidR="00F21F5A" w:rsidRPr="000F462A">
        <w:rPr>
          <w:lang w:val="fr-FR"/>
        </w:rPr>
        <w:t xml:space="preserve">Projet d'amendements à la vingt-deuxième édition révisée des Recommandations </w:t>
      </w:r>
      <w:r w:rsidR="00F21F5A">
        <w:rPr>
          <w:lang w:val="fr-FR"/>
        </w:rPr>
        <w:br/>
      </w:r>
      <w:r w:rsidR="00F21F5A" w:rsidRPr="000F462A">
        <w:rPr>
          <w:lang w:val="fr-FR"/>
        </w:rPr>
        <w:t xml:space="preserve">relatives au transport des marchandises dangereuses, </w:t>
      </w:r>
      <w:r w:rsidR="00F21F5A">
        <w:rPr>
          <w:lang w:val="fr-FR"/>
        </w:rPr>
        <w:br/>
      </w:r>
      <w:r w:rsidR="00F21F5A" w:rsidRPr="000F462A">
        <w:rPr>
          <w:lang w:val="fr-FR"/>
        </w:rPr>
        <w:t>Règlement type (ST/SG/AC.10/1/Rev.22)</w:t>
      </w:r>
      <w:r w:rsidR="002325BF" w:rsidRPr="001D3960">
        <w:rPr>
          <w:rStyle w:val="FootnoteReference"/>
          <w:bCs/>
        </w:rPr>
        <w:footnoteReference w:id="2"/>
      </w:r>
      <w:r w:rsidRPr="001D3960">
        <w:tab/>
      </w:r>
      <w:r w:rsidRPr="001D3960">
        <w:tab/>
      </w:r>
      <w:r w:rsidR="001F2661">
        <w:t>2</w:t>
      </w:r>
    </w:p>
    <w:p w14:paraId="6AEB1D87" w14:textId="5034C212" w:rsidR="00F10E60" w:rsidRPr="001D3960" w:rsidRDefault="00F10E60" w:rsidP="00F10E60">
      <w:pPr>
        <w:tabs>
          <w:tab w:val="right" w:pos="850"/>
          <w:tab w:val="right" w:leader="dot" w:pos="8787"/>
          <w:tab w:val="right" w:pos="9638"/>
        </w:tabs>
        <w:spacing w:after="120"/>
        <w:ind w:left="1134" w:hanging="1134"/>
      </w:pPr>
      <w:r w:rsidRPr="001D3960">
        <w:tab/>
        <w:t>II.</w:t>
      </w:r>
      <w:r w:rsidRPr="001D3960">
        <w:tab/>
      </w:r>
      <w:r w:rsidR="00F21F5A">
        <w:rPr>
          <w:lang w:val="fr-FR"/>
        </w:rPr>
        <w:t>Corrections</w:t>
      </w:r>
      <w:r w:rsidR="00F21F5A" w:rsidRPr="000F462A">
        <w:rPr>
          <w:lang w:val="fr-FR"/>
        </w:rPr>
        <w:t xml:space="preserve"> à la vingt-deuxième édition révisée des Recommandations relatives </w:t>
      </w:r>
      <w:r w:rsidR="00F21F5A">
        <w:rPr>
          <w:lang w:val="fr-FR"/>
        </w:rPr>
        <w:br/>
      </w:r>
      <w:r w:rsidR="00F21F5A" w:rsidRPr="000F462A">
        <w:rPr>
          <w:lang w:val="fr-FR"/>
        </w:rPr>
        <w:t>au transport des marchandises dangereuses, Règlement type (ST/SG/AC.10/1/Rev.22)</w:t>
      </w:r>
      <w:r w:rsidR="00AB726A" w:rsidRPr="00AB726A">
        <w:rPr>
          <w:vertAlign w:val="superscript"/>
          <w:lang w:val="fr-FR"/>
        </w:rPr>
        <w:t>1</w:t>
      </w:r>
      <w:r w:rsidRPr="001D3960">
        <w:tab/>
      </w:r>
      <w:r w:rsidRPr="001D3960">
        <w:tab/>
      </w:r>
      <w:r w:rsidR="001F2661">
        <w:t>11</w:t>
      </w:r>
    </w:p>
    <w:p w14:paraId="58D8ADB1" w14:textId="115D8BF8" w:rsidR="00F10E60" w:rsidRPr="001D3960" w:rsidRDefault="00F10E60" w:rsidP="00F10E60">
      <w:pPr>
        <w:tabs>
          <w:tab w:val="right" w:pos="850"/>
          <w:tab w:val="right" w:leader="dot" w:pos="8787"/>
          <w:tab w:val="right" w:pos="9638"/>
        </w:tabs>
        <w:spacing w:after="120"/>
        <w:ind w:left="1134" w:hanging="1134"/>
      </w:pPr>
      <w:r w:rsidRPr="001D3960">
        <w:tab/>
        <w:t>III.</w:t>
      </w:r>
      <w:r w:rsidRPr="001D3960">
        <w:tab/>
      </w:r>
      <w:r w:rsidR="00AB726A" w:rsidRPr="00C00FF0">
        <w:t xml:space="preserve">Modifications </w:t>
      </w:r>
      <w:r w:rsidR="00AB726A">
        <w:t>à</w:t>
      </w:r>
      <w:r w:rsidR="00AB726A" w:rsidRPr="00C00FF0">
        <w:t xml:space="preserve"> la sixième version des Principes directeurs pour l'élaboration </w:t>
      </w:r>
      <w:r w:rsidR="00AB726A">
        <w:br/>
      </w:r>
      <w:r w:rsidR="00AB726A" w:rsidRPr="00C00FF0">
        <w:t>du Règlement type sur le transport des marchandises dangereuses</w:t>
      </w:r>
      <w:r w:rsidR="00E81583">
        <w:t xml:space="preserve"> </w:t>
      </w:r>
      <w:r w:rsidR="00AB726A">
        <w:t>[Anglais seulement]</w:t>
      </w:r>
      <w:r w:rsidR="00E81583">
        <w:rPr>
          <w:vertAlign w:val="superscript"/>
        </w:rPr>
        <w:t>1</w:t>
      </w:r>
      <w:r w:rsidRPr="001D3960">
        <w:tab/>
      </w:r>
      <w:r w:rsidRPr="001D3960">
        <w:tab/>
      </w:r>
      <w:r w:rsidR="00E81583">
        <w:t>12</w:t>
      </w:r>
    </w:p>
    <w:p w14:paraId="0B8C3DA4" w14:textId="4CCF602A" w:rsidR="00F10E60" w:rsidRPr="00A14639" w:rsidRDefault="00F10E60" w:rsidP="00F10E60">
      <w:pPr>
        <w:tabs>
          <w:tab w:val="right" w:pos="850"/>
          <w:tab w:val="right" w:leader="dot" w:pos="8787"/>
          <w:tab w:val="right" w:pos="9638"/>
        </w:tabs>
        <w:spacing w:after="120"/>
        <w:ind w:left="1134" w:hanging="1134"/>
      </w:pPr>
      <w:r w:rsidRPr="001D3960">
        <w:tab/>
        <w:t>IV.</w:t>
      </w:r>
      <w:r w:rsidRPr="001D3960">
        <w:tab/>
      </w:r>
      <w:r w:rsidR="0007216B" w:rsidRPr="00ED3847">
        <w:t>Projet d'amendements à la septième édition révisée du Manuel d’épreuves et de critères (ST/SG/AC.10/11/Rev.7 et Amend.1)</w:t>
      </w:r>
      <w:r w:rsidR="00E81583">
        <w:rPr>
          <w:vertAlign w:val="superscript"/>
        </w:rPr>
        <w:t>1</w:t>
      </w:r>
      <w:r w:rsidRPr="00A14639">
        <w:tab/>
      </w:r>
      <w:r w:rsidRPr="00A14639">
        <w:tab/>
      </w:r>
      <w:r w:rsidR="00E81583">
        <w:t>13</w:t>
      </w:r>
    </w:p>
    <w:p w14:paraId="2E4F5BAC" w14:textId="08878D73" w:rsidR="00BB5190" w:rsidRDefault="00BB5190" w:rsidP="00ED3847">
      <w:pPr>
        <w:tabs>
          <w:tab w:val="right" w:pos="850"/>
          <w:tab w:val="right" w:leader="dot" w:pos="8787"/>
          <w:tab w:val="right" w:pos="9638"/>
        </w:tabs>
        <w:spacing w:after="120"/>
        <w:ind w:left="1134" w:hanging="1134"/>
      </w:pPr>
      <w:r>
        <w:br w:type="page"/>
      </w:r>
    </w:p>
    <w:p w14:paraId="795449FD" w14:textId="77777777" w:rsidR="00E05FCF" w:rsidRPr="000F462A" w:rsidRDefault="00E05FCF" w:rsidP="00E05FCF">
      <w:pPr>
        <w:pStyle w:val="HChG"/>
        <w:keepNext w:val="0"/>
        <w:keepLines w:val="0"/>
        <w:rPr>
          <w:lang w:val="fr-FR"/>
        </w:rPr>
      </w:pPr>
      <w:r w:rsidRPr="000F462A">
        <w:rPr>
          <w:lang w:val="fr-FR"/>
        </w:rPr>
        <w:lastRenderedPageBreak/>
        <w:tab/>
      </w:r>
      <w:r>
        <w:rPr>
          <w:lang w:val="fr-FR"/>
        </w:rPr>
        <w:t>I.</w:t>
      </w:r>
      <w:r w:rsidRPr="000F462A">
        <w:rPr>
          <w:lang w:val="fr-FR"/>
        </w:rPr>
        <w:tab/>
        <w:t>Projet d'amendements à la vingt-deuxième édition révisée des Recommandations relatives au transport des marchandises dangereuses, Règlement type (ST/SG/AC.10/1/Rev.22)</w:t>
      </w:r>
    </w:p>
    <w:p w14:paraId="31A7746F" w14:textId="77777777" w:rsidR="00E05FCF" w:rsidRDefault="00E05FCF" w:rsidP="00E05FCF">
      <w:pPr>
        <w:tabs>
          <w:tab w:val="right" w:pos="851"/>
        </w:tabs>
        <w:spacing w:before="360" w:after="240" w:line="270" w:lineRule="exact"/>
        <w:ind w:left="1134" w:right="1134" w:hanging="1134"/>
        <w:rPr>
          <w:b/>
          <w:sz w:val="24"/>
          <w:lang w:val="fr-FR"/>
        </w:rPr>
      </w:pPr>
      <w:r>
        <w:rPr>
          <w:b/>
          <w:sz w:val="24"/>
          <w:lang w:val="fr-FR"/>
        </w:rPr>
        <w:tab/>
      </w:r>
      <w:r>
        <w:rPr>
          <w:b/>
          <w:sz w:val="24"/>
          <w:lang w:val="fr-FR"/>
        </w:rPr>
        <w:tab/>
      </w:r>
      <w:r w:rsidRPr="00847E3B">
        <w:rPr>
          <w:b/>
          <w:sz w:val="24"/>
          <w:lang w:val="fr-FR"/>
        </w:rPr>
        <w:t>Formule de renseignements à communiquer à l'ONU en vue</w:t>
      </w:r>
      <w:r>
        <w:rPr>
          <w:b/>
          <w:sz w:val="24"/>
          <w:lang w:val="fr-FR"/>
        </w:rPr>
        <w:t xml:space="preserve"> </w:t>
      </w:r>
      <w:r w:rsidRPr="00847E3B">
        <w:rPr>
          <w:b/>
          <w:sz w:val="24"/>
          <w:lang w:val="fr-FR"/>
        </w:rPr>
        <w:t>du classement ou du reclassement d'une matière</w:t>
      </w:r>
    </w:p>
    <w:p w14:paraId="002A942E"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[Section 9, point 9.6</w:t>
      </w:r>
      <w:r>
        <w:rPr>
          <w:lang w:val="fr-FR"/>
        </w:rPr>
        <w:tab/>
        <w:t>Après « </w:t>
      </w:r>
      <w:r w:rsidRPr="00951E98">
        <w:rPr>
          <w:lang w:val="fr-FR"/>
        </w:rPr>
        <w:t>Taux de remplissage</w:t>
      </w:r>
      <w:r>
        <w:rPr>
          <w:lang w:val="fr-FR"/>
        </w:rPr>
        <w:t> » ajouter « /degré de remplissage, selon qu’il convient ».]</w:t>
      </w:r>
    </w:p>
    <w:p w14:paraId="7C83519E"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 tel que modifié)</w:t>
      </w:r>
    </w:p>
    <w:p w14:paraId="54DF2158" w14:textId="77777777" w:rsidR="00E05FCF" w:rsidRDefault="00E05FCF" w:rsidP="00E05FCF">
      <w:pPr>
        <w:tabs>
          <w:tab w:val="right" w:pos="851"/>
        </w:tabs>
        <w:spacing w:before="360" w:after="240" w:line="270" w:lineRule="exact"/>
        <w:ind w:left="1134" w:right="1134" w:hanging="1134"/>
        <w:rPr>
          <w:b/>
          <w:sz w:val="24"/>
        </w:rPr>
      </w:pPr>
      <w:r>
        <w:rPr>
          <w:b/>
          <w:sz w:val="24"/>
          <w:lang w:val="fr-FR"/>
        </w:rPr>
        <w:tab/>
      </w:r>
      <w:r>
        <w:rPr>
          <w:b/>
          <w:sz w:val="24"/>
          <w:lang w:val="fr-FR"/>
        </w:rPr>
        <w:tab/>
      </w:r>
      <w:r>
        <w:rPr>
          <w:b/>
          <w:sz w:val="24"/>
        </w:rPr>
        <w:t>Chapitre 1.2</w:t>
      </w:r>
    </w:p>
    <w:p w14:paraId="0F0F1A71" w14:textId="77777777" w:rsidR="00E05FCF" w:rsidRDefault="00E05FCF" w:rsidP="00E05FCF">
      <w:pPr>
        <w:tabs>
          <w:tab w:val="left" w:pos="2268"/>
          <w:tab w:val="left" w:pos="2552"/>
        </w:tabs>
        <w:kinsoku/>
        <w:overflowPunct/>
        <w:autoSpaceDE/>
        <w:adjustRightInd/>
        <w:snapToGrid/>
        <w:spacing w:after="120"/>
        <w:ind w:left="2268" w:right="1134" w:hanging="1134"/>
        <w:jc w:val="both"/>
        <w:rPr>
          <w:lang w:val="fr-FR"/>
        </w:rPr>
      </w:pPr>
      <w:r>
        <w:rPr>
          <w:lang w:val="fr-FR"/>
        </w:rPr>
        <w:t>[1.2.1</w:t>
      </w:r>
      <w:r>
        <w:rPr>
          <w:lang w:val="fr-FR"/>
        </w:rPr>
        <w:tab/>
        <w:t>Ajouter la nouvelle définition suivante :</w:t>
      </w:r>
    </w:p>
    <w:p w14:paraId="517622FD" w14:textId="35375F26" w:rsidR="00E05FCF" w:rsidRDefault="00E05FCF" w:rsidP="00E05FCF">
      <w:pPr>
        <w:kinsoku/>
        <w:overflowPunct/>
        <w:autoSpaceDE/>
        <w:adjustRightInd/>
        <w:snapToGrid/>
        <w:spacing w:after="120"/>
        <w:ind w:left="1134" w:right="1134"/>
        <w:jc w:val="both"/>
        <w:rPr>
          <w:lang w:val="fr-FR"/>
        </w:rPr>
      </w:pPr>
      <w:r>
        <w:rPr>
          <w:lang w:val="fr-FR"/>
        </w:rPr>
        <w:t>« </w:t>
      </w:r>
      <w:r>
        <w:rPr>
          <w:i/>
          <w:iCs/>
          <w:lang w:val="fr-FR"/>
        </w:rPr>
        <w:t xml:space="preserve">Degré de remplissage, </w:t>
      </w:r>
      <w:r>
        <w:rPr>
          <w:lang w:val="fr-FR"/>
        </w:rPr>
        <w:t xml:space="preserve">le rapport, exprimé en pourcentage, entre le volume de matière liquide ou solide introduit, à 15 °C, dans le moyen de rétention, </w:t>
      </w:r>
      <w:r w:rsidRPr="00654F22">
        <w:rPr>
          <w:lang w:val="fr-FR"/>
        </w:rPr>
        <w:t xml:space="preserve">et le volume du </w:t>
      </w:r>
      <w:r>
        <w:rPr>
          <w:lang w:val="fr-FR"/>
        </w:rPr>
        <w:t>moyen de rétention</w:t>
      </w:r>
      <w:r w:rsidRPr="00654F22">
        <w:rPr>
          <w:lang w:val="fr-FR"/>
        </w:rPr>
        <w:t xml:space="preserve"> prêt à l’emploi</w:t>
      </w:r>
      <w:r>
        <w:rPr>
          <w:lang w:val="fr-FR"/>
        </w:rPr>
        <w:t> ; »]</w:t>
      </w:r>
    </w:p>
    <w:p w14:paraId="3C2917C1"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0F812AC5" w14:textId="2849FCAA"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1.2.2.1</w:t>
      </w:r>
      <w:r>
        <w:rPr>
          <w:lang w:val="fr-FR"/>
        </w:rPr>
        <w:tab/>
        <w:t>Dans le tableau, pour « </w:t>
      </w:r>
      <w:r w:rsidRPr="00BE64A9">
        <w:rPr>
          <w:lang w:val="fr-FR"/>
        </w:rPr>
        <w:t>Résistance électrique</w:t>
      </w:r>
      <w:r>
        <w:rPr>
          <w:lang w:val="fr-FR"/>
        </w:rPr>
        <w:t> », dans la dernière colonne, remplacer « </w:t>
      </w:r>
      <w:r w:rsidRPr="00333669">
        <w:rPr>
          <w:szCs w:val="24"/>
        </w:rPr>
        <w:t>1 kg · m² / s³ / A²</w:t>
      </w:r>
      <w:r>
        <w:rPr>
          <w:szCs w:val="24"/>
        </w:rPr>
        <w:t> » par « </w:t>
      </w:r>
      <w:r w:rsidRPr="00042993">
        <w:rPr>
          <w:lang w:val="en-US"/>
        </w:rPr>
        <w:t>1 kg</w:t>
      </w:r>
      <w:r w:rsidRPr="00333669">
        <w:rPr>
          <w:szCs w:val="24"/>
        </w:rPr>
        <w:t xml:space="preserve"> · </w:t>
      </w:r>
      <w:r w:rsidRPr="001B758F">
        <w:rPr>
          <w:lang w:val="en-US"/>
        </w:rPr>
        <w:t>m</w:t>
      </w:r>
      <w:r w:rsidRPr="00333669">
        <w:rPr>
          <w:szCs w:val="24"/>
        </w:rPr>
        <w:t>²</w:t>
      </w:r>
      <w:r w:rsidRPr="001B758F">
        <w:rPr>
          <w:lang w:val="en-US"/>
        </w:rPr>
        <w:t xml:space="preserve"> </w:t>
      </w:r>
      <w:r w:rsidRPr="001B758F">
        <w:rPr>
          <w:rFonts w:ascii="Cambria Math" w:hAnsi="Cambria Math" w:cs="Cambria Math"/>
          <w:lang w:val="en-US"/>
        </w:rPr>
        <w:t>⋅</w:t>
      </w:r>
      <w:r w:rsidRPr="001B758F">
        <w:rPr>
          <w:lang w:val="en-US"/>
        </w:rPr>
        <w:t xml:space="preserve"> s</w:t>
      </w:r>
      <w:r>
        <w:rPr>
          <w:lang w:val="en-US"/>
        </w:rPr>
        <w:t>⁻</w:t>
      </w:r>
      <w:r w:rsidRPr="00333669">
        <w:rPr>
          <w:szCs w:val="24"/>
        </w:rPr>
        <w:t>³</w:t>
      </w:r>
      <w:r w:rsidRPr="001B758F">
        <w:rPr>
          <w:lang w:val="en-US"/>
        </w:rPr>
        <w:t xml:space="preserve"> </w:t>
      </w:r>
      <w:r w:rsidRPr="001B758F">
        <w:rPr>
          <w:rFonts w:ascii="Cambria Math" w:hAnsi="Cambria Math" w:cs="Cambria Math"/>
          <w:lang w:val="en-US"/>
        </w:rPr>
        <w:t>⋅</w:t>
      </w:r>
      <w:r w:rsidRPr="001B758F">
        <w:rPr>
          <w:lang w:val="en-US"/>
        </w:rPr>
        <w:t xml:space="preserve"> A</w:t>
      </w:r>
      <w:r>
        <w:rPr>
          <w:lang w:val="en-US"/>
        </w:rPr>
        <w:t>⁻</w:t>
      </w:r>
      <w:r w:rsidRPr="00333669">
        <w:rPr>
          <w:szCs w:val="24"/>
        </w:rPr>
        <w:t>²</w:t>
      </w:r>
      <w:r>
        <w:rPr>
          <w:szCs w:val="24"/>
        </w:rPr>
        <w:t> ».</w:t>
      </w:r>
    </w:p>
    <w:p w14:paraId="6952915E"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ST/SG/AC.10/C.3/2022/31)</w:t>
      </w:r>
    </w:p>
    <w:p w14:paraId="1F9FC022" w14:textId="77777777" w:rsidR="00E05FCF" w:rsidRDefault="00E05FCF" w:rsidP="00E05FCF">
      <w:pPr>
        <w:tabs>
          <w:tab w:val="right" w:pos="851"/>
        </w:tabs>
        <w:spacing w:before="360" w:after="240" w:line="270" w:lineRule="exact"/>
        <w:ind w:left="1134" w:right="1134" w:hanging="1134"/>
        <w:rPr>
          <w:b/>
          <w:sz w:val="24"/>
        </w:rPr>
      </w:pPr>
      <w:r>
        <w:rPr>
          <w:b/>
          <w:sz w:val="24"/>
          <w:lang w:val="fr-FR"/>
        </w:rPr>
        <w:tab/>
      </w:r>
      <w:r>
        <w:rPr>
          <w:b/>
          <w:sz w:val="24"/>
          <w:lang w:val="fr-FR"/>
        </w:rPr>
        <w:tab/>
      </w:r>
      <w:r>
        <w:rPr>
          <w:b/>
          <w:sz w:val="24"/>
        </w:rPr>
        <w:t>Chapitre 2.0</w:t>
      </w:r>
    </w:p>
    <w:p w14:paraId="4E9A8AED"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2.0.5.2</w:t>
      </w:r>
      <w:r>
        <w:rPr>
          <w:lang w:val="fr-FR"/>
        </w:rPr>
        <w:tab/>
        <w:t>Modifier pour lire comme suit :</w:t>
      </w:r>
    </w:p>
    <w:p w14:paraId="19D0973E" w14:textId="68E197AA" w:rsidR="00E05FCF" w:rsidRDefault="00E05FCF" w:rsidP="00E05FCF">
      <w:pPr>
        <w:kinsoku/>
        <w:overflowPunct/>
        <w:autoSpaceDE/>
        <w:adjustRightInd/>
        <w:snapToGrid/>
        <w:spacing w:after="120"/>
        <w:ind w:left="1134" w:right="1134"/>
        <w:jc w:val="both"/>
        <w:rPr>
          <w:lang w:val="fr-FR"/>
        </w:rPr>
      </w:pPr>
      <w:r>
        <w:rPr>
          <w:lang w:val="fr-FR"/>
        </w:rPr>
        <w:t>« </w:t>
      </w:r>
      <w:r w:rsidRPr="002508DA">
        <w:rPr>
          <w:lang w:val="fr-FR"/>
        </w:rPr>
        <w:t>2.0.5.2</w:t>
      </w:r>
      <w:r w:rsidRPr="002508DA">
        <w:rPr>
          <w:lang w:val="fr-FR"/>
        </w:rPr>
        <w:tab/>
        <w:t xml:space="preserve">Ces objets peuvent en outre contenir des </w:t>
      </w:r>
      <w:r>
        <w:rPr>
          <w:lang w:val="fr-FR"/>
        </w:rPr>
        <w:t xml:space="preserve">[piles ou] </w:t>
      </w:r>
      <w:r w:rsidRPr="00E76A5D">
        <w:rPr>
          <w:lang w:val="fr-FR"/>
        </w:rPr>
        <w:t>batteries</w:t>
      </w:r>
      <w:r w:rsidRPr="002508DA">
        <w:rPr>
          <w:lang w:val="fr-FR"/>
        </w:rPr>
        <w:t>. Les</w:t>
      </w:r>
      <w:r>
        <w:rPr>
          <w:lang w:val="fr-FR"/>
        </w:rPr>
        <w:t xml:space="preserve"> [piles et]</w:t>
      </w:r>
      <w:r w:rsidRPr="002508DA">
        <w:rPr>
          <w:lang w:val="fr-FR"/>
        </w:rPr>
        <w:t xml:space="preserve"> </w:t>
      </w:r>
      <w:r w:rsidRPr="00E76A5D">
        <w:rPr>
          <w:lang w:val="fr-FR"/>
        </w:rPr>
        <w:t>batteries</w:t>
      </w:r>
      <w:r w:rsidRPr="002508DA">
        <w:rPr>
          <w:lang w:val="fr-FR"/>
        </w:rPr>
        <w:t xml:space="preserve"> au lithium qui font partie intégrante d’un objet doivent être conformes à un type dont il a été démontré qu’il satisfait aux prescriptions en matière d’épreuves du Manuel d’épreuves et de critères, troisième partie, sous-section 38.3. Pour les objets contenant des prototypes de </w:t>
      </w:r>
      <w:proofErr w:type="spellStart"/>
      <w:r w:rsidRPr="002508DA">
        <w:rPr>
          <w:lang w:val="fr-FR"/>
        </w:rPr>
        <w:t>pré</w:t>
      </w:r>
      <w:r>
        <w:rPr>
          <w:lang w:val="fr-FR"/>
        </w:rPr>
        <w:t>-</w:t>
      </w:r>
      <w:r w:rsidRPr="002508DA">
        <w:rPr>
          <w:lang w:val="fr-FR"/>
        </w:rPr>
        <w:t>production</w:t>
      </w:r>
      <w:proofErr w:type="spellEnd"/>
      <w:r w:rsidRPr="002508DA">
        <w:rPr>
          <w:lang w:val="fr-FR"/>
        </w:rPr>
        <w:t xml:space="preserve"> de piles ou batteries au lithium</w:t>
      </w:r>
      <w:r>
        <w:rPr>
          <w:lang w:val="fr-FR"/>
        </w:rPr>
        <w:t xml:space="preserve"> </w:t>
      </w:r>
      <w:r w:rsidRPr="00B15687">
        <w:t>transportés pour être éprouvés</w:t>
      </w:r>
      <w:r w:rsidRPr="002508DA">
        <w:rPr>
          <w:lang w:val="fr-FR"/>
        </w:rPr>
        <w:t xml:space="preserve">, ou pour les objets contenant des piles ou batteries de petites séries de production d’au plus 100 piles ou batteries, les prescriptions de la disposition spéciale 310 </w:t>
      </w:r>
      <w:r w:rsidRPr="006F2D47">
        <w:rPr>
          <w:lang w:val="fr-FR"/>
        </w:rPr>
        <w:t>du chapitre 3.3</w:t>
      </w:r>
      <w:r w:rsidRPr="002508DA">
        <w:rPr>
          <w:lang w:val="fr-FR"/>
        </w:rPr>
        <w:t xml:space="preserve"> s’appliquent.</w:t>
      </w:r>
      <w:r>
        <w:rPr>
          <w:lang w:val="fr-FR"/>
        </w:rPr>
        <w:t> »</w:t>
      </w:r>
    </w:p>
    <w:p w14:paraId="7246E3A3"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INF.51, tel que modifié)</w:t>
      </w:r>
    </w:p>
    <w:p w14:paraId="2497D44F" w14:textId="77777777" w:rsidR="00E05FCF" w:rsidRDefault="00E05FCF" w:rsidP="00E05FCF">
      <w:pPr>
        <w:tabs>
          <w:tab w:val="right" w:pos="851"/>
        </w:tabs>
        <w:spacing w:before="360" w:after="240" w:line="270" w:lineRule="exact"/>
        <w:ind w:left="1134" w:right="1134" w:hanging="1134"/>
        <w:rPr>
          <w:b/>
          <w:sz w:val="24"/>
        </w:rPr>
      </w:pPr>
      <w:r>
        <w:rPr>
          <w:b/>
          <w:sz w:val="24"/>
          <w:lang w:val="fr-FR"/>
        </w:rPr>
        <w:tab/>
      </w:r>
      <w:r>
        <w:rPr>
          <w:b/>
          <w:sz w:val="24"/>
          <w:lang w:val="fr-FR"/>
        </w:rPr>
        <w:tab/>
      </w:r>
      <w:r>
        <w:rPr>
          <w:b/>
          <w:sz w:val="24"/>
        </w:rPr>
        <w:t>Chapitre 2.3</w:t>
      </w:r>
    </w:p>
    <w:p w14:paraId="6FB8AA58"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2.3.1.4</w:t>
      </w:r>
      <w:r>
        <w:rPr>
          <w:lang w:val="fr-FR"/>
        </w:rPr>
        <w:tab/>
        <w:t xml:space="preserve">Dans la dernière phrase, replacer « et 3379 » par </w:t>
      </w:r>
      <w:proofErr w:type="gramStart"/>
      <w:r>
        <w:rPr>
          <w:lang w:val="fr-FR"/>
        </w:rPr>
        <w:t>« ,</w:t>
      </w:r>
      <w:proofErr w:type="gramEnd"/>
      <w:r>
        <w:rPr>
          <w:lang w:val="fr-FR"/>
        </w:rPr>
        <w:t xml:space="preserve"> 3379 et 3555 ».</w:t>
      </w:r>
    </w:p>
    <w:p w14:paraId="1A6BF565"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INF.44, amendement 1)</w:t>
      </w:r>
    </w:p>
    <w:p w14:paraId="3AB1EE3F" w14:textId="77777777" w:rsidR="00E05FCF" w:rsidRPr="000F462A" w:rsidRDefault="00E05FCF" w:rsidP="00E05FCF">
      <w:pPr>
        <w:pStyle w:val="H1G"/>
        <w:keepNext w:val="0"/>
        <w:keepLines w:val="0"/>
      </w:pPr>
      <w:r w:rsidRPr="000F462A">
        <w:rPr>
          <w:lang w:val="fr-FR"/>
        </w:rPr>
        <w:tab/>
      </w:r>
      <w:r w:rsidRPr="000F462A">
        <w:rPr>
          <w:lang w:val="fr-FR"/>
        </w:rPr>
        <w:tab/>
      </w:r>
      <w:r w:rsidRPr="000F462A">
        <w:t xml:space="preserve">Chapitre </w:t>
      </w:r>
      <w:r>
        <w:t>2.6</w:t>
      </w:r>
    </w:p>
    <w:p w14:paraId="570DB676"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sidRPr="009E7582">
        <w:rPr>
          <w:lang w:val="fr-FR"/>
        </w:rPr>
        <w:t>2.6.3.2.2.1</w:t>
      </w:r>
      <w:r w:rsidRPr="0042238A">
        <w:rPr>
          <w:lang w:val="fr-FR"/>
        </w:rPr>
        <w:tab/>
      </w:r>
      <w:r>
        <w:rPr>
          <w:lang w:val="fr-FR"/>
        </w:rPr>
        <w:t>Dans le tableau, pour le No ONU 2014, pour « </w:t>
      </w:r>
      <w:r w:rsidRPr="00C9283C">
        <w:rPr>
          <w:lang w:val="fr-FR"/>
        </w:rPr>
        <w:t>Virus de la variole du singe</w:t>
      </w:r>
      <w:r>
        <w:rPr>
          <w:lang w:val="fr-FR"/>
        </w:rPr>
        <w:t> » ajouter « </w:t>
      </w:r>
      <w:r w:rsidRPr="006F0D84">
        <w:rPr>
          <w:lang w:val="fr-FR"/>
        </w:rPr>
        <w:t>(cultures seulement)</w:t>
      </w:r>
      <w:r>
        <w:rPr>
          <w:lang w:val="fr-FR"/>
        </w:rPr>
        <w:t> » à la fin.</w:t>
      </w:r>
    </w:p>
    <w:p w14:paraId="441DA2F6" w14:textId="77777777" w:rsidR="00E05FCF" w:rsidRDefault="00E05FCF" w:rsidP="00E05FCF">
      <w:pPr>
        <w:kinsoku/>
        <w:overflowPunct/>
        <w:autoSpaceDE/>
        <w:autoSpaceDN/>
        <w:adjustRightInd/>
        <w:snapToGrid/>
        <w:spacing w:after="120"/>
        <w:ind w:left="1134" w:right="1134"/>
        <w:jc w:val="both"/>
        <w:rPr>
          <w:i/>
          <w:iCs/>
        </w:rPr>
      </w:pPr>
      <w:r w:rsidRPr="000F462A">
        <w:rPr>
          <w:i/>
          <w:iCs/>
        </w:rPr>
        <w:t xml:space="preserve">(Document de référence : </w:t>
      </w:r>
      <w:r>
        <w:rPr>
          <w:i/>
          <w:iCs/>
        </w:rPr>
        <w:t>document informel INF.24</w:t>
      </w:r>
      <w:r w:rsidRPr="000F462A">
        <w:rPr>
          <w:i/>
          <w:iCs/>
        </w:rPr>
        <w:t>)</w:t>
      </w:r>
    </w:p>
    <w:p w14:paraId="400185E4" w14:textId="77777777" w:rsidR="00E05FCF" w:rsidRDefault="00E05FCF" w:rsidP="00E05FCF">
      <w:pPr>
        <w:pStyle w:val="H1G"/>
      </w:pPr>
      <w:r>
        <w:rPr>
          <w:lang w:val="fr-FR"/>
        </w:rPr>
        <w:lastRenderedPageBreak/>
        <w:tab/>
      </w:r>
      <w:r>
        <w:rPr>
          <w:lang w:val="fr-FR"/>
        </w:rPr>
        <w:tab/>
      </w:r>
      <w:r>
        <w:t>Chapitre 2.9</w:t>
      </w:r>
    </w:p>
    <w:p w14:paraId="157A6375"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2.9.2</w:t>
      </w:r>
      <w:r>
        <w:rPr>
          <w:lang w:val="fr-FR"/>
        </w:rPr>
        <w:tab/>
        <w:t>Sous « </w:t>
      </w:r>
      <w:r w:rsidRPr="00D867DB">
        <w:rPr>
          <w:lang w:val="fr-FR"/>
        </w:rPr>
        <w:t>Micro-organismes génétiquement modifiés (MOGM) et organismes génétiquement modifiés (OGM</w:t>
      </w:r>
      <w:r>
        <w:rPr>
          <w:lang w:val="fr-FR"/>
        </w:rPr>
        <w:t> », avant le dernier paragraphe, ajouter le nouveau paragraphe suivant :</w:t>
      </w:r>
    </w:p>
    <w:p w14:paraId="13463B00" w14:textId="77777777" w:rsidR="00E05FCF" w:rsidRDefault="00E05FCF" w:rsidP="00E05FCF">
      <w:pPr>
        <w:kinsoku/>
        <w:overflowPunct/>
        <w:autoSpaceDE/>
        <w:adjustRightInd/>
        <w:snapToGrid/>
        <w:spacing w:after="120"/>
        <w:ind w:left="1134" w:right="1134"/>
        <w:jc w:val="both"/>
        <w:rPr>
          <w:lang w:val="fr-FR"/>
        </w:rPr>
      </w:pPr>
      <w:r>
        <w:rPr>
          <w:lang w:val="fr-FR"/>
        </w:rPr>
        <w:t>« </w:t>
      </w:r>
      <w:r w:rsidRPr="00CB4E24">
        <w:rPr>
          <w:lang w:val="fr-FR"/>
        </w:rPr>
        <w:t>Les produits pharmaceutiques (</w:t>
      </w:r>
      <w:r>
        <w:rPr>
          <w:lang w:val="fr-FR"/>
        </w:rPr>
        <w:t>tels que</w:t>
      </w:r>
      <w:r w:rsidRPr="00CB4E24">
        <w:rPr>
          <w:lang w:val="fr-FR"/>
        </w:rPr>
        <w:t xml:space="preserve"> les vaccins)</w:t>
      </w:r>
      <w:r>
        <w:rPr>
          <w:lang w:val="fr-FR"/>
        </w:rPr>
        <w:t xml:space="preserve"> qui sont emballés sous u</w:t>
      </w:r>
      <w:r w:rsidRPr="00770675">
        <w:rPr>
          <w:lang w:val="fr-FR"/>
        </w:rPr>
        <w:t>ne forme prête à être administrée,</w:t>
      </w:r>
      <w:r w:rsidRPr="00CB4E24">
        <w:rPr>
          <w:lang w:val="fr-FR"/>
        </w:rPr>
        <w:t xml:space="preserve"> y compris ceux qui sont employés dans le cadre d’essais cliniques, qui contiennent des MOGM ou des OGM ne sont pas soumis au présent Règlement.</w:t>
      </w:r>
      <w:r>
        <w:rPr>
          <w:lang w:val="fr-FR"/>
        </w:rPr>
        <w:t> »</w:t>
      </w:r>
    </w:p>
    <w:p w14:paraId="08522B05" w14:textId="77777777" w:rsidR="00E05FCF" w:rsidRDefault="00E05FCF" w:rsidP="00E05FCF">
      <w:pPr>
        <w:kinsoku/>
        <w:overflowPunct/>
        <w:autoSpaceDE/>
        <w:adjustRightInd/>
        <w:snapToGrid/>
        <w:spacing w:after="120"/>
        <w:ind w:left="1134" w:right="1134"/>
        <w:jc w:val="both"/>
        <w:rPr>
          <w:i/>
          <w:iCs/>
        </w:rPr>
      </w:pPr>
      <w:r>
        <w:rPr>
          <w:i/>
          <w:iCs/>
        </w:rPr>
        <w:t>(Document de référence : document informel INF.48)</w:t>
      </w:r>
    </w:p>
    <w:p w14:paraId="53492540" w14:textId="77777777" w:rsidR="00E05FCF" w:rsidRDefault="00E05FCF" w:rsidP="00E05FCF">
      <w:pPr>
        <w:kinsoku/>
        <w:overflowPunct/>
        <w:autoSpaceDE/>
        <w:adjustRightInd/>
        <w:snapToGrid/>
        <w:spacing w:before="120" w:after="120"/>
        <w:ind w:left="1134" w:right="1134"/>
        <w:jc w:val="both"/>
        <w:rPr>
          <w:i/>
          <w:iCs/>
        </w:rPr>
      </w:pPr>
      <w:r>
        <w:rPr>
          <w:i/>
          <w:iCs/>
        </w:rPr>
        <w:t>(Remplace l’amendement en annexe II du document ST/SG/AC.10/C.3/118/Add.1)</w:t>
      </w:r>
    </w:p>
    <w:p w14:paraId="3826D833" w14:textId="31843C29"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2.9.4 g)</w:t>
      </w:r>
      <w:r>
        <w:rPr>
          <w:lang w:val="fr-FR"/>
        </w:rPr>
        <w:tab/>
        <w:t>À la fin, ajouter le nouveau Nota suivant :</w:t>
      </w:r>
    </w:p>
    <w:p w14:paraId="4540EF19" w14:textId="3904BDD9" w:rsidR="00E05FCF" w:rsidRDefault="00E05FCF" w:rsidP="00E05FCF">
      <w:pPr>
        <w:kinsoku/>
        <w:overflowPunct/>
        <w:autoSpaceDE/>
        <w:adjustRightInd/>
        <w:snapToGrid/>
        <w:spacing w:after="120"/>
        <w:ind w:left="1134" w:right="1134"/>
        <w:jc w:val="both"/>
        <w:rPr>
          <w:lang w:val="fr-FR"/>
        </w:rPr>
      </w:pPr>
      <w:r>
        <w:rPr>
          <w:lang w:val="fr-FR"/>
        </w:rPr>
        <w:t>« </w:t>
      </w:r>
      <w:r>
        <w:rPr>
          <w:b/>
          <w:bCs/>
          <w:i/>
          <w:iCs/>
          <w:lang w:val="fr-FR"/>
        </w:rPr>
        <w:t>NOTA :</w:t>
      </w:r>
      <w:r>
        <w:rPr>
          <w:i/>
          <w:iCs/>
          <w:lang w:val="fr-FR"/>
        </w:rPr>
        <w:t xml:space="preserve"> Le terme « mettre à disposition » signifie que les fabricants et les distributeurs ultérieurs assurent que le résumé du procès-verbal d’épreuve pour les piles ou batteries au lithium ou les équipements avec des piles ou batteries au lithium installées soit accessible afin que l'expéditeur ou d'autres personnes de la chaîne d'approvisionnement puissent confirmer la conformité.</w:t>
      </w:r>
      <w:r>
        <w:rPr>
          <w:lang w:val="fr-FR"/>
        </w:rPr>
        <w:t> »</w:t>
      </w:r>
    </w:p>
    <w:p w14:paraId="6721725D" w14:textId="77777777" w:rsidR="00E05FCF" w:rsidRDefault="00E05FCF" w:rsidP="00E05FCF">
      <w:pPr>
        <w:kinsoku/>
        <w:overflowPunct/>
        <w:autoSpaceDE/>
        <w:adjustRightInd/>
        <w:snapToGrid/>
        <w:spacing w:after="120"/>
        <w:ind w:left="1134" w:right="1134"/>
        <w:jc w:val="both"/>
        <w:rPr>
          <w:i/>
          <w:iCs/>
        </w:rPr>
      </w:pPr>
      <w:r>
        <w:rPr>
          <w:i/>
          <w:iCs/>
        </w:rPr>
        <w:t>(Documents de référence : document informel INF.43, tel que modifié)</w:t>
      </w:r>
    </w:p>
    <w:p w14:paraId="092D434A" w14:textId="77777777" w:rsidR="00E05FCF" w:rsidRPr="000F462A" w:rsidRDefault="00E05FCF" w:rsidP="00E05FCF">
      <w:pPr>
        <w:pStyle w:val="H1G"/>
        <w:keepNext w:val="0"/>
        <w:keepLines w:val="0"/>
      </w:pPr>
      <w:r w:rsidRPr="000F462A">
        <w:rPr>
          <w:lang w:val="fr-FR"/>
        </w:rPr>
        <w:tab/>
      </w:r>
      <w:r w:rsidRPr="000F462A">
        <w:rPr>
          <w:lang w:val="fr-FR"/>
        </w:rPr>
        <w:tab/>
      </w:r>
      <w:r w:rsidRPr="000F462A">
        <w:t xml:space="preserve">Chapitre </w:t>
      </w:r>
      <w:r>
        <w:t>3.2</w:t>
      </w:r>
    </w:p>
    <w:p w14:paraId="287B17C5"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3.2.1</w:t>
      </w:r>
      <w:r w:rsidRPr="0042238A">
        <w:rPr>
          <w:lang w:val="fr-FR"/>
        </w:rPr>
        <w:tab/>
      </w:r>
      <w:r>
        <w:rPr>
          <w:lang w:val="fr-FR"/>
        </w:rPr>
        <w:t xml:space="preserve">Dans le texte descriptif pour la colonne 5, dans la première phrase, supprimer « de l’objet </w:t>
      </w:r>
      <w:proofErr w:type="gramStart"/>
      <w:r>
        <w:rPr>
          <w:lang w:val="fr-FR"/>
        </w:rPr>
        <w:t>ou »</w:t>
      </w:r>
      <w:proofErr w:type="gramEnd"/>
      <w:r>
        <w:rPr>
          <w:lang w:val="fr-FR"/>
        </w:rPr>
        <w:t>.</w:t>
      </w:r>
    </w:p>
    <w:p w14:paraId="154BA8A6"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022/17, proposition 1</w:t>
      </w:r>
      <w:r w:rsidRPr="000F462A">
        <w:rPr>
          <w:i/>
          <w:iCs/>
        </w:rPr>
        <w:t>)</w:t>
      </w:r>
    </w:p>
    <w:p w14:paraId="1291B81B" w14:textId="77777777" w:rsidR="00E05FCF" w:rsidRPr="000F462A" w:rsidRDefault="00E05FCF" w:rsidP="00E05FCF">
      <w:pPr>
        <w:pStyle w:val="H1G"/>
        <w:keepNext w:val="0"/>
        <w:keepLines w:val="0"/>
      </w:pPr>
      <w:r w:rsidRPr="000F462A">
        <w:rPr>
          <w:lang w:val="fr-FR"/>
        </w:rPr>
        <w:tab/>
      </w:r>
      <w:r w:rsidRPr="000F462A">
        <w:rPr>
          <w:lang w:val="fr-FR"/>
        </w:rPr>
        <w:tab/>
      </w:r>
      <w:r w:rsidRPr="000F462A">
        <w:t xml:space="preserve">Chapitre </w:t>
      </w:r>
      <w:r>
        <w:t>3.2</w:t>
      </w:r>
      <w:r w:rsidRPr="0042238A">
        <w:rPr>
          <w:lang w:val="fr-FR"/>
        </w:rPr>
        <w:t xml:space="preserve">, </w:t>
      </w:r>
      <w:r w:rsidRPr="0042238A">
        <w:rPr>
          <w:iCs/>
          <w:lang w:val="fr-FR"/>
        </w:rPr>
        <w:t>l</w:t>
      </w:r>
      <w:r w:rsidRPr="0042238A">
        <w:rPr>
          <w:lang w:val="fr-FR"/>
        </w:rPr>
        <w:t>iste des marchandises dangereuses</w:t>
      </w:r>
    </w:p>
    <w:p w14:paraId="7B50A871" w14:textId="77777777" w:rsidR="00E05FCF" w:rsidRDefault="00E05FCF" w:rsidP="00E05FCF">
      <w:pPr>
        <w:tabs>
          <w:tab w:val="left" w:pos="2268"/>
        </w:tabs>
        <w:kinsoku/>
        <w:overflowPunct/>
        <w:autoSpaceDE/>
        <w:adjustRightInd/>
        <w:snapToGrid/>
        <w:spacing w:after="120"/>
        <w:ind w:left="2268" w:right="1134" w:hanging="1134"/>
        <w:jc w:val="both"/>
        <w:rPr>
          <w:iCs/>
          <w:lang w:val="fr-FR"/>
        </w:rPr>
      </w:pPr>
      <w:r>
        <w:rPr>
          <w:iCs/>
          <w:lang w:val="fr-FR"/>
        </w:rPr>
        <w:t xml:space="preserve">Pour le </w:t>
      </w:r>
      <w:r w:rsidRPr="00C9266F">
        <w:t>No ONU 2028</w:t>
      </w:r>
      <w:r>
        <w:t>, dans la colonne (5), supprimer « II ».</w:t>
      </w:r>
    </w:p>
    <w:p w14:paraId="605ADF93"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022/17, proposition 2</w:t>
      </w:r>
      <w:r w:rsidRPr="000F462A">
        <w:rPr>
          <w:i/>
          <w:iCs/>
        </w:rPr>
        <w:t>)</w:t>
      </w:r>
    </w:p>
    <w:p w14:paraId="193FF33B" w14:textId="77777777" w:rsidR="00E05FCF" w:rsidRDefault="00E05FCF" w:rsidP="00E05FCF">
      <w:pPr>
        <w:tabs>
          <w:tab w:val="left" w:pos="2268"/>
        </w:tabs>
        <w:kinsoku/>
        <w:overflowPunct/>
        <w:autoSpaceDE/>
        <w:adjustRightInd/>
        <w:snapToGrid/>
        <w:spacing w:after="120"/>
        <w:ind w:left="2268" w:right="1134" w:hanging="1134"/>
        <w:jc w:val="both"/>
        <w:rPr>
          <w:iCs/>
          <w:lang w:val="fr-FR"/>
        </w:rPr>
      </w:pPr>
      <w:r>
        <w:rPr>
          <w:iCs/>
          <w:lang w:val="fr-FR"/>
        </w:rPr>
        <w:t xml:space="preserve">Pour le </w:t>
      </w:r>
      <w:r w:rsidRPr="00C9266F">
        <w:t xml:space="preserve">No ONU </w:t>
      </w:r>
      <w:r>
        <w:t>2803, dans la colonne (6), ajouter « 365 ».</w:t>
      </w:r>
    </w:p>
    <w:p w14:paraId="4562D655"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022/44</w:t>
      </w:r>
      <w:r w:rsidRPr="000F462A">
        <w:rPr>
          <w:i/>
          <w:iCs/>
        </w:rPr>
        <w:t>)</w:t>
      </w:r>
    </w:p>
    <w:p w14:paraId="7BC541AF" w14:textId="77777777" w:rsidR="00E05FCF" w:rsidRDefault="00E05FCF" w:rsidP="00E05FCF">
      <w:pPr>
        <w:keepNext/>
        <w:tabs>
          <w:tab w:val="left" w:pos="2268"/>
        </w:tabs>
        <w:kinsoku/>
        <w:overflowPunct/>
        <w:autoSpaceDE/>
        <w:adjustRightInd/>
        <w:snapToGrid/>
        <w:spacing w:after="120"/>
        <w:ind w:left="2268" w:right="1134" w:hanging="1134"/>
        <w:jc w:val="both"/>
        <w:rPr>
          <w:iCs/>
          <w:lang w:val="fr-FR"/>
        </w:rPr>
      </w:pPr>
      <w:r>
        <w:rPr>
          <w:iCs/>
          <w:lang w:val="fr-FR"/>
        </w:rPr>
        <w:t xml:space="preserve">Pour le </w:t>
      </w:r>
      <w:r w:rsidRPr="00C9266F">
        <w:t>No ONU 2870 (deuxième rubrique)</w:t>
      </w:r>
      <w:r>
        <w:t>, dans la colonne (5), supprimer « I ».</w:t>
      </w:r>
    </w:p>
    <w:p w14:paraId="5975C95D"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022/17, proposition 2</w:t>
      </w:r>
      <w:r w:rsidRPr="000F462A">
        <w:rPr>
          <w:i/>
          <w:iCs/>
        </w:rPr>
        <w:t>)</w:t>
      </w:r>
    </w:p>
    <w:p w14:paraId="16BAD91E" w14:textId="77777777" w:rsidR="00E05FCF" w:rsidRDefault="00E05FCF" w:rsidP="00E05FCF">
      <w:pPr>
        <w:tabs>
          <w:tab w:val="left" w:pos="2268"/>
        </w:tabs>
        <w:kinsoku/>
        <w:overflowPunct/>
        <w:autoSpaceDE/>
        <w:adjustRightInd/>
        <w:snapToGrid/>
        <w:spacing w:after="120"/>
        <w:ind w:left="2268" w:right="1134" w:hanging="1134"/>
        <w:jc w:val="both"/>
        <w:rPr>
          <w:iCs/>
          <w:lang w:val="fr-FR"/>
        </w:rPr>
      </w:pPr>
      <w:r>
        <w:rPr>
          <w:iCs/>
          <w:lang w:val="fr-FR"/>
        </w:rPr>
        <w:t xml:space="preserve">Pour le </w:t>
      </w:r>
      <w:r w:rsidRPr="00C9266F">
        <w:t xml:space="preserve">No ONU </w:t>
      </w:r>
      <w:r>
        <w:t>3</w:t>
      </w:r>
      <w:r w:rsidRPr="00C9266F">
        <w:t>165</w:t>
      </w:r>
      <w:r>
        <w:t>, dans la colonne (5), supprimer « I ».</w:t>
      </w:r>
    </w:p>
    <w:p w14:paraId="19280FB2"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022/17, proposition 2</w:t>
      </w:r>
      <w:r w:rsidRPr="000F462A">
        <w:rPr>
          <w:i/>
          <w:iCs/>
        </w:rPr>
        <w:t>)</w:t>
      </w:r>
    </w:p>
    <w:p w14:paraId="30EED131" w14:textId="77777777" w:rsidR="00E05FCF" w:rsidRDefault="00E05FCF" w:rsidP="00E05FCF">
      <w:pPr>
        <w:kinsoku/>
        <w:overflowPunct/>
        <w:autoSpaceDE/>
        <w:adjustRightInd/>
        <w:snapToGrid/>
        <w:spacing w:after="120"/>
        <w:ind w:left="1134" w:right="1134"/>
        <w:jc w:val="both"/>
        <w:rPr>
          <w:iCs/>
          <w:lang w:val="fr-FR"/>
        </w:rPr>
      </w:pPr>
      <w:r>
        <w:rPr>
          <w:iCs/>
          <w:lang w:val="fr-FR"/>
        </w:rPr>
        <w:t xml:space="preserve">Pour les Nos ONU </w:t>
      </w:r>
      <w:r w:rsidRPr="00E97BAE">
        <w:rPr>
          <w:iCs/>
          <w:lang w:val="fr-FR"/>
        </w:rPr>
        <w:t xml:space="preserve">3537, 3538, 3540, 3541, 3546, 3547 </w:t>
      </w:r>
      <w:r>
        <w:rPr>
          <w:iCs/>
          <w:lang w:val="fr-FR"/>
        </w:rPr>
        <w:t>et</w:t>
      </w:r>
      <w:r w:rsidRPr="00E97BAE">
        <w:rPr>
          <w:iCs/>
          <w:lang w:val="fr-FR"/>
        </w:rPr>
        <w:t xml:space="preserve"> 3548</w:t>
      </w:r>
      <w:r>
        <w:rPr>
          <w:iCs/>
          <w:lang w:val="fr-FR"/>
        </w:rPr>
        <w:t>, en colonne (6), ajouter « 310 ».</w:t>
      </w:r>
    </w:p>
    <w:p w14:paraId="54DC211D"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INF.51)</w:t>
      </w:r>
    </w:p>
    <w:p w14:paraId="1BEF26FC" w14:textId="77777777" w:rsidR="00E05FCF" w:rsidRPr="0042238A" w:rsidRDefault="00E05FCF" w:rsidP="00E05FCF">
      <w:pPr>
        <w:kinsoku/>
        <w:overflowPunct/>
        <w:autoSpaceDE/>
        <w:autoSpaceDN/>
        <w:adjustRightInd/>
        <w:snapToGrid/>
        <w:spacing w:after="120"/>
        <w:ind w:left="1134" w:right="1134"/>
        <w:jc w:val="both"/>
        <w:rPr>
          <w:iCs/>
          <w:lang w:val="fr-FR"/>
        </w:rPr>
      </w:pPr>
      <w:r w:rsidRPr="0042238A">
        <w:rPr>
          <w:iCs/>
          <w:lang w:val="fr-FR"/>
        </w:rPr>
        <w:t>Ajouter l</w:t>
      </w:r>
      <w:r>
        <w:rPr>
          <w:iCs/>
          <w:lang w:val="fr-FR"/>
        </w:rPr>
        <w:t>es</w:t>
      </w:r>
      <w:r w:rsidRPr="0042238A">
        <w:rPr>
          <w:iCs/>
          <w:lang w:val="fr-FR"/>
        </w:rPr>
        <w:t xml:space="preserve"> nouvelle</w:t>
      </w:r>
      <w:r>
        <w:rPr>
          <w:iCs/>
          <w:lang w:val="fr-FR"/>
        </w:rPr>
        <w:t>s</w:t>
      </w:r>
      <w:r w:rsidRPr="0042238A">
        <w:rPr>
          <w:iCs/>
          <w:lang w:val="fr-FR"/>
        </w:rPr>
        <w:t xml:space="preserve"> rubrique</w:t>
      </w:r>
      <w:r>
        <w:rPr>
          <w:iCs/>
          <w:lang w:val="fr-FR"/>
        </w:rPr>
        <w:t>s</w:t>
      </w:r>
      <w:r w:rsidRPr="0042238A">
        <w:rPr>
          <w:iCs/>
          <w:lang w:val="fr-FR"/>
        </w:rPr>
        <w:t xml:space="preserve"> suivante</w:t>
      </w:r>
      <w:r>
        <w:rPr>
          <w:iCs/>
          <w:lang w:val="fr-FR"/>
        </w:rPr>
        <w:t>s </w:t>
      </w:r>
      <w:r w:rsidRPr="0042238A">
        <w:rPr>
          <w:iCs/>
          <w:lang w:val="fr-FR"/>
        </w:rPr>
        <w:t>:</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3"/>
        <w:gridCol w:w="2235"/>
        <w:gridCol w:w="489"/>
        <w:gridCol w:w="444"/>
        <w:gridCol w:w="633"/>
        <w:gridCol w:w="489"/>
        <w:gridCol w:w="364"/>
        <w:gridCol w:w="384"/>
        <w:gridCol w:w="708"/>
        <w:gridCol w:w="674"/>
        <w:gridCol w:w="1056"/>
        <w:gridCol w:w="646"/>
      </w:tblGrid>
      <w:tr w:rsidR="00E05FCF" w:rsidRPr="00042BF0" w14:paraId="6345660A" w14:textId="77777777" w:rsidTr="00D407EA">
        <w:trPr>
          <w:cantSplit/>
          <w:tblHeader/>
          <w:jc w:val="center"/>
        </w:trPr>
        <w:tc>
          <w:tcPr>
            <w:tcW w:w="225" w:type="pct"/>
          </w:tcPr>
          <w:p w14:paraId="40B75608" w14:textId="77777777" w:rsidR="00E05FCF" w:rsidRPr="00042BF0" w:rsidRDefault="00E05FCF" w:rsidP="00D407EA">
            <w:pPr>
              <w:widowControl w:val="0"/>
              <w:suppressAutoHyphens w:val="0"/>
              <w:kinsoku/>
              <w:overflowPunct/>
              <w:adjustRightInd/>
              <w:snapToGrid/>
              <w:spacing w:before="60" w:after="60" w:line="240" w:lineRule="auto"/>
              <w:jc w:val="center"/>
              <w:rPr>
                <w:sz w:val="18"/>
                <w:szCs w:val="18"/>
                <w:lang w:val="fr-FR"/>
              </w:rPr>
            </w:pPr>
            <w:r w:rsidRPr="00183EBE">
              <w:rPr>
                <w:b/>
                <w:bCs/>
                <w:sz w:val="16"/>
                <w:szCs w:val="16"/>
                <w:lang w:val="fr-FR"/>
              </w:rPr>
              <w:t>(1)</w:t>
            </w:r>
          </w:p>
        </w:tc>
        <w:tc>
          <w:tcPr>
            <w:tcW w:w="1314" w:type="pct"/>
            <w:vAlign w:val="bottom"/>
          </w:tcPr>
          <w:p w14:paraId="546C4B7E" w14:textId="77777777" w:rsidR="00E05FCF" w:rsidRPr="00042BF0" w:rsidRDefault="00E05FCF" w:rsidP="00D407EA">
            <w:pPr>
              <w:widowControl w:val="0"/>
              <w:suppressAutoHyphens w:val="0"/>
              <w:kinsoku/>
              <w:overflowPunct/>
              <w:adjustRightInd/>
              <w:snapToGrid/>
              <w:spacing w:before="60" w:after="60" w:line="240" w:lineRule="auto"/>
              <w:ind w:left="6" w:right="6"/>
              <w:jc w:val="center"/>
              <w:rPr>
                <w:sz w:val="18"/>
                <w:szCs w:val="18"/>
                <w:lang w:val="fr-FR"/>
              </w:rPr>
            </w:pPr>
            <w:r w:rsidRPr="00183EBE">
              <w:rPr>
                <w:b/>
                <w:bCs/>
                <w:sz w:val="16"/>
                <w:szCs w:val="16"/>
                <w:lang w:val="fr-FR"/>
              </w:rPr>
              <w:t>(2)</w:t>
            </w:r>
          </w:p>
        </w:tc>
        <w:tc>
          <w:tcPr>
            <w:tcW w:w="287" w:type="pct"/>
            <w:vAlign w:val="bottom"/>
          </w:tcPr>
          <w:p w14:paraId="599911C4" w14:textId="77777777" w:rsidR="00E05FCF" w:rsidRPr="00042BF0" w:rsidRDefault="00E05FCF" w:rsidP="00D407EA">
            <w:pPr>
              <w:widowControl w:val="0"/>
              <w:suppressAutoHyphens w:val="0"/>
              <w:kinsoku/>
              <w:overflowPunct/>
              <w:adjustRightInd/>
              <w:snapToGrid/>
              <w:spacing w:before="60" w:after="60" w:line="240" w:lineRule="auto"/>
              <w:ind w:left="127" w:right="126"/>
              <w:jc w:val="center"/>
              <w:rPr>
                <w:sz w:val="18"/>
                <w:szCs w:val="18"/>
                <w:lang w:val="fr-FR"/>
              </w:rPr>
            </w:pPr>
            <w:r w:rsidRPr="00183EBE">
              <w:rPr>
                <w:b/>
                <w:bCs/>
                <w:sz w:val="16"/>
                <w:szCs w:val="16"/>
                <w:lang w:val="fr-FR"/>
              </w:rPr>
              <w:t>(3)</w:t>
            </w:r>
          </w:p>
        </w:tc>
        <w:tc>
          <w:tcPr>
            <w:tcW w:w="261" w:type="pct"/>
            <w:vAlign w:val="bottom"/>
          </w:tcPr>
          <w:p w14:paraId="604B62BE" w14:textId="77777777" w:rsidR="00E05FCF" w:rsidRPr="00042BF0" w:rsidRDefault="00E05FCF" w:rsidP="00D407EA">
            <w:pPr>
              <w:widowControl w:val="0"/>
              <w:suppressAutoHyphens w:val="0"/>
              <w:kinsoku/>
              <w:overflowPunct/>
              <w:adjustRightInd/>
              <w:snapToGrid/>
              <w:spacing w:before="60" w:after="60" w:line="240" w:lineRule="auto"/>
              <w:ind w:left="107" w:right="107"/>
              <w:jc w:val="center"/>
              <w:rPr>
                <w:b/>
                <w:sz w:val="18"/>
                <w:szCs w:val="18"/>
                <w:lang w:val="fr-FR"/>
              </w:rPr>
            </w:pPr>
            <w:r w:rsidRPr="00183EBE">
              <w:rPr>
                <w:b/>
                <w:bCs/>
                <w:sz w:val="16"/>
                <w:szCs w:val="16"/>
                <w:lang w:val="fr-FR"/>
              </w:rPr>
              <w:t>(4)</w:t>
            </w:r>
          </w:p>
        </w:tc>
        <w:tc>
          <w:tcPr>
            <w:tcW w:w="372" w:type="pct"/>
            <w:vAlign w:val="bottom"/>
          </w:tcPr>
          <w:p w14:paraId="47180B5C" w14:textId="77777777" w:rsidR="00E05FCF" w:rsidRPr="00042BF0" w:rsidRDefault="00E05FCF" w:rsidP="00D407EA">
            <w:pPr>
              <w:widowControl w:val="0"/>
              <w:suppressAutoHyphens w:val="0"/>
              <w:kinsoku/>
              <w:overflowPunct/>
              <w:adjustRightInd/>
              <w:snapToGrid/>
              <w:spacing w:before="60" w:after="60" w:line="240" w:lineRule="auto"/>
              <w:ind w:left="67" w:right="67"/>
              <w:jc w:val="center"/>
              <w:rPr>
                <w:bCs/>
                <w:sz w:val="18"/>
                <w:szCs w:val="18"/>
                <w:lang w:val="fr-FR"/>
              </w:rPr>
            </w:pPr>
            <w:r w:rsidRPr="00183EBE">
              <w:rPr>
                <w:b/>
                <w:bCs/>
                <w:sz w:val="16"/>
                <w:szCs w:val="16"/>
                <w:lang w:val="fr-FR"/>
              </w:rPr>
              <w:t>(5)</w:t>
            </w:r>
          </w:p>
        </w:tc>
        <w:tc>
          <w:tcPr>
            <w:tcW w:w="287" w:type="pct"/>
            <w:vAlign w:val="bottom"/>
          </w:tcPr>
          <w:p w14:paraId="00789753" w14:textId="77777777" w:rsidR="00E05FCF" w:rsidRPr="00042BF0" w:rsidRDefault="00E05FCF" w:rsidP="00D407EA">
            <w:pPr>
              <w:widowControl w:val="0"/>
              <w:suppressAutoHyphens w:val="0"/>
              <w:kinsoku/>
              <w:overflowPunct/>
              <w:adjustRightInd/>
              <w:snapToGrid/>
              <w:spacing w:before="60" w:after="60" w:line="240" w:lineRule="auto"/>
              <w:ind w:left="106" w:right="102"/>
              <w:jc w:val="center"/>
              <w:rPr>
                <w:b/>
                <w:sz w:val="18"/>
                <w:szCs w:val="18"/>
                <w:lang w:val="fr-FR"/>
              </w:rPr>
            </w:pPr>
            <w:r w:rsidRPr="00183EBE">
              <w:rPr>
                <w:b/>
                <w:bCs/>
                <w:sz w:val="16"/>
                <w:szCs w:val="16"/>
                <w:lang w:val="fr-FR"/>
              </w:rPr>
              <w:t>(6)</w:t>
            </w:r>
          </w:p>
        </w:tc>
        <w:tc>
          <w:tcPr>
            <w:tcW w:w="214" w:type="pct"/>
            <w:vAlign w:val="bottom"/>
          </w:tcPr>
          <w:p w14:paraId="2D5208E5" w14:textId="77777777" w:rsidR="00E05FCF" w:rsidRPr="00042BF0" w:rsidRDefault="00E05FCF" w:rsidP="00D407EA">
            <w:pPr>
              <w:widowControl w:val="0"/>
              <w:suppressAutoHyphens w:val="0"/>
              <w:kinsoku/>
              <w:overflowPunct/>
              <w:adjustRightInd/>
              <w:snapToGrid/>
              <w:spacing w:before="60" w:after="60" w:line="240" w:lineRule="auto"/>
              <w:ind w:left="-15" w:right="16"/>
              <w:jc w:val="center"/>
              <w:rPr>
                <w:sz w:val="18"/>
                <w:szCs w:val="18"/>
                <w:lang w:val="fr-FR"/>
              </w:rPr>
            </w:pPr>
            <w:r w:rsidRPr="00183EBE">
              <w:rPr>
                <w:b/>
                <w:bCs/>
                <w:spacing w:val="-5"/>
                <w:sz w:val="16"/>
                <w:szCs w:val="16"/>
                <w:lang w:val="fr-FR"/>
              </w:rPr>
              <w:t>(7a)</w:t>
            </w:r>
          </w:p>
        </w:tc>
        <w:tc>
          <w:tcPr>
            <w:tcW w:w="226" w:type="pct"/>
            <w:vAlign w:val="bottom"/>
          </w:tcPr>
          <w:p w14:paraId="3F2C0672" w14:textId="77777777" w:rsidR="00E05FCF" w:rsidRPr="00042BF0" w:rsidRDefault="00E05FCF" w:rsidP="00D407EA">
            <w:pPr>
              <w:widowControl w:val="0"/>
              <w:suppressAutoHyphens w:val="0"/>
              <w:kinsoku/>
              <w:overflowPunct/>
              <w:adjustRightInd/>
              <w:snapToGrid/>
              <w:spacing w:before="60" w:after="60" w:line="240" w:lineRule="auto"/>
              <w:jc w:val="center"/>
              <w:rPr>
                <w:sz w:val="18"/>
                <w:szCs w:val="18"/>
                <w:lang w:val="fr-FR"/>
              </w:rPr>
            </w:pPr>
            <w:r w:rsidRPr="00183EBE">
              <w:rPr>
                <w:b/>
                <w:bCs/>
                <w:sz w:val="16"/>
                <w:szCs w:val="16"/>
                <w:lang w:val="fr-FR"/>
              </w:rPr>
              <w:t>(7b)</w:t>
            </w:r>
          </w:p>
        </w:tc>
        <w:tc>
          <w:tcPr>
            <w:tcW w:w="416" w:type="pct"/>
            <w:vAlign w:val="bottom"/>
          </w:tcPr>
          <w:p w14:paraId="17000CCF"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sidRPr="00183EBE">
              <w:rPr>
                <w:b/>
                <w:bCs/>
                <w:sz w:val="16"/>
                <w:szCs w:val="16"/>
                <w:lang w:val="fr-FR"/>
              </w:rPr>
              <w:t>(8)</w:t>
            </w:r>
          </w:p>
        </w:tc>
        <w:tc>
          <w:tcPr>
            <w:tcW w:w="396" w:type="pct"/>
            <w:vAlign w:val="bottom"/>
          </w:tcPr>
          <w:p w14:paraId="77F824A2"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sidRPr="00183EBE">
              <w:rPr>
                <w:b/>
                <w:bCs/>
                <w:sz w:val="16"/>
                <w:szCs w:val="16"/>
                <w:lang w:val="fr-FR"/>
              </w:rPr>
              <w:t>(9)</w:t>
            </w:r>
          </w:p>
        </w:tc>
        <w:tc>
          <w:tcPr>
            <w:tcW w:w="621" w:type="pct"/>
            <w:vAlign w:val="bottom"/>
          </w:tcPr>
          <w:p w14:paraId="05A246FA"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sidRPr="00183EBE">
              <w:rPr>
                <w:b/>
                <w:bCs/>
                <w:sz w:val="16"/>
                <w:szCs w:val="16"/>
                <w:lang w:val="fr-FR"/>
              </w:rPr>
              <w:t>(10)</w:t>
            </w:r>
          </w:p>
        </w:tc>
        <w:tc>
          <w:tcPr>
            <w:tcW w:w="380" w:type="pct"/>
            <w:vAlign w:val="bottom"/>
          </w:tcPr>
          <w:p w14:paraId="3D899C7E"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sidRPr="00183EBE">
              <w:rPr>
                <w:b/>
                <w:bCs/>
                <w:sz w:val="16"/>
                <w:szCs w:val="16"/>
                <w:lang w:val="fr-FR"/>
              </w:rPr>
              <w:t>(11)</w:t>
            </w:r>
          </w:p>
        </w:tc>
      </w:tr>
      <w:tr w:rsidR="00E05FCF" w:rsidRPr="00042BF0" w14:paraId="71D5728D" w14:textId="77777777" w:rsidTr="00D407EA">
        <w:trPr>
          <w:cantSplit/>
          <w:jc w:val="center"/>
        </w:trPr>
        <w:tc>
          <w:tcPr>
            <w:tcW w:w="225" w:type="pct"/>
          </w:tcPr>
          <w:p w14:paraId="7868666B" w14:textId="77777777" w:rsidR="00E05FCF" w:rsidRPr="00042BF0" w:rsidRDefault="00E05FCF" w:rsidP="00D407EA">
            <w:pPr>
              <w:widowControl w:val="0"/>
              <w:suppressAutoHyphens w:val="0"/>
              <w:kinsoku/>
              <w:overflowPunct/>
              <w:adjustRightInd/>
              <w:snapToGrid/>
              <w:spacing w:before="60" w:after="60" w:line="240" w:lineRule="auto"/>
              <w:jc w:val="center"/>
              <w:rPr>
                <w:sz w:val="18"/>
                <w:szCs w:val="18"/>
                <w:lang w:val="fr-FR"/>
              </w:rPr>
            </w:pPr>
            <w:r>
              <w:rPr>
                <w:sz w:val="18"/>
                <w:szCs w:val="18"/>
                <w:lang w:val="fr-FR"/>
              </w:rPr>
              <w:t>3553</w:t>
            </w:r>
          </w:p>
        </w:tc>
        <w:tc>
          <w:tcPr>
            <w:tcW w:w="1314" w:type="pct"/>
          </w:tcPr>
          <w:p w14:paraId="582E2070" w14:textId="77777777" w:rsidR="00E05FCF" w:rsidRPr="00042BF0" w:rsidRDefault="00E05FCF" w:rsidP="00D407EA">
            <w:pPr>
              <w:widowControl w:val="0"/>
              <w:suppressAutoHyphens w:val="0"/>
              <w:kinsoku/>
              <w:overflowPunct/>
              <w:adjustRightInd/>
              <w:snapToGrid/>
              <w:spacing w:before="60" w:after="60" w:line="240" w:lineRule="auto"/>
              <w:ind w:left="6" w:right="6"/>
              <w:rPr>
                <w:b/>
                <w:sz w:val="18"/>
                <w:szCs w:val="18"/>
                <w:lang w:val="fr-FR"/>
              </w:rPr>
            </w:pPr>
            <w:r w:rsidRPr="00042BF0">
              <w:rPr>
                <w:sz w:val="18"/>
                <w:szCs w:val="18"/>
                <w:lang w:val="fr-FR"/>
              </w:rPr>
              <w:t>DISILANE</w:t>
            </w:r>
          </w:p>
        </w:tc>
        <w:tc>
          <w:tcPr>
            <w:tcW w:w="287" w:type="pct"/>
          </w:tcPr>
          <w:p w14:paraId="7C9F5568" w14:textId="77777777" w:rsidR="00E05FCF" w:rsidRPr="00042BF0" w:rsidRDefault="00E05FCF" w:rsidP="00D407EA">
            <w:pPr>
              <w:widowControl w:val="0"/>
              <w:suppressAutoHyphens w:val="0"/>
              <w:kinsoku/>
              <w:overflowPunct/>
              <w:adjustRightInd/>
              <w:snapToGrid/>
              <w:spacing w:before="60" w:after="60" w:line="240" w:lineRule="auto"/>
              <w:ind w:left="127" w:right="126"/>
              <w:jc w:val="center"/>
              <w:rPr>
                <w:b/>
                <w:sz w:val="18"/>
                <w:szCs w:val="18"/>
                <w:lang w:val="fr-FR"/>
              </w:rPr>
            </w:pPr>
            <w:r w:rsidRPr="00042BF0">
              <w:rPr>
                <w:sz w:val="18"/>
                <w:szCs w:val="18"/>
                <w:lang w:val="fr-FR"/>
              </w:rPr>
              <w:t>2.1</w:t>
            </w:r>
          </w:p>
        </w:tc>
        <w:tc>
          <w:tcPr>
            <w:tcW w:w="261" w:type="pct"/>
          </w:tcPr>
          <w:p w14:paraId="079C6621" w14:textId="77777777" w:rsidR="00E05FCF" w:rsidRPr="00042BF0" w:rsidRDefault="00E05FCF" w:rsidP="00D407EA">
            <w:pPr>
              <w:widowControl w:val="0"/>
              <w:suppressAutoHyphens w:val="0"/>
              <w:kinsoku/>
              <w:overflowPunct/>
              <w:adjustRightInd/>
              <w:snapToGrid/>
              <w:spacing w:before="60" w:after="60" w:line="240" w:lineRule="auto"/>
              <w:ind w:left="107" w:right="107"/>
              <w:jc w:val="center"/>
              <w:rPr>
                <w:b/>
                <w:sz w:val="18"/>
                <w:szCs w:val="18"/>
                <w:lang w:val="fr-FR"/>
              </w:rPr>
            </w:pPr>
          </w:p>
        </w:tc>
        <w:tc>
          <w:tcPr>
            <w:tcW w:w="372" w:type="pct"/>
          </w:tcPr>
          <w:p w14:paraId="1606B078" w14:textId="77777777" w:rsidR="00E05FCF" w:rsidRPr="00042BF0" w:rsidRDefault="00E05FCF" w:rsidP="00D407EA">
            <w:pPr>
              <w:widowControl w:val="0"/>
              <w:suppressAutoHyphens w:val="0"/>
              <w:kinsoku/>
              <w:overflowPunct/>
              <w:adjustRightInd/>
              <w:snapToGrid/>
              <w:spacing w:before="60" w:after="60" w:line="240" w:lineRule="auto"/>
              <w:ind w:left="67" w:right="67"/>
              <w:jc w:val="center"/>
              <w:rPr>
                <w:bCs/>
                <w:sz w:val="18"/>
                <w:szCs w:val="18"/>
                <w:lang w:val="fr-FR"/>
              </w:rPr>
            </w:pPr>
          </w:p>
        </w:tc>
        <w:tc>
          <w:tcPr>
            <w:tcW w:w="287" w:type="pct"/>
          </w:tcPr>
          <w:p w14:paraId="19ACB314" w14:textId="77777777" w:rsidR="00E05FCF" w:rsidRPr="00042BF0" w:rsidRDefault="00E05FCF" w:rsidP="00D407EA">
            <w:pPr>
              <w:widowControl w:val="0"/>
              <w:suppressAutoHyphens w:val="0"/>
              <w:kinsoku/>
              <w:overflowPunct/>
              <w:adjustRightInd/>
              <w:snapToGrid/>
              <w:spacing w:before="60" w:after="60" w:line="240" w:lineRule="auto"/>
              <w:ind w:left="106" w:right="102"/>
              <w:jc w:val="center"/>
              <w:rPr>
                <w:b/>
                <w:sz w:val="18"/>
                <w:szCs w:val="18"/>
                <w:lang w:val="fr-FR"/>
              </w:rPr>
            </w:pPr>
          </w:p>
        </w:tc>
        <w:tc>
          <w:tcPr>
            <w:tcW w:w="214" w:type="pct"/>
          </w:tcPr>
          <w:p w14:paraId="115EC4AF" w14:textId="77777777" w:rsidR="00E05FCF" w:rsidRPr="00042BF0" w:rsidRDefault="00E05FCF" w:rsidP="00D407EA">
            <w:pPr>
              <w:widowControl w:val="0"/>
              <w:suppressAutoHyphens w:val="0"/>
              <w:kinsoku/>
              <w:overflowPunct/>
              <w:adjustRightInd/>
              <w:snapToGrid/>
              <w:spacing w:before="60" w:after="60" w:line="240" w:lineRule="auto"/>
              <w:ind w:left="-15" w:right="16"/>
              <w:jc w:val="center"/>
              <w:rPr>
                <w:b/>
                <w:sz w:val="18"/>
                <w:szCs w:val="18"/>
                <w:lang w:val="fr-FR"/>
              </w:rPr>
            </w:pPr>
            <w:r w:rsidRPr="00042BF0">
              <w:rPr>
                <w:sz w:val="18"/>
                <w:szCs w:val="18"/>
                <w:lang w:val="fr-FR"/>
              </w:rPr>
              <w:t>0</w:t>
            </w:r>
          </w:p>
        </w:tc>
        <w:tc>
          <w:tcPr>
            <w:tcW w:w="226" w:type="pct"/>
          </w:tcPr>
          <w:p w14:paraId="7BAC2CCF" w14:textId="77777777" w:rsidR="00E05FCF" w:rsidRPr="00042BF0" w:rsidRDefault="00E05FCF" w:rsidP="00D407EA">
            <w:pPr>
              <w:widowControl w:val="0"/>
              <w:suppressAutoHyphens w:val="0"/>
              <w:kinsoku/>
              <w:overflowPunct/>
              <w:adjustRightInd/>
              <w:snapToGrid/>
              <w:spacing w:before="60" w:after="60" w:line="240" w:lineRule="auto"/>
              <w:jc w:val="center"/>
              <w:rPr>
                <w:b/>
                <w:sz w:val="18"/>
                <w:szCs w:val="18"/>
                <w:lang w:val="fr-FR"/>
              </w:rPr>
            </w:pPr>
            <w:r w:rsidRPr="00042BF0">
              <w:rPr>
                <w:sz w:val="18"/>
                <w:szCs w:val="18"/>
                <w:lang w:val="fr-FR"/>
              </w:rPr>
              <w:t>E0</w:t>
            </w:r>
          </w:p>
        </w:tc>
        <w:tc>
          <w:tcPr>
            <w:tcW w:w="416" w:type="pct"/>
          </w:tcPr>
          <w:p w14:paraId="17400D18"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b/>
                <w:sz w:val="18"/>
                <w:szCs w:val="18"/>
                <w:lang w:val="fr-FR"/>
              </w:rPr>
            </w:pPr>
            <w:r w:rsidRPr="00042BF0">
              <w:rPr>
                <w:sz w:val="18"/>
                <w:szCs w:val="18"/>
                <w:lang w:val="fr-FR"/>
              </w:rPr>
              <w:t>P200</w:t>
            </w:r>
          </w:p>
        </w:tc>
        <w:tc>
          <w:tcPr>
            <w:tcW w:w="396" w:type="pct"/>
          </w:tcPr>
          <w:p w14:paraId="0F4309FE"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p>
        </w:tc>
        <w:tc>
          <w:tcPr>
            <w:tcW w:w="621" w:type="pct"/>
          </w:tcPr>
          <w:p w14:paraId="19E31890"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p>
        </w:tc>
        <w:tc>
          <w:tcPr>
            <w:tcW w:w="380" w:type="pct"/>
          </w:tcPr>
          <w:p w14:paraId="38320423" w14:textId="77777777" w:rsidR="00E05FCF" w:rsidRPr="00042BF0"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p>
        </w:tc>
      </w:tr>
      <w:tr w:rsidR="00E05FCF" w:rsidRPr="00B33494" w14:paraId="66A5C240" w14:textId="77777777" w:rsidTr="00D407EA">
        <w:trPr>
          <w:cantSplit/>
          <w:jc w:val="center"/>
        </w:trPr>
        <w:tc>
          <w:tcPr>
            <w:tcW w:w="225" w:type="pct"/>
          </w:tcPr>
          <w:p w14:paraId="24988223" w14:textId="77777777" w:rsidR="00E05FCF" w:rsidRPr="00B33494" w:rsidRDefault="00E05FCF" w:rsidP="00D407EA">
            <w:pPr>
              <w:widowControl w:val="0"/>
              <w:suppressAutoHyphens w:val="0"/>
              <w:kinsoku/>
              <w:overflowPunct/>
              <w:adjustRightInd/>
              <w:snapToGrid/>
              <w:spacing w:before="60" w:after="60" w:line="240" w:lineRule="auto"/>
              <w:jc w:val="center"/>
              <w:rPr>
                <w:sz w:val="18"/>
                <w:szCs w:val="18"/>
                <w:lang w:val="fr-FR"/>
              </w:rPr>
            </w:pPr>
            <w:r w:rsidRPr="00B33494">
              <w:rPr>
                <w:sz w:val="18"/>
                <w:szCs w:val="18"/>
                <w:lang w:val="fr-FR"/>
              </w:rPr>
              <w:t>3554</w:t>
            </w:r>
          </w:p>
        </w:tc>
        <w:tc>
          <w:tcPr>
            <w:tcW w:w="1314" w:type="pct"/>
          </w:tcPr>
          <w:p w14:paraId="09C53662" w14:textId="77777777" w:rsidR="00E05FCF" w:rsidRPr="00B33494" w:rsidRDefault="00E05FCF" w:rsidP="00D407EA">
            <w:pPr>
              <w:widowControl w:val="0"/>
              <w:suppressAutoHyphens w:val="0"/>
              <w:kinsoku/>
              <w:overflowPunct/>
              <w:adjustRightInd/>
              <w:snapToGrid/>
              <w:spacing w:before="60" w:after="60" w:line="240" w:lineRule="auto"/>
              <w:ind w:left="6" w:right="6"/>
              <w:rPr>
                <w:sz w:val="18"/>
                <w:szCs w:val="18"/>
                <w:lang w:val="fr-FR"/>
              </w:rPr>
            </w:pPr>
            <w:r w:rsidRPr="00B33494">
              <w:rPr>
                <w:sz w:val="18"/>
                <w:szCs w:val="18"/>
                <w:lang w:val="fr-FR"/>
              </w:rPr>
              <w:t>GALLIUM CONTENU DANS DES OBJETS MANUFACTURÉS</w:t>
            </w:r>
          </w:p>
        </w:tc>
        <w:tc>
          <w:tcPr>
            <w:tcW w:w="287" w:type="pct"/>
          </w:tcPr>
          <w:p w14:paraId="6DC413E2" w14:textId="77777777" w:rsidR="00E05FCF" w:rsidRPr="00B33494" w:rsidRDefault="00E05FCF" w:rsidP="00D407EA">
            <w:pPr>
              <w:widowControl w:val="0"/>
              <w:suppressAutoHyphens w:val="0"/>
              <w:kinsoku/>
              <w:overflowPunct/>
              <w:adjustRightInd/>
              <w:snapToGrid/>
              <w:spacing w:before="60" w:after="60" w:line="240" w:lineRule="auto"/>
              <w:ind w:left="127" w:right="126"/>
              <w:jc w:val="center"/>
              <w:rPr>
                <w:sz w:val="18"/>
                <w:szCs w:val="18"/>
                <w:lang w:val="fr-FR"/>
              </w:rPr>
            </w:pPr>
            <w:r w:rsidRPr="00B33494">
              <w:rPr>
                <w:sz w:val="18"/>
                <w:szCs w:val="18"/>
                <w:lang w:val="fr-FR"/>
              </w:rPr>
              <w:t>8</w:t>
            </w:r>
          </w:p>
        </w:tc>
        <w:tc>
          <w:tcPr>
            <w:tcW w:w="261" w:type="pct"/>
          </w:tcPr>
          <w:p w14:paraId="163BAD7B" w14:textId="77777777" w:rsidR="00E05FCF" w:rsidRPr="00B33494" w:rsidRDefault="00E05FCF" w:rsidP="00D407EA">
            <w:pPr>
              <w:widowControl w:val="0"/>
              <w:suppressAutoHyphens w:val="0"/>
              <w:kinsoku/>
              <w:overflowPunct/>
              <w:adjustRightInd/>
              <w:snapToGrid/>
              <w:spacing w:before="60" w:after="60" w:line="240" w:lineRule="auto"/>
              <w:ind w:left="107" w:right="107"/>
              <w:jc w:val="center"/>
              <w:rPr>
                <w:sz w:val="18"/>
                <w:szCs w:val="18"/>
                <w:lang w:val="fr-FR"/>
              </w:rPr>
            </w:pPr>
          </w:p>
        </w:tc>
        <w:tc>
          <w:tcPr>
            <w:tcW w:w="372" w:type="pct"/>
          </w:tcPr>
          <w:p w14:paraId="0A7AFC36" w14:textId="77777777" w:rsidR="00E05FCF" w:rsidRPr="00B33494" w:rsidRDefault="00E05FCF" w:rsidP="00D407EA">
            <w:pPr>
              <w:widowControl w:val="0"/>
              <w:suppressAutoHyphens w:val="0"/>
              <w:kinsoku/>
              <w:overflowPunct/>
              <w:adjustRightInd/>
              <w:snapToGrid/>
              <w:spacing w:before="60" w:after="60" w:line="240" w:lineRule="auto"/>
              <w:ind w:left="67" w:right="67"/>
              <w:jc w:val="center"/>
              <w:rPr>
                <w:sz w:val="18"/>
                <w:szCs w:val="18"/>
                <w:lang w:val="fr-FR"/>
              </w:rPr>
            </w:pPr>
          </w:p>
        </w:tc>
        <w:tc>
          <w:tcPr>
            <w:tcW w:w="287" w:type="pct"/>
          </w:tcPr>
          <w:p w14:paraId="2B2A63C2" w14:textId="77777777" w:rsidR="00E05FCF" w:rsidRPr="00B33494" w:rsidRDefault="00E05FCF" w:rsidP="00D407EA">
            <w:pPr>
              <w:widowControl w:val="0"/>
              <w:suppressAutoHyphens w:val="0"/>
              <w:kinsoku/>
              <w:overflowPunct/>
              <w:adjustRightInd/>
              <w:snapToGrid/>
              <w:spacing w:before="60" w:after="60" w:line="240" w:lineRule="auto"/>
              <w:ind w:left="106" w:right="102"/>
              <w:jc w:val="center"/>
              <w:rPr>
                <w:sz w:val="18"/>
                <w:szCs w:val="18"/>
                <w:lang w:val="fr-FR"/>
              </w:rPr>
            </w:pPr>
            <w:r w:rsidRPr="00B33494">
              <w:rPr>
                <w:sz w:val="18"/>
                <w:szCs w:val="18"/>
                <w:lang w:val="fr-FR"/>
              </w:rPr>
              <w:t>366</w:t>
            </w:r>
          </w:p>
        </w:tc>
        <w:tc>
          <w:tcPr>
            <w:tcW w:w="214" w:type="pct"/>
          </w:tcPr>
          <w:p w14:paraId="1441CF8A" w14:textId="77777777" w:rsidR="00E05FCF" w:rsidRPr="00B33494" w:rsidRDefault="00E05FCF" w:rsidP="00D407EA">
            <w:pPr>
              <w:widowControl w:val="0"/>
              <w:suppressAutoHyphens w:val="0"/>
              <w:kinsoku/>
              <w:overflowPunct/>
              <w:adjustRightInd/>
              <w:snapToGrid/>
              <w:spacing w:before="60" w:after="60" w:line="240" w:lineRule="auto"/>
              <w:ind w:left="-15" w:right="16"/>
              <w:jc w:val="center"/>
              <w:rPr>
                <w:sz w:val="18"/>
                <w:szCs w:val="18"/>
                <w:lang w:val="fr-FR"/>
              </w:rPr>
            </w:pPr>
            <w:r w:rsidRPr="00B33494">
              <w:rPr>
                <w:sz w:val="18"/>
                <w:szCs w:val="18"/>
                <w:lang w:val="fr-FR"/>
              </w:rPr>
              <w:t>5 kg</w:t>
            </w:r>
          </w:p>
        </w:tc>
        <w:tc>
          <w:tcPr>
            <w:tcW w:w="226" w:type="pct"/>
          </w:tcPr>
          <w:p w14:paraId="3BC38E3D" w14:textId="77777777" w:rsidR="00E05FCF" w:rsidRPr="00B33494" w:rsidRDefault="00E05FCF" w:rsidP="00D407EA">
            <w:pPr>
              <w:widowControl w:val="0"/>
              <w:suppressAutoHyphens w:val="0"/>
              <w:kinsoku/>
              <w:overflowPunct/>
              <w:adjustRightInd/>
              <w:snapToGrid/>
              <w:spacing w:before="60" w:after="60" w:line="240" w:lineRule="auto"/>
              <w:jc w:val="center"/>
              <w:rPr>
                <w:sz w:val="18"/>
                <w:szCs w:val="18"/>
                <w:lang w:val="fr-FR"/>
              </w:rPr>
            </w:pPr>
            <w:r w:rsidRPr="00B33494">
              <w:rPr>
                <w:sz w:val="18"/>
                <w:szCs w:val="18"/>
                <w:lang w:val="fr-FR"/>
              </w:rPr>
              <w:t>E0</w:t>
            </w:r>
          </w:p>
        </w:tc>
        <w:tc>
          <w:tcPr>
            <w:tcW w:w="416" w:type="pct"/>
          </w:tcPr>
          <w:p w14:paraId="5834A156" w14:textId="77777777" w:rsidR="00E05FCF" w:rsidRPr="00B33494"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sidRPr="00B33494">
              <w:rPr>
                <w:sz w:val="18"/>
                <w:szCs w:val="18"/>
                <w:lang w:val="fr-FR"/>
              </w:rPr>
              <w:t>P003</w:t>
            </w:r>
          </w:p>
        </w:tc>
        <w:tc>
          <w:tcPr>
            <w:tcW w:w="396" w:type="pct"/>
          </w:tcPr>
          <w:p w14:paraId="761E3EA6" w14:textId="77777777" w:rsidR="00E05FCF" w:rsidRPr="00B33494"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sidRPr="00B33494">
              <w:rPr>
                <w:sz w:val="18"/>
                <w:szCs w:val="18"/>
                <w:lang w:val="fr-FR"/>
              </w:rPr>
              <w:t>PP90</w:t>
            </w:r>
          </w:p>
        </w:tc>
        <w:tc>
          <w:tcPr>
            <w:tcW w:w="621" w:type="pct"/>
          </w:tcPr>
          <w:p w14:paraId="0156616B" w14:textId="77777777" w:rsidR="00E05FCF" w:rsidRPr="00B33494"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p>
        </w:tc>
        <w:tc>
          <w:tcPr>
            <w:tcW w:w="380" w:type="pct"/>
          </w:tcPr>
          <w:p w14:paraId="69E3E3C4" w14:textId="77777777" w:rsidR="00E05FCF" w:rsidRPr="00B33494"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p>
        </w:tc>
      </w:tr>
      <w:tr w:rsidR="00E05FCF" w14:paraId="63C493ED" w14:textId="77777777" w:rsidTr="00D407EA">
        <w:trPr>
          <w:cantSplit/>
          <w:jc w:val="center"/>
        </w:trPr>
        <w:tc>
          <w:tcPr>
            <w:tcW w:w="225" w:type="pct"/>
            <w:tcBorders>
              <w:top w:val="single" w:sz="4" w:space="0" w:color="000000"/>
              <w:left w:val="single" w:sz="4" w:space="0" w:color="000000"/>
              <w:bottom w:val="single" w:sz="4" w:space="0" w:color="000000"/>
              <w:right w:val="single" w:sz="4" w:space="0" w:color="000000"/>
            </w:tcBorders>
            <w:hideMark/>
          </w:tcPr>
          <w:p w14:paraId="0019F3B6" w14:textId="77777777" w:rsidR="00E05FCF" w:rsidRDefault="00E05FCF" w:rsidP="00D407EA">
            <w:pPr>
              <w:widowControl w:val="0"/>
              <w:suppressAutoHyphens w:val="0"/>
              <w:kinsoku/>
              <w:overflowPunct/>
              <w:adjustRightInd/>
              <w:snapToGrid/>
              <w:spacing w:before="60" w:after="60" w:line="240" w:lineRule="auto"/>
              <w:jc w:val="center"/>
              <w:rPr>
                <w:sz w:val="18"/>
                <w:szCs w:val="18"/>
                <w:lang w:val="fr-FR"/>
              </w:rPr>
            </w:pPr>
            <w:r>
              <w:rPr>
                <w:sz w:val="18"/>
                <w:szCs w:val="18"/>
                <w:lang w:val="fr-FR"/>
              </w:rPr>
              <w:t>3555</w:t>
            </w:r>
          </w:p>
        </w:tc>
        <w:tc>
          <w:tcPr>
            <w:tcW w:w="1314" w:type="pct"/>
            <w:tcBorders>
              <w:top w:val="single" w:sz="4" w:space="0" w:color="000000"/>
              <w:left w:val="single" w:sz="4" w:space="0" w:color="000000"/>
              <w:bottom w:val="single" w:sz="4" w:space="0" w:color="000000"/>
              <w:right w:val="single" w:sz="4" w:space="0" w:color="000000"/>
            </w:tcBorders>
            <w:hideMark/>
          </w:tcPr>
          <w:p w14:paraId="7EA73427" w14:textId="77777777" w:rsidR="00E05FCF" w:rsidRDefault="00E05FCF" w:rsidP="00D407EA">
            <w:pPr>
              <w:widowControl w:val="0"/>
              <w:suppressAutoHyphens w:val="0"/>
              <w:kinsoku/>
              <w:overflowPunct/>
              <w:adjustRightInd/>
              <w:snapToGrid/>
              <w:spacing w:before="60" w:after="60" w:line="240" w:lineRule="auto"/>
              <w:ind w:left="6" w:right="6"/>
              <w:rPr>
                <w:sz w:val="18"/>
                <w:szCs w:val="18"/>
                <w:lang w:val="fr-FR"/>
              </w:rPr>
            </w:pPr>
            <w:r>
              <w:rPr>
                <w:sz w:val="18"/>
                <w:szCs w:val="18"/>
                <w:lang w:val="fr-FR"/>
              </w:rPr>
              <w:t>TRIFLUOROMÉTHYL-TÉTRAZOLE, SEL DE SODIUM DANS L’ACÉTONE, avec au moins 68 % (masse) d’acétone</w:t>
            </w:r>
          </w:p>
        </w:tc>
        <w:tc>
          <w:tcPr>
            <w:tcW w:w="287" w:type="pct"/>
            <w:tcBorders>
              <w:top w:val="single" w:sz="4" w:space="0" w:color="000000"/>
              <w:left w:val="single" w:sz="4" w:space="0" w:color="000000"/>
              <w:bottom w:val="single" w:sz="4" w:space="0" w:color="000000"/>
              <w:right w:val="single" w:sz="4" w:space="0" w:color="000000"/>
            </w:tcBorders>
            <w:hideMark/>
          </w:tcPr>
          <w:p w14:paraId="6F88AE5C" w14:textId="77777777" w:rsidR="00E05FCF" w:rsidRDefault="00E05FCF" w:rsidP="00D407EA">
            <w:pPr>
              <w:widowControl w:val="0"/>
              <w:suppressAutoHyphens w:val="0"/>
              <w:kinsoku/>
              <w:overflowPunct/>
              <w:adjustRightInd/>
              <w:snapToGrid/>
              <w:spacing w:before="60" w:after="60" w:line="240" w:lineRule="auto"/>
              <w:ind w:left="127" w:right="126"/>
              <w:jc w:val="center"/>
              <w:rPr>
                <w:sz w:val="18"/>
                <w:szCs w:val="18"/>
                <w:lang w:val="fr-FR"/>
              </w:rPr>
            </w:pPr>
            <w:r>
              <w:rPr>
                <w:sz w:val="18"/>
                <w:szCs w:val="18"/>
                <w:lang w:val="fr-FR"/>
              </w:rPr>
              <w:t>3</w:t>
            </w:r>
          </w:p>
        </w:tc>
        <w:tc>
          <w:tcPr>
            <w:tcW w:w="261" w:type="pct"/>
            <w:tcBorders>
              <w:top w:val="single" w:sz="4" w:space="0" w:color="000000"/>
              <w:left w:val="single" w:sz="4" w:space="0" w:color="000000"/>
              <w:bottom w:val="single" w:sz="4" w:space="0" w:color="000000"/>
              <w:right w:val="single" w:sz="4" w:space="0" w:color="000000"/>
            </w:tcBorders>
          </w:tcPr>
          <w:p w14:paraId="6995E027" w14:textId="77777777" w:rsidR="00E05FCF" w:rsidRDefault="00E05FCF" w:rsidP="00D407EA">
            <w:pPr>
              <w:widowControl w:val="0"/>
              <w:suppressAutoHyphens w:val="0"/>
              <w:kinsoku/>
              <w:overflowPunct/>
              <w:adjustRightInd/>
              <w:snapToGrid/>
              <w:spacing w:before="60" w:after="60" w:line="240" w:lineRule="auto"/>
              <w:ind w:left="107" w:right="107"/>
              <w:jc w:val="center"/>
              <w:rPr>
                <w:sz w:val="18"/>
                <w:szCs w:val="18"/>
                <w:lang w:val="fr-FR"/>
              </w:rPr>
            </w:pPr>
          </w:p>
        </w:tc>
        <w:tc>
          <w:tcPr>
            <w:tcW w:w="372" w:type="pct"/>
            <w:tcBorders>
              <w:top w:val="single" w:sz="4" w:space="0" w:color="000000"/>
              <w:left w:val="single" w:sz="4" w:space="0" w:color="000000"/>
              <w:bottom w:val="single" w:sz="4" w:space="0" w:color="000000"/>
              <w:right w:val="single" w:sz="4" w:space="0" w:color="000000"/>
            </w:tcBorders>
            <w:hideMark/>
          </w:tcPr>
          <w:p w14:paraId="35C52531" w14:textId="77777777" w:rsidR="00E05FCF" w:rsidRDefault="00E05FCF" w:rsidP="00D407EA">
            <w:pPr>
              <w:widowControl w:val="0"/>
              <w:suppressAutoHyphens w:val="0"/>
              <w:kinsoku/>
              <w:overflowPunct/>
              <w:adjustRightInd/>
              <w:snapToGrid/>
              <w:spacing w:before="60" w:after="60" w:line="240" w:lineRule="auto"/>
              <w:ind w:left="67" w:right="67"/>
              <w:jc w:val="center"/>
              <w:rPr>
                <w:sz w:val="18"/>
                <w:szCs w:val="18"/>
                <w:lang w:val="fr-FR"/>
              </w:rPr>
            </w:pPr>
            <w:r>
              <w:rPr>
                <w:sz w:val="18"/>
                <w:szCs w:val="18"/>
                <w:lang w:val="fr-FR"/>
              </w:rPr>
              <w:t>II</w:t>
            </w:r>
          </w:p>
        </w:tc>
        <w:tc>
          <w:tcPr>
            <w:tcW w:w="287" w:type="pct"/>
            <w:tcBorders>
              <w:top w:val="single" w:sz="4" w:space="0" w:color="000000"/>
              <w:left w:val="single" w:sz="4" w:space="0" w:color="000000"/>
              <w:bottom w:val="single" w:sz="4" w:space="0" w:color="000000"/>
              <w:right w:val="single" w:sz="4" w:space="0" w:color="000000"/>
            </w:tcBorders>
            <w:hideMark/>
          </w:tcPr>
          <w:p w14:paraId="6730874A" w14:textId="77777777" w:rsidR="00E05FCF" w:rsidRDefault="00E05FCF" w:rsidP="00D407EA">
            <w:pPr>
              <w:widowControl w:val="0"/>
              <w:suppressAutoHyphens w:val="0"/>
              <w:kinsoku/>
              <w:overflowPunct/>
              <w:adjustRightInd/>
              <w:snapToGrid/>
              <w:spacing w:before="60" w:after="60" w:line="240" w:lineRule="auto"/>
              <w:ind w:left="106" w:right="102"/>
              <w:jc w:val="center"/>
              <w:rPr>
                <w:sz w:val="18"/>
                <w:szCs w:val="18"/>
                <w:lang w:val="fr-FR"/>
              </w:rPr>
            </w:pPr>
            <w:r>
              <w:rPr>
                <w:sz w:val="18"/>
                <w:szCs w:val="18"/>
                <w:lang w:val="fr-FR"/>
              </w:rPr>
              <w:t>28, 132</w:t>
            </w:r>
          </w:p>
        </w:tc>
        <w:tc>
          <w:tcPr>
            <w:tcW w:w="214" w:type="pct"/>
            <w:tcBorders>
              <w:top w:val="single" w:sz="4" w:space="0" w:color="000000"/>
              <w:left w:val="single" w:sz="4" w:space="0" w:color="000000"/>
              <w:bottom w:val="single" w:sz="4" w:space="0" w:color="000000"/>
              <w:right w:val="single" w:sz="4" w:space="0" w:color="000000"/>
            </w:tcBorders>
            <w:hideMark/>
          </w:tcPr>
          <w:p w14:paraId="4BC30E74" w14:textId="77777777" w:rsidR="00E05FCF" w:rsidRDefault="00E05FCF" w:rsidP="00D407EA">
            <w:pPr>
              <w:widowControl w:val="0"/>
              <w:suppressAutoHyphens w:val="0"/>
              <w:kinsoku/>
              <w:overflowPunct/>
              <w:adjustRightInd/>
              <w:snapToGrid/>
              <w:spacing w:before="60" w:after="60" w:line="240" w:lineRule="auto"/>
              <w:ind w:left="-15" w:right="16"/>
              <w:jc w:val="center"/>
              <w:rPr>
                <w:sz w:val="18"/>
                <w:szCs w:val="18"/>
                <w:lang w:val="fr-FR"/>
              </w:rPr>
            </w:pPr>
            <w:r>
              <w:rPr>
                <w:sz w:val="18"/>
                <w:szCs w:val="18"/>
                <w:lang w:val="fr-FR"/>
              </w:rPr>
              <w:t>0</w:t>
            </w:r>
          </w:p>
        </w:tc>
        <w:tc>
          <w:tcPr>
            <w:tcW w:w="226" w:type="pct"/>
            <w:tcBorders>
              <w:top w:val="single" w:sz="4" w:space="0" w:color="000000"/>
              <w:left w:val="single" w:sz="4" w:space="0" w:color="000000"/>
              <w:bottom w:val="single" w:sz="4" w:space="0" w:color="000000"/>
              <w:right w:val="single" w:sz="4" w:space="0" w:color="000000"/>
            </w:tcBorders>
            <w:hideMark/>
          </w:tcPr>
          <w:p w14:paraId="150E598D" w14:textId="77777777" w:rsidR="00E05FCF" w:rsidRDefault="00E05FCF" w:rsidP="00D407EA">
            <w:pPr>
              <w:widowControl w:val="0"/>
              <w:suppressAutoHyphens w:val="0"/>
              <w:kinsoku/>
              <w:overflowPunct/>
              <w:adjustRightInd/>
              <w:snapToGrid/>
              <w:spacing w:before="60" w:after="60" w:line="240" w:lineRule="auto"/>
              <w:jc w:val="center"/>
              <w:rPr>
                <w:sz w:val="18"/>
                <w:szCs w:val="18"/>
                <w:lang w:val="fr-FR"/>
              </w:rPr>
            </w:pPr>
            <w:r>
              <w:rPr>
                <w:sz w:val="18"/>
                <w:szCs w:val="18"/>
                <w:lang w:val="fr-FR"/>
              </w:rPr>
              <w:t>E0</w:t>
            </w:r>
          </w:p>
        </w:tc>
        <w:tc>
          <w:tcPr>
            <w:tcW w:w="416" w:type="pct"/>
            <w:tcBorders>
              <w:top w:val="single" w:sz="4" w:space="0" w:color="000000"/>
              <w:left w:val="single" w:sz="4" w:space="0" w:color="000000"/>
              <w:bottom w:val="single" w:sz="4" w:space="0" w:color="000000"/>
              <w:right w:val="single" w:sz="4" w:space="0" w:color="000000"/>
            </w:tcBorders>
            <w:hideMark/>
          </w:tcPr>
          <w:p w14:paraId="628E2ECB" w14:textId="77777777" w:rsidR="00E05FCF"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sidRPr="001E7946">
              <w:rPr>
                <w:sz w:val="18"/>
                <w:szCs w:val="18"/>
                <w:lang w:val="fr-FR"/>
              </w:rPr>
              <w:t>P303</w:t>
            </w:r>
          </w:p>
        </w:tc>
        <w:tc>
          <w:tcPr>
            <w:tcW w:w="396" w:type="pct"/>
            <w:tcBorders>
              <w:top w:val="single" w:sz="4" w:space="0" w:color="000000"/>
              <w:left w:val="single" w:sz="4" w:space="0" w:color="000000"/>
              <w:bottom w:val="single" w:sz="4" w:space="0" w:color="000000"/>
              <w:right w:val="single" w:sz="4" w:space="0" w:color="000000"/>
            </w:tcBorders>
            <w:hideMark/>
          </w:tcPr>
          <w:p w14:paraId="03A600E9" w14:textId="77777777" w:rsidR="00E05FCF"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r>
              <w:rPr>
                <w:sz w:val="18"/>
                <w:szCs w:val="18"/>
                <w:lang w:val="fr-FR"/>
              </w:rPr>
              <w:t>PP26</w:t>
            </w:r>
          </w:p>
        </w:tc>
        <w:tc>
          <w:tcPr>
            <w:tcW w:w="621" w:type="pct"/>
            <w:tcBorders>
              <w:top w:val="single" w:sz="4" w:space="0" w:color="000000"/>
              <w:left w:val="single" w:sz="4" w:space="0" w:color="000000"/>
              <w:bottom w:val="single" w:sz="4" w:space="0" w:color="000000"/>
              <w:right w:val="single" w:sz="4" w:space="0" w:color="000000"/>
            </w:tcBorders>
          </w:tcPr>
          <w:p w14:paraId="127D91FC" w14:textId="77777777" w:rsidR="00E05FCF"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p>
        </w:tc>
        <w:tc>
          <w:tcPr>
            <w:tcW w:w="380" w:type="pct"/>
            <w:tcBorders>
              <w:top w:val="single" w:sz="4" w:space="0" w:color="000000"/>
              <w:left w:val="single" w:sz="4" w:space="0" w:color="000000"/>
              <w:bottom w:val="single" w:sz="4" w:space="0" w:color="000000"/>
              <w:right w:val="single" w:sz="4" w:space="0" w:color="000000"/>
            </w:tcBorders>
          </w:tcPr>
          <w:p w14:paraId="765631E2" w14:textId="77777777" w:rsidR="00E05FCF" w:rsidRDefault="00E05FCF" w:rsidP="00D407EA">
            <w:pPr>
              <w:widowControl w:val="0"/>
              <w:suppressAutoHyphens w:val="0"/>
              <w:kinsoku/>
              <w:overflowPunct/>
              <w:adjustRightInd/>
              <w:snapToGrid/>
              <w:spacing w:before="60" w:after="60" w:line="240" w:lineRule="auto"/>
              <w:ind w:left="141" w:right="141"/>
              <w:jc w:val="center"/>
              <w:rPr>
                <w:sz w:val="18"/>
                <w:szCs w:val="18"/>
                <w:lang w:val="fr-FR"/>
              </w:rPr>
            </w:pPr>
          </w:p>
        </w:tc>
      </w:tr>
    </w:tbl>
    <w:p w14:paraId="076BC970" w14:textId="05F3F637" w:rsidR="00E05FCF" w:rsidRDefault="00E05FCF" w:rsidP="002E35CB">
      <w:pPr>
        <w:kinsoku/>
        <w:overflowPunct/>
        <w:autoSpaceDE/>
        <w:autoSpaceDN/>
        <w:adjustRightInd/>
        <w:snapToGrid/>
        <w:spacing w:before="120" w:after="120"/>
        <w:ind w:left="1134" w:right="1134"/>
        <w:rPr>
          <w:i/>
          <w:iCs/>
        </w:rPr>
      </w:pPr>
      <w:r w:rsidRPr="000F462A">
        <w:rPr>
          <w:i/>
          <w:iCs/>
        </w:rPr>
        <w:lastRenderedPageBreak/>
        <w:t>(Document</w:t>
      </w:r>
      <w:r>
        <w:rPr>
          <w:i/>
          <w:iCs/>
        </w:rPr>
        <w:t>s</w:t>
      </w:r>
      <w:r w:rsidRPr="000F462A">
        <w:rPr>
          <w:i/>
          <w:iCs/>
        </w:rPr>
        <w:t xml:space="preserve"> de référence</w:t>
      </w:r>
      <w:r>
        <w:rPr>
          <w:i/>
          <w:iCs/>
        </w:rPr>
        <w:t> </w:t>
      </w:r>
      <w:r w:rsidRPr="000F462A">
        <w:rPr>
          <w:i/>
          <w:iCs/>
        </w:rPr>
        <w:t>: ST/SG/AC.10/C.3/2</w:t>
      </w:r>
      <w:r>
        <w:rPr>
          <w:i/>
          <w:iCs/>
        </w:rPr>
        <w:t xml:space="preserve">022/19, proposition 1, </w:t>
      </w:r>
      <w:r w:rsidRPr="000F462A">
        <w:rPr>
          <w:i/>
          <w:iCs/>
        </w:rPr>
        <w:t>ST/SG/AC.10/C.3/2</w:t>
      </w:r>
      <w:r>
        <w:rPr>
          <w:i/>
          <w:iCs/>
        </w:rPr>
        <w:t>022/44 et document informel INF.44, amendement 1</w:t>
      </w:r>
      <w:r w:rsidRPr="000F462A">
        <w:rPr>
          <w:i/>
          <w:iCs/>
        </w:rPr>
        <w:t>)</w:t>
      </w:r>
    </w:p>
    <w:p w14:paraId="4D1B7519" w14:textId="77777777" w:rsidR="00E05FCF" w:rsidRPr="000F462A" w:rsidRDefault="00E05FCF" w:rsidP="00E05FCF">
      <w:pPr>
        <w:pStyle w:val="H1G"/>
        <w:keepNext w:val="0"/>
        <w:keepLines w:val="0"/>
      </w:pPr>
      <w:r w:rsidRPr="000F462A">
        <w:rPr>
          <w:lang w:val="fr-FR"/>
        </w:rPr>
        <w:tab/>
      </w:r>
      <w:r w:rsidRPr="000F462A">
        <w:rPr>
          <w:lang w:val="fr-FR"/>
        </w:rPr>
        <w:tab/>
      </w:r>
      <w:r w:rsidRPr="000F462A">
        <w:t xml:space="preserve">Chapitre </w:t>
      </w:r>
      <w:r>
        <w:t>3.3</w:t>
      </w:r>
    </w:p>
    <w:p w14:paraId="31682EC1" w14:textId="77777777" w:rsidR="00E05FCF" w:rsidRDefault="00E05FCF" w:rsidP="00E05FCF">
      <w:pPr>
        <w:keepNext/>
        <w:keepLines/>
        <w:tabs>
          <w:tab w:val="left" w:pos="2268"/>
        </w:tabs>
        <w:kinsoku/>
        <w:overflowPunct/>
        <w:autoSpaceDE/>
        <w:adjustRightInd/>
        <w:snapToGrid/>
        <w:spacing w:after="120"/>
        <w:ind w:left="2268" w:right="1134" w:hanging="1134"/>
        <w:jc w:val="both"/>
        <w:rPr>
          <w:lang w:val="fr-FR"/>
        </w:rPr>
      </w:pPr>
      <w:r>
        <w:rPr>
          <w:lang w:val="fr-FR"/>
        </w:rPr>
        <w:t>DS 28</w:t>
      </w:r>
      <w:r>
        <w:rPr>
          <w:lang w:val="fr-FR"/>
        </w:rPr>
        <w:tab/>
        <w:t>Avant « de la division 4.1 », ajouter « de la Classe 3 ou » et avant « 2.4.2.4 », ajouter « 2.3.1.4 et ».</w:t>
      </w:r>
    </w:p>
    <w:p w14:paraId="04D66075"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INF.44, amendement 1)</w:t>
      </w:r>
    </w:p>
    <w:p w14:paraId="2F3F20C7"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DS 310</w:t>
      </w:r>
      <w:r>
        <w:rPr>
          <w:lang w:val="fr-FR"/>
        </w:rPr>
        <w:tab/>
        <w:t>Modifier pour lire comme suit :</w:t>
      </w:r>
    </w:p>
    <w:p w14:paraId="23D93595" w14:textId="77777777" w:rsidR="00E05FCF" w:rsidRDefault="00E05FCF" w:rsidP="00E05FCF">
      <w:pPr>
        <w:tabs>
          <w:tab w:val="left" w:pos="2268"/>
        </w:tabs>
        <w:kinsoku/>
        <w:overflowPunct/>
        <w:autoSpaceDE/>
        <w:adjustRightInd/>
        <w:snapToGrid/>
        <w:spacing w:after="120"/>
        <w:ind w:left="2268" w:right="1134" w:hanging="1134"/>
        <w:jc w:val="both"/>
      </w:pPr>
      <w:r>
        <w:rPr>
          <w:lang w:val="fr-FR"/>
        </w:rPr>
        <w:t>« 310</w:t>
      </w:r>
      <w:r>
        <w:rPr>
          <w:lang w:val="fr-FR"/>
        </w:rPr>
        <w:tab/>
        <w:t xml:space="preserve">Les piles ou batteries issues de séries de </w:t>
      </w:r>
      <w:r w:rsidRPr="00B15687">
        <w:t>production</w:t>
      </w:r>
      <w:r>
        <w:t xml:space="preserve"> </w:t>
      </w:r>
      <w:r w:rsidRPr="002508DA">
        <w:rPr>
          <w:lang w:val="fr-FR"/>
        </w:rPr>
        <w:t>d’au plus 100 piles ou batteries</w:t>
      </w:r>
      <w:r>
        <w:rPr>
          <w:lang w:val="fr-FR"/>
        </w:rPr>
        <w:t xml:space="preserve">, ou les </w:t>
      </w:r>
      <w:r w:rsidRPr="00B15687">
        <w:t xml:space="preserve">prototypes de </w:t>
      </w:r>
      <w:proofErr w:type="spellStart"/>
      <w:r w:rsidRPr="00B15687">
        <w:t>pré-production</w:t>
      </w:r>
      <w:proofErr w:type="spellEnd"/>
      <w:r w:rsidRPr="00B15687">
        <w:t xml:space="preserve"> de piles ou batteries</w:t>
      </w:r>
      <w:r>
        <w:t xml:space="preserve"> lorsque ces prototypes </w:t>
      </w:r>
      <w:r w:rsidRPr="00B15687">
        <w:t>sont transportés pour être éprouvés</w:t>
      </w:r>
      <w:r>
        <w:t>, doivent respecter les dispositions du 2.9.4, à l’exception des alinéas a), e) vii), f) iii) le cas échéant, f) iv) le cas échéant et g).</w:t>
      </w:r>
    </w:p>
    <w:p w14:paraId="5EE94CF3" w14:textId="77777777" w:rsidR="00E05FCF" w:rsidRPr="008C1554" w:rsidRDefault="00E05FCF" w:rsidP="00E05FCF">
      <w:pPr>
        <w:tabs>
          <w:tab w:val="left" w:pos="2268"/>
          <w:tab w:val="left" w:pos="2835"/>
        </w:tabs>
        <w:spacing w:after="120"/>
        <w:ind w:left="2268" w:right="1134" w:hanging="1134"/>
        <w:jc w:val="both"/>
        <w:rPr>
          <w:lang w:val="fr-FR"/>
        </w:rPr>
      </w:pPr>
      <w:r>
        <w:rPr>
          <w:lang w:val="fr-FR"/>
        </w:rPr>
        <w:tab/>
      </w:r>
      <w:r w:rsidRPr="00E76A5D">
        <w:rPr>
          <w:b/>
          <w:bCs/>
          <w:i/>
          <w:iCs/>
          <w:lang w:val="fr-FR"/>
        </w:rPr>
        <w:t>NOTA :</w:t>
      </w:r>
      <w:r w:rsidRPr="00E76A5D">
        <w:rPr>
          <w:lang w:val="fr-FR"/>
        </w:rPr>
        <w:tab/>
      </w:r>
      <w:r w:rsidRPr="00E76A5D">
        <w:rPr>
          <w:i/>
          <w:iCs/>
          <w:lang w:val="fr-FR"/>
        </w:rPr>
        <w:t>L’expression “transportés pour être éprouvés” renvoie, entre autres, à l’épreuve décrite dans la sous-section 38.3 de la troisième partie du Manuel d’épreuves et de critères, aux tests d’intégration, ou aux essais fonctionnels d’un produit.</w:t>
      </w:r>
    </w:p>
    <w:p w14:paraId="3739EC7B" w14:textId="77777777" w:rsidR="00E05FCF" w:rsidRDefault="00E05FCF" w:rsidP="00E05FCF">
      <w:pPr>
        <w:tabs>
          <w:tab w:val="left" w:pos="2268"/>
        </w:tabs>
        <w:kinsoku/>
        <w:overflowPunct/>
        <w:autoSpaceDE/>
        <w:adjustRightInd/>
        <w:snapToGrid/>
        <w:spacing w:after="120"/>
        <w:ind w:left="2268" w:right="1134" w:hanging="1134"/>
        <w:jc w:val="both"/>
      </w:pPr>
      <w:r>
        <w:tab/>
        <w:t xml:space="preserve">Ces piles et batteries doivent être emballées conformément à l’instruction </w:t>
      </w:r>
      <w:r w:rsidRPr="00B15687">
        <w:t>d’emballage P910 du 4.1.4.1 ou LP905 du 4.1.4.3, selon les cas.</w:t>
      </w:r>
    </w:p>
    <w:p w14:paraId="4431FB3B" w14:textId="77777777" w:rsidR="00E05FCF" w:rsidRDefault="00E05FCF" w:rsidP="00E05FCF">
      <w:pPr>
        <w:tabs>
          <w:tab w:val="left" w:pos="2268"/>
        </w:tabs>
        <w:kinsoku/>
        <w:overflowPunct/>
        <w:autoSpaceDE/>
        <w:adjustRightInd/>
        <w:snapToGrid/>
        <w:spacing w:after="120"/>
        <w:ind w:left="2268" w:right="1134" w:hanging="1134"/>
        <w:jc w:val="both"/>
      </w:pPr>
      <w:r>
        <w:tab/>
        <w:t>Les objets (Nos ONU 3537, 3538, 3540, 3541, 3546, 3547 ou 3548) peuvent contenir de telles piles ou batteries à condition que les parties applicables de l’instruction d’emballage P006 du 4.1.4.1 ou LP03 du 4.1.4.3, selon les cas, soient respectées.</w:t>
      </w:r>
      <w:r w:rsidRPr="00CC5142">
        <w:t xml:space="preserve"> </w:t>
      </w:r>
    </w:p>
    <w:p w14:paraId="4C7FEA63" w14:textId="77777777" w:rsidR="00E05FCF" w:rsidRDefault="00E05FCF" w:rsidP="00E05FCF">
      <w:pPr>
        <w:tabs>
          <w:tab w:val="left" w:pos="2268"/>
        </w:tabs>
        <w:kinsoku/>
        <w:overflowPunct/>
        <w:autoSpaceDE/>
        <w:adjustRightInd/>
        <w:snapToGrid/>
        <w:spacing w:after="120"/>
        <w:ind w:left="2268" w:right="1134" w:hanging="1134"/>
        <w:jc w:val="both"/>
      </w:pPr>
      <w:r>
        <w:tab/>
      </w:r>
      <w:r w:rsidRPr="00B15687">
        <w:t>Le document de transport doit contenir la mention suivante : « Transport selon la disposition spéciale 310</w:t>
      </w:r>
      <w:r>
        <w:t>.</w:t>
      </w:r>
      <w:r w:rsidRPr="00B15687">
        <w:t> »</w:t>
      </w:r>
    </w:p>
    <w:p w14:paraId="624FBDA4"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INF.51, tel que modifié)</w:t>
      </w:r>
    </w:p>
    <w:p w14:paraId="282B2913" w14:textId="77777777" w:rsidR="00E05FCF" w:rsidRDefault="00E05FCF" w:rsidP="00E05FCF">
      <w:pPr>
        <w:kinsoku/>
        <w:overflowPunct/>
        <w:autoSpaceDE/>
        <w:adjustRightInd/>
        <w:snapToGrid/>
        <w:spacing w:before="120" w:after="120"/>
        <w:ind w:left="1134" w:right="1134"/>
        <w:jc w:val="both"/>
        <w:rPr>
          <w:i/>
          <w:iCs/>
        </w:rPr>
      </w:pPr>
      <w:r>
        <w:rPr>
          <w:i/>
          <w:iCs/>
        </w:rPr>
        <w:t>(Remplace l’amendement en annexe II du document ST/SG/AC.10/C.3/118/Add.1)</w:t>
      </w:r>
    </w:p>
    <w:p w14:paraId="1AD39858" w14:textId="77777777" w:rsidR="00E05FCF" w:rsidRPr="00002548" w:rsidRDefault="00E05FCF" w:rsidP="00E05FCF">
      <w:pPr>
        <w:kinsoku/>
        <w:overflowPunct/>
        <w:autoSpaceDE/>
        <w:adjustRightInd/>
        <w:snapToGrid/>
        <w:spacing w:before="120" w:after="120"/>
        <w:ind w:left="2268" w:right="1134" w:hanging="1134"/>
        <w:jc w:val="both"/>
      </w:pPr>
      <w:r>
        <w:t>DS 363</w:t>
      </w:r>
      <w:r>
        <w:tab/>
        <w:t>À l’alinéa f), premier paragraphe, modifier la deuxième phrase pour lire : « </w:t>
      </w:r>
      <w:r w:rsidRPr="00002548">
        <w:t xml:space="preserve">Cependant, </w:t>
      </w:r>
      <w:r w:rsidRPr="00D05E77">
        <w:t>les batteries</w:t>
      </w:r>
      <w:r w:rsidRPr="00002548">
        <w:t xml:space="preserve"> au lithium doivent satisfaire aux </w:t>
      </w:r>
      <w:r>
        <w:t>dispositions</w:t>
      </w:r>
      <w:r w:rsidRPr="00002548">
        <w:t xml:space="preserve"> du 2.9.4 excepté que le</w:t>
      </w:r>
      <w:r>
        <w:t>s alinéas a), e) vii), f) iii) le cas échéant, f) iv) le cas échéant et g)</w:t>
      </w:r>
      <w:r w:rsidRPr="00002548">
        <w:t xml:space="preserve"> ne s'applique</w:t>
      </w:r>
      <w:r>
        <w:t>nt</w:t>
      </w:r>
      <w:r w:rsidRPr="00002548">
        <w:t xml:space="preserve"> pas quand des batteries </w:t>
      </w:r>
      <w:r>
        <w:t>de</w:t>
      </w:r>
      <w:r w:rsidRPr="00002548">
        <w:t xml:space="preserve"> série</w:t>
      </w:r>
      <w:r>
        <w:t>s</w:t>
      </w:r>
      <w:r w:rsidRPr="00002548">
        <w:t xml:space="preserve"> de production comprenant au plus 100 piles ou batteries</w:t>
      </w:r>
      <w:r>
        <w:t xml:space="preserve">, ou des </w:t>
      </w:r>
      <w:r w:rsidRPr="00E6146A">
        <w:rPr>
          <w:lang w:val="fr-FR"/>
        </w:rPr>
        <w:t xml:space="preserve">prototypes de </w:t>
      </w:r>
      <w:proofErr w:type="spellStart"/>
      <w:r w:rsidRPr="00E6146A">
        <w:rPr>
          <w:lang w:val="fr-FR"/>
        </w:rPr>
        <w:t>pré</w:t>
      </w:r>
      <w:r>
        <w:rPr>
          <w:lang w:val="fr-FR"/>
        </w:rPr>
        <w:t>-</w:t>
      </w:r>
      <w:r w:rsidRPr="00E6146A">
        <w:rPr>
          <w:lang w:val="fr-FR"/>
        </w:rPr>
        <w:t>production</w:t>
      </w:r>
      <w:proofErr w:type="spellEnd"/>
      <w:r w:rsidRPr="00E6146A">
        <w:rPr>
          <w:lang w:val="fr-FR"/>
        </w:rPr>
        <w:t xml:space="preserve"> de piles ou batteries </w:t>
      </w:r>
      <w:r>
        <w:t xml:space="preserve">lorsque ces prototypes </w:t>
      </w:r>
      <w:r w:rsidRPr="00B15687">
        <w:t>sont transportés pour être éprouvés</w:t>
      </w:r>
      <w:r>
        <w:t>,</w:t>
      </w:r>
      <w:r w:rsidRPr="00002548">
        <w:t xml:space="preserve"> sont installés dans les moteurs ou machines.</w:t>
      </w:r>
      <w:r>
        <w:t> ».</w:t>
      </w:r>
    </w:p>
    <w:p w14:paraId="428824A9"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INF.51, tel que modifié)</w:t>
      </w:r>
    </w:p>
    <w:p w14:paraId="7BF3462D"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DS 365</w:t>
      </w:r>
      <w:r>
        <w:rPr>
          <w:lang w:val="fr-FR"/>
        </w:rPr>
        <w:tab/>
        <w:t xml:space="preserve">Après « du mercure », ajouter « ou du gallium ». </w:t>
      </w:r>
      <w:r w:rsidRPr="00EB458B">
        <w:rPr>
          <w:lang w:val="fr-FR"/>
        </w:rPr>
        <w:t>Après « No ONU 3506 », ajouter « ou le No ONU 3554, selon qu’il convient ».</w:t>
      </w:r>
    </w:p>
    <w:p w14:paraId="3ED823EF" w14:textId="77777777" w:rsidR="00E05FCF" w:rsidRDefault="00E05FCF" w:rsidP="00E05FCF">
      <w:pPr>
        <w:kinsoku/>
        <w:overflowPunct/>
        <w:autoSpaceDE/>
        <w:autoSpaceDN/>
        <w:adjustRightInd/>
        <w:snapToGrid/>
        <w:spacing w:before="120" w:after="120"/>
        <w:ind w:left="1134" w:right="1134"/>
        <w:jc w:val="both"/>
        <w:rPr>
          <w:i/>
          <w:iCs/>
        </w:rPr>
      </w:pPr>
      <w:r w:rsidRPr="000F462A">
        <w:rPr>
          <w:i/>
          <w:iCs/>
        </w:rPr>
        <w:t>(Document de référence</w:t>
      </w:r>
      <w:r>
        <w:rPr>
          <w:i/>
          <w:iCs/>
        </w:rPr>
        <w:t> </w:t>
      </w:r>
      <w:r w:rsidRPr="000F462A">
        <w:rPr>
          <w:i/>
          <w:iCs/>
        </w:rPr>
        <w:t>: ST/SG/AC.10/C.3/2</w:t>
      </w:r>
      <w:r>
        <w:rPr>
          <w:i/>
          <w:iCs/>
        </w:rPr>
        <w:t>022/44, tel que modifié</w:t>
      </w:r>
      <w:r w:rsidRPr="000F462A">
        <w:rPr>
          <w:i/>
          <w:iCs/>
        </w:rPr>
        <w:t>)</w:t>
      </w:r>
    </w:p>
    <w:p w14:paraId="04E75DC5"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DS 366</w:t>
      </w:r>
      <w:r>
        <w:rPr>
          <w:lang w:val="fr-FR"/>
        </w:rPr>
        <w:tab/>
        <w:t>Dans la première phrase, après « 1 kg de mercure », ajouter « ou de gallium ». [Dans la deuxième phrase, après « 15 g de mercure », ajouter « ou de gallium ».]</w:t>
      </w:r>
    </w:p>
    <w:p w14:paraId="3B050F28" w14:textId="77777777" w:rsidR="00E05FCF" w:rsidRDefault="00E05FCF" w:rsidP="00E05FCF">
      <w:pPr>
        <w:kinsoku/>
        <w:overflowPunct/>
        <w:autoSpaceDE/>
        <w:autoSpaceDN/>
        <w:adjustRightInd/>
        <w:snapToGrid/>
        <w:spacing w:before="120" w:after="120"/>
        <w:ind w:left="1134" w:right="1134"/>
        <w:jc w:val="both"/>
        <w:rPr>
          <w:i/>
          <w:iCs/>
        </w:rPr>
      </w:pPr>
      <w:r w:rsidRPr="000F462A">
        <w:rPr>
          <w:i/>
          <w:iCs/>
        </w:rPr>
        <w:t>(Document de référence</w:t>
      </w:r>
      <w:r>
        <w:rPr>
          <w:i/>
          <w:iCs/>
        </w:rPr>
        <w:t> </w:t>
      </w:r>
      <w:r w:rsidRPr="000F462A">
        <w:rPr>
          <w:i/>
          <w:iCs/>
        </w:rPr>
        <w:t>: ST/SG/AC.10/C.3/2</w:t>
      </w:r>
      <w:r>
        <w:rPr>
          <w:i/>
          <w:iCs/>
        </w:rPr>
        <w:t>022/44</w:t>
      </w:r>
      <w:r w:rsidRPr="000F462A">
        <w:rPr>
          <w:i/>
          <w:iCs/>
        </w:rPr>
        <w:t>)</w:t>
      </w:r>
    </w:p>
    <w:p w14:paraId="4C233B09" w14:textId="77777777" w:rsidR="00E05FCF" w:rsidRDefault="00E05FCF" w:rsidP="00E05FCF">
      <w:pPr>
        <w:tabs>
          <w:tab w:val="left" w:pos="2268"/>
        </w:tabs>
        <w:kinsoku/>
        <w:overflowPunct/>
        <w:autoSpaceDE/>
        <w:adjustRightInd/>
        <w:snapToGrid/>
        <w:spacing w:after="120"/>
        <w:ind w:left="2268" w:right="1134" w:hanging="1134"/>
        <w:jc w:val="both"/>
      </w:pPr>
      <w:r>
        <w:t>DS 379</w:t>
      </w:r>
      <w:r>
        <w:tab/>
        <w:t>À l’</w:t>
      </w:r>
      <w:r w:rsidRPr="005341AB">
        <w:t>alinéa d) i)</w:t>
      </w:r>
      <w:r>
        <w:t xml:space="preserve">, </w:t>
      </w:r>
      <w:r w:rsidRPr="00FA0DE3">
        <w:t>remplacer «</w:t>
      </w:r>
      <w:r>
        <w:rPr>
          <w:lang w:val="fr-FR"/>
        </w:rPr>
        <w:t> </w:t>
      </w:r>
      <w:r w:rsidRPr="00FA0DE3">
        <w:t>ISO 11114-</w:t>
      </w:r>
      <w:proofErr w:type="gramStart"/>
      <w:r w:rsidRPr="00FA0DE3">
        <w:t>1:</w:t>
      </w:r>
      <w:proofErr w:type="gramEnd"/>
      <w:r w:rsidRPr="00FA0DE3">
        <w:t>2012 + A1:2017</w:t>
      </w:r>
      <w:r>
        <w:rPr>
          <w:lang w:val="fr-FR"/>
        </w:rPr>
        <w:t> </w:t>
      </w:r>
      <w:r w:rsidRPr="00FA0DE3">
        <w:t>» par «</w:t>
      </w:r>
      <w:r>
        <w:rPr>
          <w:lang w:val="fr-FR"/>
        </w:rPr>
        <w:t> </w:t>
      </w:r>
      <w:r w:rsidRPr="00FA0DE3">
        <w:t xml:space="preserve">ISO 11114-1:2012 + </w:t>
      </w:r>
      <w:proofErr w:type="spellStart"/>
      <w:r w:rsidRPr="00FA0DE3">
        <w:t>Amd</w:t>
      </w:r>
      <w:proofErr w:type="spellEnd"/>
      <w:r w:rsidRPr="00FA0DE3">
        <w:t xml:space="preserve"> 1:2017</w:t>
      </w:r>
      <w:r>
        <w:rPr>
          <w:lang w:val="fr-FR"/>
        </w:rPr>
        <w:t> </w:t>
      </w:r>
      <w:r w:rsidRPr="00FA0DE3">
        <w:t>»</w:t>
      </w:r>
      <w:r>
        <w:t>.</w:t>
      </w:r>
    </w:p>
    <w:p w14:paraId="7E9CA960" w14:textId="77777777" w:rsidR="00E05FCF" w:rsidRPr="00FA0DE3"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022/14, propositions d’ordre rédactionnel</w:t>
      </w:r>
      <w:r w:rsidRPr="000F462A">
        <w:rPr>
          <w:i/>
          <w:iCs/>
        </w:rPr>
        <w:t>)</w:t>
      </w:r>
    </w:p>
    <w:p w14:paraId="5B1AB14C" w14:textId="77777777" w:rsidR="00E05FCF" w:rsidRDefault="00E05FCF" w:rsidP="00E05FCF">
      <w:pPr>
        <w:kinsoku/>
        <w:overflowPunct/>
        <w:autoSpaceDE/>
        <w:adjustRightInd/>
        <w:snapToGrid/>
        <w:spacing w:before="120" w:after="120"/>
        <w:ind w:left="1134" w:right="1134"/>
        <w:jc w:val="both"/>
      </w:pPr>
      <w:r w:rsidRPr="00DE15BC">
        <w:t>DS 388</w:t>
      </w:r>
      <w:r w:rsidRPr="00DE15BC">
        <w:tab/>
        <w:t>Modifier les deux derniers paragraphes pour lire comme suit :</w:t>
      </w:r>
    </w:p>
    <w:p w14:paraId="2A10A054" w14:textId="77777777" w:rsidR="00E05FCF" w:rsidRDefault="00E05FCF" w:rsidP="00E05FCF">
      <w:pPr>
        <w:kinsoku/>
        <w:overflowPunct/>
        <w:autoSpaceDE/>
        <w:adjustRightInd/>
        <w:snapToGrid/>
        <w:spacing w:before="120" w:after="120"/>
        <w:ind w:left="1134" w:right="1134"/>
        <w:jc w:val="both"/>
      </w:pPr>
      <w:r>
        <w:t>« </w:t>
      </w:r>
      <w:r>
        <w:tab/>
        <w:t xml:space="preserve">Les marchandises dangereuses telles que les batteries, les sacs gonflables, les extincteurs, les accumulateurs à gaz comprimé, les dispositifs de sécurité et les autres </w:t>
      </w:r>
      <w:r>
        <w:lastRenderedPageBreak/>
        <w:t xml:space="preserve">éléments faisant partie intégrante du véhicule qui sont nécessaires à son fonctionnement ou à la sécurité de son conducteur ou des passagers, doivent être solidement fixées dans le véhicule et ne sont pas soumises par ailleurs au présent Règlement. Cependant, les batteries au lithium doivent satisfaire aux dispositions du 2.9.4 </w:t>
      </w:r>
      <w:r w:rsidRPr="00002548">
        <w:t>excepté que le</w:t>
      </w:r>
      <w:r>
        <w:t xml:space="preserve">s alinéas </w:t>
      </w:r>
      <w:proofErr w:type="gramStart"/>
      <w:r>
        <w:t>a</w:t>
      </w:r>
      <w:proofErr w:type="gramEnd"/>
      <w:r>
        <w:t>), e) vii), f) iii) le cas échéant, f) iv) le cas échéant et g)</w:t>
      </w:r>
      <w:r w:rsidRPr="00002548">
        <w:t xml:space="preserve"> ne s'applique</w:t>
      </w:r>
      <w:r>
        <w:t>nt</w:t>
      </w:r>
      <w:r w:rsidRPr="00002548">
        <w:t xml:space="preserve"> pas quand des batteries </w:t>
      </w:r>
      <w:r>
        <w:t>de</w:t>
      </w:r>
      <w:r w:rsidRPr="00002548">
        <w:t xml:space="preserve"> série</w:t>
      </w:r>
      <w:r>
        <w:t>s</w:t>
      </w:r>
      <w:r w:rsidRPr="00002548">
        <w:t xml:space="preserve"> de production comprenant au plus 100 piles ou batteries</w:t>
      </w:r>
      <w:r>
        <w:t xml:space="preserve">, ou des </w:t>
      </w:r>
      <w:r w:rsidRPr="00E6146A">
        <w:rPr>
          <w:lang w:val="fr-FR"/>
        </w:rPr>
        <w:t xml:space="preserve">prototypes de </w:t>
      </w:r>
      <w:proofErr w:type="spellStart"/>
      <w:r w:rsidRPr="00E6146A">
        <w:rPr>
          <w:lang w:val="fr-FR"/>
        </w:rPr>
        <w:t>pré</w:t>
      </w:r>
      <w:r>
        <w:rPr>
          <w:lang w:val="fr-FR"/>
        </w:rPr>
        <w:t>-</w:t>
      </w:r>
      <w:r w:rsidRPr="00E6146A">
        <w:rPr>
          <w:lang w:val="fr-FR"/>
        </w:rPr>
        <w:t>production</w:t>
      </w:r>
      <w:proofErr w:type="spellEnd"/>
      <w:r w:rsidRPr="00E6146A">
        <w:rPr>
          <w:lang w:val="fr-FR"/>
        </w:rPr>
        <w:t xml:space="preserve"> de piles ou batteries </w:t>
      </w:r>
      <w:r>
        <w:t xml:space="preserve">lorsque ces prototypes </w:t>
      </w:r>
      <w:r w:rsidRPr="00B15687">
        <w:t>sont transportés pour être éprouvés</w:t>
      </w:r>
      <w:r>
        <w:t>,</w:t>
      </w:r>
      <w:r w:rsidRPr="00002548">
        <w:t xml:space="preserve"> </w:t>
      </w:r>
      <w:r>
        <w:t>sont installées dans les véhicules.</w:t>
      </w:r>
    </w:p>
    <w:p w14:paraId="5AE389AF" w14:textId="77777777" w:rsidR="00E05FCF" w:rsidRDefault="00E05FCF" w:rsidP="00E05FCF">
      <w:pPr>
        <w:kinsoku/>
        <w:overflowPunct/>
        <w:autoSpaceDE/>
        <w:adjustRightInd/>
        <w:snapToGrid/>
        <w:spacing w:before="120" w:after="120"/>
        <w:ind w:left="1134" w:right="1134"/>
        <w:jc w:val="both"/>
      </w:pPr>
      <w:r>
        <w:tab/>
      </w:r>
      <w:r>
        <w:tab/>
        <w:t>Quand une batterie au lithium installée dans un véhicule est endommagée ou défectueuse, le véhicule doit être transporté tel que défini par l'autorité compétente. »</w:t>
      </w:r>
    </w:p>
    <w:p w14:paraId="6625F03D"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INF.51, tel que modifié)</w:t>
      </w:r>
    </w:p>
    <w:p w14:paraId="587E430E" w14:textId="77777777" w:rsidR="00E05FCF" w:rsidRPr="00D0507D" w:rsidRDefault="00E05FCF" w:rsidP="00E05FCF">
      <w:pPr>
        <w:keepNext/>
        <w:keepLines/>
        <w:tabs>
          <w:tab w:val="right" w:pos="851"/>
        </w:tabs>
        <w:kinsoku/>
        <w:overflowPunct/>
        <w:autoSpaceDE/>
        <w:autoSpaceDN/>
        <w:adjustRightInd/>
        <w:snapToGrid/>
        <w:spacing w:before="360" w:after="240" w:line="270" w:lineRule="exact"/>
        <w:ind w:left="1134" w:right="1134" w:hanging="1134"/>
        <w:rPr>
          <w:b/>
          <w:sz w:val="24"/>
          <w:lang w:val="fr-FR"/>
        </w:rPr>
      </w:pPr>
      <w:r w:rsidRPr="0042238A">
        <w:rPr>
          <w:b/>
          <w:sz w:val="24"/>
          <w:lang w:val="fr-FR"/>
        </w:rPr>
        <w:tab/>
      </w:r>
      <w:r w:rsidRPr="0042238A">
        <w:rPr>
          <w:b/>
          <w:sz w:val="24"/>
          <w:lang w:val="fr-FR"/>
        </w:rPr>
        <w:tab/>
      </w:r>
      <w:r w:rsidRPr="00D0507D">
        <w:rPr>
          <w:b/>
          <w:sz w:val="24"/>
          <w:lang w:val="fr-FR"/>
        </w:rPr>
        <w:t>Index alphabétique</w:t>
      </w:r>
    </w:p>
    <w:p w14:paraId="7EDF4354" w14:textId="77777777" w:rsidR="00E05FCF" w:rsidRPr="00D0507D" w:rsidRDefault="00E05FCF" w:rsidP="00E05FCF">
      <w:pPr>
        <w:kinsoku/>
        <w:overflowPunct/>
        <w:autoSpaceDE/>
        <w:autoSpaceDN/>
        <w:adjustRightInd/>
        <w:snapToGrid/>
        <w:spacing w:before="120" w:after="120" w:line="240" w:lineRule="auto"/>
        <w:ind w:left="1134" w:right="1134"/>
        <w:jc w:val="both"/>
        <w:rPr>
          <w:iCs/>
          <w:lang w:val="fr-FR"/>
        </w:rPr>
      </w:pPr>
      <w:r w:rsidRPr="00D0507D">
        <w:rPr>
          <w:iCs/>
          <w:lang w:val="fr-FR"/>
        </w:rPr>
        <w:t>Ajouter l</w:t>
      </w:r>
      <w:r>
        <w:rPr>
          <w:iCs/>
          <w:lang w:val="fr-FR"/>
        </w:rPr>
        <w:t>es</w:t>
      </w:r>
      <w:r w:rsidRPr="00D0507D">
        <w:rPr>
          <w:iCs/>
          <w:lang w:val="fr-FR"/>
        </w:rPr>
        <w:t xml:space="preserve"> nouvelle</w:t>
      </w:r>
      <w:r>
        <w:rPr>
          <w:iCs/>
          <w:lang w:val="fr-FR"/>
        </w:rPr>
        <w:t>s</w:t>
      </w:r>
      <w:r w:rsidRPr="00D0507D">
        <w:rPr>
          <w:iCs/>
          <w:lang w:val="fr-FR"/>
        </w:rPr>
        <w:t xml:space="preserve"> rubrique</w:t>
      </w:r>
      <w:r>
        <w:rPr>
          <w:iCs/>
          <w:lang w:val="fr-FR"/>
        </w:rPr>
        <w:t>s</w:t>
      </w:r>
      <w:r w:rsidRPr="00D0507D">
        <w:rPr>
          <w:iCs/>
          <w:lang w:val="fr-FR"/>
        </w:rPr>
        <w:t xml:space="preserve"> suivante</w:t>
      </w:r>
      <w:r>
        <w:rPr>
          <w:iCs/>
          <w:lang w:val="fr-FR"/>
        </w:rPr>
        <w:t>s</w:t>
      </w:r>
      <w:r w:rsidRPr="00D0507D">
        <w:rPr>
          <w:iCs/>
          <w:lang w:val="fr-FR"/>
        </w:rPr>
        <w:t xml:space="preserve"> dans l’ordre alphabétique :</w:t>
      </w:r>
    </w:p>
    <w:tbl>
      <w:tblPr>
        <w:tblW w:w="7371"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42"/>
        <w:gridCol w:w="812"/>
        <w:gridCol w:w="1517"/>
      </w:tblGrid>
      <w:tr w:rsidR="00E05FCF" w:rsidRPr="00D0507D" w14:paraId="0CC0CF80" w14:textId="77777777" w:rsidTr="00D407EA">
        <w:trPr>
          <w:cantSplit/>
          <w:trHeight w:val="403"/>
        </w:trPr>
        <w:tc>
          <w:tcPr>
            <w:tcW w:w="5042" w:type="dxa"/>
          </w:tcPr>
          <w:p w14:paraId="5626E626" w14:textId="77777777" w:rsidR="00E05FCF" w:rsidRPr="00B33494" w:rsidRDefault="00E05FCF" w:rsidP="00D407EA">
            <w:pPr>
              <w:suppressAutoHyphens w:val="0"/>
              <w:kinsoku/>
              <w:overflowPunct/>
              <w:autoSpaceDE/>
              <w:autoSpaceDN/>
              <w:adjustRightInd/>
              <w:snapToGrid/>
              <w:spacing w:before="40" w:after="40" w:line="220" w:lineRule="exact"/>
              <w:ind w:right="113"/>
              <w:rPr>
                <w:sz w:val="18"/>
                <w:szCs w:val="18"/>
                <w:lang w:val="fr-FR"/>
              </w:rPr>
            </w:pPr>
            <w:r>
              <w:rPr>
                <w:sz w:val="18"/>
                <w:szCs w:val="18"/>
                <w:lang w:val="fr-FR"/>
              </w:rPr>
              <w:t>Butylènes en mélange, voir</w:t>
            </w:r>
          </w:p>
        </w:tc>
        <w:tc>
          <w:tcPr>
            <w:tcW w:w="812" w:type="dxa"/>
          </w:tcPr>
          <w:p w14:paraId="2D582ABB" w14:textId="77777777" w:rsidR="00E05FCF" w:rsidRDefault="00E05FCF" w:rsidP="00D407EA">
            <w:pPr>
              <w:kinsoku/>
              <w:overflowPunct/>
              <w:autoSpaceDE/>
              <w:autoSpaceDN/>
              <w:adjustRightInd/>
              <w:snapToGrid/>
              <w:spacing w:after="120"/>
              <w:ind w:left="284" w:hanging="284"/>
              <w:jc w:val="center"/>
              <w:rPr>
                <w:sz w:val="18"/>
                <w:szCs w:val="18"/>
                <w:lang w:val="fr-FR"/>
              </w:rPr>
            </w:pPr>
            <w:r>
              <w:rPr>
                <w:sz w:val="18"/>
                <w:szCs w:val="18"/>
                <w:lang w:val="fr-FR"/>
              </w:rPr>
              <w:t>2.1</w:t>
            </w:r>
          </w:p>
        </w:tc>
        <w:tc>
          <w:tcPr>
            <w:tcW w:w="1517" w:type="dxa"/>
          </w:tcPr>
          <w:p w14:paraId="2A6C0321" w14:textId="77777777" w:rsidR="00E05FCF" w:rsidRDefault="00E05FCF" w:rsidP="00D407EA">
            <w:pPr>
              <w:kinsoku/>
              <w:overflowPunct/>
              <w:autoSpaceDE/>
              <w:autoSpaceDN/>
              <w:adjustRightInd/>
              <w:snapToGrid/>
              <w:spacing w:after="120"/>
              <w:ind w:left="284" w:hanging="284"/>
              <w:jc w:val="center"/>
              <w:rPr>
                <w:sz w:val="18"/>
                <w:szCs w:val="18"/>
                <w:lang w:val="fr-FR"/>
              </w:rPr>
            </w:pPr>
            <w:r>
              <w:rPr>
                <w:sz w:val="18"/>
                <w:szCs w:val="18"/>
                <w:lang w:val="fr-FR"/>
              </w:rPr>
              <w:t>1012</w:t>
            </w:r>
          </w:p>
        </w:tc>
      </w:tr>
      <w:tr w:rsidR="00E05FCF" w:rsidRPr="00D0507D" w14:paraId="1B77BCBA" w14:textId="77777777" w:rsidTr="00D407EA">
        <w:trPr>
          <w:cantSplit/>
          <w:trHeight w:val="403"/>
        </w:trPr>
        <w:tc>
          <w:tcPr>
            <w:tcW w:w="5042" w:type="dxa"/>
          </w:tcPr>
          <w:p w14:paraId="5BE5120D" w14:textId="77777777" w:rsidR="00E05FCF" w:rsidRPr="00D0507D" w:rsidRDefault="00E05FCF" w:rsidP="00D407EA">
            <w:pPr>
              <w:suppressAutoHyphens w:val="0"/>
              <w:kinsoku/>
              <w:overflowPunct/>
              <w:autoSpaceDE/>
              <w:autoSpaceDN/>
              <w:adjustRightInd/>
              <w:snapToGrid/>
              <w:spacing w:before="40" w:after="40" w:line="220" w:lineRule="exact"/>
              <w:ind w:right="113"/>
              <w:rPr>
                <w:sz w:val="18"/>
                <w:szCs w:val="18"/>
                <w:lang w:val="fr-FR"/>
              </w:rPr>
            </w:pPr>
            <w:r w:rsidRPr="00D0507D">
              <w:rPr>
                <w:sz w:val="18"/>
                <w:szCs w:val="18"/>
                <w:lang w:val="fr-FR"/>
              </w:rPr>
              <w:t>DISILANE</w:t>
            </w:r>
          </w:p>
        </w:tc>
        <w:tc>
          <w:tcPr>
            <w:tcW w:w="812" w:type="dxa"/>
          </w:tcPr>
          <w:p w14:paraId="7DF27188" w14:textId="77777777" w:rsidR="00E05FCF" w:rsidRPr="00D0507D" w:rsidRDefault="00E05FCF" w:rsidP="00D407EA">
            <w:pPr>
              <w:kinsoku/>
              <w:overflowPunct/>
              <w:autoSpaceDE/>
              <w:autoSpaceDN/>
              <w:adjustRightInd/>
              <w:snapToGrid/>
              <w:spacing w:after="120"/>
              <w:ind w:left="284" w:hanging="284"/>
              <w:jc w:val="center"/>
              <w:rPr>
                <w:sz w:val="18"/>
                <w:szCs w:val="18"/>
                <w:lang w:val="fr-FR"/>
              </w:rPr>
            </w:pPr>
            <w:r w:rsidRPr="00D0507D">
              <w:rPr>
                <w:sz w:val="18"/>
                <w:szCs w:val="18"/>
                <w:lang w:val="fr-FR"/>
              </w:rPr>
              <w:t>2.1</w:t>
            </w:r>
          </w:p>
        </w:tc>
        <w:tc>
          <w:tcPr>
            <w:tcW w:w="1517" w:type="dxa"/>
          </w:tcPr>
          <w:p w14:paraId="58FA756D" w14:textId="77777777" w:rsidR="00E05FCF" w:rsidRPr="00D0507D" w:rsidRDefault="00E05FCF" w:rsidP="00D407EA">
            <w:pPr>
              <w:kinsoku/>
              <w:overflowPunct/>
              <w:autoSpaceDE/>
              <w:autoSpaceDN/>
              <w:adjustRightInd/>
              <w:snapToGrid/>
              <w:spacing w:after="120"/>
              <w:ind w:left="284" w:hanging="284"/>
              <w:jc w:val="center"/>
              <w:rPr>
                <w:sz w:val="18"/>
                <w:szCs w:val="18"/>
                <w:lang w:val="fr-FR"/>
              </w:rPr>
            </w:pPr>
            <w:r>
              <w:rPr>
                <w:sz w:val="18"/>
                <w:szCs w:val="18"/>
                <w:lang w:val="fr-FR"/>
              </w:rPr>
              <w:t>3553</w:t>
            </w:r>
          </w:p>
        </w:tc>
      </w:tr>
      <w:tr w:rsidR="00E05FCF" w:rsidRPr="00D0507D" w14:paraId="3A1262A7" w14:textId="77777777" w:rsidTr="00D407EA">
        <w:trPr>
          <w:cantSplit/>
          <w:trHeight w:val="403"/>
        </w:trPr>
        <w:tc>
          <w:tcPr>
            <w:tcW w:w="5042" w:type="dxa"/>
          </w:tcPr>
          <w:p w14:paraId="5B8FF526" w14:textId="77777777" w:rsidR="00E05FCF" w:rsidRPr="00D0507D" w:rsidRDefault="00E05FCF" w:rsidP="00D407EA">
            <w:pPr>
              <w:suppressAutoHyphens w:val="0"/>
              <w:kinsoku/>
              <w:overflowPunct/>
              <w:autoSpaceDE/>
              <w:autoSpaceDN/>
              <w:adjustRightInd/>
              <w:snapToGrid/>
              <w:spacing w:before="40" w:after="40" w:line="220" w:lineRule="exact"/>
              <w:ind w:right="113"/>
              <w:rPr>
                <w:sz w:val="18"/>
                <w:szCs w:val="18"/>
                <w:lang w:val="fr-FR"/>
              </w:rPr>
            </w:pPr>
            <w:r w:rsidRPr="00B33494">
              <w:rPr>
                <w:sz w:val="18"/>
                <w:szCs w:val="18"/>
                <w:lang w:val="fr-FR"/>
              </w:rPr>
              <w:t>GALLIUM CONTENU DANS DES OBJETS MANUFACTURÉS</w:t>
            </w:r>
          </w:p>
        </w:tc>
        <w:tc>
          <w:tcPr>
            <w:tcW w:w="812" w:type="dxa"/>
          </w:tcPr>
          <w:p w14:paraId="3CBC9AE1" w14:textId="77777777" w:rsidR="00E05FCF" w:rsidRPr="00D0507D" w:rsidRDefault="00E05FCF" w:rsidP="00D407EA">
            <w:pPr>
              <w:kinsoku/>
              <w:overflowPunct/>
              <w:autoSpaceDE/>
              <w:autoSpaceDN/>
              <w:adjustRightInd/>
              <w:snapToGrid/>
              <w:spacing w:after="120"/>
              <w:ind w:left="284" w:hanging="284"/>
              <w:jc w:val="center"/>
              <w:rPr>
                <w:sz w:val="18"/>
                <w:szCs w:val="18"/>
                <w:lang w:val="fr-FR"/>
              </w:rPr>
            </w:pPr>
            <w:r>
              <w:rPr>
                <w:sz w:val="18"/>
                <w:szCs w:val="18"/>
                <w:lang w:val="fr-FR"/>
              </w:rPr>
              <w:t>8</w:t>
            </w:r>
          </w:p>
        </w:tc>
        <w:tc>
          <w:tcPr>
            <w:tcW w:w="1517" w:type="dxa"/>
          </w:tcPr>
          <w:p w14:paraId="2A8E8F0B" w14:textId="77777777" w:rsidR="00E05FCF" w:rsidRDefault="00E05FCF" w:rsidP="00D407EA">
            <w:pPr>
              <w:kinsoku/>
              <w:overflowPunct/>
              <w:autoSpaceDE/>
              <w:autoSpaceDN/>
              <w:adjustRightInd/>
              <w:snapToGrid/>
              <w:spacing w:after="120"/>
              <w:ind w:left="284" w:hanging="284"/>
              <w:jc w:val="center"/>
              <w:rPr>
                <w:sz w:val="18"/>
                <w:szCs w:val="18"/>
                <w:lang w:val="fr-FR"/>
              </w:rPr>
            </w:pPr>
            <w:r>
              <w:rPr>
                <w:sz w:val="18"/>
                <w:szCs w:val="18"/>
                <w:lang w:val="fr-FR"/>
              </w:rPr>
              <w:t>3554</w:t>
            </w:r>
          </w:p>
        </w:tc>
      </w:tr>
      <w:tr w:rsidR="00E05FCF" w:rsidRPr="00D0507D" w14:paraId="33A55194" w14:textId="77777777" w:rsidTr="00D407EA">
        <w:trPr>
          <w:cantSplit/>
          <w:trHeight w:val="403"/>
        </w:trPr>
        <w:tc>
          <w:tcPr>
            <w:tcW w:w="5042" w:type="dxa"/>
          </w:tcPr>
          <w:p w14:paraId="6E5F6959" w14:textId="77777777" w:rsidR="00E05FCF" w:rsidRPr="00B33494" w:rsidRDefault="00E05FCF" w:rsidP="00D407EA">
            <w:pPr>
              <w:suppressAutoHyphens w:val="0"/>
              <w:kinsoku/>
              <w:overflowPunct/>
              <w:autoSpaceDE/>
              <w:autoSpaceDN/>
              <w:adjustRightInd/>
              <w:snapToGrid/>
              <w:spacing w:before="40" w:after="40" w:line="220" w:lineRule="exact"/>
              <w:ind w:right="113"/>
              <w:rPr>
                <w:sz w:val="18"/>
                <w:szCs w:val="18"/>
                <w:lang w:val="fr-FR"/>
              </w:rPr>
            </w:pPr>
            <w:r>
              <w:rPr>
                <w:sz w:val="18"/>
                <w:szCs w:val="18"/>
                <w:lang w:val="fr-FR"/>
              </w:rPr>
              <w:t>TRIFLUOROMÉTHYLTÉTRAZOLE, SEL DE SODIUM DANS L’ACÉTONE, avec au moins 68 % (masse) d’acétone</w:t>
            </w:r>
          </w:p>
        </w:tc>
        <w:tc>
          <w:tcPr>
            <w:tcW w:w="812" w:type="dxa"/>
          </w:tcPr>
          <w:p w14:paraId="5D595C83" w14:textId="77777777" w:rsidR="00E05FCF" w:rsidRDefault="00E05FCF" w:rsidP="00D407EA">
            <w:pPr>
              <w:kinsoku/>
              <w:overflowPunct/>
              <w:autoSpaceDE/>
              <w:autoSpaceDN/>
              <w:adjustRightInd/>
              <w:snapToGrid/>
              <w:spacing w:after="120"/>
              <w:ind w:left="284" w:hanging="284"/>
              <w:jc w:val="center"/>
              <w:rPr>
                <w:sz w:val="18"/>
                <w:szCs w:val="18"/>
                <w:lang w:val="fr-FR"/>
              </w:rPr>
            </w:pPr>
            <w:r>
              <w:rPr>
                <w:sz w:val="18"/>
                <w:szCs w:val="18"/>
                <w:lang w:val="fr-FR"/>
              </w:rPr>
              <w:t>3</w:t>
            </w:r>
          </w:p>
        </w:tc>
        <w:tc>
          <w:tcPr>
            <w:tcW w:w="1517" w:type="dxa"/>
          </w:tcPr>
          <w:p w14:paraId="483EFE0F" w14:textId="77777777" w:rsidR="00E05FCF" w:rsidRDefault="00E05FCF" w:rsidP="00D407EA">
            <w:pPr>
              <w:kinsoku/>
              <w:overflowPunct/>
              <w:autoSpaceDE/>
              <w:autoSpaceDN/>
              <w:adjustRightInd/>
              <w:snapToGrid/>
              <w:spacing w:after="120"/>
              <w:ind w:left="284" w:hanging="284"/>
              <w:jc w:val="center"/>
              <w:rPr>
                <w:sz w:val="18"/>
                <w:szCs w:val="18"/>
                <w:lang w:val="fr-FR"/>
              </w:rPr>
            </w:pPr>
            <w:r>
              <w:rPr>
                <w:sz w:val="18"/>
                <w:szCs w:val="18"/>
                <w:lang w:val="fr-FR"/>
              </w:rPr>
              <w:t>3555</w:t>
            </w:r>
          </w:p>
        </w:tc>
      </w:tr>
    </w:tbl>
    <w:p w14:paraId="68376338" w14:textId="7B396149" w:rsidR="00E05FCF" w:rsidRDefault="00E05FCF" w:rsidP="00E05FCF">
      <w:pPr>
        <w:kinsoku/>
        <w:overflowPunct/>
        <w:autoSpaceDE/>
        <w:autoSpaceDN/>
        <w:adjustRightInd/>
        <w:snapToGrid/>
        <w:spacing w:before="120" w:after="120"/>
        <w:ind w:left="1134" w:right="1134"/>
        <w:jc w:val="both"/>
        <w:rPr>
          <w:i/>
          <w:iCs/>
        </w:rPr>
      </w:pPr>
      <w:r w:rsidRPr="00D0507D">
        <w:rPr>
          <w:i/>
          <w:iCs/>
        </w:rPr>
        <w:t>(Document</w:t>
      </w:r>
      <w:r>
        <w:rPr>
          <w:i/>
          <w:iCs/>
        </w:rPr>
        <w:t>s</w:t>
      </w:r>
      <w:r w:rsidRPr="00D0507D">
        <w:rPr>
          <w:i/>
          <w:iCs/>
        </w:rPr>
        <w:t xml:space="preserve"> de référence</w:t>
      </w:r>
      <w:r>
        <w:rPr>
          <w:i/>
          <w:iCs/>
        </w:rPr>
        <w:t> </w:t>
      </w:r>
      <w:r w:rsidRPr="00D0507D">
        <w:rPr>
          <w:i/>
          <w:iCs/>
        </w:rPr>
        <w:t>: ST/SG/AC.10/C.3/2022/19</w:t>
      </w:r>
      <w:r>
        <w:rPr>
          <w:i/>
          <w:iCs/>
        </w:rPr>
        <w:t xml:space="preserve">, </w:t>
      </w:r>
      <w:r w:rsidRPr="000F462A">
        <w:rPr>
          <w:i/>
          <w:iCs/>
        </w:rPr>
        <w:t>ST/SG/AC.10/C.3/2</w:t>
      </w:r>
      <w:r>
        <w:rPr>
          <w:i/>
          <w:iCs/>
        </w:rPr>
        <w:t>022/44 et document informel INF.44</w:t>
      </w:r>
      <w:r w:rsidRPr="00D0507D">
        <w:rPr>
          <w:i/>
          <w:iCs/>
        </w:rPr>
        <w:t>, amendement</w:t>
      </w:r>
      <w:r>
        <w:rPr>
          <w:i/>
          <w:iCs/>
        </w:rPr>
        <w:t>s</w:t>
      </w:r>
      <w:r w:rsidRPr="00D0507D">
        <w:rPr>
          <w:i/>
          <w:iCs/>
        </w:rPr>
        <w:t xml:space="preserve"> de conséquence</w:t>
      </w:r>
      <w:r>
        <w:rPr>
          <w:i/>
          <w:iCs/>
        </w:rPr>
        <w:t>, et document informel INF.7 tel que modifié</w:t>
      </w:r>
      <w:r w:rsidRPr="00D0507D">
        <w:rPr>
          <w:i/>
          <w:iCs/>
        </w:rPr>
        <w:t>)</w:t>
      </w:r>
    </w:p>
    <w:p w14:paraId="2FE64DFC" w14:textId="77777777" w:rsidR="00E05FCF" w:rsidRPr="000F462A" w:rsidRDefault="00E05FCF" w:rsidP="00E05FCF">
      <w:pPr>
        <w:pStyle w:val="H1G"/>
        <w:keepNext w:val="0"/>
        <w:keepLines w:val="0"/>
      </w:pPr>
      <w:r w:rsidRPr="000F462A">
        <w:rPr>
          <w:lang w:val="fr-FR"/>
        </w:rPr>
        <w:tab/>
      </w:r>
      <w:r w:rsidRPr="000F462A">
        <w:rPr>
          <w:lang w:val="fr-FR"/>
        </w:rPr>
        <w:tab/>
      </w:r>
      <w:r w:rsidRPr="000F462A">
        <w:t xml:space="preserve">Chapitre </w:t>
      </w:r>
      <w:r>
        <w:t>4.1</w:t>
      </w:r>
    </w:p>
    <w:p w14:paraId="314A92F1" w14:textId="63562E65" w:rsidR="00E05FCF" w:rsidRDefault="00E05FCF" w:rsidP="00E05FCF">
      <w:pPr>
        <w:keepNext/>
        <w:keepLines/>
        <w:tabs>
          <w:tab w:val="left" w:pos="2268"/>
        </w:tabs>
        <w:kinsoku/>
        <w:overflowPunct/>
        <w:autoSpaceDE/>
        <w:adjustRightInd/>
        <w:snapToGrid/>
        <w:spacing w:after="120"/>
        <w:ind w:left="2268" w:right="1134" w:hanging="1134"/>
        <w:jc w:val="both"/>
        <w:rPr>
          <w:lang w:val="fr-FR"/>
        </w:rPr>
      </w:pPr>
      <w:r>
        <w:rPr>
          <w:lang w:val="fr-FR"/>
        </w:rPr>
        <w:t>[4.1.1.10 a)</w:t>
      </w:r>
      <w:r>
        <w:rPr>
          <w:lang w:val="fr-FR"/>
        </w:rPr>
        <w:tab/>
        <w:t>Remplacer « </w:t>
      </w:r>
      <w:r w:rsidRPr="005B4BF5">
        <w:rPr>
          <w:lang w:val="fr-FR"/>
        </w:rPr>
        <w:t>taux de remplissage</w:t>
      </w:r>
      <w:r>
        <w:rPr>
          <w:lang w:val="fr-FR"/>
        </w:rPr>
        <w:t xml:space="preserve"> </w:t>
      </w:r>
      <w:r w:rsidRPr="00104D12">
        <w:rPr>
          <w:lang w:val="fr-FR"/>
        </w:rPr>
        <w:t>maximal</w:t>
      </w:r>
      <w:r>
        <w:rPr>
          <w:lang w:val="fr-FR"/>
        </w:rPr>
        <w:t> » par « degré maximal de remplissage ».]</w:t>
      </w:r>
    </w:p>
    <w:p w14:paraId="14F3EB97"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6CA1B0A2"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4.1.4.1, P003</w:t>
      </w:r>
      <w:r>
        <w:rPr>
          <w:lang w:val="fr-FR"/>
        </w:rPr>
        <w:tab/>
        <w:t>Dans la d</w:t>
      </w:r>
      <w:r w:rsidRPr="005B639F">
        <w:rPr>
          <w:lang w:val="fr-FR"/>
        </w:rPr>
        <w:t>isposition spéciale d'emballage</w:t>
      </w:r>
      <w:r>
        <w:rPr>
          <w:lang w:val="fr-FR"/>
        </w:rPr>
        <w:t xml:space="preserve"> PP90, remplacer « </w:t>
      </w:r>
      <w:r w:rsidRPr="0008007A">
        <w:rPr>
          <w:lang w:val="fr-FR"/>
        </w:rPr>
        <w:t>Pour le No ONU 3506</w:t>
      </w:r>
      <w:r>
        <w:rPr>
          <w:lang w:val="fr-FR"/>
        </w:rPr>
        <w:t xml:space="preserve"> » par « Pour les Nos ONU 3506 et 3554 » et après « au mercure » ajouter « ou au gallium, </w:t>
      </w:r>
      <w:r w:rsidRPr="00EB458B">
        <w:rPr>
          <w:lang w:val="fr-FR"/>
        </w:rPr>
        <w:t>selon qu’il convient</w:t>
      </w:r>
      <w:r>
        <w:rPr>
          <w:lang w:val="fr-FR"/>
        </w:rPr>
        <w:t>, ».</w:t>
      </w:r>
    </w:p>
    <w:p w14:paraId="12021A36" w14:textId="77777777" w:rsidR="00E05FCF" w:rsidRDefault="00E05FCF" w:rsidP="00E05FCF">
      <w:pPr>
        <w:kinsoku/>
        <w:overflowPunct/>
        <w:autoSpaceDE/>
        <w:autoSpaceDN/>
        <w:adjustRightInd/>
        <w:snapToGrid/>
        <w:spacing w:before="120" w:after="120"/>
        <w:ind w:left="1134" w:right="1134"/>
        <w:jc w:val="both"/>
        <w:rPr>
          <w:i/>
          <w:iCs/>
        </w:rPr>
      </w:pPr>
      <w:r w:rsidRPr="000F462A">
        <w:rPr>
          <w:i/>
          <w:iCs/>
        </w:rPr>
        <w:t>(Document de référence</w:t>
      </w:r>
      <w:r>
        <w:rPr>
          <w:i/>
          <w:iCs/>
        </w:rPr>
        <w:t> </w:t>
      </w:r>
      <w:r w:rsidRPr="000F462A">
        <w:rPr>
          <w:i/>
          <w:iCs/>
        </w:rPr>
        <w:t>: ST/SG/AC.10/C.3/2</w:t>
      </w:r>
      <w:r>
        <w:rPr>
          <w:i/>
          <w:iCs/>
        </w:rPr>
        <w:t>022/44, tel que modifié</w:t>
      </w:r>
      <w:r w:rsidRPr="000F462A">
        <w:rPr>
          <w:i/>
          <w:iCs/>
        </w:rPr>
        <w:t>)</w:t>
      </w:r>
    </w:p>
    <w:p w14:paraId="75B437B2" w14:textId="77777777" w:rsidR="00E05FCF" w:rsidRDefault="00E05FCF" w:rsidP="00E05FCF">
      <w:pPr>
        <w:tabs>
          <w:tab w:val="left" w:pos="2552"/>
        </w:tabs>
        <w:kinsoku/>
        <w:overflowPunct/>
        <w:autoSpaceDE/>
        <w:adjustRightInd/>
        <w:snapToGrid/>
        <w:spacing w:before="120" w:after="120"/>
        <w:ind w:left="1134" w:right="1134"/>
        <w:jc w:val="both"/>
      </w:pPr>
      <w:r>
        <w:t>4.1.4.1, P006</w:t>
      </w:r>
      <w:r>
        <w:tab/>
        <w:t>Ajouter un nouveau point 5) pour lire comme suit :</w:t>
      </w:r>
    </w:p>
    <w:p w14:paraId="1DC99CB4" w14:textId="77777777" w:rsidR="00E05FCF" w:rsidRPr="00E6146A" w:rsidRDefault="00E05FCF" w:rsidP="00E05FCF">
      <w:pPr>
        <w:tabs>
          <w:tab w:val="left" w:pos="2268"/>
        </w:tabs>
        <w:kinsoku/>
        <w:overflowPunct/>
        <w:autoSpaceDE/>
        <w:adjustRightInd/>
        <w:snapToGrid/>
        <w:spacing w:after="120"/>
        <w:ind w:left="2268" w:right="1134" w:hanging="1134"/>
        <w:jc w:val="both"/>
        <w:rPr>
          <w:lang w:val="fr-FR"/>
        </w:rPr>
      </w:pPr>
      <w:r w:rsidRPr="00E6146A">
        <w:rPr>
          <w:lang w:val="fr-FR"/>
        </w:rPr>
        <w:t>« 5)</w:t>
      </w:r>
      <w:r w:rsidRPr="00E6146A">
        <w:rPr>
          <w:lang w:val="fr-FR"/>
        </w:rPr>
        <w:tab/>
        <w:t xml:space="preserve">Les objets contenant des prototypes de </w:t>
      </w:r>
      <w:proofErr w:type="spellStart"/>
      <w:r w:rsidRPr="00E6146A">
        <w:rPr>
          <w:lang w:val="fr-FR"/>
        </w:rPr>
        <w:t>pré</w:t>
      </w:r>
      <w:r>
        <w:rPr>
          <w:lang w:val="fr-FR"/>
        </w:rPr>
        <w:t>-</w:t>
      </w:r>
      <w:r w:rsidRPr="00E6146A">
        <w:rPr>
          <w:lang w:val="fr-FR"/>
        </w:rPr>
        <w:t>production</w:t>
      </w:r>
      <w:proofErr w:type="spellEnd"/>
      <w:r w:rsidRPr="00E6146A">
        <w:rPr>
          <w:lang w:val="fr-FR"/>
        </w:rPr>
        <w:t xml:space="preserve"> de piles ou batteries au lithium</w:t>
      </w:r>
      <w:r>
        <w:rPr>
          <w:lang w:val="fr-FR"/>
        </w:rPr>
        <w:t xml:space="preserve"> </w:t>
      </w:r>
      <w:r>
        <w:t xml:space="preserve">lorsque ces prototypes </w:t>
      </w:r>
      <w:r w:rsidRPr="00B15687">
        <w:t>sont transportés pour être éprouvés</w:t>
      </w:r>
      <w:r>
        <w:t>,</w:t>
      </w:r>
      <w:r w:rsidRPr="00E6146A">
        <w:rPr>
          <w:lang w:val="fr-FR"/>
        </w:rPr>
        <w:t xml:space="preserve"> ou des piles ou batteries au lithium produites pour une série comprenant au plus 100 piles ou batteries, d’un type dont il n’a pas été démontré qu’il satisfait aux prescriptions en matière d’épreuves de la sous-section 38.3 de la troisième partie du Manuel d’épreuves et de critères doivent en outre satisfaire aux prescriptions suivantes :</w:t>
      </w:r>
    </w:p>
    <w:p w14:paraId="5A8D74BD" w14:textId="77777777" w:rsidR="00E05FCF" w:rsidRPr="00E6146A" w:rsidRDefault="00E05FCF" w:rsidP="00E05FCF">
      <w:pPr>
        <w:tabs>
          <w:tab w:val="left" w:pos="2268"/>
        </w:tabs>
        <w:kinsoku/>
        <w:overflowPunct/>
        <w:autoSpaceDE/>
        <w:adjustRightInd/>
        <w:snapToGrid/>
        <w:spacing w:after="120"/>
        <w:ind w:left="2835" w:right="1134" w:hanging="567"/>
        <w:jc w:val="both"/>
        <w:rPr>
          <w:lang w:val="fr-FR"/>
        </w:rPr>
      </w:pPr>
      <w:r w:rsidRPr="00E6146A">
        <w:rPr>
          <w:lang w:val="fr-FR"/>
        </w:rPr>
        <w:t>a)</w:t>
      </w:r>
      <w:r w:rsidRPr="00E6146A">
        <w:rPr>
          <w:lang w:val="fr-FR"/>
        </w:rPr>
        <w:tab/>
        <w:t xml:space="preserve">Les emballages doivent être conformes aux prescriptions du </w:t>
      </w:r>
      <w:r>
        <w:rPr>
          <w:lang w:val="fr-FR"/>
        </w:rPr>
        <w:t>point</w:t>
      </w:r>
      <w:r w:rsidRPr="00E6146A">
        <w:rPr>
          <w:lang w:val="fr-FR"/>
        </w:rPr>
        <w:t> 1) de la présente instruction ;</w:t>
      </w:r>
    </w:p>
    <w:p w14:paraId="7FC45E35" w14:textId="77777777" w:rsidR="00E05FCF" w:rsidRPr="00E6146A" w:rsidRDefault="00E05FCF" w:rsidP="00E05FCF">
      <w:pPr>
        <w:tabs>
          <w:tab w:val="left" w:pos="2268"/>
        </w:tabs>
        <w:kinsoku/>
        <w:overflowPunct/>
        <w:autoSpaceDE/>
        <w:adjustRightInd/>
        <w:snapToGrid/>
        <w:spacing w:after="120"/>
        <w:ind w:left="2835" w:right="1134" w:hanging="567"/>
        <w:jc w:val="both"/>
        <w:rPr>
          <w:lang w:val="fr-FR"/>
        </w:rPr>
      </w:pPr>
      <w:r w:rsidRPr="00E6146A">
        <w:rPr>
          <w:lang w:val="fr-FR"/>
        </w:rPr>
        <w:t>b)</w:t>
      </w:r>
      <w:r w:rsidRPr="00E6146A">
        <w:rPr>
          <w:lang w:val="fr-FR"/>
        </w:rPr>
        <w:tab/>
        <w:t>Des mesures appropriées doivent être prises pour limiter autant que possible les effets des vibrations et des chocs et empêcher tout déplacement de l’objet à l’intérieur du colis susceptible de l’endommager et de rendre son transport dangereux. Lorsqu’un matériau de rembourrage est utilisé à ces fins, il doit être non combustible et non conducteur d’électricité ;</w:t>
      </w:r>
    </w:p>
    <w:p w14:paraId="2B5F1882" w14:textId="77777777" w:rsidR="00E05FCF" w:rsidRPr="00E6146A" w:rsidRDefault="00E05FCF" w:rsidP="00E05FCF">
      <w:pPr>
        <w:tabs>
          <w:tab w:val="left" w:pos="2268"/>
        </w:tabs>
        <w:kinsoku/>
        <w:overflowPunct/>
        <w:autoSpaceDE/>
        <w:adjustRightInd/>
        <w:snapToGrid/>
        <w:spacing w:after="120"/>
        <w:ind w:left="2835" w:right="1134" w:hanging="567"/>
        <w:jc w:val="both"/>
        <w:rPr>
          <w:lang w:val="fr-FR"/>
        </w:rPr>
      </w:pPr>
      <w:r w:rsidRPr="00E6146A">
        <w:rPr>
          <w:lang w:val="fr-FR"/>
        </w:rPr>
        <w:lastRenderedPageBreak/>
        <w:t>c)</w:t>
      </w:r>
      <w:r w:rsidRPr="00E6146A">
        <w:rPr>
          <w:lang w:val="fr-FR"/>
        </w:rPr>
        <w:tab/>
        <w:t>La non-combustibilité du matériau de rembourrage doit être évaluée conformément à une norme reconnue dans le pays où l’emballage est conçu ou fabriqué ;</w:t>
      </w:r>
    </w:p>
    <w:p w14:paraId="7A3BF370" w14:textId="77777777" w:rsidR="00E05FCF" w:rsidRPr="00E6146A" w:rsidRDefault="00E05FCF" w:rsidP="00E05FCF">
      <w:pPr>
        <w:tabs>
          <w:tab w:val="left" w:pos="2268"/>
        </w:tabs>
        <w:kinsoku/>
        <w:overflowPunct/>
        <w:autoSpaceDE/>
        <w:adjustRightInd/>
        <w:snapToGrid/>
        <w:spacing w:after="120"/>
        <w:ind w:left="2835" w:right="1134" w:hanging="567"/>
        <w:jc w:val="both"/>
        <w:rPr>
          <w:lang w:val="fr-FR"/>
        </w:rPr>
      </w:pPr>
      <w:r w:rsidRPr="00E6146A">
        <w:rPr>
          <w:lang w:val="fr-FR"/>
        </w:rPr>
        <w:t>d)</w:t>
      </w:r>
      <w:r w:rsidRPr="00E6146A">
        <w:rPr>
          <w:lang w:val="fr-FR"/>
        </w:rPr>
        <w:tab/>
        <w:t xml:space="preserve">L’objet peut être transporté non </w:t>
      </w:r>
      <w:proofErr w:type="gramStart"/>
      <w:r w:rsidRPr="00E6146A">
        <w:rPr>
          <w:lang w:val="fr-FR"/>
        </w:rPr>
        <w:t>emballé</w:t>
      </w:r>
      <w:proofErr w:type="gramEnd"/>
      <w:r w:rsidRPr="00E6146A">
        <w:rPr>
          <w:lang w:val="fr-FR"/>
        </w:rPr>
        <w:t xml:space="preserve"> dans les conditions spécifiées par l’autorité compétente. Les conditions supplémentaires qui peuvent être prises en considération dans le processus d’agrément sont notamment les suivantes :</w:t>
      </w:r>
    </w:p>
    <w:p w14:paraId="68F70313" w14:textId="77777777" w:rsidR="00E05FCF" w:rsidRPr="00E6146A" w:rsidRDefault="00E05FCF" w:rsidP="00E05FCF">
      <w:pPr>
        <w:tabs>
          <w:tab w:val="left" w:pos="2268"/>
        </w:tabs>
        <w:kinsoku/>
        <w:overflowPunct/>
        <w:autoSpaceDE/>
        <w:adjustRightInd/>
        <w:snapToGrid/>
        <w:spacing w:after="120"/>
        <w:ind w:left="3402" w:right="1134" w:hanging="567"/>
        <w:jc w:val="both"/>
        <w:rPr>
          <w:lang w:val="fr-FR"/>
        </w:rPr>
      </w:pPr>
      <w:r w:rsidRPr="00E6146A">
        <w:rPr>
          <w:lang w:val="fr-FR"/>
        </w:rPr>
        <w:t>i</w:t>
      </w:r>
      <w:r>
        <w:rPr>
          <w:lang w:val="fr-FR"/>
        </w:rPr>
        <w:t>)</w:t>
      </w:r>
      <w:r w:rsidRPr="00E6146A">
        <w:rPr>
          <w:lang w:val="fr-FR"/>
        </w:rPr>
        <w:tab/>
        <w:t>L’objet doit être suffisamment résistant pour supporter les chocs et les charges auxquels il peut normalement être soumis en cours de transport, y compris les transbordements entre engins de transport ou entre engins de transport et entrepôts, ainsi que son enlèvement d’une palette pour une manutention ultérieure manuelle ou mécanique ;</w:t>
      </w:r>
    </w:p>
    <w:p w14:paraId="673DE59D" w14:textId="77777777" w:rsidR="00E05FCF" w:rsidRPr="00E6146A" w:rsidRDefault="00E05FCF" w:rsidP="00E05FCF">
      <w:pPr>
        <w:tabs>
          <w:tab w:val="left" w:pos="2268"/>
        </w:tabs>
        <w:kinsoku/>
        <w:overflowPunct/>
        <w:autoSpaceDE/>
        <w:adjustRightInd/>
        <w:snapToGrid/>
        <w:spacing w:after="120"/>
        <w:ind w:left="3402" w:right="1134" w:hanging="567"/>
        <w:jc w:val="both"/>
        <w:rPr>
          <w:lang w:val="fr-FR"/>
        </w:rPr>
      </w:pPr>
      <w:r w:rsidRPr="00E6146A">
        <w:rPr>
          <w:lang w:val="fr-FR"/>
        </w:rPr>
        <w:t>ii</w:t>
      </w:r>
      <w:r>
        <w:rPr>
          <w:lang w:val="fr-FR"/>
        </w:rPr>
        <w:t>)</w:t>
      </w:r>
      <w:r w:rsidRPr="00E6146A">
        <w:rPr>
          <w:lang w:val="fr-FR"/>
        </w:rPr>
        <w:tab/>
        <w:t>L’objet doit être fixé sur des berceaux ou dans des harasses ou dans tout autre dispositif de manutention de façon à ne pas pouvoir rendre du jeu dans des conditions normales de transport. ».</w:t>
      </w:r>
    </w:p>
    <w:p w14:paraId="4C9E9F96"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INF.51)</w:t>
      </w:r>
    </w:p>
    <w:p w14:paraId="7C5D1860" w14:textId="77777777" w:rsidR="00E05FCF" w:rsidRDefault="00E05FCF" w:rsidP="00E05FCF">
      <w:pPr>
        <w:keepNext/>
        <w:tabs>
          <w:tab w:val="left" w:pos="2268"/>
        </w:tabs>
        <w:kinsoku/>
        <w:overflowPunct/>
        <w:autoSpaceDE/>
        <w:adjustRightInd/>
        <w:snapToGrid/>
        <w:spacing w:after="120"/>
        <w:ind w:left="2268" w:right="1134" w:hanging="1134"/>
        <w:jc w:val="both"/>
        <w:rPr>
          <w:lang w:val="fr-FR"/>
        </w:rPr>
      </w:pPr>
      <w:r w:rsidRPr="0042238A">
        <w:rPr>
          <w:lang w:val="fr-FR"/>
        </w:rPr>
        <w:t>4.1.4.1, P200</w:t>
      </w:r>
      <w:r w:rsidRPr="0042238A">
        <w:rPr>
          <w:lang w:val="fr-FR"/>
        </w:rPr>
        <w:tab/>
        <w:t>Dans le tableau 2</w:t>
      </w:r>
      <w:r>
        <w:rPr>
          <w:lang w:val="fr-FR"/>
        </w:rPr>
        <w:t>, ajouter la nouvelle rubrique suivante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5"/>
        <w:gridCol w:w="2346"/>
        <w:gridCol w:w="615"/>
        <w:gridCol w:w="527"/>
        <w:gridCol w:w="846"/>
        <w:gridCol w:w="449"/>
        <w:gridCol w:w="449"/>
        <w:gridCol w:w="493"/>
        <w:gridCol w:w="486"/>
        <w:gridCol w:w="410"/>
        <w:gridCol w:w="599"/>
        <w:gridCol w:w="558"/>
        <w:gridCol w:w="642"/>
        <w:gridCol w:w="593"/>
      </w:tblGrid>
      <w:tr w:rsidR="00E05FCF" w:rsidRPr="00B24B3A" w14:paraId="01ABA758" w14:textId="77777777" w:rsidTr="00D407EA">
        <w:trPr>
          <w:cantSplit/>
          <w:trHeight w:val="1810"/>
        </w:trPr>
        <w:tc>
          <w:tcPr>
            <w:tcW w:w="625" w:type="dxa"/>
            <w:tcBorders>
              <w:bottom w:val="single" w:sz="12" w:space="0" w:color="auto"/>
            </w:tcBorders>
            <w:shd w:val="clear" w:color="auto" w:fill="auto"/>
            <w:vAlign w:val="bottom"/>
          </w:tcPr>
          <w:p w14:paraId="1A7D27BE" w14:textId="77777777" w:rsidR="00E05FCF" w:rsidRPr="00B24B3A" w:rsidRDefault="00E05FCF" w:rsidP="00D407EA">
            <w:pPr>
              <w:keepNext/>
              <w:keepLines/>
              <w:suppressAutoHyphens w:val="0"/>
              <w:spacing w:before="60" w:after="60" w:line="220" w:lineRule="exact"/>
              <w:ind w:left="57" w:right="57"/>
              <w:jc w:val="center"/>
              <w:rPr>
                <w:b/>
                <w:bCs/>
                <w:sz w:val="16"/>
                <w:szCs w:val="16"/>
              </w:rPr>
            </w:pPr>
            <w:r w:rsidRPr="00B24B3A">
              <w:rPr>
                <w:b/>
                <w:bCs/>
                <w:sz w:val="16"/>
                <w:szCs w:val="16"/>
                <w:lang w:val="fr-FR"/>
              </w:rPr>
              <w:t>No </w:t>
            </w:r>
            <w:r w:rsidRPr="00B24B3A">
              <w:rPr>
                <w:b/>
                <w:bCs/>
                <w:sz w:val="16"/>
                <w:szCs w:val="16"/>
                <w:lang w:val="fr-FR"/>
              </w:rPr>
              <w:br/>
              <w:t>ONU</w:t>
            </w:r>
          </w:p>
        </w:tc>
        <w:tc>
          <w:tcPr>
            <w:tcW w:w="2346" w:type="dxa"/>
            <w:tcBorders>
              <w:bottom w:val="single" w:sz="12" w:space="0" w:color="auto"/>
            </w:tcBorders>
            <w:shd w:val="clear" w:color="auto" w:fill="auto"/>
            <w:vAlign w:val="bottom"/>
          </w:tcPr>
          <w:p w14:paraId="4E6A6A15" w14:textId="77777777" w:rsidR="00E05FCF" w:rsidRPr="00B24B3A" w:rsidRDefault="00E05FCF" w:rsidP="00D407EA">
            <w:pPr>
              <w:keepNext/>
              <w:keepLines/>
              <w:suppressAutoHyphens w:val="0"/>
              <w:spacing w:before="60" w:after="60" w:line="220" w:lineRule="exact"/>
              <w:ind w:left="57" w:right="57"/>
              <w:jc w:val="center"/>
              <w:rPr>
                <w:b/>
                <w:bCs/>
                <w:sz w:val="16"/>
                <w:szCs w:val="16"/>
              </w:rPr>
            </w:pPr>
            <w:r w:rsidRPr="00B24B3A">
              <w:rPr>
                <w:b/>
                <w:bCs/>
                <w:sz w:val="16"/>
                <w:szCs w:val="16"/>
                <w:lang w:val="fr-FR"/>
              </w:rPr>
              <w:t>Nom et description</w:t>
            </w:r>
          </w:p>
        </w:tc>
        <w:tc>
          <w:tcPr>
            <w:tcW w:w="615" w:type="dxa"/>
            <w:tcBorders>
              <w:bottom w:val="single" w:sz="12" w:space="0" w:color="auto"/>
            </w:tcBorders>
            <w:shd w:val="clear" w:color="auto" w:fill="auto"/>
            <w:textDirection w:val="btLr"/>
            <w:vAlign w:val="center"/>
          </w:tcPr>
          <w:p w14:paraId="63747B19" w14:textId="77777777" w:rsidR="00E05FCF" w:rsidRPr="00B24B3A" w:rsidRDefault="00E05FCF" w:rsidP="00D407EA">
            <w:pPr>
              <w:keepNext/>
              <w:keepLines/>
              <w:suppressAutoHyphens w:val="0"/>
              <w:spacing w:before="60" w:after="60" w:line="180" w:lineRule="exact"/>
              <w:ind w:left="57" w:right="57"/>
              <w:rPr>
                <w:b/>
                <w:bCs/>
                <w:iCs/>
                <w:sz w:val="16"/>
                <w:szCs w:val="16"/>
                <w:lang w:val="fr-FR"/>
              </w:rPr>
            </w:pPr>
            <w:r w:rsidRPr="00B24B3A">
              <w:rPr>
                <w:b/>
                <w:bCs/>
                <w:iCs/>
                <w:sz w:val="16"/>
                <w:szCs w:val="16"/>
                <w:lang w:val="fr-FR"/>
              </w:rPr>
              <w:t>Classe ou division</w:t>
            </w:r>
          </w:p>
        </w:tc>
        <w:tc>
          <w:tcPr>
            <w:tcW w:w="527" w:type="dxa"/>
            <w:tcBorders>
              <w:bottom w:val="single" w:sz="12" w:space="0" w:color="auto"/>
            </w:tcBorders>
            <w:shd w:val="clear" w:color="auto" w:fill="auto"/>
            <w:textDirection w:val="btLr"/>
            <w:vAlign w:val="center"/>
          </w:tcPr>
          <w:p w14:paraId="06A35543" w14:textId="77777777" w:rsidR="00E05FCF" w:rsidRPr="00B24B3A" w:rsidRDefault="00E05FCF" w:rsidP="00D407EA">
            <w:pPr>
              <w:keepNext/>
              <w:keepLines/>
              <w:suppressAutoHyphens w:val="0"/>
              <w:spacing w:before="60" w:after="60" w:line="180" w:lineRule="exact"/>
              <w:ind w:left="57" w:right="57"/>
              <w:rPr>
                <w:b/>
                <w:bCs/>
                <w:iCs/>
                <w:sz w:val="16"/>
                <w:szCs w:val="16"/>
                <w:lang w:val="fr-FR"/>
              </w:rPr>
            </w:pPr>
            <w:r w:rsidRPr="00B24B3A">
              <w:rPr>
                <w:b/>
                <w:bCs/>
                <w:iCs/>
                <w:sz w:val="16"/>
                <w:szCs w:val="16"/>
                <w:lang w:val="fr-FR"/>
              </w:rPr>
              <w:t>Danger subsidiaire</w:t>
            </w:r>
          </w:p>
        </w:tc>
        <w:tc>
          <w:tcPr>
            <w:tcW w:w="846" w:type="dxa"/>
            <w:tcBorders>
              <w:bottom w:val="single" w:sz="12" w:space="0" w:color="auto"/>
            </w:tcBorders>
            <w:shd w:val="clear" w:color="auto" w:fill="auto"/>
            <w:textDirection w:val="btLr"/>
            <w:vAlign w:val="center"/>
          </w:tcPr>
          <w:p w14:paraId="430AA363" w14:textId="77777777" w:rsidR="00E05FCF" w:rsidRPr="00B24B3A" w:rsidRDefault="00E05FCF" w:rsidP="00D407EA">
            <w:pPr>
              <w:keepNext/>
              <w:keepLines/>
              <w:suppressAutoHyphens w:val="0"/>
              <w:spacing w:before="60" w:after="60" w:line="180" w:lineRule="exact"/>
              <w:ind w:left="57" w:right="57"/>
              <w:rPr>
                <w:b/>
                <w:bCs/>
                <w:iCs/>
                <w:sz w:val="16"/>
                <w:szCs w:val="16"/>
                <w:lang w:val="fr-FR"/>
              </w:rPr>
            </w:pPr>
            <w:r w:rsidRPr="00B24B3A">
              <w:rPr>
                <w:b/>
                <w:bCs/>
                <w:iCs/>
                <w:sz w:val="16"/>
                <w:szCs w:val="16"/>
                <w:lang w:val="fr-FR"/>
              </w:rPr>
              <w:t>CL</w:t>
            </w:r>
            <w:r w:rsidRPr="00B24B3A">
              <w:rPr>
                <w:b/>
                <w:bCs/>
                <w:iCs/>
                <w:sz w:val="16"/>
                <w:szCs w:val="16"/>
                <w:vertAlign w:val="subscript"/>
                <w:lang w:val="fr-FR"/>
              </w:rPr>
              <w:t>50</w:t>
            </w:r>
            <w:r w:rsidRPr="00B24B3A">
              <w:rPr>
                <w:b/>
                <w:bCs/>
                <w:iCs/>
                <w:sz w:val="16"/>
                <w:szCs w:val="16"/>
                <w:lang w:val="fr-FR"/>
              </w:rPr>
              <w:t xml:space="preserve"> (en ml/m</w:t>
            </w:r>
            <w:r w:rsidRPr="00B24B3A">
              <w:rPr>
                <w:b/>
                <w:bCs/>
                <w:iCs/>
                <w:sz w:val="16"/>
                <w:szCs w:val="16"/>
                <w:vertAlign w:val="superscript"/>
                <w:lang w:val="fr-FR"/>
              </w:rPr>
              <w:t>3</w:t>
            </w:r>
            <w:r w:rsidRPr="00B24B3A">
              <w:rPr>
                <w:b/>
                <w:bCs/>
                <w:iCs/>
                <w:sz w:val="16"/>
                <w:szCs w:val="16"/>
                <w:lang w:val="fr-FR"/>
              </w:rPr>
              <w:t>)</w:t>
            </w:r>
          </w:p>
        </w:tc>
        <w:tc>
          <w:tcPr>
            <w:tcW w:w="449" w:type="dxa"/>
            <w:tcBorders>
              <w:bottom w:val="single" w:sz="12" w:space="0" w:color="auto"/>
            </w:tcBorders>
            <w:shd w:val="clear" w:color="auto" w:fill="auto"/>
            <w:textDirection w:val="btLr"/>
            <w:vAlign w:val="center"/>
          </w:tcPr>
          <w:p w14:paraId="0A2AE1B6" w14:textId="77777777" w:rsidR="00E05FCF" w:rsidRPr="00B24B3A" w:rsidRDefault="00E05FCF" w:rsidP="00D407EA">
            <w:pPr>
              <w:keepNext/>
              <w:keepLines/>
              <w:suppressAutoHyphens w:val="0"/>
              <w:spacing w:before="60" w:after="60" w:line="180" w:lineRule="exact"/>
              <w:ind w:left="57" w:right="57"/>
              <w:rPr>
                <w:b/>
                <w:bCs/>
                <w:iCs/>
                <w:sz w:val="16"/>
                <w:szCs w:val="16"/>
                <w:lang w:val="fr-FR"/>
              </w:rPr>
            </w:pPr>
            <w:r w:rsidRPr="00B24B3A">
              <w:rPr>
                <w:b/>
                <w:bCs/>
                <w:iCs/>
                <w:sz w:val="16"/>
                <w:szCs w:val="16"/>
                <w:lang w:val="fr-FR"/>
              </w:rPr>
              <w:t>Bouteilles</w:t>
            </w:r>
          </w:p>
        </w:tc>
        <w:tc>
          <w:tcPr>
            <w:tcW w:w="449" w:type="dxa"/>
            <w:tcBorders>
              <w:bottom w:val="single" w:sz="12" w:space="0" w:color="auto"/>
            </w:tcBorders>
            <w:shd w:val="clear" w:color="auto" w:fill="auto"/>
            <w:textDirection w:val="btLr"/>
            <w:vAlign w:val="center"/>
          </w:tcPr>
          <w:p w14:paraId="2A21C74E" w14:textId="77777777" w:rsidR="00E05FCF" w:rsidRPr="00B24B3A" w:rsidRDefault="00E05FCF" w:rsidP="00D407EA">
            <w:pPr>
              <w:keepNext/>
              <w:keepLines/>
              <w:suppressAutoHyphens w:val="0"/>
              <w:spacing w:before="60" w:after="60" w:line="180" w:lineRule="exact"/>
              <w:ind w:left="57" w:right="57"/>
              <w:rPr>
                <w:b/>
                <w:bCs/>
                <w:iCs/>
                <w:sz w:val="16"/>
                <w:szCs w:val="16"/>
                <w:lang w:val="fr-FR"/>
              </w:rPr>
            </w:pPr>
            <w:r w:rsidRPr="00B24B3A">
              <w:rPr>
                <w:b/>
                <w:bCs/>
                <w:iCs/>
                <w:sz w:val="16"/>
                <w:szCs w:val="16"/>
                <w:lang w:val="fr-FR"/>
              </w:rPr>
              <w:t>Tubes</w:t>
            </w:r>
          </w:p>
        </w:tc>
        <w:tc>
          <w:tcPr>
            <w:tcW w:w="493" w:type="dxa"/>
            <w:tcBorders>
              <w:bottom w:val="single" w:sz="12" w:space="0" w:color="auto"/>
            </w:tcBorders>
            <w:shd w:val="clear" w:color="auto" w:fill="auto"/>
            <w:textDirection w:val="btLr"/>
            <w:vAlign w:val="center"/>
          </w:tcPr>
          <w:p w14:paraId="6CE7BA0C" w14:textId="77777777" w:rsidR="00E05FCF" w:rsidRPr="00B24B3A" w:rsidRDefault="00E05FCF" w:rsidP="00D407EA">
            <w:pPr>
              <w:keepNext/>
              <w:keepLines/>
              <w:suppressAutoHyphens w:val="0"/>
              <w:spacing w:before="60" w:after="60" w:line="160" w:lineRule="exact"/>
              <w:ind w:left="57" w:right="57"/>
              <w:rPr>
                <w:b/>
                <w:bCs/>
                <w:iCs/>
                <w:sz w:val="16"/>
                <w:szCs w:val="16"/>
                <w:lang w:val="fr-FR"/>
              </w:rPr>
            </w:pPr>
            <w:r w:rsidRPr="00B24B3A">
              <w:rPr>
                <w:b/>
                <w:bCs/>
                <w:iCs/>
                <w:sz w:val="16"/>
                <w:szCs w:val="16"/>
                <w:lang w:val="fr-FR"/>
              </w:rPr>
              <w:t>Fûts à pression</w:t>
            </w:r>
          </w:p>
        </w:tc>
        <w:tc>
          <w:tcPr>
            <w:tcW w:w="486" w:type="dxa"/>
            <w:tcBorders>
              <w:bottom w:val="single" w:sz="12" w:space="0" w:color="auto"/>
            </w:tcBorders>
            <w:shd w:val="clear" w:color="auto" w:fill="auto"/>
            <w:textDirection w:val="btLr"/>
            <w:vAlign w:val="center"/>
          </w:tcPr>
          <w:p w14:paraId="10D95FD7" w14:textId="77777777" w:rsidR="00E05FCF" w:rsidRPr="00B24B3A" w:rsidRDefault="00E05FCF" w:rsidP="00D407EA">
            <w:pPr>
              <w:keepNext/>
              <w:keepLines/>
              <w:suppressAutoHyphens w:val="0"/>
              <w:spacing w:before="60" w:after="60" w:line="180" w:lineRule="exact"/>
              <w:ind w:left="57" w:right="57"/>
              <w:rPr>
                <w:b/>
                <w:bCs/>
                <w:iCs/>
                <w:sz w:val="16"/>
                <w:szCs w:val="16"/>
                <w:lang w:val="fr-FR"/>
              </w:rPr>
            </w:pPr>
            <w:r w:rsidRPr="00B24B3A">
              <w:rPr>
                <w:b/>
                <w:bCs/>
                <w:iCs/>
                <w:sz w:val="16"/>
                <w:szCs w:val="16"/>
                <w:lang w:val="fr-FR"/>
              </w:rPr>
              <w:t>Cadres de bouteilles</w:t>
            </w:r>
          </w:p>
        </w:tc>
        <w:tc>
          <w:tcPr>
            <w:tcW w:w="410" w:type="dxa"/>
            <w:tcBorders>
              <w:bottom w:val="single" w:sz="12" w:space="0" w:color="auto"/>
            </w:tcBorders>
            <w:shd w:val="clear" w:color="auto" w:fill="auto"/>
            <w:textDirection w:val="btLr"/>
            <w:vAlign w:val="center"/>
          </w:tcPr>
          <w:p w14:paraId="7E3E69C8" w14:textId="77777777" w:rsidR="00E05FCF" w:rsidRPr="00B24B3A" w:rsidRDefault="00E05FCF" w:rsidP="00D407EA">
            <w:pPr>
              <w:keepNext/>
              <w:keepLines/>
              <w:suppressAutoHyphens w:val="0"/>
              <w:spacing w:before="60" w:after="60" w:line="180" w:lineRule="exact"/>
              <w:ind w:left="57" w:right="57"/>
              <w:rPr>
                <w:b/>
                <w:bCs/>
                <w:iCs/>
                <w:sz w:val="16"/>
                <w:szCs w:val="16"/>
                <w:lang w:val="fr-FR"/>
              </w:rPr>
            </w:pPr>
            <w:r w:rsidRPr="00B24B3A">
              <w:rPr>
                <w:b/>
                <w:bCs/>
                <w:iCs/>
                <w:sz w:val="16"/>
                <w:szCs w:val="16"/>
                <w:lang w:val="fr-FR"/>
              </w:rPr>
              <w:t>CGEM</w:t>
            </w:r>
          </w:p>
        </w:tc>
        <w:tc>
          <w:tcPr>
            <w:tcW w:w="599" w:type="dxa"/>
            <w:tcBorders>
              <w:bottom w:val="single" w:sz="12" w:space="0" w:color="auto"/>
            </w:tcBorders>
            <w:shd w:val="clear" w:color="auto" w:fill="auto"/>
            <w:textDirection w:val="btLr"/>
            <w:vAlign w:val="center"/>
          </w:tcPr>
          <w:p w14:paraId="3B6D2414" w14:textId="77777777" w:rsidR="00E05FCF" w:rsidRPr="00B24B3A" w:rsidRDefault="00E05FCF" w:rsidP="00D407EA">
            <w:pPr>
              <w:keepNext/>
              <w:keepLines/>
              <w:suppressAutoHyphens w:val="0"/>
              <w:spacing w:before="60" w:after="60" w:line="150" w:lineRule="exact"/>
              <w:ind w:left="57" w:right="57"/>
              <w:rPr>
                <w:b/>
                <w:bCs/>
                <w:iCs/>
                <w:sz w:val="16"/>
                <w:szCs w:val="16"/>
                <w:lang w:val="fr-FR"/>
              </w:rPr>
            </w:pPr>
            <w:r w:rsidRPr="00B24B3A">
              <w:rPr>
                <w:b/>
                <w:bCs/>
                <w:iCs/>
                <w:sz w:val="16"/>
                <w:szCs w:val="16"/>
                <w:lang w:val="fr-FR"/>
              </w:rPr>
              <w:t>Périodicité des épreuves (en années)</w:t>
            </w:r>
          </w:p>
        </w:tc>
        <w:tc>
          <w:tcPr>
            <w:tcW w:w="558" w:type="dxa"/>
            <w:tcBorders>
              <w:bottom w:val="single" w:sz="12" w:space="0" w:color="auto"/>
            </w:tcBorders>
            <w:shd w:val="clear" w:color="auto" w:fill="auto"/>
            <w:textDirection w:val="btLr"/>
            <w:vAlign w:val="center"/>
          </w:tcPr>
          <w:p w14:paraId="650DE802" w14:textId="77777777" w:rsidR="00E05FCF" w:rsidRPr="00B24B3A" w:rsidRDefault="00E05FCF" w:rsidP="00D407EA">
            <w:pPr>
              <w:keepNext/>
              <w:keepLines/>
              <w:suppressAutoHyphens w:val="0"/>
              <w:spacing w:before="60" w:after="60" w:line="140" w:lineRule="exact"/>
              <w:ind w:left="57" w:right="57"/>
              <w:rPr>
                <w:b/>
                <w:bCs/>
                <w:iCs/>
                <w:sz w:val="16"/>
                <w:szCs w:val="16"/>
                <w:lang w:val="fr-FR"/>
              </w:rPr>
            </w:pPr>
            <w:r w:rsidRPr="00B24B3A">
              <w:rPr>
                <w:b/>
                <w:bCs/>
                <w:iCs/>
                <w:sz w:val="16"/>
                <w:szCs w:val="16"/>
                <w:lang w:val="fr-FR"/>
              </w:rPr>
              <w:t xml:space="preserve">Pression d’épreuve </w:t>
            </w:r>
            <w:r w:rsidRPr="00B24B3A">
              <w:rPr>
                <w:b/>
                <w:bCs/>
                <w:iCs/>
                <w:sz w:val="16"/>
                <w:szCs w:val="16"/>
                <w:lang w:val="fr-FR"/>
              </w:rPr>
              <w:br/>
              <w:t>(en bar)</w:t>
            </w:r>
          </w:p>
        </w:tc>
        <w:tc>
          <w:tcPr>
            <w:tcW w:w="642" w:type="dxa"/>
            <w:tcBorders>
              <w:bottom w:val="single" w:sz="12" w:space="0" w:color="auto"/>
            </w:tcBorders>
            <w:shd w:val="clear" w:color="auto" w:fill="auto"/>
            <w:textDirection w:val="btLr"/>
            <w:vAlign w:val="center"/>
          </w:tcPr>
          <w:p w14:paraId="618A7F46" w14:textId="77777777" w:rsidR="00E05FCF" w:rsidRPr="00B24B3A" w:rsidRDefault="00E05FCF" w:rsidP="00D407EA">
            <w:pPr>
              <w:keepNext/>
              <w:keepLines/>
              <w:suppressAutoHyphens w:val="0"/>
              <w:spacing w:before="60" w:after="60" w:line="160" w:lineRule="exact"/>
              <w:ind w:left="57" w:right="57"/>
              <w:rPr>
                <w:b/>
                <w:bCs/>
                <w:iCs/>
                <w:sz w:val="16"/>
                <w:szCs w:val="16"/>
                <w:lang w:val="fr-FR"/>
              </w:rPr>
            </w:pPr>
            <w:r w:rsidRPr="00B24B3A">
              <w:rPr>
                <w:b/>
                <w:bCs/>
                <w:iCs/>
                <w:sz w:val="16"/>
                <w:szCs w:val="16"/>
                <w:lang w:val="fr-FR"/>
              </w:rPr>
              <w:t>Taux de remplissage</w:t>
            </w:r>
          </w:p>
        </w:tc>
        <w:tc>
          <w:tcPr>
            <w:tcW w:w="593" w:type="dxa"/>
            <w:tcBorders>
              <w:bottom w:val="single" w:sz="12" w:space="0" w:color="auto"/>
            </w:tcBorders>
            <w:shd w:val="clear" w:color="auto" w:fill="auto"/>
            <w:textDirection w:val="btLr"/>
            <w:vAlign w:val="center"/>
          </w:tcPr>
          <w:p w14:paraId="19418583" w14:textId="77777777" w:rsidR="00E05FCF" w:rsidRPr="00B24B3A" w:rsidRDefault="00E05FCF" w:rsidP="00D407EA">
            <w:pPr>
              <w:keepNext/>
              <w:keepLines/>
              <w:suppressAutoHyphens w:val="0"/>
              <w:spacing w:before="60" w:after="60" w:line="160" w:lineRule="exact"/>
              <w:ind w:left="57" w:right="57"/>
              <w:rPr>
                <w:b/>
                <w:bCs/>
                <w:iCs/>
                <w:sz w:val="16"/>
                <w:szCs w:val="16"/>
                <w:lang w:val="fr-FR"/>
              </w:rPr>
            </w:pPr>
            <w:r w:rsidRPr="00B24B3A">
              <w:rPr>
                <w:b/>
                <w:bCs/>
                <w:iCs/>
                <w:sz w:val="16"/>
                <w:szCs w:val="16"/>
                <w:lang w:val="fr-FR"/>
              </w:rPr>
              <w:t xml:space="preserve">Dispositions spéciales </w:t>
            </w:r>
            <w:r w:rsidRPr="00B24B3A">
              <w:rPr>
                <w:b/>
                <w:bCs/>
                <w:iCs/>
                <w:spacing w:val="-2"/>
                <w:sz w:val="16"/>
                <w:szCs w:val="16"/>
                <w:lang w:val="fr-FR"/>
              </w:rPr>
              <w:t>d’emballage</w:t>
            </w:r>
          </w:p>
        </w:tc>
      </w:tr>
      <w:tr w:rsidR="00E05FCF" w:rsidRPr="00B24B3A" w14:paraId="6424C108" w14:textId="77777777" w:rsidTr="00D407EA">
        <w:trPr>
          <w:cantSplit/>
        </w:trPr>
        <w:tc>
          <w:tcPr>
            <w:tcW w:w="625" w:type="dxa"/>
            <w:tcBorders>
              <w:top w:val="single" w:sz="12" w:space="0" w:color="auto"/>
              <w:bottom w:val="single" w:sz="12" w:space="0" w:color="auto"/>
            </w:tcBorders>
            <w:shd w:val="clear" w:color="auto" w:fill="auto"/>
          </w:tcPr>
          <w:p w14:paraId="313F89A6" w14:textId="77777777" w:rsidR="00E05FCF" w:rsidRPr="00B24B3A" w:rsidRDefault="00E05FCF" w:rsidP="00D407EA">
            <w:pPr>
              <w:keepNext/>
              <w:keepLines/>
              <w:suppressAutoHyphens w:val="0"/>
              <w:spacing w:before="60" w:after="60" w:line="220" w:lineRule="exact"/>
              <w:ind w:left="57" w:right="57"/>
              <w:rPr>
                <w:sz w:val="18"/>
                <w:szCs w:val="18"/>
              </w:rPr>
            </w:pPr>
            <w:r>
              <w:rPr>
                <w:sz w:val="18"/>
                <w:szCs w:val="18"/>
                <w:lang w:val="fr-FR"/>
              </w:rPr>
              <w:t>3553</w:t>
            </w:r>
          </w:p>
        </w:tc>
        <w:tc>
          <w:tcPr>
            <w:tcW w:w="2346" w:type="dxa"/>
            <w:tcBorders>
              <w:top w:val="single" w:sz="12" w:space="0" w:color="auto"/>
              <w:bottom w:val="single" w:sz="12" w:space="0" w:color="auto"/>
            </w:tcBorders>
            <w:shd w:val="clear" w:color="auto" w:fill="auto"/>
          </w:tcPr>
          <w:p w14:paraId="6D90855D" w14:textId="77777777" w:rsidR="00E05FCF" w:rsidRPr="00B24B3A" w:rsidRDefault="00E05FCF" w:rsidP="00D407EA">
            <w:pPr>
              <w:keepNext/>
              <w:keepLines/>
              <w:suppressAutoHyphens w:val="0"/>
              <w:spacing w:before="60" w:after="60" w:line="220" w:lineRule="exact"/>
              <w:ind w:left="57" w:right="57"/>
              <w:rPr>
                <w:sz w:val="18"/>
                <w:szCs w:val="18"/>
              </w:rPr>
            </w:pPr>
            <w:r w:rsidRPr="00B24B3A">
              <w:rPr>
                <w:sz w:val="18"/>
                <w:szCs w:val="18"/>
                <w:lang w:val="fr-FR"/>
              </w:rPr>
              <w:t>DISILANE</w:t>
            </w:r>
          </w:p>
        </w:tc>
        <w:tc>
          <w:tcPr>
            <w:tcW w:w="615" w:type="dxa"/>
            <w:tcBorders>
              <w:top w:val="single" w:sz="12" w:space="0" w:color="auto"/>
              <w:bottom w:val="single" w:sz="12" w:space="0" w:color="auto"/>
            </w:tcBorders>
            <w:shd w:val="clear" w:color="auto" w:fill="auto"/>
          </w:tcPr>
          <w:p w14:paraId="5C592C61"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2.1</w:t>
            </w:r>
          </w:p>
        </w:tc>
        <w:tc>
          <w:tcPr>
            <w:tcW w:w="527" w:type="dxa"/>
            <w:tcBorders>
              <w:top w:val="single" w:sz="12" w:space="0" w:color="auto"/>
              <w:bottom w:val="single" w:sz="12" w:space="0" w:color="auto"/>
            </w:tcBorders>
            <w:shd w:val="clear" w:color="auto" w:fill="auto"/>
          </w:tcPr>
          <w:p w14:paraId="64087F25" w14:textId="77777777" w:rsidR="00E05FCF" w:rsidRPr="00B24B3A" w:rsidRDefault="00E05FCF" w:rsidP="00D407EA">
            <w:pPr>
              <w:keepNext/>
              <w:keepLines/>
              <w:suppressAutoHyphens w:val="0"/>
              <w:spacing w:before="60" w:after="60" w:line="220" w:lineRule="exact"/>
              <w:ind w:left="57" w:right="57"/>
              <w:jc w:val="center"/>
              <w:rPr>
                <w:sz w:val="18"/>
                <w:szCs w:val="18"/>
              </w:rPr>
            </w:pPr>
          </w:p>
        </w:tc>
        <w:tc>
          <w:tcPr>
            <w:tcW w:w="846" w:type="dxa"/>
            <w:tcBorders>
              <w:top w:val="single" w:sz="12" w:space="0" w:color="auto"/>
              <w:bottom w:val="single" w:sz="12" w:space="0" w:color="auto"/>
            </w:tcBorders>
            <w:shd w:val="clear" w:color="auto" w:fill="auto"/>
          </w:tcPr>
          <w:p w14:paraId="35029C96" w14:textId="77777777" w:rsidR="00E05FCF" w:rsidRPr="00B24B3A" w:rsidRDefault="00E05FCF" w:rsidP="00D407EA">
            <w:pPr>
              <w:keepNext/>
              <w:keepLines/>
              <w:suppressAutoHyphens w:val="0"/>
              <w:spacing w:before="60" w:after="60" w:line="220" w:lineRule="exact"/>
              <w:ind w:left="57" w:right="57"/>
              <w:jc w:val="center"/>
              <w:rPr>
                <w:sz w:val="18"/>
                <w:szCs w:val="18"/>
              </w:rPr>
            </w:pPr>
          </w:p>
        </w:tc>
        <w:tc>
          <w:tcPr>
            <w:tcW w:w="449" w:type="dxa"/>
            <w:tcBorders>
              <w:top w:val="single" w:sz="12" w:space="0" w:color="auto"/>
              <w:bottom w:val="single" w:sz="12" w:space="0" w:color="auto"/>
            </w:tcBorders>
            <w:shd w:val="clear" w:color="auto" w:fill="auto"/>
          </w:tcPr>
          <w:p w14:paraId="403E00C8"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X</w:t>
            </w:r>
          </w:p>
        </w:tc>
        <w:tc>
          <w:tcPr>
            <w:tcW w:w="449" w:type="dxa"/>
            <w:tcBorders>
              <w:top w:val="single" w:sz="12" w:space="0" w:color="auto"/>
              <w:bottom w:val="single" w:sz="12" w:space="0" w:color="auto"/>
            </w:tcBorders>
            <w:shd w:val="clear" w:color="auto" w:fill="auto"/>
          </w:tcPr>
          <w:p w14:paraId="25B0CDC7"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X</w:t>
            </w:r>
          </w:p>
        </w:tc>
        <w:tc>
          <w:tcPr>
            <w:tcW w:w="493" w:type="dxa"/>
            <w:tcBorders>
              <w:top w:val="single" w:sz="12" w:space="0" w:color="auto"/>
              <w:bottom w:val="single" w:sz="12" w:space="0" w:color="auto"/>
            </w:tcBorders>
            <w:shd w:val="clear" w:color="auto" w:fill="auto"/>
          </w:tcPr>
          <w:p w14:paraId="0AD30BF6"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X</w:t>
            </w:r>
          </w:p>
        </w:tc>
        <w:tc>
          <w:tcPr>
            <w:tcW w:w="486" w:type="dxa"/>
            <w:tcBorders>
              <w:top w:val="single" w:sz="12" w:space="0" w:color="auto"/>
              <w:bottom w:val="single" w:sz="12" w:space="0" w:color="auto"/>
            </w:tcBorders>
            <w:shd w:val="clear" w:color="auto" w:fill="auto"/>
          </w:tcPr>
          <w:p w14:paraId="5D7E867A"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X</w:t>
            </w:r>
          </w:p>
        </w:tc>
        <w:tc>
          <w:tcPr>
            <w:tcW w:w="410" w:type="dxa"/>
            <w:tcBorders>
              <w:top w:val="single" w:sz="12" w:space="0" w:color="auto"/>
              <w:bottom w:val="single" w:sz="12" w:space="0" w:color="auto"/>
            </w:tcBorders>
            <w:shd w:val="clear" w:color="auto" w:fill="auto"/>
          </w:tcPr>
          <w:p w14:paraId="59F9D34E" w14:textId="77777777" w:rsidR="00E05FCF" w:rsidRPr="00B24B3A" w:rsidRDefault="00E05FCF" w:rsidP="00D407EA">
            <w:pPr>
              <w:keepNext/>
              <w:keepLines/>
              <w:suppressAutoHyphens w:val="0"/>
              <w:spacing w:before="60" w:after="60" w:line="220" w:lineRule="exact"/>
              <w:ind w:left="57" w:right="57"/>
              <w:jc w:val="center"/>
              <w:rPr>
                <w:sz w:val="18"/>
                <w:szCs w:val="18"/>
              </w:rPr>
            </w:pPr>
          </w:p>
        </w:tc>
        <w:tc>
          <w:tcPr>
            <w:tcW w:w="599" w:type="dxa"/>
            <w:tcBorders>
              <w:top w:val="single" w:sz="12" w:space="0" w:color="auto"/>
              <w:bottom w:val="single" w:sz="12" w:space="0" w:color="auto"/>
            </w:tcBorders>
            <w:shd w:val="clear" w:color="auto" w:fill="auto"/>
          </w:tcPr>
          <w:p w14:paraId="602C4122"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10</w:t>
            </w:r>
          </w:p>
        </w:tc>
        <w:tc>
          <w:tcPr>
            <w:tcW w:w="558" w:type="dxa"/>
            <w:tcBorders>
              <w:top w:val="single" w:sz="12" w:space="0" w:color="auto"/>
              <w:bottom w:val="single" w:sz="12" w:space="0" w:color="auto"/>
            </w:tcBorders>
            <w:shd w:val="clear" w:color="auto" w:fill="auto"/>
          </w:tcPr>
          <w:p w14:paraId="1CCBA17A"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225</w:t>
            </w:r>
          </w:p>
        </w:tc>
        <w:tc>
          <w:tcPr>
            <w:tcW w:w="642" w:type="dxa"/>
            <w:tcBorders>
              <w:top w:val="single" w:sz="12" w:space="0" w:color="auto"/>
              <w:bottom w:val="single" w:sz="12" w:space="0" w:color="auto"/>
            </w:tcBorders>
            <w:shd w:val="clear" w:color="auto" w:fill="auto"/>
          </w:tcPr>
          <w:p w14:paraId="4AFE7CEB" w14:textId="77777777" w:rsidR="00E05FCF" w:rsidRPr="00B24B3A" w:rsidRDefault="00E05FCF" w:rsidP="00D407EA">
            <w:pPr>
              <w:keepNext/>
              <w:keepLines/>
              <w:suppressAutoHyphens w:val="0"/>
              <w:spacing w:before="60" w:after="60" w:line="220" w:lineRule="exact"/>
              <w:ind w:left="57" w:right="57"/>
              <w:jc w:val="center"/>
              <w:rPr>
                <w:sz w:val="18"/>
                <w:szCs w:val="18"/>
              </w:rPr>
            </w:pPr>
            <w:r w:rsidRPr="00B24B3A">
              <w:rPr>
                <w:sz w:val="18"/>
                <w:szCs w:val="18"/>
                <w:lang w:val="fr-FR"/>
              </w:rPr>
              <w:t>0,39</w:t>
            </w:r>
          </w:p>
        </w:tc>
        <w:tc>
          <w:tcPr>
            <w:tcW w:w="593" w:type="dxa"/>
            <w:tcBorders>
              <w:top w:val="single" w:sz="12" w:space="0" w:color="auto"/>
              <w:bottom w:val="single" w:sz="12" w:space="0" w:color="auto"/>
            </w:tcBorders>
            <w:shd w:val="clear" w:color="auto" w:fill="auto"/>
          </w:tcPr>
          <w:p w14:paraId="200B14AC" w14:textId="77777777" w:rsidR="00E05FCF" w:rsidRPr="00B24B3A" w:rsidRDefault="00E05FCF" w:rsidP="00D407EA">
            <w:pPr>
              <w:keepNext/>
              <w:keepLines/>
              <w:suppressAutoHyphens w:val="0"/>
              <w:spacing w:before="60" w:after="60" w:line="220" w:lineRule="exact"/>
              <w:ind w:left="57" w:right="57"/>
              <w:jc w:val="center"/>
              <w:rPr>
                <w:sz w:val="18"/>
                <w:szCs w:val="18"/>
              </w:rPr>
            </w:pPr>
            <w:proofErr w:type="gramStart"/>
            <w:r w:rsidRPr="00B24B3A">
              <w:rPr>
                <w:sz w:val="18"/>
                <w:szCs w:val="18"/>
                <w:lang w:val="fr-FR"/>
              </w:rPr>
              <w:t>q</w:t>
            </w:r>
            <w:proofErr w:type="gramEnd"/>
          </w:p>
        </w:tc>
      </w:tr>
    </w:tbl>
    <w:p w14:paraId="710E32BC" w14:textId="77777777" w:rsidR="00E05FCF" w:rsidRDefault="00E05FCF" w:rsidP="00E05FCF">
      <w:pPr>
        <w:kinsoku/>
        <w:overflowPunct/>
        <w:autoSpaceDE/>
        <w:autoSpaceDN/>
        <w:adjustRightInd/>
        <w:snapToGrid/>
        <w:spacing w:before="120" w:after="120"/>
        <w:ind w:left="1134" w:right="1134"/>
        <w:jc w:val="both"/>
        <w:rPr>
          <w:i/>
          <w:iCs/>
        </w:rPr>
      </w:pPr>
      <w:r w:rsidRPr="000F462A">
        <w:rPr>
          <w:i/>
          <w:iCs/>
        </w:rPr>
        <w:t>(Document de référence : ST/SG/AC.10/C.3/2</w:t>
      </w:r>
      <w:r>
        <w:rPr>
          <w:i/>
          <w:iCs/>
        </w:rPr>
        <w:t>022/19, proposition 2</w:t>
      </w:r>
      <w:r w:rsidRPr="000F462A">
        <w:rPr>
          <w:i/>
          <w:iCs/>
        </w:rPr>
        <w:t>)</w:t>
      </w:r>
    </w:p>
    <w:p w14:paraId="48BD468A" w14:textId="77777777" w:rsidR="00E05FCF" w:rsidRDefault="00E05FCF" w:rsidP="00E05FCF">
      <w:pPr>
        <w:tabs>
          <w:tab w:val="left" w:pos="2268"/>
          <w:tab w:val="left" w:pos="2552"/>
        </w:tabs>
        <w:kinsoku/>
        <w:overflowPunct/>
        <w:autoSpaceDE/>
        <w:adjustRightInd/>
        <w:snapToGrid/>
        <w:spacing w:after="120"/>
        <w:ind w:left="2268" w:right="1134" w:hanging="1134"/>
        <w:jc w:val="both"/>
        <w:rPr>
          <w:lang w:val="fr-FR"/>
        </w:rPr>
      </w:pPr>
      <w:r>
        <w:rPr>
          <w:lang w:val="fr-FR"/>
        </w:rPr>
        <w:t>[4.1.4.1, P203</w:t>
      </w:r>
      <w:r>
        <w:rPr>
          <w:lang w:val="fr-FR"/>
        </w:rPr>
        <w:tab/>
      </w:r>
      <w:r>
        <w:rPr>
          <w:lang w:val="fr-FR"/>
        </w:rPr>
        <w:tab/>
        <w:t>Au point 5), remplacer le titre par « Remplissage » et, dans le deuxième paragraphe, remplacer « le degré de remplissage » par « le gaz rempli dans le récipient ».]</w:t>
      </w:r>
    </w:p>
    <w:p w14:paraId="2047F9DF"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04499C68"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4.1.4.1, P301</w:t>
      </w:r>
      <w:r>
        <w:rPr>
          <w:lang w:val="fr-FR"/>
        </w:rPr>
        <w:tab/>
        <w:t xml:space="preserve">Dans la deuxième ligne </w:t>
      </w:r>
      <w:r w:rsidRPr="0042238A">
        <w:rPr>
          <w:lang w:val="fr-FR"/>
        </w:rPr>
        <w:t>sous la ligne de titre</w:t>
      </w:r>
      <w:r>
        <w:rPr>
          <w:lang w:val="fr-FR"/>
        </w:rPr>
        <w:t xml:space="preserve">, </w:t>
      </w:r>
      <w:r>
        <w:rPr>
          <w:lang w:val="en-US"/>
        </w:rPr>
        <w:t>première phrase</w:t>
      </w:r>
      <w:r>
        <w:rPr>
          <w:lang w:val="fr-FR"/>
        </w:rPr>
        <w:t>, remplacer « </w:t>
      </w:r>
      <w:r w:rsidRPr="00A93805">
        <w:rPr>
          <w:b/>
          <w:bCs/>
          <w:lang w:val="fr-FR"/>
        </w:rPr>
        <w:t>4.1.1</w:t>
      </w:r>
      <w:r>
        <w:rPr>
          <w:lang w:val="fr-FR"/>
        </w:rPr>
        <w:t> » par « </w:t>
      </w:r>
      <w:r w:rsidRPr="00C9266F">
        <w:rPr>
          <w:b/>
          <w:bCs/>
          <w:lang w:val="fr-FR"/>
        </w:rPr>
        <w:t>4.1.1.1, 4.1.1.2, 4.1.1.4, 4.1.1.5, 4.1.1.6</w:t>
      </w:r>
      <w:r w:rsidRPr="00A93805">
        <w:rPr>
          <w:b/>
          <w:bCs/>
          <w:lang w:val="fr-FR"/>
        </w:rPr>
        <w:t> ».</w:t>
      </w:r>
    </w:p>
    <w:p w14:paraId="170204B2"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022/17, proposition 4</w:t>
      </w:r>
      <w:r w:rsidRPr="000F462A">
        <w:rPr>
          <w:i/>
          <w:iCs/>
        </w:rPr>
        <w:t>)</w:t>
      </w:r>
    </w:p>
    <w:p w14:paraId="437ADC02" w14:textId="77777777" w:rsidR="00E05FCF" w:rsidRDefault="00E05FCF" w:rsidP="00E05FCF">
      <w:pPr>
        <w:tabs>
          <w:tab w:val="left" w:pos="2552"/>
        </w:tabs>
        <w:kinsoku/>
        <w:overflowPunct/>
        <w:autoSpaceDE/>
        <w:adjustRightInd/>
        <w:snapToGrid/>
        <w:spacing w:after="120"/>
        <w:ind w:left="2268" w:right="1134" w:hanging="1134"/>
        <w:jc w:val="both"/>
        <w:rPr>
          <w:lang w:val="fr-FR"/>
        </w:rPr>
      </w:pPr>
      <w:r>
        <w:rPr>
          <w:lang w:val="fr-FR"/>
        </w:rPr>
        <w:t>[4.1.4.1, P650</w:t>
      </w:r>
      <w:r>
        <w:rPr>
          <w:lang w:val="fr-FR"/>
        </w:rPr>
        <w:tab/>
      </w:r>
      <w:r>
        <w:rPr>
          <w:lang w:val="fr-FR"/>
        </w:rPr>
        <w:tab/>
        <w:t>Modifier le point 6) pour lire comme suit :</w:t>
      </w:r>
    </w:p>
    <w:p w14:paraId="5B570D2B" w14:textId="77777777" w:rsidR="00E05FCF" w:rsidRDefault="00E05FCF" w:rsidP="00E05FCF">
      <w:pPr>
        <w:kinsoku/>
        <w:overflowPunct/>
        <w:autoSpaceDE/>
        <w:adjustRightInd/>
        <w:snapToGrid/>
        <w:spacing w:after="120"/>
        <w:ind w:left="1701" w:right="1134" w:hanging="567"/>
        <w:jc w:val="both"/>
        <w:rPr>
          <w:lang w:val="fr-FR"/>
        </w:rPr>
      </w:pPr>
      <w:r>
        <w:rPr>
          <w:lang w:val="fr-FR"/>
        </w:rPr>
        <w:t>« 6)</w:t>
      </w:r>
      <w:r>
        <w:rPr>
          <w:lang w:val="fr-FR"/>
        </w:rPr>
        <w:tab/>
        <w:t>Le colis complet doit être capable de résister à une chute de 1,2 m dans toute orientation sans qu’il ne soit observé de fuite à partir du ou des récipients primaires, qui doivent demeurer protégés par le matériau absorbant, lorsqu'il est prescrit, dans l’emballage secondaire.</w:t>
      </w:r>
    </w:p>
    <w:p w14:paraId="35A11FA9" w14:textId="77777777" w:rsidR="00E05FCF" w:rsidRDefault="00E05FCF" w:rsidP="00E05FCF">
      <w:pPr>
        <w:kinsoku/>
        <w:overflowPunct/>
        <w:autoSpaceDE/>
        <w:adjustRightInd/>
        <w:snapToGrid/>
        <w:spacing w:after="120"/>
        <w:ind w:left="1701" w:right="1134" w:hanging="567"/>
        <w:jc w:val="both"/>
        <w:rPr>
          <w:lang w:val="fr-FR"/>
        </w:rPr>
      </w:pPr>
      <w:r>
        <w:rPr>
          <w:lang w:val="fr-FR"/>
        </w:rPr>
        <w:tab/>
      </w:r>
      <w:r>
        <w:rPr>
          <w:b/>
          <w:bCs/>
          <w:i/>
          <w:iCs/>
          <w:lang w:val="fr-FR"/>
        </w:rPr>
        <w:t>NOTA :</w:t>
      </w:r>
      <w:r>
        <w:rPr>
          <w:i/>
          <w:iCs/>
          <w:lang w:val="fr-FR"/>
        </w:rPr>
        <w:t xml:space="preserve"> Cette capacité peut être démontrée par des épreuves, par évaluation, ou par expérience.</w:t>
      </w:r>
      <w:r>
        <w:rPr>
          <w:lang w:val="fr-FR"/>
        </w:rPr>
        <w:t> »</w:t>
      </w:r>
    </w:p>
    <w:p w14:paraId="01486599"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ab/>
        <w:t xml:space="preserve">Au point 7), à la fin de l’alinéa d), ajouter « et ». </w:t>
      </w:r>
    </w:p>
    <w:p w14:paraId="516E51D5"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ab/>
        <w:t>Ajouter un nouveau Nota sous le point 7) e) pour lire :</w:t>
      </w:r>
    </w:p>
    <w:p w14:paraId="10463B83" w14:textId="77777777" w:rsidR="00E05FCF" w:rsidRDefault="00E05FCF" w:rsidP="00E05FCF">
      <w:pPr>
        <w:kinsoku/>
        <w:overflowPunct/>
        <w:autoSpaceDE/>
        <w:adjustRightInd/>
        <w:snapToGrid/>
        <w:spacing w:after="120"/>
        <w:ind w:left="1134" w:right="1134"/>
        <w:jc w:val="both"/>
        <w:rPr>
          <w:lang w:val="fr-FR"/>
        </w:rPr>
      </w:pPr>
      <w:r>
        <w:rPr>
          <w:lang w:val="fr-FR"/>
        </w:rPr>
        <w:t>« </w:t>
      </w:r>
      <w:r>
        <w:rPr>
          <w:b/>
          <w:bCs/>
          <w:i/>
          <w:iCs/>
          <w:lang w:val="fr-FR"/>
        </w:rPr>
        <w:t>NOTA :</w:t>
      </w:r>
      <w:r>
        <w:rPr>
          <w:i/>
          <w:iCs/>
          <w:lang w:val="fr-FR"/>
        </w:rPr>
        <w:t xml:space="preserve"> Cette capacité peut être démontrée par des épreuves, par évaluation, ou par expérience.</w:t>
      </w:r>
      <w:r>
        <w:rPr>
          <w:lang w:val="fr-FR"/>
        </w:rPr>
        <w:t> »</w:t>
      </w:r>
    </w:p>
    <w:p w14:paraId="7165DB71" w14:textId="77777777" w:rsidR="00E05FCF" w:rsidRDefault="00E05FCF" w:rsidP="00E05FCF">
      <w:pPr>
        <w:tabs>
          <w:tab w:val="left" w:pos="2268"/>
        </w:tabs>
        <w:kinsoku/>
        <w:overflowPunct/>
        <w:autoSpaceDE/>
        <w:adjustRightInd/>
        <w:snapToGrid/>
        <w:spacing w:after="120"/>
        <w:ind w:left="1134" w:right="1134"/>
        <w:jc w:val="both"/>
        <w:rPr>
          <w:i/>
          <w:iCs/>
        </w:rPr>
      </w:pPr>
      <w:r>
        <w:rPr>
          <w:i/>
          <w:iCs/>
        </w:rPr>
        <w:tab/>
      </w:r>
      <w:r>
        <w:rPr>
          <w:lang w:val="fr-FR"/>
        </w:rPr>
        <w:t xml:space="preserve">Au point 8), à la fin de l’alinéa c), ajouter « et ». </w:t>
      </w:r>
    </w:p>
    <w:p w14:paraId="6BA0697F" w14:textId="77777777" w:rsidR="00E05FCF" w:rsidRDefault="00E05FCF" w:rsidP="00E05FCF">
      <w:pPr>
        <w:tabs>
          <w:tab w:val="left" w:pos="2268"/>
        </w:tabs>
        <w:kinsoku/>
        <w:overflowPunct/>
        <w:autoSpaceDE/>
        <w:adjustRightInd/>
        <w:snapToGrid/>
        <w:spacing w:after="120"/>
        <w:ind w:left="1134" w:right="1134"/>
        <w:jc w:val="both"/>
        <w:rPr>
          <w:i/>
          <w:iCs/>
        </w:rPr>
      </w:pPr>
      <w:r>
        <w:rPr>
          <w:i/>
          <w:iCs/>
        </w:rPr>
        <w:tab/>
      </w:r>
      <w:r>
        <w:rPr>
          <w:lang w:val="fr-FR"/>
        </w:rPr>
        <w:t>Au point 9), à la fin de l’alinéa a), ajouter « et ».]</w:t>
      </w:r>
    </w:p>
    <w:p w14:paraId="03FC1943" w14:textId="0EC0C126" w:rsidR="00E05FCF" w:rsidRDefault="00E05FCF" w:rsidP="00E05FCF">
      <w:pPr>
        <w:kinsoku/>
        <w:overflowPunct/>
        <w:autoSpaceDE/>
        <w:adjustRightInd/>
        <w:snapToGrid/>
        <w:spacing w:after="120"/>
        <w:ind w:left="1134" w:right="1134"/>
        <w:jc w:val="both"/>
        <w:rPr>
          <w:i/>
          <w:iCs/>
        </w:rPr>
      </w:pPr>
      <w:r>
        <w:rPr>
          <w:i/>
          <w:iCs/>
        </w:rPr>
        <w:lastRenderedPageBreak/>
        <w:t>(Document de référence : document informel INF.46, tel que modifié)</w:t>
      </w:r>
    </w:p>
    <w:p w14:paraId="7961D702" w14:textId="77777777" w:rsidR="00E05FCF" w:rsidRPr="00C9266F" w:rsidRDefault="00E05FCF" w:rsidP="00E05FCF">
      <w:pPr>
        <w:tabs>
          <w:tab w:val="left" w:pos="2268"/>
        </w:tabs>
        <w:kinsoku/>
        <w:overflowPunct/>
        <w:autoSpaceDE/>
        <w:adjustRightInd/>
        <w:snapToGrid/>
        <w:spacing w:after="120"/>
        <w:ind w:left="2268" w:right="1134" w:hanging="1134"/>
        <w:jc w:val="both"/>
      </w:pPr>
      <w:r>
        <w:rPr>
          <w:lang w:val="fr-FR"/>
        </w:rPr>
        <w:t>4.1.4.1, P800</w:t>
      </w:r>
      <w:r>
        <w:rPr>
          <w:lang w:val="fr-FR"/>
        </w:rPr>
        <w:tab/>
        <w:t xml:space="preserve">Dans la disposition spéciale d’emballage PP41, ajouter la nouvelle phrase suivante à la fin : </w:t>
      </w:r>
      <w:r w:rsidRPr="00C9266F">
        <w:t>« </w:t>
      </w:r>
      <w:r w:rsidRPr="00A27140">
        <w:t>Des cales intérieures doivent être prévues de manière à empêcher tout déplacement après la dissipation de l’agent de réfrigération.</w:t>
      </w:r>
      <w:r w:rsidRPr="00C9266F">
        <w:t> »</w:t>
      </w:r>
    </w:p>
    <w:p w14:paraId="3982665B"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w:t>
      </w:r>
      <w:r>
        <w:rPr>
          <w:i/>
          <w:iCs/>
        </w:rPr>
        <w:t> </w:t>
      </w:r>
      <w:r w:rsidRPr="000F462A">
        <w:rPr>
          <w:i/>
          <w:iCs/>
        </w:rPr>
        <w:t xml:space="preserve">: </w:t>
      </w:r>
      <w:r w:rsidRPr="002373ED">
        <w:rPr>
          <w:i/>
          <w:iCs/>
        </w:rPr>
        <w:t>ST/SG/AC.10/C.3/2022/1</w:t>
      </w:r>
      <w:r>
        <w:rPr>
          <w:i/>
          <w:iCs/>
        </w:rPr>
        <w:t xml:space="preserve">2, </w:t>
      </w:r>
      <w:r w:rsidRPr="0042464E">
        <w:rPr>
          <w:i/>
          <w:iCs/>
        </w:rPr>
        <w:t xml:space="preserve">proposition alternative </w:t>
      </w:r>
      <w:r>
        <w:rPr>
          <w:i/>
          <w:iCs/>
        </w:rPr>
        <w:t>orale</w:t>
      </w:r>
      <w:r w:rsidRPr="000F462A">
        <w:rPr>
          <w:i/>
          <w:iCs/>
        </w:rPr>
        <w:t>)</w:t>
      </w:r>
    </w:p>
    <w:p w14:paraId="5A9D89FF"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4.1.4.1, P803</w:t>
      </w:r>
      <w:r>
        <w:rPr>
          <w:lang w:val="fr-FR"/>
        </w:rPr>
        <w:tab/>
        <w:t xml:space="preserve">À la fin, ajouter un nouveau </w:t>
      </w:r>
      <w:r w:rsidRPr="00E93AA1">
        <w:rPr>
          <w:lang w:val="fr-FR"/>
        </w:rPr>
        <w:t>paragraphe</w:t>
      </w:r>
      <w:r>
        <w:rPr>
          <w:lang w:val="fr-FR"/>
        </w:rPr>
        <w:t xml:space="preserve"> pour lire comme suit :</w:t>
      </w:r>
    </w:p>
    <w:p w14:paraId="68C3ECC7" w14:textId="77777777" w:rsidR="00E05FCF" w:rsidRPr="00C9266F" w:rsidRDefault="00E05FCF" w:rsidP="00E05FCF">
      <w:pPr>
        <w:tabs>
          <w:tab w:val="left" w:pos="1701"/>
          <w:tab w:val="left" w:pos="2268"/>
          <w:tab w:val="left" w:pos="2835"/>
        </w:tabs>
        <w:spacing w:after="120"/>
        <w:ind w:left="1134" w:right="1134"/>
        <w:jc w:val="both"/>
      </w:pPr>
      <w:r w:rsidRPr="00C9266F">
        <w:t>« Les emballages doivent satisfaire au niveau d’épreuve du groupe d’emballage II. »</w:t>
      </w:r>
    </w:p>
    <w:p w14:paraId="3F5F72C6"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022/17, proposition 3</w:t>
      </w:r>
      <w:r w:rsidRPr="000F462A">
        <w:rPr>
          <w:i/>
          <w:iCs/>
        </w:rPr>
        <w:t>)</w:t>
      </w:r>
    </w:p>
    <w:p w14:paraId="4BC2DFA9"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4.1.4.1</w:t>
      </w:r>
      <w:r>
        <w:rPr>
          <w:lang w:val="fr-FR"/>
        </w:rPr>
        <w:tab/>
        <w:t>Ajouter la nouvelle instruction d’emballage suivante :</w:t>
      </w:r>
    </w:p>
    <w:tbl>
      <w:tblPr>
        <w:tblW w:w="9630" w:type="dxa"/>
        <w:jc w:val="center"/>
        <w:tblLayout w:type="fixed"/>
        <w:tblCellMar>
          <w:left w:w="56" w:type="dxa"/>
          <w:right w:w="56" w:type="dxa"/>
        </w:tblCellMar>
        <w:tblLook w:val="04A0" w:firstRow="1" w:lastRow="0" w:firstColumn="1" w:lastColumn="0" w:noHBand="0" w:noVBand="1"/>
      </w:tblPr>
      <w:tblGrid>
        <w:gridCol w:w="853"/>
        <w:gridCol w:w="7939"/>
        <w:gridCol w:w="838"/>
      </w:tblGrid>
      <w:tr w:rsidR="00E05FCF" w14:paraId="2AFD7133" w14:textId="77777777" w:rsidTr="00D407EA">
        <w:trPr>
          <w:jc w:val="center"/>
        </w:trPr>
        <w:tc>
          <w:tcPr>
            <w:tcW w:w="853" w:type="dxa"/>
            <w:tcBorders>
              <w:top w:val="single" w:sz="8" w:space="0" w:color="000000"/>
              <w:left w:val="single" w:sz="8" w:space="0" w:color="000000"/>
              <w:bottom w:val="single" w:sz="8" w:space="0" w:color="000000"/>
              <w:right w:val="nil"/>
            </w:tcBorders>
            <w:hideMark/>
          </w:tcPr>
          <w:p w14:paraId="0E0B260C" w14:textId="77777777" w:rsidR="00E05FCF" w:rsidRDefault="00E05FCF" w:rsidP="00D407EA">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rPr>
                <w:b/>
                <w:bCs/>
                <w:lang w:val="fr-FR" w:eastAsia="en-GB"/>
              </w:rPr>
            </w:pPr>
            <w:r>
              <w:rPr>
                <w:b/>
                <w:lang w:val="fr-FR" w:eastAsia="en-GB"/>
              </w:rPr>
              <w:t>P303</w:t>
            </w:r>
          </w:p>
        </w:tc>
        <w:tc>
          <w:tcPr>
            <w:tcW w:w="7939" w:type="dxa"/>
            <w:tcBorders>
              <w:top w:val="single" w:sz="8" w:space="0" w:color="000000"/>
              <w:left w:val="nil"/>
              <w:bottom w:val="single" w:sz="8" w:space="0" w:color="000000"/>
              <w:right w:val="nil"/>
            </w:tcBorders>
            <w:hideMark/>
          </w:tcPr>
          <w:p w14:paraId="5CBF510E" w14:textId="77777777" w:rsidR="00E05FCF" w:rsidRDefault="00E05FCF" w:rsidP="00D407EA">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jc w:val="center"/>
              <w:rPr>
                <w:b/>
                <w:bCs/>
                <w:lang w:val="fr-FR" w:eastAsia="en-GB"/>
              </w:rPr>
            </w:pPr>
            <w:r>
              <w:rPr>
                <w:b/>
                <w:bCs/>
                <w:lang w:val="fr-FR" w:eastAsia="en-GB"/>
              </w:rPr>
              <w:t>INSTRUCTION D'EMBALLAGE</w:t>
            </w:r>
          </w:p>
        </w:tc>
        <w:tc>
          <w:tcPr>
            <w:tcW w:w="838" w:type="dxa"/>
            <w:tcBorders>
              <w:top w:val="single" w:sz="8" w:space="0" w:color="000000"/>
              <w:left w:val="nil"/>
              <w:bottom w:val="single" w:sz="8" w:space="0" w:color="000000"/>
              <w:right w:val="single" w:sz="8" w:space="0" w:color="000000"/>
            </w:tcBorders>
            <w:hideMark/>
          </w:tcPr>
          <w:p w14:paraId="329576DB" w14:textId="77777777" w:rsidR="00E05FCF" w:rsidRDefault="00E05FCF" w:rsidP="00D407EA">
            <w:pPr>
              <w:tabs>
                <w:tab w:val="left" w:pos="1418"/>
                <w:tab w:val="left" w:pos="1985"/>
                <w:tab w:val="left" w:pos="2552"/>
                <w:tab w:val="left" w:pos="3119"/>
                <w:tab w:val="left" w:pos="3686"/>
                <w:tab w:val="left" w:pos="4253"/>
                <w:tab w:val="left" w:pos="4820"/>
              </w:tabs>
              <w:suppressAutoHyphens w:val="0"/>
              <w:kinsoku/>
              <w:overflowPunct/>
              <w:autoSpaceDE/>
              <w:adjustRightInd/>
              <w:snapToGrid/>
              <w:spacing w:before="24" w:after="24" w:line="240" w:lineRule="auto"/>
              <w:jc w:val="right"/>
              <w:outlineLvl w:val="8"/>
              <w:rPr>
                <w:b/>
                <w:bCs/>
                <w:lang w:val="fr-FR" w:eastAsia="en-GB"/>
              </w:rPr>
            </w:pPr>
            <w:r>
              <w:rPr>
                <w:b/>
                <w:lang w:val="fr-FR" w:eastAsia="en-GB"/>
              </w:rPr>
              <w:t>P303</w:t>
            </w:r>
          </w:p>
        </w:tc>
      </w:tr>
      <w:tr w:rsidR="00E05FCF" w14:paraId="23982147" w14:textId="77777777" w:rsidTr="00D407EA">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57EC697F" w14:textId="77777777" w:rsidR="00E05FCF" w:rsidRDefault="00E05FCF" w:rsidP="00D407EA">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lang w:val="fr-FR" w:eastAsia="en-GB"/>
              </w:rPr>
            </w:pPr>
            <w:r>
              <w:rPr>
                <w:lang w:val="fr-FR" w:eastAsia="en-GB"/>
              </w:rPr>
              <w:t>Cette instruction s'applique au No ONU 3555.</w:t>
            </w:r>
          </w:p>
        </w:tc>
      </w:tr>
      <w:tr w:rsidR="00E05FCF" w14:paraId="4B48A5A7" w14:textId="77777777" w:rsidTr="00D407EA">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1E41691A" w14:textId="77777777" w:rsidR="00E05FCF" w:rsidRDefault="00E05FCF" w:rsidP="00D407EA">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lang w:val="fr-FR" w:eastAsia="en-GB"/>
              </w:rPr>
            </w:pPr>
            <w:r>
              <w:rPr>
                <w:lang w:val="fr-FR" w:eastAsia="en-GB"/>
              </w:rPr>
              <w:t xml:space="preserve">Les emballages suivants sont autorisés, à condition que les dispositions générales des </w:t>
            </w:r>
            <w:r>
              <w:rPr>
                <w:b/>
                <w:bCs/>
                <w:lang w:val="fr-FR" w:eastAsia="en-GB"/>
              </w:rPr>
              <w:t>4.1.1</w:t>
            </w:r>
            <w:r>
              <w:rPr>
                <w:lang w:val="fr-FR" w:eastAsia="en-GB"/>
              </w:rPr>
              <w:t xml:space="preserve"> et </w:t>
            </w:r>
            <w:r>
              <w:rPr>
                <w:b/>
                <w:bCs/>
                <w:lang w:val="fr-FR" w:eastAsia="en-GB"/>
              </w:rPr>
              <w:t>4.1.3</w:t>
            </w:r>
            <w:r>
              <w:rPr>
                <w:lang w:val="fr-FR" w:eastAsia="en-GB"/>
              </w:rPr>
              <w:t xml:space="preserve"> ainsi que du </w:t>
            </w:r>
            <w:r>
              <w:rPr>
                <w:b/>
                <w:bCs/>
                <w:lang w:val="fr-FR" w:eastAsia="en-GB"/>
              </w:rPr>
              <w:t>4.1.5.12</w:t>
            </w:r>
            <w:r>
              <w:rPr>
                <w:lang w:val="fr-FR" w:eastAsia="en-GB"/>
              </w:rPr>
              <w:t xml:space="preserve"> soient respectées :</w:t>
            </w:r>
          </w:p>
          <w:p w14:paraId="4E69C8C9" w14:textId="77777777" w:rsidR="00E05FCF" w:rsidRDefault="00E05FCF" w:rsidP="00D407EA">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lang w:val="fr-FR" w:eastAsia="en-GB"/>
              </w:rPr>
            </w:pPr>
            <w:r>
              <w:rPr>
                <w:lang w:val="fr-FR" w:eastAsia="en-GB"/>
              </w:rPr>
              <w:t xml:space="preserve">Fût en plastique à tête non amovible (1H1) d’une capacité maximale de 250 </w:t>
            </w:r>
            <w:r w:rsidRPr="00FE2890">
              <w:rPr>
                <w:i/>
                <w:iCs/>
                <w:lang w:val="fr-FR" w:eastAsia="en-GB"/>
              </w:rPr>
              <w:t>l</w:t>
            </w:r>
            <w:r>
              <w:rPr>
                <w:lang w:val="fr-FR" w:eastAsia="en-GB"/>
              </w:rPr>
              <w:t>.</w:t>
            </w:r>
          </w:p>
        </w:tc>
      </w:tr>
      <w:tr w:rsidR="00E05FCF" w14:paraId="44AC4CE0" w14:textId="77777777" w:rsidTr="00D407EA">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3D07E151" w14:textId="77777777" w:rsidR="00E05FCF" w:rsidRDefault="00E05FCF" w:rsidP="00D407EA">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b/>
                <w:bCs/>
                <w:lang w:val="fr-FR" w:eastAsia="en-GB"/>
              </w:rPr>
            </w:pPr>
            <w:r>
              <w:rPr>
                <w:b/>
                <w:bCs/>
                <w:lang w:val="fr-FR" w:eastAsia="en-GB"/>
              </w:rPr>
              <w:t>Disposition supplémentaire :</w:t>
            </w:r>
          </w:p>
          <w:p w14:paraId="725BBE9C" w14:textId="77777777" w:rsidR="00E05FCF" w:rsidRDefault="00E05FCF" w:rsidP="00D407EA">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lang w:val="fr-FR" w:eastAsia="en-GB"/>
              </w:rPr>
            </w:pPr>
            <w:r>
              <w:rPr>
                <w:lang w:val="fr-FR" w:eastAsia="en-GB"/>
              </w:rPr>
              <w:t>Les emballages doivent être transportés en position verticale.</w:t>
            </w:r>
          </w:p>
        </w:tc>
      </w:tr>
      <w:tr w:rsidR="00E05FCF" w14:paraId="3019879E" w14:textId="77777777" w:rsidTr="00D407EA">
        <w:trPr>
          <w:jc w:val="center"/>
        </w:trPr>
        <w:tc>
          <w:tcPr>
            <w:tcW w:w="9630" w:type="dxa"/>
            <w:gridSpan w:val="3"/>
            <w:tcBorders>
              <w:top w:val="single" w:sz="8" w:space="0" w:color="000000"/>
              <w:left w:val="single" w:sz="8" w:space="0" w:color="000000"/>
              <w:bottom w:val="single" w:sz="8" w:space="0" w:color="000000"/>
              <w:right w:val="single" w:sz="8" w:space="0" w:color="000000"/>
            </w:tcBorders>
            <w:hideMark/>
          </w:tcPr>
          <w:p w14:paraId="210DFDED" w14:textId="77777777" w:rsidR="00E05FCF" w:rsidRDefault="00E05FCF" w:rsidP="00D407EA">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b/>
                <w:bCs/>
                <w:lang w:val="fr-FR" w:eastAsia="en-GB"/>
              </w:rPr>
            </w:pPr>
            <w:r>
              <w:rPr>
                <w:b/>
                <w:bCs/>
                <w:lang w:val="fr-FR" w:eastAsia="en-GB"/>
              </w:rPr>
              <w:t>Disposition spéciale d’emballage :</w:t>
            </w:r>
          </w:p>
          <w:p w14:paraId="30D32AB1" w14:textId="77777777" w:rsidR="00E05FCF" w:rsidRDefault="00E05FCF" w:rsidP="00D407EA">
            <w:pPr>
              <w:tabs>
                <w:tab w:val="left" w:pos="283"/>
                <w:tab w:val="left" w:pos="510"/>
                <w:tab w:val="left" w:pos="680"/>
                <w:tab w:val="left" w:pos="1418"/>
                <w:tab w:val="left" w:pos="1985"/>
                <w:tab w:val="left" w:pos="2552"/>
                <w:tab w:val="left" w:pos="3119"/>
                <w:tab w:val="left" w:pos="3686"/>
                <w:tab w:val="left" w:pos="4253"/>
                <w:tab w:val="left" w:pos="4820"/>
              </w:tabs>
              <w:suppressAutoHyphens w:val="0"/>
              <w:kinsoku/>
              <w:overflowPunct/>
              <w:autoSpaceDE/>
              <w:adjustRightInd/>
              <w:snapToGrid/>
              <w:spacing w:before="40" w:after="40" w:line="240" w:lineRule="auto"/>
              <w:jc w:val="both"/>
              <w:rPr>
                <w:lang w:val="fr-FR" w:eastAsia="en-GB"/>
              </w:rPr>
            </w:pPr>
            <w:r>
              <w:rPr>
                <w:lang w:val="fr-FR" w:eastAsia="en-GB"/>
              </w:rPr>
              <w:t>Pour le No ONU 3555, les emballages doivent être sans plomb.</w:t>
            </w:r>
          </w:p>
        </w:tc>
      </w:tr>
    </w:tbl>
    <w:p w14:paraId="5E747E88"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INF.44, amendement I)</w:t>
      </w:r>
    </w:p>
    <w:p w14:paraId="362701D8" w14:textId="77777777" w:rsidR="00E05FCF" w:rsidRPr="009331CA" w:rsidRDefault="00E05FCF" w:rsidP="00E05FCF">
      <w:pPr>
        <w:tabs>
          <w:tab w:val="left" w:pos="2268"/>
        </w:tabs>
        <w:kinsoku/>
        <w:overflowPunct/>
        <w:autoSpaceDE/>
        <w:adjustRightInd/>
        <w:snapToGrid/>
        <w:spacing w:after="120"/>
        <w:ind w:left="2268" w:right="1134" w:hanging="1134"/>
        <w:jc w:val="both"/>
        <w:rPr>
          <w:lang w:val="fr-FR"/>
        </w:rPr>
      </w:pPr>
      <w:r w:rsidRPr="009331CA">
        <w:rPr>
          <w:lang w:val="fr-FR"/>
        </w:rPr>
        <w:t>4.1.4.2, IBC03</w:t>
      </w:r>
      <w:r w:rsidRPr="009331CA">
        <w:rPr>
          <w:lang w:val="fr-FR"/>
        </w:rPr>
        <w:tab/>
        <w:t>Modifier la disposition spéciale d’emballage B11 pour lire comme suit :</w:t>
      </w:r>
    </w:p>
    <w:p w14:paraId="117E9E87" w14:textId="77777777" w:rsidR="00E05FCF" w:rsidRPr="009331CA" w:rsidRDefault="00E05FCF" w:rsidP="00E05FCF">
      <w:pPr>
        <w:tabs>
          <w:tab w:val="left" w:pos="2268"/>
        </w:tabs>
        <w:kinsoku/>
        <w:overflowPunct/>
        <w:autoSpaceDE/>
        <w:adjustRightInd/>
        <w:snapToGrid/>
        <w:spacing w:after="120"/>
        <w:ind w:left="2268" w:right="1134" w:hanging="1134"/>
        <w:jc w:val="both"/>
        <w:rPr>
          <w:lang w:val="fr-FR"/>
        </w:rPr>
      </w:pPr>
      <w:r w:rsidRPr="009331CA">
        <w:rPr>
          <w:lang w:val="fr-FR"/>
        </w:rPr>
        <w:t>« B11</w:t>
      </w:r>
      <w:r w:rsidRPr="009331CA">
        <w:rPr>
          <w:lang w:val="fr-FR"/>
        </w:rPr>
        <w:tab/>
        <w:t>Nonobstant les dispositions du deuxième alinéa du 4.1.1.10 le No ONU 2672, ammoniac en solution, en concentrations ne dépassant pas 25 % peut être transporté dans des GRV. »</w:t>
      </w:r>
    </w:p>
    <w:p w14:paraId="41945977" w14:textId="77777777" w:rsidR="00E05FCF" w:rsidRDefault="00E05FCF" w:rsidP="00E05FCF">
      <w:pPr>
        <w:kinsoku/>
        <w:overflowPunct/>
        <w:autoSpaceDE/>
        <w:adjustRightInd/>
        <w:snapToGrid/>
        <w:spacing w:after="120"/>
        <w:ind w:left="1134" w:right="1134"/>
        <w:jc w:val="both"/>
        <w:rPr>
          <w:i/>
          <w:iCs/>
        </w:rPr>
      </w:pPr>
      <w:r w:rsidRPr="009331CA">
        <w:rPr>
          <w:i/>
          <w:iCs/>
        </w:rPr>
        <w:t>(Document de référence : ST/SG/AC.10/C.3/2022/35</w:t>
      </w:r>
      <w:r>
        <w:rPr>
          <w:i/>
          <w:iCs/>
        </w:rPr>
        <w:t>,</w:t>
      </w:r>
      <w:r w:rsidRPr="009331CA">
        <w:rPr>
          <w:i/>
          <w:iCs/>
        </w:rPr>
        <w:t xml:space="preserve"> tel que modifié)</w:t>
      </w:r>
    </w:p>
    <w:p w14:paraId="7338FB73" w14:textId="77777777" w:rsidR="00E05FCF" w:rsidRDefault="00E05FCF" w:rsidP="00E05FCF">
      <w:pPr>
        <w:tabs>
          <w:tab w:val="left" w:pos="2552"/>
        </w:tabs>
        <w:kinsoku/>
        <w:overflowPunct/>
        <w:autoSpaceDE/>
        <w:adjustRightInd/>
        <w:snapToGrid/>
        <w:spacing w:before="120" w:after="120"/>
        <w:ind w:left="1134" w:right="1134"/>
        <w:jc w:val="both"/>
      </w:pPr>
      <w:r>
        <w:t>4.1.4.3, LP03</w:t>
      </w:r>
      <w:r>
        <w:tab/>
        <w:t>Ajouter un nouveau point 4) pour lire comme suit :</w:t>
      </w:r>
    </w:p>
    <w:p w14:paraId="6C136715" w14:textId="77777777" w:rsidR="00E05FCF" w:rsidRDefault="00E05FCF" w:rsidP="00E05FCF">
      <w:pPr>
        <w:tabs>
          <w:tab w:val="left" w:pos="2268"/>
        </w:tabs>
        <w:kinsoku/>
        <w:overflowPunct/>
        <w:autoSpaceDE/>
        <w:adjustRightInd/>
        <w:snapToGrid/>
        <w:spacing w:after="120"/>
        <w:ind w:left="2268" w:right="1134" w:hanging="1134"/>
        <w:jc w:val="both"/>
      </w:pPr>
      <w:r>
        <w:t>« 4)</w:t>
      </w:r>
      <w:r>
        <w:tab/>
        <w:t xml:space="preserve">Les objets contenant des prototypes de </w:t>
      </w:r>
      <w:proofErr w:type="spellStart"/>
      <w:r>
        <w:t>pré-production</w:t>
      </w:r>
      <w:proofErr w:type="spellEnd"/>
      <w:r>
        <w:t xml:space="preserve"> de piles ou batteries au lithium</w:t>
      </w:r>
      <w:r w:rsidRPr="00746092">
        <w:t xml:space="preserve"> </w:t>
      </w:r>
      <w:r>
        <w:t xml:space="preserve">lorsque ces prototypes </w:t>
      </w:r>
      <w:r w:rsidRPr="00B15687">
        <w:t>sont transportés pour être éprouvés</w:t>
      </w:r>
      <w:r>
        <w:t>, ou des piles ou batteries au lithium, produites pour une série comprenant au plus 100 piles ou batteries, d’un type dont il n’a pas été démontré qu’il satisfait aux prescriptions en matière d’épreuves de la sous-section 38.3 de la troisième partie du Manuel d’épreuves et de critères doivent en outre satisfaire aux exigences suivantes :</w:t>
      </w:r>
    </w:p>
    <w:p w14:paraId="3F6677A8" w14:textId="77777777" w:rsidR="00E05FCF" w:rsidRDefault="00E05FCF" w:rsidP="00E05FCF">
      <w:pPr>
        <w:tabs>
          <w:tab w:val="left" w:pos="2268"/>
        </w:tabs>
        <w:kinsoku/>
        <w:overflowPunct/>
        <w:autoSpaceDE/>
        <w:adjustRightInd/>
        <w:snapToGrid/>
        <w:spacing w:after="120"/>
        <w:ind w:left="2835" w:right="1134" w:hanging="567"/>
        <w:jc w:val="both"/>
      </w:pPr>
      <w:r>
        <w:t>a)</w:t>
      </w:r>
      <w:r>
        <w:tab/>
        <w:t>Les emballages doivent être conformes aux prescriptions du point 1) de la présente instruction ;</w:t>
      </w:r>
    </w:p>
    <w:p w14:paraId="59093894" w14:textId="77777777" w:rsidR="00E05FCF" w:rsidRDefault="00E05FCF" w:rsidP="00E05FCF">
      <w:pPr>
        <w:tabs>
          <w:tab w:val="left" w:pos="2268"/>
        </w:tabs>
        <w:kinsoku/>
        <w:overflowPunct/>
        <w:autoSpaceDE/>
        <w:adjustRightInd/>
        <w:snapToGrid/>
        <w:spacing w:after="120"/>
        <w:ind w:left="2835" w:right="1134" w:hanging="567"/>
        <w:jc w:val="both"/>
      </w:pPr>
      <w:r>
        <w:t>b)</w:t>
      </w:r>
      <w:r>
        <w:tab/>
        <w:t>Des mesures appropriées doivent être prises pour limiter autant que possible les effets des vibrations et des chocs et empêcher tout déplacement de l’objet à l’intérieur du colis susceptible de l’endommager et de rendre son transport dangereux. Lorsqu’un matériau de rembourrage est utilisé à ces fins, il doit être non combustible et non conducteur d’électricité ;</w:t>
      </w:r>
    </w:p>
    <w:p w14:paraId="51CC69B8" w14:textId="77777777" w:rsidR="00E05FCF" w:rsidRPr="00C10739" w:rsidRDefault="00E05FCF" w:rsidP="00E05FCF">
      <w:pPr>
        <w:tabs>
          <w:tab w:val="left" w:pos="2268"/>
        </w:tabs>
        <w:kinsoku/>
        <w:overflowPunct/>
        <w:autoSpaceDE/>
        <w:adjustRightInd/>
        <w:snapToGrid/>
        <w:spacing w:after="120"/>
        <w:ind w:left="2835" w:right="1134" w:hanging="567"/>
        <w:jc w:val="both"/>
      </w:pPr>
      <w:r>
        <w:t>c)</w:t>
      </w:r>
      <w:r>
        <w:tab/>
        <w:t>La non-combustibilité du matériau de rembourrage doit être évaluée conformément à une norme reconnue dans le pays où l’emballage est conçu ou fabriqué. »</w:t>
      </w:r>
    </w:p>
    <w:p w14:paraId="2A009D86"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document informel INF.51)</w:t>
      </w:r>
    </w:p>
    <w:p w14:paraId="74A7E3CF" w14:textId="77777777" w:rsidR="00E05FCF" w:rsidRDefault="00E05FCF" w:rsidP="00E05FCF">
      <w:pPr>
        <w:tabs>
          <w:tab w:val="left" w:pos="2268"/>
        </w:tabs>
        <w:kinsoku/>
        <w:overflowPunct/>
        <w:autoSpaceDE/>
        <w:adjustRightInd/>
        <w:snapToGrid/>
        <w:spacing w:after="120"/>
        <w:ind w:left="2268" w:right="1134" w:hanging="1134"/>
        <w:jc w:val="both"/>
        <w:rPr>
          <w:rStyle w:val="CommentReference"/>
          <w:rFonts w:asciiTheme="minorHAnsi" w:eastAsiaTheme="minorEastAsia" w:hAnsiTheme="minorHAnsi" w:cstheme="minorBidi"/>
          <w:lang w:val="ru-RU"/>
        </w:rPr>
      </w:pPr>
      <w:r>
        <w:rPr>
          <w:lang w:val="fr-FR"/>
        </w:rPr>
        <w:t>4.1.4.3, LP903</w:t>
      </w:r>
      <w:r>
        <w:rPr>
          <w:lang w:val="fr-FR"/>
        </w:rPr>
        <w:tab/>
        <w:t xml:space="preserve">Modifier la première phrase sous la ligne de titre pour lire : « Cette instruction s’applique aux grandes piles de masse brute supérieure à 500 g, aux grandes batteries de masse brute supérieure à 12 kg, et aux équipements </w:t>
      </w:r>
      <w:r>
        <w:rPr>
          <w:lang w:val="fr-FR"/>
        </w:rPr>
        <w:lastRenderedPageBreak/>
        <w:t xml:space="preserve">contenant des grandes piles ou batteries </w:t>
      </w:r>
      <w:proofErr w:type="spellStart"/>
      <w:r>
        <w:rPr>
          <w:lang w:val="fr-FR"/>
        </w:rPr>
        <w:t>des</w:t>
      </w:r>
      <w:proofErr w:type="spellEnd"/>
      <w:r>
        <w:rPr>
          <w:lang w:val="fr-FR"/>
        </w:rPr>
        <w:t xml:space="preserve"> Nos ONU 3090, 3091, 3480 et 3481. »</w:t>
      </w:r>
    </w:p>
    <w:p w14:paraId="67DB7D00"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ab/>
        <w:t>Dans la deuxième ligne, premier paragraphe, remplacer « pour une seule batterie, et pour un équipement seul contenant des batteries » par « pour les piles, pour les batteries, et pour les équipements contenant des batteries ».</w:t>
      </w:r>
    </w:p>
    <w:p w14:paraId="6A574C21"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ab/>
        <w:t>Dans la deuxième ligne, modifier le dernier paragraphe pour lire comme suit :</w:t>
      </w:r>
    </w:p>
    <w:p w14:paraId="321073BE" w14:textId="77777777" w:rsidR="00E05FCF" w:rsidRDefault="00E05FCF" w:rsidP="00E05FCF">
      <w:pPr>
        <w:kinsoku/>
        <w:overflowPunct/>
        <w:autoSpaceDE/>
        <w:adjustRightInd/>
        <w:snapToGrid/>
        <w:spacing w:after="120"/>
        <w:ind w:left="1134" w:right="1134"/>
        <w:jc w:val="both"/>
        <w:rPr>
          <w:lang w:val="fr-FR"/>
        </w:rPr>
      </w:pPr>
      <w:r>
        <w:rPr>
          <w:lang w:val="fr-FR"/>
        </w:rPr>
        <w:t>« Les piles, batteries ou équipements doivent être placés dans des emballages intérieurs ou séparés par d’autres moyens appropriés, tels que par une mise en plateaux ou par des séparateurs, pour assurer la protection contre les dommages qui pourraient être causés dans des conditions normales de transport par :</w:t>
      </w:r>
    </w:p>
    <w:p w14:paraId="3C350D20" w14:textId="13BE7A31" w:rsidR="00E05FCF" w:rsidRDefault="00E05FCF" w:rsidP="00E05FCF">
      <w:pPr>
        <w:kinsoku/>
        <w:overflowPunct/>
        <w:autoSpaceDE/>
        <w:adjustRightInd/>
        <w:snapToGrid/>
        <w:spacing w:after="120"/>
        <w:ind w:left="1560" w:right="1134" w:hanging="426"/>
        <w:jc w:val="both"/>
        <w:rPr>
          <w:lang w:val="fr-FR"/>
        </w:rPr>
      </w:pPr>
      <w:r>
        <w:rPr>
          <w:lang w:val="fr-FR"/>
        </w:rPr>
        <w:t>1)</w:t>
      </w:r>
      <w:r>
        <w:rPr>
          <w:lang w:val="fr-FR"/>
        </w:rPr>
        <w:tab/>
        <w:t>Le mouvement ou le placement à l’intérieur du grand emballage ;</w:t>
      </w:r>
    </w:p>
    <w:p w14:paraId="5A455AF1" w14:textId="0D6263CC" w:rsidR="00E05FCF" w:rsidRDefault="00E05FCF" w:rsidP="00E05FCF">
      <w:pPr>
        <w:kinsoku/>
        <w:overflowPunct/>
        <w:autoSpaceDE/>
        <w:adjustRightInd/>
        <w:snapToGrid/>
        <w:spacing w:after="120"/>
        <w:ind w:left="1560" w:right="1134" w:hanging="426"/>
        <w:jc w:val="both"/>
        <w:rPr>
          <w:lang w:val="fr-FR"/>
        </w:rPr>
      </w:pPr>
      <w:r>
        <w:rPr>
          <w:lang w:val="fr-FR"/>
        </w:rPr>
        <w:t>2)</w:t>
      </w:r>
      <w:r>
        <w:rPr>
          <w:lang w:val="fr-FR"/>
        </w:rPr>
        <w:tab/>
        <w:t>Le contact avec d’autres piles, batteries ou équipements à l’intérieur du grand emballage ; et</w:t>
      </w:r>
    </w:p>
    <w:p w14:paraId="31BEB2FB" w14:textId="129B5337" w:rsidR="00E05FCF" w:rsidRDefault="00E05FCF" w:rsidP="00E05FCF">
      <w:pPr>
        <w:kinsoku/>
        <w:overflowPunct/>
        <w:autoSpaceDE/>
        <w:adjustRightInd/>
        <w:snapToGrid/>
        <w:spacing w:after="120"/>
        <w:ind w:left="1560" w:right="1134" w:hanging="426"/>
        <w:jc w:val="both"/>
        <w:rPr>
          <w:lang w:val="fr-FR"/>
        </w:rPr>
      </w:pPr>
      <w:r>
        <w:rPr>
          <w:lang w:val="fr-FR"/>
        </w:rPr>
        <w:t>3)</w:t>
      </w:r>
      <w:r>
        <w:rPr>
          <w:lang w:val="fr-FR"/>
        </w:rPr>
        <w:tab/>
        <w:t>Les contraintes exercées en raison de la superposition à l’intérieur du grand emballage, sur ces éléments, des masses d’autres piles, batteries, équipements et composants de l’emballage.</w:t>
      </w:r>
    </w:p>
    <w:p w14:paraId="7BE52271" w14:textId="466CC7A1" w:rsidR="00E05FCF" w:rsidRDefault="00E05FCF" w:rsidP="00E05FCF">
      <w:pPr>
        <w:kinsoku/>
        <w:overflowPunct/>
        <w:autoSpaceDE/>
        <w:adjustRightInd/>
        <w:snapToGrid/>
        <w:spacing w:after="120"/>
        <w:ind w:left="1134" w:right="1134"/>
        <w:jc w:val="both"/>
        <w:rPr>
          <w:lang w:val="fr-FR"/>
        </w:rPr>
      </w:pPr>
      <w:r>
        <w:rPr>
          <w:lang w:val="fr-FR"/>
        </w:rPr>
        <w:t xml:space="preserve">Lorsque des piles, des batteries ou équipements </w:t>
      </w:r>
      <w:r w:rsidRPr="00016625">
        <w:rPr>
          <w:lang w:val="fr-FR"/>
        </w:rPr>
        <w:t>multiples</w:t>
      </w:r>
      <w:r>
        <w:rPr>
          <w:lang w:val="fr-FR"/>
        </w:rPr>
        <w:t xml:space="preserve"> sont emballés dans de grands emballages, il ne peut suffire d’utiliser uniquement des sacs (par exemple en plastique) pour satisfaire à ces prescriptions. »</w:t>
      </w:r>
    </w:p>
    <w:p w14:paraId="20675266" w14:textId="77777777" w:rsidR="00E05FCF" w:rsidRDefault="00E05FCF" w:rsidP="00E05FCF">
      <w:pPr>
        <w:kinsoku/>
        <w:overflowPunct/>
        <w:autoSpaceDE/>
        <w:adjustRightInd/>
        <w:snapToGrid/>
        <w:spacing w:after="120"/>
        <w:ind w:left="1134" w:right="1134"/>
        <w:jc w:val="both"/>
        <w:rPr>
          <w:i/>
          <w:iCs/>
        </w:rPr>
      </w:pPr>
      <w:r>
        <w:rPr>
          <w:i/>
          <w:iCs/>
        </w:rPr>
        <w:t>(Document de référence : document informel INF.40, tel que modifié)</w:t>
      </w:r>
    </w:p>
    <w:p w14:paraId="36D0C495"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sidRPr="00CE31AA">
        <w:rPr>
          <w:lang w:val="fr-FR"/>
        </w:rPr>
        <w:t>4.1.6.</w:t>
      </w:r>
      <w:r w:rsidRPr="00FC79AA">
        <w:rPr>
          <w:lang w:val="fr-FR"/>
        </w:rPr>
        <w:t>1.</w:t>
      </w:r>
      <w:r w:rsidRPr="00CE31AA">
        <w:rPr>
          <w:lang w:val="fr-FR"/>
        </w:rPr>
        <w:t>2</w:t>
      </w:r>
      <w:r>
        <w:rPr>
          <w:lang w:val="fr-FR"/>
        </w:rPr>
        <w:tab/>
      </w:r>
      <w:r w:rsidRPr="00FC79AA">
        <w:rPr>
          <w:lang w:val="fr-FR"/>
        </w:rPr>
        <w:t>Dans la deuxième phrase,</w:t>
      </w:r>
      <w:r>
        <w:rPr>
          <w:lang w:val="fr-FR"/>
        </w:rPr>
        <w:t xml:space="preserve"> r</w:t>
      </w:r>
      <w:r w:rsidRPr="001013E4">
        <w:rPr>
          <w:lang w:val="fr-FR"/>
        </w:rPr>
        <w:t>emplacer «</w:t>
      </w:r>
      <w:r>
        <w:rPr>
          <w:lang w:val="fr-FR"/>
        </w:rPr>
        <w:t> </w:t>
      </w:r>
      <w:r w:rsidRPr="001013E4">
        <w:rPr>
          <w:lang w:val="fr-FR"/>
        </w:rPr>
        <w:t>ISO 11114-</w:t>
      </w:r>
      <w:proofErr w:type="gramStart"/>
      <w:r w:rsidRPr="001013E4">
        <w:rPr>
          <w:lang w:val="fr-FR"/>
        </w:rPr>
        <w:t>2:</w:t>
      </w:r>
      <w:proofErr w:type="gramEnd"/>
      <w:r w:rsidRPr="001013E4">
        <w:rPr>
          <w:lang w:val="fr-FR"/>
        </w:rPr>
        <w:t>2013</w:t>
      </w:r>
      <w:r>
        <w:rPr>
          <w:lang w:val="fr-FR"/>
        </w:rPr>
        <w:t> </w:t>
      </w:r>
      <w:r w:rsidRPr="001013E4">
        <w:rPr>
          <w:lang w:val="fr-FR"/>
        </w:rPr>
        <w:t>» par «</w:t>
      </w:r>
      <w:r>
        <w:rPr>
          <w:lang w:val="fr-FR"/>
        </w:rPr>
        <w:t> </w:t>
      </w:r>
      <w:r w:rsidRPr="001013E4">
        <w:rPr>
          <w:lang w:val="fr-FR"/>
        </w:rPr>
        <w:t>ISO 11114-2:2021</w:t>
      </w:r>
      <w:r>
        <w:rPr>
          <w:lang w:val="fr-FR"/>
        </w:rPr>
        <w:t> </w:t>
      </w:r>
      <w:r w:rsidRPr="001013E4">
        <w:rPr>
          <w:lang w:val="fr-FR"/>
        </w:rPr>
        <w:t>».</w:t>
      </w:r>
    </w:p>
    <w:p w14:paraId="02126472"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022/14, proposition 1</w:t>
      </w:r>
      <w:r w:rsidRPr="000F462A">
        <w:rPr>
          <w:i/>
          <w:iCs/>
        </w:rPr>
        <w:t>)</w:t>
      </w:r>
    </w:p>
    <w:p w14:paraId="16A41480" w14:textId="563337D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[4.1.7.0.1</w:t>
      </w:r>
      <w:r>
        <w:rPr>
          <w:lang w:val="fr-FR"/>
        </w:rPr>
        <w:tab/>
        <w:t>Dans la deuxième phrase, remplacer « </w:t>
      </w:r>
      <w:r w:rsidRPr="005B4BF5">
        <w:rPr>
          <w:lang w:val="fr-FR"/>
        </w:rPr>
        <w:t>taux de remplissage</w:t>
      </w:r>
      <w:r>
        <w:rPr>
          <w:lang w:val="fr-FR"/>
        </w:rPr>
        <w:t> » par « degré de remplissage ».]</w:t>
      </w:r>
    </w:p>
    <w:p w14:paraId="2FB336FD"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09515324" w14:textId="77777777" w:rsidR="00E05FCF" w:rsidRDefault="00E05FCF" w:rsidP="00E05FCF">
      <w:pPr>
        <w:tabs>
          <w:tab w:val="right" w:pos="851"/>
        </w:tabs>
        <w:spacing w:before="360" w:after="240" w:line="270" w:lineRule="exact"/>
        <w:ind w:left="1134" w:right="1134" w:hanging="1134"/>
        <w:rPr>
          <w:b/>
          <w:sz w:val="24"/>
        </w:rPr>
      </w:pPr>
      <w:r>
        <w:rPr>
          <w:b/>
          <w:sz w:val="24"/>
          <w:lang w:val="fr-FR"/>
        </w:rPr>
        <w:tab/>
      </w:r>
      <w:r>
        <w:rPr>
          <w:b/>
          <w:sz w:val="24"/>
          <w:lang w:val="fr-FR"/>
        </w:rPr>
        <w:tab/>
      </w:r>
      <w:r>
        <w:rPr>
          <w:b/>
          <w:sz w:val="24"/>
        </w:rPr>
        <w:t>Chapitre 4.2</w:t>
      </w:r>
    </w:p>
    <w:p w14:paraId="0FEF4DA5"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[4.2.1.9.2</w:t>
      </w:r>
      <w:r>
        <w:rPr>
          <w:lang w:val="fr-FR"/>
        </w:rPr>
        <w:tab/>
        <w:t>Remplacer « taux » par « degré » (deux fois).]</w:t>
      </w:r>
    </w:p>
    <w:p w14:paraId="6A8263F1"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27410CD0"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[4.2.1.9.3</w:t>
      </w:r>
      <w:r>
        <w:rPr>
          <w:lang w:val="fr-FR"/>
        </w:rPr>
        <w:tab/>
        <w:t>Remplacer « taux » par « degré » (deux fois).]</w:t>
      </w:r>
    </w:p>
    <w:p w14:paraId="05954F7F"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4C177D00"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[4.2.1.9.5</w:t>
      </w:r>
      <w:r>
        <w:rPr>
          <w:lang w:val="fr-FR"/>
        </w:rPr>
        <w:tab/>
        <w:t>Dans la deuxième phrase, remplacer « </w:t>
      </w:r>
      <w:r w:rsidRPr="002D4F5E">
        <w:t>que la citerne ne soit jamais pleine à plus de 95 %</w:t>
      </w:r>
      <w:r>
        <w:t> </w:t>
      </w:r>
      <w:r>
        <w:rPr>
          <w:lang w:val="fr-FR"/>
        </w:rPr>
        <w:t xml:space="preserve">» par « de s’assurer que le degré maximal de remplissage ne dépasse pas </w:t>
      </w:r>
      <w:r w:rsidRPr="002D4F5E">
        <w:t>95 %</w:t>
      </w:r>
      <w:r>
        <w:rPr>
          <w:lang w:val="fr-FR"/>
        </w:rPr>
        <w:t> » (deux fois).]</w:t>
      </w:r>
    </w:p>
    <w:p w14:paraId="3C2335E1"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2DD6BA27" w14:textId="77777777" w:rsidR="00E05FCF" w:rsidRPr="00EB7592" w:rsidRDefault="00E05FCF" w:rsidP="00E05FCF">
      <w:pPr>
        <w:tabs>
          <w:tab w:val="left" w:pos="2268"/>
        </w:tabs>
        <w:kinsoku/>
        <w:overflowPunct/>
        <w:autoSpaceDE/>
        <w:adjustRightInd/>
        <w:snapToGrid/>
        <w:spacing w:after="120"/>
        <w:ind w:left="2268" w:right="1134" w:hanging="1134"/>
        <w:jc w:val="both"/>
        <w:rPr>
          <w:sz w:val="16"/>
          <w:szCs w:val="16"/>
        </w:rPr>
      </w:pPr>
      <w:r>
        <w:rPr>
          <w:lang w:val="fr-FR"/>
        </w:rPr>
        <w:t>[4.2.1.9.5.1</w:t>
      </w:r>
      <w:r>
        <w:rPr>
          <w:lang w:val="fr-FR"/>
        </w:rPr>
        <w:tab/>
        <w:t>Remplacer « taux » par « degré » (deux fois).]</w:t>
      </w:r>
    </w:p>
    <w:p w14:paraId="21B0339A"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7FB84EB8"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[4.2.1.9.6</w:t>
      </w:r>
      <w:r>
        <w:rPr>
          <w:lang w:val="fr-FR"/>
        </w:rPr>
        <w:tab/>
        <w:t>À l’alinéa a), au début, remplacer « taux » par « degré ».]</w:t>
      </w:r>
    </w:p>
    <w:p w14:paraId="5CB0D663"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071D8363"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[4.2.1.13.13</w:t>
      </w:r>
      <w:r>
        <w:rPr>
          <w:lang w:val="fr-FR"/>
        </w:rPr>
        <w:tab/>
        <w:t>Remplacer « taux » par « degré ».]</w:t>
      </w:r>
    </w:p>
    <w:p w14:paraId="12462444"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27E9FA21"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[4.2.1.16.2</w:t>
      </w:r>
      <w:r>
        <w:rPr>
          <w:lang w:val="fr-FR"/>
        </w:rPr>
        <w:tab/>
        <w:t>Remplacer « taux » par « degré ».]</w:t>
      </w:r>
    </w:p>
    <w:p w14:paraId="562D8B05"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2C3B2026"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lastRenderedPageBreak/>
        <w:t>[4.2.1.19.2</w:t>
      </w:r>
      <w:r>
        <w:rPr>
          <w:lang w:val="fr-FR"/>
        </w:rPr>
        <w:tab/>
        <w:t>Dans la dernière phrase, remplacer « taux » par « degré ».]</w:t>
      </w:r>
    </w:p>
    <w:p w14:paraId="734D29C5"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72484DD8"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[4.2.3.6.2</w:t>
      </w:r>
      <w:r>
        <w:rPr>
          <w:lang w:val="fr-FR"/>
        </w:rPr>
        <w:tab/>
        <w:t>Dans la première phrase, remplacer « </w:t>
      </w:r>
      <w:r w:rsidRPr="00ED1BDB">
        <w:rPr>
          <w:lang w:val="fr-FR"/>
        </w:rPr>
        <w:t>du taux initial du remplissage</w:t>
      </w:r>
      <w:r>
        <w:rPr>
          <w:lang w:val="fr-FR"/>
        </w:rPr>
        <w:t> » par</w:t>
      </w:r>
      <w:r w:rsidRPr="00ED1BDB">
        <w:rPr>
          <w:lang w:val="fr-FR"/>
        </w:rPr>
        <w:t xml:space="preserve"> </w:t>
      </w:r>
      <w:r>
        <w:rPr>
          <w:lang w:val="fr-FR"/>
        </w:rPr>
        <w:t>« de la quantité initiale de gaz remplie dans le réservoir ». Dans la deuxième phrase, remplacer « </w:t>
      </w:r>
      <w:r w:rsidRPr="00441C48">
        <w:rPr>
          <w:lang w:val="fr-FR"/>
        </w:rPr>
        <w:t>Le taux initial de remplissage</w:t>
      </w:r>
      <w:r>
        <w:rPr>
          <w:lang w:val="fr-FR"/>
        </w:rPr>
        <w:t xml:space="preserve"> </w:t>
      </w:r>
      <w:r w:rsidRPr="00817076">
        <w:rPr>
          <w:lang w:val="fr-FR"/>
        </w:rPr>
        <w:t>d'un réservoir</w:t>
      </w:r>
      <w:r>
        <w:rPr>
          <w:lang w:val="fr-FR"/>
        </w:rPr>
        <w:t> » par « La quantité initiale de gaz rempli dans un réservoir » et remplacer « tel que » par « telle que ».]</w:t>
      </w:r>
    </w:p>
    <w:p w14:paraId="5ADF4B3B"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 tel que modifié)</w:t>
      </w:r>
    </w:p>
    <w:p w14:paraId="435608B3"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[4.2.3.6.4</w:t>
      </w:r>
      <w:r>
        <w:rPr>
          <w:lang w:val="fr-FR"/>
        </w:rPr>
        <w:tab/>
        <w:t>Remplacer « </w:t>
      </w:r>
      <w:r w:rsidRPr="002D4F5E">
        <w:t>Un taux initial de remplissage plus élevé peut être autorisé</w:t>
      </w:r>
      <w:r>
        <w:t xml:space="preserve"> » par « Une quantité initiale de gaz rempli dans </w:t>
      </w:r>
      <w:proofErr w:type="gramStart"/>
      <w:r>
        <w:t>le réservoir plus élevée</w:t>
      </w:r>
      <w:proofErr w:type="gramEnd"/>
      <w:r>
        <w:t xml:space="preserve"> peut être autorisée »</w:t>
      </w:r>
      <w:r>
        <w:rPr>
          <w:lang w:val="fr-FR"/>
        </w:rPr>
        <w:t>.]</w:t>
      </w:r>
    </w:p>
    <w:p w14:paraId="569894F1"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3696BA31"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[4.2.5.2.3</w:t>
      </w:r>
      <w:r>
        <w:rPr>
          <w:lang w:val="fr-FR"/>
        </w:rPr>
        <w:tab/>
        <w:t>Remplacer « </w:t>
      </w:r>
      <w:r w:rsidRPr="002D4F5E">
        <w:t>la densité de remplissage maximale pour chacun des gaz liquéfiés non réfrigérés autorisé</w:t>
      </w:r>
      <w:r>
        <w:t> » par « le taux de r</w:t>
      </w:r>
      <w:r w:rsidRPr="00C7544F">
        <w:t>emplissage maximal pour chacun des gaz liquéfiés non réfrigérés autorisé</w:t>
      </w:r>
      <w:r>
        <w:t>s »</w:t>
      </w:r>
      <w:r>
        <w:rPr>
          <w:lang w:val="fr-FR"/>
        </w:rPr>
        <w:t>.]</w:t>
      </w:r>
    </w:p>
    <w:p w14:paraId="4F71BF12" w14:textId="77777777" w:rsidR="00E05FCF" w:rsidRDefault="00E05FCF" w:rsidP="00E05FCF">
      <w:pPr>
        <w:kinsoku/>
        <w:overflowPunct/>
        <w:autoSpaceDE/>
        <w:adjustRightInd/>
        <w:snapToGrid/>
        <w:spacing w:after="120"/>
        <w:ind w:left="1134" w:right="1134"/>
        <w:jc w:val="both"/>
        <w:rPr>
          <w:i/>
          <w:iCs/>
        </w:rPr>
      </w:pPr>
      <w:r>
        <w:rPr>
          <w:i/>
          <w:iCs/>
        </w:rPr>
        <w:t xml:space="preserve">(Documents de référence : ST/SG/AC.10/C.3/2022/23 et document informel INF.18 </w:t>
      </w:r>
      <w:r w:rsidRPr="00EC4073">
        <w:rPr>
          <w:i/>
          <w:iCs/>
        </w:rPr>
        <w:t>et correction éditoriale pour la version française)</w:t>
      </w:r>
    </w:p>
    <w:p w14:paraId="59BBE423"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[4.2.5.2.6, T23</w:t>
      </w:r>
      <w:r>
        <w:rPr>
          <w:lang w:val="fr-FR"/>
        </w:rPr>
        <w:tab/>
        <w:t>Dans le tableau, modifier le titre de la septième colonne pour lire « Degré de remplissage ».]</w:t>
      </w:r>
    </w:p>
    <w:p w14:paraId="182C0150"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6B3B116F"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[4.2.5.2.6, T50</w:t>
      </w:r>
      <w:r>
        <w:rPr>
          <w:lang w:val="fr-FR"/>
        </w:rPr>
        <w:tab/>
        <w:t>Dans la note de bas de tableau c, remplacer « </w:t>
      </w:r>
      <w:r w:rsidRPr="009F3F34">
        <w:rPr>
          <w:lang w:val="fr-FR"/>
        </w:rPr>
        <w:t>de la densité de remplissage maximale</w:t>
      </w:r>
      <w:r>
        <w:rPr>
          <w:lang w:val="fr-FR"/>
        </w:rPr>
        <w:t> » par « du taux de remplissage maximal ».]</w:t>
      </w:r>
    </w:p>
    <w:p w14:paraId="5418B214"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527492B0"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[4.2.5.3, TP1</w:t>
      </w:r>
      <w:r>
        <w:rPr>
          <w:lang w:val="fr-FR"/>
        </w:rPr>
        <w:tab/>
        <w:t>Remplacer « taux » par « degré » (deux fois).]</w:t>
      </w:r>
    </w:p>
    <w:p w14:paraId="5D2C5994"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09757556"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[4.2.5.3, TP2</w:t>
      </w:r>
      <w:r>
        <w:rPr>
          <w:lang w:val="fr-FR"/>
        </w:rPr>
        <w:tab/>
        <w:t>Remplacer « taux » par « degré » (deux fois).]</w:t>
      </w:r>
    </w:p>
    <w:p w14:paraId="7A230D4D"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2DC2317E"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[4.2.5.3, TP3</w:t>
      </w:r>
      <w:r>
        <w:rPr>
          <w:lang w:val="fr-FR"/>
        </w:rPr>
        <w:tab/>
        <w:t>Remplacer « taux » par « degré » (deux fois).]</w:t>
      </w:r>
    </w:p>
    <w:p w14:paraId="0DF1859E"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059FC5E2"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[4.2.5.3, TP4</w:t>
      </w:r>
      <w:r>
        <w:rPr>
          <w:lang w:val="fr-FR"/>
        </w:rPr>
        <w:tab/>
        <w:t>Remplacer « taux » par « degré ».]</w:t>
      </w:r>
    </w:p>
    <w:p w14:paraId="5D772D84"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401A068E"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[4.2.5.3, TP5</w:t>
      </w:r>
      <w:r>
        <w:rPr>
          <w:lang w:val="fr-FR"/>
        </w:rPr>
        <w:tab/>
        <w:t>Modifier pour lire comme suit :</w:t>
      </w:r>
    </w:p>
    <w:p w14:paraId="417A5B1D"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 TP5</w:t>
      </w:r>
      <w:r>
        <w:rPr>
          <w:lang w:val="fr-FR"/>
        </w:rPr>
        <w:tab/>
        <w:t xml:space="preserve">Les restrictions de remplissage </w:t>
      </w:r>
      <w:r w:rsidRPr="002D4F5E">
        <w:rPr>
          <w:noProof/>
        </w:rPr>
        <w:t>du 4.2.3.6 doi</w:t>
      </w:r>
      <w:r>
        <w:rPr>
          <w:noProof/>
        </w:rPr>
        <w:t>ven</w:t>
      </w:r>
      <w:r w:rsidRPr="002D4F5E">
        <w:rPr>
          <w:noProof/>
        </w:rPr>
        <w:t>t être respecté</w:t>
      </w:r>
      <w:r>
        <w:rPr>
          <w:noProof/>
        </w:rPr>
        <w:t>es</w:t>
      </w:r>
      <w:r w:rsidRPr="002D4F5E">
        <w:rPr>
          <w:noProof/>
        </w:rPr>
        <w:t>.</w:t>
      </w:r>
      <w:r>
        <w:rPr>
          <w:noProof/>
        </w:rPr>
        <w:t> »</w:t>
      </w:r>
    </w:p>
    <w:p w14:paraId="0E064619"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21BBE967" w14:textId="77777777" w:rsidR="00E05FCF" w:rsidRDefault="00E05FCF" w:rsidP="00E05FCF">
      <w:pPr>
        <w:tabs>
          <w:tab w:val="right" w:pos="851"/>
        </w:tabs>
        <w:spacing w:before="360" w:after="240" w:line="270" w:lineRule="exact"/>
        <w:ind w:left="1134" w:right="1134" w:hanging="1134"/>
        <w:rPr>
          <w:b/>
          <w:sz w:val="24"/>
        </w:rPr>
      </w:pPr>
      <w:r>
        <w:rPr>
          <w:b/>
          <w:sz w:val="24"/>
          <w:lang w:val="fr-FR"/>
        </w:rPr>
        <w:tab/>
      </w:r>
      <w:r>
        <w:rPr>
          <w:b/>
          <w:sz w:val="24"/>
          <w:lang w:val="fr-FR"/>
        </w:rPr>
        <w:tab/>
      </w:r>
      <w:r>
        <w:rPr>
          <w:b/>
          <w:sz w:val="24"/>
        </w:rPr>
        <w:t>Chapitre 5.3</w:t>
      </w:r>
    </w:p>
    <w:p w14:paraId="40F5D05C"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5.3.1.1.5.1</w:t>
      </w:r>
      <w:r>
        <w:rPr>
          <w:lang w:val="fr-FR"/>
        </w:rPr>
        <w:tab/>
        <w:t>Dans la première phrase, remplacer « </w:t>
      </w:r>
      <w:r w:rsidRPr="002D4F5E">
        <w:rPr>
          <w:szCs w:val="24"/>
        </w:rPr>
        <w:t>ou SCO-I</w:t>
      </w:r>
      <w:r>
        <w:rPr>
          <w:szCs w:val="24"/>
        </w:rPr>
        <w:t xml:space="preserve"> » par </w:t>
      </w:r>
      <w:proofErr w:type="gramStart"/>
      <w:r>
        <w:rPr>
          <w:szCs w:val="24"/>
        </w:rPr>
        <w:t>« ,</w:t>
      </w:r>
      <w:proofErr w:type="gramEnd"/>
      <w:r>
        <w:rPr>
          <w:szCs w:val="24"/>
        </w:rPr>
        <w:t xml:space="preserve"> des SCO-I ou des SCO-III ».</w:t>
      </w:r>
    </w:p>
    <w:p w14:paraId="31473F40" w14:textId="77777777" w:rsidR="00E05FCF" w:rsidRDefault="00E05FCF" w:rsidP="00E05FCF">
      <w:pPr>
        <w:kinsoku/>
        <w:overflowPunct/>
        <w:autoSpaceDE/>
        <w:adjustRightInd/>
        <w:snapToGrid/>
        <w:spacing w:before="120" w:after="120"/>
        <w:ind w:left="1134" w:right="1134"/>
        <w:jc w:val="both"/>
        <w:rPr>
          <w:i/>
          <w:iCs/>
        </w:rPr>
      </w:pPr>
      <w:r>
        <w:rPr>
          <w:i/>
          <w:iCs/>
        </w:rPr>
        <w:t>(Document de référence : ST/SG/AC.10/C.3/2022/31)</w:t>
      </w:r>
    </w:p>
    <w:p w14:paraId="15524E53" w14:textId="77777777" w:rsidR="00E05FCF" w:rsidRPr="005D783E" w:rsidRDefault="00E05FCF" w:rsidP="00E05FCF">
      <w:pPr>
        <w:pStyle w:val="H1G"/>
        <w:keepNext w:val="0"/>
        <w:keepLines w:val="0"/>
      </w:pPr>
      <w:r w:rsidRPr="000F462A">
        <w:rPr>
          <w:lang w:val="fr-FR"/>
        </w:rPr>
        <w:tab/>
      </w:r>
      <w:r w:rsidRPr="000F462A">
        <w:rPr>
          <w:lang w:val="fr-FR"/>
        </w:rPr>
        <w:tab/>
      </w:r>
      <w:r w:rsidRPr="005D783E">
        <w:t>Chapitre 5.5</w:t>
      </w:r>
    </w:p>
    <w:p w14:paraId="119371FD" w14:textId="77777777" w:rsidR="00E05FCF" w:rsidRPr="005D783E" w:rsidRDefault="00E05FCF" w:rsidP="00E05FCF">
      <w:pPr>
        <w:kinsoku/>
        <w:overflowPunct/>
        <w:autoSpaceDE/>
        <w:autoSpaceDN/>
        <w:adjustRightInd/>
        <w:snapToGrid/>
        <w:spacing w:after="120"/>
        <w:ind w:left="1134" w:right="1134"/>
        <w:jc w:val="both"/>
        <w:rPr>
          <w:i/>
          <w:iCs/>
        </w:rPr>
      </w:pPr>
      <w:r w:rsidRPr="005D783E">
        <w:rPr>
          <w:lang w:val="fr-FR"/>
        </w:rPr>
        <w:t>5.5.3.3.1</w:t>
      </w:r>
      <w:r w:rsidRPr="005D783E">
        <w:rPr>
          <w:lang w:val="fr-FR"/>
        </w:rPr>
        <w:tab/>
        <w:t xml:space="preserve">Remplacer </w:t>
      </w:r>
      <w:proofErr w:type="gramStart"/>
      <w:r w:rsidRPr="005D783E">
        <w:rPr>
          <w:lang w:val="fr-FR"/>
        </w:rPr>
        <w:t>« ,</w:t>
      </w:r>
      <w:proofErr w:type="gramEnd"/>
      <w:r w:rsidRPr="005D783E">
        <w:rPr>
          <w:lang w:val="fr-FR"/>
        </w:rPr>
        <w:t xml:space="preserve"> </w:t>
      </w:r>
      <w:r w:rsidRPr="005D783E">
        <w:t>P800, P901 ou P904 » par « ou P800 ».</w:t>
      </w:r>
    </w:p>
    <w:p w14:paraId="6088B45A" w14:textId="77777777" w:rsidR="00E05FCF" w:rsidRDefault="00E05FCF" w:rsidP="00E05FCF">
      <w:pPr>
        <w:kinsoku/>
        <w:overflowPunct/>
        <w:autoSpaceDE/>
        <w:autoSpaceDN/>
        <w:adjustRightInd/>
        <w:snapToGrid/>
        <w:spacing w:after="120"/>
        <w:ind w:left="1134" w:right="1134"/>
        <w:jc w:val="both"/>
        <w:rPr>
          <w:i/>
          <w:iCs/>
        </w:rPr>
      </w:pPr>
      <w:r w:rsidRPr="005D783E">
        <w:rPr>
          <w:i/>
          <w:iCs/>
        </w:rPr>
        <w:t xml:space="preserve">(Document de référence : ST/SG/AC.10/C.3/2022/12, </w:t>
      </w:r>
      <w:r>
        <w:rPr>
          <w:i/>
          <w:iCs/>
        </w:rPr>
        <w:t>tel que modifié</w:t>
      </w:r>
      <w:r w:rsidRPr="005D783E">
        <w:rPr>
          <w:i/>
          <w:iCs/>
        </w:rPr>
        <w:t>)</w:t>
      </w:r>
    </w:p>
    <w:p w14:paraId="777BB86F" w14:textId="77777777" w:rsidR="00E05FCF" w:rsidRPr="000F462A" w:rsidRDefault="00E05FCF" w:rsidP="00E05FCF">
      <w:pPr>
        <w:pStyle w:val="H1G"/>
        <w:keepNext w:val="0"/>
        <w:keepLines w:val="0"/>
      </w:pPr>
      <w:r w:rsidRPr="000F462A">
        <w:rPr>
          <w:lang w:val="fr-FR"/>
        </w:rPr>
        <w:lastRenderedPageBreak/>
        <w:tab/>
      </w:r>
      <w:r w:rsidRPr="000F462A">
        <w:rPr>
          <w:lang w:val="fr-FR"/>
        </w:rPr>
        <w:tab/>
      </w:r>
      <w:r w:rsidRPr="000F462A">
        <w:t xml:space="preserve">Chapitre </w:t>
      </w:r>
      <w:r>
        <w:t>6.1</w:t>
      </w:r>
    </w:p>
    <w:p w14:paraId="605F6F10"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6.1.3.1</w:t>
      </w:r>
      <w:r>
        <w:rPr>
          <w:lang w:val="fr-FR"/>
        </w:rPr>
        <w:tab/>
        <w:t xml:space="preserve">Dans la première phrase, après « doit porter » ajouter </w:t>
      </w:r>
      <w:proofErr w:type="gramStart"/>
      <w:r>
        <w:rPr>
          <w:lang w:val="fr-FR"/>
        </w:rPr>
        <w:t>« </w:t>
      </w:r>
      <w:r w:rsidRPr="005F109D">
        <w:rPr>
          <w:lang w:val="fr-FR"/>
        </w:rPr>
        <w:t>,</w:t>
      </w:r>
      <w:proofErr w:type="gramEnd"/>
      <w:r w:rsidRPr="005F109D">
        <w:rPr>
          <w:lang w:val="fr-FR"/>
        </w:rPr>
        <w:t xml:space="preserve"> sur un élément non amovible,</w:t>
      </w:r>
      <w:r>
        <w:rPr>
          <w:lang w:val="fr-FR"/>
        </w:rPr>
        <w:t> ».</w:t>
      </w:r>
    </w:p>
    <w:p w14:paraId="483492A7"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ab/>
        <w:t>Ajouter le nouveau Nota suivant sous le premier paragraphe :</w:t>
      </w:r>
    </w:p>
    <w:p w14:paraId="23EAE258" w14:textId="77777777" w:rsidR="00E05FCF" w:rsidRDefault="00E05FCF" w:rsidP="00E05FCF">
      <w:pPr>
        <w:kinsoku/>
        <w:overflowPunct/>
        <w:autoSpaceDE/>
        <w:adjustRightInd/>
        <w:snapToGrid/>
        <w:spacing w:after="120"/>
        <w:ind w:left="1134" w:right="1134"/>
        <w:jc w:val="both"/>
        <w:rPr>
          <w:lang w:val="fr-FR"/>
        </w:rPr>
      </w:pPr>
      <w:r>
        <w:rPr>
          <w:lang w:val="fr-FR"/>
        </w:rPr>
        <w:t>« </w:t>
      </w:r>
      <w:r w:rsidRPr="00275984">
        <w:rPr>
          <w:b/>
          <w:bCs/>
          <w:i/>
          <w:iCs/>
          <w:lang w:val="fr-FR"/>
        </w:rPr>
        <w:t>NOTA</w:t>
      </w:r>
      <w:r>
        <w:rPr>
          <w:b/>
          <w:bCs/>
          <w:i/>
          <w:iCs/>
          <w:lang w:val="fr-FR"/>
        </w:rPr>
        <w:t> </w:t>
      </w:r>
      <w:r w:rsidRPr="00275984">
        <w:rPr>
          <w:b/>
          <w:bCs/>
          <w:i/>
          <w:iCs/>
          <w:lang w:val="fr-FR"/>
        </w:rPr>
        <w:t>:</w:t>
      </w:r>
      <w:r w:rsidRPr="00275984">
        <w:rPr>
          <w:i/>
          <w:iCs/>
          <w:lang w:val="fr-FR"/>
        </w:rPr>
        <w:t xml:space="preserve"> </w:t>
      </w:r>
      <w:r w:rsidRPr="00275984">
        <w:rPr>
          <w:i/>
          <w:iCs/>
          <w:lang w:val="fr-FR"/>
        </w:rPr>
        <w:tab/>
        <w:t xml:space="preserve">Les dispositions du 6.1.3.1 </w:t>
      </w:r>
      <w:proofErr w:type="gramStart"/>
      <w:r w:rsidRPr="00275984">
        <w:rPr>
          <w:i/>
          <w:iCs/>
          <w:lang w:val="fr-FR"/>
        </w:rPr>
        <w:t>figurant</w:t>
      </w:r>
      <w:proofErr w:type="gramEnd"/>
      <w:r w:rsidRPr="00275984">
        <w:rPr>
          <w:i/>
          <w:iCs/>
          <w:lang w:val="fr-FR"/>
        </w:rPr>
        <w:t xml:space="preserve"> dans la vingt-deuxième édition révisée des Recommandations relatives au transport des marchandises dangereuses, Règlement type, peuvent continuer à être appliquées jusqu’au 31 décembre 2026. Les emballages fabriqués avant le 1er janvier 2027 conformément aux dispositions applicables à la date de fabrication peuvent continuer à être utilisés.</w:t>
      </w:r>
      <w:r>
        <w:rPr>
          <w:lang w:val="fr-FR"/>
        </w:rPr>
        <w:t> »</w:t>
      </w:r>
    </w:p>
    <w:p w14:paraId="04F9FD00"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022/41</w:t>
      </w:r>
      <w:r w:rsidRPr="000F462A">
        <w:rPr>
          <w:i/>
          <w:iCs/>
        </w:rPr>
        <w:t>)</w:t>
      </w:r>
    </w:p>
    <w:p w14:paraId="056B90DE"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[6.1.5.5.4</w:t>
      </w:r>
      <w:r>
        <w:rPr>
          <w:lang w:val="fr-FR"/>
        </w:rPr>
        <w:tab/>
        <w:t>À l’alinéa a</w:t>
      </w:r>
      <w:r w:rsidRPr="00B70085">
        <w:rPr>
          <w:lang w:val="fr-FR"/>
        </w:rPr>
        <w:t>)</w:t>
      </w:r>
      <w:r>
        <w:rPr>
          <w:lang w:val="fr-FR"/>
        </w:rPr>
        <w:t>, Remplacer « taux » par « degré ».]</w:t>
      </w:r>
    </w:p>
    <w:p w14:paraId="0AA13A0B"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663C5D9C" w14:textId="77777777" w:rsidR="00E05FCF" w:rsidRPr="000F462A" w:rsidRDefault="00E05FCF" w:rsidP="00E05FCF">
      <w:pPr>
        <w:pStyle w:val="H1G"/>
        <w:keepNext w:val="0"/>
        <w:keepLines w:val="0"/>
      </w:pPr>
      <w:r w:rsidRPr="000F462A">
        <w:rPr>
          <w:lang w:val="fr-FR"/>
        </w:rPr>
        <w:tab/>
      </w:r>
      <w:r w:rsidRPr="000F462A">
        <w:rPr>
          <w:lang w:val="fr-FR"/>
        </w:rPr>
        <w:tab/>
      </w:r>
      <w:r w:rsidRPr="000F462A">
        <w:t xml:space="preserve">Chapitre </w:t>
      </w:r>
      <w:r>
        <w:t>6.2</w:t>
      </w:r>
    </w:p>
    <w:p w14:paraId="34E00A8E" w14:textId="77777777" w:rsidR="00E05FCF" w:rsidRDefault="00E05FCF" w:rsidP="00E05FCF">
      <w:pPr>
        <w:tabs>
          <w:tab w:val="left" w:pos="1701"/>
          <w:tab w:val="left" w:pos="2268"/>
          <w:tab w:val="left" w:pos="2835"/>
        </w:tabs>
        <w:spacing w:after="120"/>
        <w:ind w:left="1134" w:right="1134"/>
        <w:jc w:val="both"/>
        <w:rPr>
          <w:lang w:val="fr-BE"/>
        </w:rPr>
      </w:pPr>
      <w:r>
        <w:rPr>
          <w:lang w:val="fr-FR"/>
        </w:rPr>
        <w:t>6.2.1.5.2</w:t>
      </w:r>
      <w:r>
        <w:rPr>
          <w:lang w:val="fr-FR"/>
        </w:rPr>
        <w:tab/>
        <w:t>Ajouter le nota suivant à la fin :</w:t>
      </w:r>
    </w:p>
    <w:p w14:paraId="1201BE1C" w14:textId="326E8B82" w:rsidR="00E05FCF" w:rsidRDefault="00E05FCF" w:rsidP="00E05FCF">
      <w:pPr>
        <w:tabs>
          <w:tab w:val="left" w:pos="1701"/>
          <w:tab w:val="left" w:pos="2268"/>
          <w:tab w:val="left" w:pos="2835"/>
        </w:tabs>
        <w:spacing w:after="120"/>
        <w:ind w:left="1134" w:right="1134"/>
        <w:jc w:val="both"/>
        <w:rPr>
          <w:i/>
          <w:iCs/>
          <w:lang w:val="fr-BE"/>
        </w:rPr>
      </w:pPr>
      <w:r>
        <w:rPr>
          <w:lang w:val="fr-FR"/>
        </w:rPr>
        <w:t>« </w:t>
      </w:r>
      <w:r>
        <w:rPr>
          <w:b/>
          <w:bCs/>
          <w:i/>
          <w:iCs/>
          <w:lang w:val="fr-FR"/>
        </w:rPr>
        <w:t>NOTA</w:t>
      </w:r>
      <w:r>
        <w:rPr>
          <w:i/>
          <w:iCs/>
          <w:lang w:val="fr-FR"/>
        </w:rPr>
        <w:t> :</w:t>
      </w:r>
      <w:r>
        <w:rPr>
          <w:i/>
          <w:iCs/>
          <w:lang w:val="fr-FR"/>
        </w:rPr>
        <w:tab/>
      </w:r>
      <w:r>
        <w:rPr>
          <w:i/>
          <w:iCs/>
          <w:lang w:val="fr-BE"/>
        </w:rPr>
        <w:t>Les récipients cryogéniques fermés construits conformément aux prescriptions relatives aux inspections et épreuves initiales du 6.2.1.5.2 applicables dans la vingt et unième édition révisée du Règlement type mais qui ne sont cependant pas conformes aux prescriptions du 6.2.1.5.2 relatives aux contrôles et épreuves initiaux applicables selon la vingt-deuxième édition révisée du Règlement type peuvent encore être utilisés. </w:t>
      </w:r>
      <w:r>
        <w:rPr>
          <w:lang w:val="fr-BE"/>
        </w:rPr>
        <w:t>»</w:t>
      </w:r>
    </w:p>
    <w:p w14:paraId="67E6E773" w14:textId="77777777" w:rsidR="00E05FCF" w:rsidRDefault="00E05FCF" w:rsidP="00E05FCF">
      <w:pPr>
        <w:kinsoku/>
        <w:overflowPunct/>
        <w:autoSpaceDE/>
        <w:adjustRightInd/>
        <w:snapToGrid/>
        <w:spacing w:after="120"/>
        <w:ind w:left="1134" w:right="1134"/>
        <w:jc w:val="both"/>
        <w:rPr>
          <w:i/>
          <w:iCs/>
        </w:rPr>
      </w:pPr>
      <w:r>
        <w:rPr>
          <w:i/>
          <w:iCs/>
        </w:rPr>
        <w:t>(Document de référence : ST/SG/AC.10/C.3/2022/6)</w:t>
      </w:r>
    </w:p>
    <w:p w14:paraId="204A1839" w14:textId="77777777" w:rsidR="00E05FCF" w:rsidRDefault="00E05FCF" w:rsidP="00E05FCF">
      <w:pPr>
        <w:kinsoku/>
        <w:overflowPunct/>
        <w:autoSpaceDE/>
        <w:autoSpaceDN/>
        <w:adjustRightInd/>
        <w:snapToGrid/>
        <w:spacing w:after="120"/>
        <w:ind w:left="2268" w:right="1134" w:hanging="1134"/>
        <w:jc w:val="both"/>
        <w:rPr>
          <w:i/>
          <w:iCs/>
        </w:rPr>
      </w:pPr>
      <w:r w:rsidRPr="003772BB">
        <w:t>6.2.1.6.1</w:t>
      </w:r>
      <w:r>
        <w:tab/>
        <w:t xml:space="preserve">Dans le Nota 3 </w:t>
      </w:r>
      <w:r w:rsidRPr="00293A3F">
        <w:t>sous</w:t>
      </w:r>
      <w:r>
        <w:t xml:space="preserve"> l’alinéa d), dans la première phrase, remplacer « ISO </w:t>
      </w:r>
      <w:proofErr w:type="gramStart"/>
      <w:r>
        <w:t>18119:</w:t>
      </w:r>
      <w:proofErr w:type="gramEnd"/>
      <w:r>
        <w:t>2018 » par « </w:t>
      </w:r>
      <w:r w:rsidRPr="008F3075">
        <w:t xml:space="preserve">ISO 18119:2018 + </w:t>
      </w:r>
      <w:proofErr w:type="spellStart"/>
      <w:r w:rsidRPr="008F3075">
        <w:t>Amd</w:t>
      </w:r>
      <w:proofErr w:type="spellEnd"/>
      <w:r w:rsidRPr="008F3075">
        <w:t xml:space="preserve"> 1:2021</w:t>
      </w:r>
      <w:r>
        <w:t> ». Ajouter la nouvelle deuxième phrase suivante : « </w:t>
      </w:r>
      <w:r w:rsidRPr="00385FC0">
        <w:t xml:space="preserve">Pendant une période transitoire allant jusqu’au 31 décembre 2026, la norme ISO </w:t>
      </w:r>
      <w:proofErr w:type="gramStart"/>
      <w:r w:rsidRPr="00385FC0">
        <w:t>18119:</w:t>
      </w:r>
      <w:proofErr w:type="gramEnd"/>
      <w:r w:rsidRPr="00385FC0">
        <w:t>2018 peut être utilisée à cette même fin.</w:t>
      </w:r>
      <w:r>
        <w:t> ».</w:t>
      </w:r>
    </w:p>
    <w:p w14:paraId="558FF655"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022/14, proposition 3</w:t>
      </w:r>
      <w:r w:rsidRPr="000F462A">
        <w:rPr>
          <w:i/>
          <w:iCs/>
        </w:rPr>
        <w:t>)</w:t>
      </w:r>
    </w:p>
    <w:p w14:paraId="0EE9FA7E" w14:textId="77777777" w:rsidR="00E05FCF" w:rsidRDefault="00E05FCF" w:rsidP="00E05FCF">
      <w:pPr>
        <w:tabs>
          <w:tab w:val="left" w:pos="2268"/>
        </w:tabs>
        <w:kinsoku/>
        <w:overflowPunct/>
        <w:autoSpaceDE/>
        <w:adjustRightInd/>
        <w:snapToGrid/>
        <w:spacing w:after="120"/>
        <w:ind w:left="2268" w:right="1134" w:hanging="1134"/>
        <w:jc w:val="both"/>
      </w:pPr>
      <w:r w:rsidRPr="00E621DA">
        <w:rPr>
          <w:lang w:val="fr-FR"/>
        </w:rPr>
        <w:t>6.2.2.2</w:t>
      </w:r>
      <w:r>
        <w:tab/>
      </w:r>
      <w:r w:rsidRPr="00FC15A9">
        <w:rPr>
          <w:lang w:val="fr-FR"/>
        </w:rPr>
        <w:t>Dans le tableau, remplacer</w:t>
      </w:r>
      <w:r w:rsidRPr="00FA0DE3">
        <w:t xml:space="preserve"> «</w:t>
      </w:r>
      <w:r>
        <w:rPr>
          <w:lang w:val="fr-FR"/>
        </w:rPr>
        <w:t> </w:t>
      </w:r>
      <w:r w:rsidRPr="00FA0DE3">
        <w:t>ISO 11114-</w:t>
      </w:r>
      <w:proofErr w:type="gramStart"/>
      <w:r w:rsidRPr="00FA0DE3">
        <w:t>1:</w:t>
      </w:r>
      <w:proofErr w:type="gramEnd"/>
      <w:r w:rsidRPr="00FA0DE3">
        <w:t>2012 + A1:2017</w:t>
      </w:r>
      <w:r>
        <w:rPr>
          <w:lang w:val="fr-FR"/>
        </w:rPr>
        <w:t> </w:t>
      </w:r>
      <w:r w:rsidRPr="00FA0DE3">
        <w:t>» par «</w:t>
      </w:r>
      <w:r>
        <w:rPr>
          <w:lang w:val="fr-FR"/>
        </w:rPr>
        <w:t> </w:t>
      </w:r>
      <w:r w:rsidRPr="00FA0DE3">
        <w:t xml:space="preserve">ISO 11114-1:2012 + </w:t>
      </w:r>
      <w:proofErr w:type="spellStart"/>
      <w:r w:rsidRPr="00FA0DE3">
        <w:t>Amd</w:t>
      </w:r>
      <w:proofErr w:type="spellEnd"/>
      <w:r w:rsidRPr="00FA0DE3">
        <w:t xml:space="preserve"> 1:2017</w:t>
      </w:r>
      <w:r>
        <w:rPr>
          <w:lang w:val="fr-FR"/>
        </w:rPr>
        <w:t> </w:t>
      </w:r>
      <w:r w:rsidRPr="00FA0DE3">
        <w:t>»</w:t>
      </w:r>
      <w:r>
        <w:t>.</w:t>
      </w:r>
    </w:p>
    <w:p w14:paraId="413B5E8F" w14:textId="77777777" w:rsidR="00E05FCF" w:rsidRPr="00FA0DE3"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022/14, propositions d’ordre rédactionnel</w:t>
      </w:r>
      <w:r w:rsidRPr="000F462A">
        <w:rPr>
          <w:i/>
          <w:iCs/>
        </w:rPr>
        <w:t>)</w:t>
      </w:r>
    </w:p>
    <w:p w14:paraId="1DA762ED"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ab/>
      </w:r>
      <w:r w:rsidRPr="00FC15A9">
        <w:rPr>
          <w:lang w:val="fr-FR"/>
        </w:rPr>
        <w:t>Dans le tableau, remplacer « ISO 11114-</w:t>
      </w:r>
      <w:proofErr w:type="gramStart"/>
      <w:r w:rsidRPr="00FC15A9">
        <w:rPr>
          <w:lang w:val="fr-FR"/>
        </w:rPr>
        <w:t>2:</w:t>
      </w:r>
      <w:proofErr w:type="gramEnd"/>
      <w:r w:rsidRPr="00FC15A9">
        <w:rPr>
          <w:lang w:val="fr-FR"/>
        </w:rPr>
        <w:t>2013 » par « ISO 11114-2:2021 ». Dans la deuxième colonne, supprimer « transportables ».</w:t>
      </w:r>
    </w:p>
    <w:p w14:paraId="398AE2CF"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 xml:space="preserve">022/14, </w:t>
      </w:r>
      <w:r w:rsidRPr="00DA12BB">
        <w:rPr>
          <w:i/>
          <w:iCs/>
        </w:rPr>
        <w:t>proposition 1</w:t>
      </w:r>
      <w:r w:rsidRPr="000F462A">
        <w:rPr>
          <w:i/>
          <w:iCs/>
        </w:rPr>
        <w:t>)</w:t>
      </w:r>
    </w:p>
    <w:p w14:paraId="202BE855" w14:textId="77777777" w:rsidR="00E05FCF" w:rsidRDefault="00E05FCF" w:rsidP="00E05FCF">
      <w:pPr>
        <w:tabs>
          <w:tab w:val="left" w:pos="2268"/>
        </w:tabs>
        <w:kinsoku/>
        <w:overflowPunct/>
        <w:autoSpaceDE/>
        <w:adjustRightInd/>
        <w:snapToGrid/>
        <w:spacing w:after="120"/>
        <w:ind w:left="2268" w:right="1134" w:hanging="1134"/>
        <w:jc w:val="both"/>
      </w:pPr>
      <w:r w:rsidRPr="00E621DA">
        <w:rPr>
          <w:lang w:val="fr-FR"/>
        </w:rPr>
        <w:t>6.2.2.</w:t>
      </w:r>
      <w:r>
        <w:rPr>
          <w:lang w:val="fr-FR"/>
        </w:rPr>
        <w:t>3</w:t>
      </w:r>
      <w:r>
        <w:tab/>
      </w:r>
      <w:r w:rsidRPr="00FB25DF">
        <w:rPr>
          <w:lang w:val="fr-FR"/>
        </w:rPr>
        <w:t xml:space="preserve">Dans le premier tableau, </w:t>
      </w:r>
      <w:r>
        <w:rPr>
          <w:lang w:val="fr-FR"/>
        </w:rPr>
        <w:t xml:space="preserve">remplacer </w:t>
      </w:r>
      <w:r>
        <w:t>« </w:t>
      </w:r>
      <w:r w:rsidRPr="003772BB">
        <w:t xml:space="preserve">ISO </w:t>
      </w:r>
      <w:proofErr w:type="gramStart"/>
      <w:r w:rsidRPr="003772BB">
        <w:t>10297</w:t>
      </w:r>
      <w:r>
        <w:t>:</w:t>
      </w:r>
      <w:proofErr w:type="gramEnd"/>
      <w:r>
        <w:t>20</w:t>
      </w:r>
      <w:r w:rsidRPr="003772BB">
        <w:t>14 + A</w:t>
      </w:r>
      <w:r>
        <w:t>1:</w:t>
      </w:r>
      <w:r w:rsidRPr="003772BB">
        <w:t>2017</w:t>
      </w:r>
      <w:r>
        <w:t> »</w:t>
      </w:r>
      <w:r w:rsidRPr="003772BB">
        <w:t xml:space="preserve"> par </w:t>
      </w:r>
      <w:r>
        <w:t>« </w:t>
      </w:r>
      <w:r w:rsidRPr="003772BB">
        <w:t>ISO 10297</w:t>
      </w:r>
      <w:r>
        <w:t>:</w:t>
      </w:r>
      <w:r w:rsidRPr="003772BB">
        <w:t xml:space="preserve">2014 + </w:t>
      </w:r>
      <w:proofErr w:type="spellStart"/>
      <w:r w:rsidRPr="003772BB">
        <w:t>Amd</w:t>
      </w:r>
      <w:proofErr w:type="spellEnd"/>
      <w:r>
        <w:t> 1:</w:t>
      </w:r>
      <w:r w:rsidRPr="003772BB">
        <w:t>2017</w:t>
      </w:r>
      <w:r>
        <w:t xml:space="preserve"> » et </w:t>
      </w:r>
      <w:r>
        <w:rPr>
          <w:lang w:val="fr-FR"/>
        </w:rPr>
        <w:t xml:space="preserve">remplacer </w:t>
      </w:r>
      <w:r>
        <w:t>« </w:t>
      </w:r>
      <w:r w:rsidRPr="003772BB">
        <w:t>ISO 14246</w:t>
      </w:r>
      <w:r>
        <w:t>:20</w:t>
      </w:r>
      <w:r w:rsidRPr="003772BB">
        <w:t>14 + A</w:t>
      </w:r>
      <w:r>
        <w:t>1:</w:t>
      </w:r>
      <w:r w:rsidRPr="003772BB">
        <w:t>2017</w:t>
      </w:r>
      <w:r>
        <w:t> »</w:t>
      </w:r>
      <w:r w:rsidRPr="003772BB">
        <w:t xml:space="preserve"> par </w:t>
      </w:r>
      <w:r>
        <w:t>« </w:t>
      </w:r>
      <w:r w:rsidRPr="003772BB">
        <w:t>ISO 14246</w:t>
      </w:r>
      <w:r>
        <w:t>:20</w:t>
      </w:r>
      <w:r w:rsidRPr="003772BB">
        <w:t xml:space="preserve">14 + </w:t>
      </w:r>
      <w:proofErr w:type="spellStart"/>
      <w:r w:rsidRPr="003772BB">
        <w:t>Amd</w:t>
      </w:r>
      <w:proofErr w:type="spellEnd"/>
      <w:r>
        <w:t> 1:</w:t>
      </w:r>
      <w:r w:rsidRPr="003772BB">
        <w:t>2017</w:t>
      </w:r>
      <w:r>
        <w:t> ».</w:t>
      </w:r>
    </w:p>
    <w:p w14:paraId="4F7CC325" w14:textId="77777777" w:rsidR="00E05FCF" w:rsidRPr="00FA0DE3"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022/14, propositions d’ordre rédactionnel</w:t>
      </w:r>
      <w:r w:rsidRPr="000F462A">
        <w:rPr>
          <w:i/>
          <w:iCs/>
        </w:rPr>
        <w:t>)</w:t>
      </w:r>
    </w:p>
    <w:p w14:paraId="00573A1D" w14:textId="77777777" w:rsidR="00E05FCF" w:rsidRDefault="00E05FCF" w:rsidP="00E05FCF">
      <w:pPr>
        <w:pStyle w:val="SingleTxtG"/>
        <w:spacing w:before="120"/>
        <w:ind w:left="2268" w:hanging="1134"/>
        <w:rPr>
          <w:lang w:val="fr-FR"/>
        </w:rPr>
      </w:pPr>
      <w:r w:rsidRPr="0042238A">
        <w:rPr>
          <w:lang w:val="fr-FR"/>
        </w:rPr>
        <w:t>6.2.2.4</w:t>
      </w:r>
      <w:r w:rsidRPr="0042238A">
        <w:rPr>
          <w:lang w:val="fr-FR"/>
        </w:rPr>
        <w:tab/>
      </w:r>
      <w:r w:rsidRPr="0042238A">
        <w:rPr>
          <w:lang w:val="fr-FR"/>
        </w:rPr>
        <w:tab/>
      </w:r>
      <w:r w:rsidRPr="00586134">
        <w:rPr>
          <w:lang w:val="fr-FR"/>
        </w:rPr>
        <w:t>Dans le premier tableau</w:t>
      </w:r>
      <w:r w:rsidRPr="0042238A">
        <w:rPr>
          <w:lang w:val="fr-FR"/>
        </w:rPr>
        <w:t xml:space="preserve">, pour </w:t>
      </w:r>
      <w:r>
        <w:rPr>
          <w:lang w:val="fr-FR"/>
        </w:rPr>
        <w:t>la ligne relative à la</w:t>
      </w:r>
      <w:r w:rsidRPr="0042238A">
        <w:rPr>
          <w:lang w:val="fr-FR"/>
        </w:rPr>
        <w:t xml:space="preserve"> norme </w:t>
      </w:r>
      <w:r w:rsidRPr="0008043A">
        <w:t xml:space="preserve">ISO </w:t>
      </w:r>
      <w:proofErr w:type="gramStart"/>
      <w:r w:rsidRPr="0008043A">
        <w:t>18119:</w:t>
      </w:r>
      <w:proofErr w:type="gramEnd"/>
      <w:r w:rsidRPr="0008043A">
        <w:t>2018</w:t>
      </w:r>
      <w:r w:rsidRPr="0042238A">
        <w:rPr>
          <w:lang w:val="fr-FR"/>
        </w:rPr>
        <w:t xml:space="preserve">, remplacer « Jusqu’à nouvel ordre » par « Jusqu’au 31 décembre 2026 ». Après </w:t>
      </w:r>
      <w:r>
        <w:rPr>
          <w:lang w:val="fr-FR"/>
        </w:rPr>
        <w:t>cette ligne</w:t>
      </w:r>
      <w:r w:rsidRPr="0042238A">
        <w:rPr>
          <w:lang w:val="fr-FR"/>
        </w:rPr>
        <w:t>, ajouter la nouvelle ligne suivante :</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0"/>
        <w:gridCol w:w="4649"/>
        <w:gridCol w:w="1231"/>
      </w:tblGrid>
      <w:tr w:rsidR="00E05FCF" w:rsidRPr="0008043A" w14:paraId="2FBCFEF3" w14:textId="77777777" w:rsidTr="00D407EA">
        <w:tc>
          <w:tcPr>
            <w:tcW w:w="1490" w:type="dxa"/>
            <w:shd w:val="clear" w:color="auto" w:fill="auto"/>
          </w:tcPr>
          <w:p w14:paraId="2D5D0B94" w14:textId="77777777" w:rsidR="00E05FCF" w:rsidRPr="0008043A" w:rsidRDefault="00E05FCF" w:rsidP="00D407EA">
            <w:pPr>
              <w:spacing w:before="60" w:after="60"/>
              <w:ind w:left="57" w:right="57"/>
            </w:pPr>
            <w:r w:rsidRPr="0008043A">
              <w:t xml:space="preserve">ISO </w:t>
            </w:r>
            <w:proofErr w:type="gramStart"/>
            <w:r w:rsidRPr="0008043A">
              <w:t>18119:</w:t>
            </w:r>
            <w:proofErr w:type="gramEnd"/>
            <w:r w:rsidRPr="0008043A">
              <w:t>2018 +</w:t>
            </w:r>
            <w:proofErr w:type="spellStart"/>
            <w:r w:rsidRPr="0008043A">
              <w:t>Amd</w:t>
            </w:r>
            <w:proofErr w:type="spellEnd"/>
            <w:r w:rsidRPr="0008043A">
              <w:t xml:space="preserve"> 1:2021</w:t>
            </w:r>
          </w:p>
        </w:tc>
        <w:tc>
          <w:tcPr>
            <w:tcW w:w="4649" w:type="dxa"/>
            <w:shd w:val="clear" w:color="auto" w:fill="auto"/>
          </w:tcPr>
          <w:p w14:paraId="65920A93" w14:textId="77777777" w:rsidR="00E05FCF" w:rsidRPr="0008043A" w:rsidRDefault="00E05FCF" w:rsidP="00D407EA">
            <w:pPr>
              <w:spacing w:before="60" w:after="60"/>
              <w:ind w:left="57" w:right="57"/>
            </w:pPr>
            <w:r w:rsidRPr="0008043A">
              <w:t>Bouteilles à gaz − Bouteilles et tubes à gaz en acier et en alliages d’aluminium, sans soudure − Contrôles et essais périodiques</w:t>
            </w:r>
          </w:p>
        </w:tc>
        <w:tc>
          <w:tcPr>
            <w:tcW w:w="1231" w:type="dxa"/>
            <w:shd w:val="clear" w:color="auto" w:fill="auto"/>
          </w:tcPr>
          <w:p w14:paraId="2EACA184" w14:textId="77777777" w:rsidR="00E05FCF" w:rsidRPr="0008043A" w:rsidRDefault="00E05FCF" w:rsidP="00D407EA">
            <w:pPr>
              <w:spacing w:before="60" w:after="60"/>
              <w:ind w:left="57" w:right="57"/>
            </w:pPr>
            <w:r w:rsidRPr="0008043A">
              <w:t>Jusqu’à nouvel ordre</w:t>
            </w:r>
          </w:p>
        </w:tc>
      </w:tr>
    </w:tbl>
    <w:p w14:paraId="008D7A63" w14:textId="77777777" w:rsidR="00E05FCF" w:rsidRDefault="00E05FCF" w:rsidP="00E05FCF">
      <w:pPr>
        <w:tabs>
          <w:tab w:val="left" w:pos="2268"/>
        </w:tabs>
        <w:kinsoku/>
        <w:overflowPunct/>
        <w:autoSpaceDE/>
        <w:adjustRightInd/>
        <w:snapToGrid/>
        <w:spacing w:before="120" w:after="120"/>
        <w:ind w:left="2268" w:right="1134" w:hanging="1134"/>
        <w:jc w:val="both"/>
      </w:pPr>
      <w:r>
        <w:tab/>
      </w:r>
      <w:r>
        <w:rPr>
          <w:lang w:val="fr-FR"/>
        </w:rPr>
        <w:t xml:space="preserve">Pour la norme </w:t>
      </w:r>
      <w:r w:rsidRPr="003772BB">
        <w:t xml:space="preserve">ISO </w:t>
      </w:r>
      <w:proofErr w:type="gramStart"/>
      <w:r w:rsidRPr="003772BB">
        <w:t>1046</w:t>
      </w:r>
      <w:r>
        <w:t>1:</w:t>
      </w:r>
      <w:proofErr w:type="gramEnd"/>
      <w:r w:rsidRPr="003772BB">
        <w:t>2005/A</w:t>
      </w:r>
      <w:r>
        <w:t>1:</w:t>
      </w:r>
      <w:r w:rsidRPr="003772BB">
        <w:t>2006</w:t>
      </w:r>
      <w:r>
        <w:rPr>
          <w:lang w:val="fr-FR"/>
        </w:rPr>
        <w:t xml:space="preserve"> remplacer </w:t>
      </w:r>
      <w:r>
        <w:t>« </w:t>
      </w:r>
      <w:r w:rsidRPr="003772BB">
        <w:t>ISO 1046</w:t>
      </w:r>
      <w:r>
        <w:t>1:</w:t>
      </w:r>
      <w:r w:rsidRPr="003772BB">
        <w:t>2005/A</w:t>
      </w:r>
      <w:r>
        <w:t>1:</w:t>
      </w:r>
      <w:r w:rsidRPr="003772BB">
        <w:t>2006</w:t>
      </w:r>
      <w:r>
        <w:t> »</w:t>
      </w:r>
      <w:r w:rsidRPr="003772BB">
        <w:t xml:space="preserve"> par </w:t>
      </w:r>
      <w:r>
        <w:t>« </w:t>
      </w:r>
      <w:r w:rsidRPr="003772BB">
        <w:t>ISO 1046</w:t>
      </w:r>
      <w:r>
        <w:t>1:</w:t>
      </w:r>
      <w:r w:rsidRPr="003772BB">
        <w:t xml:space="preserve">2005 + </w:t>
      </w:r>
      <w:proofErr w:type="spellStart"/>
      <w:r w:rsidRPr="003772BB">
        <w:t>Amd</w:t>
      </w:r>
      <w:proofErr w:type="spellEnd"/>
      <w:r>
        <w:t> 1:</w:t>
      </w:r>
      <w:r w:rsidRPr="003772BB">
        <w:t>2006</w:t>
      </w:r>
      <w:r>
        <w:t> ».</w:t>
      </w:r>
    </w:p>
    <w:p w14:paraId="4E9CCDBA" w14:textId="77777777" w:rsidR="00E05FCF" w:rsidRPr="00FA0DE3" w:rsidRDefault="00E05FCF" w:rsidP="00E05FCF">
      <w:pPr>
        <w:kinsoku/>
        <w:overflowPunct/>
        <w:autoSpaceDE/>
        <w:autoSpaceDN/>
        <w:adjustRightInd/>
        <w:snapToGrid/>
        <w:spacing w:after="120"/>
        <w:ind w:left="1134" w:right="1134"/>
        <w:jc w:val="both"/>
        <w:rPr>
          <w:i/>
          <w:iCs/>
        </w:rPr>
      </w:pPr>
      <w:r w:rsidRPr="000F462A">
        <w:rPr>
          <w:i/>
          <w:iCs/>
        </w:rPr>
        <w:lastRenderedPageBreak/>
        <w:t>(Document de référence : ST/SG/AC.10/C.3/2</w:t>
      </w:r>
      <w:r>
        <w:rPr>
          <w:i/>
          <w:iCs/>
        </w:rPr>
        <w:t>022/14, proposition 3 et propositions d’ordre rédactionnel</w:t>
      </w:r>
      <w:r w:rsidRPr="000F462A">
        <w:rPr>
          <w:i/>
          <w:iCs/>
        </w:rPr>
        <w:t>)</w:t>
      </w:r>
    </w:p>
    <w:p w14:paraId="708D4763" w14:textId="77777777" w:rsidR="00E05FCF" w:rsidRDefault="00E05FCF" w:rsidP="00E05FCF">
      <w:pPr>
        <w:tabs>
          <w:tab w:val="left" w:pos="1701"/>
          <w:tab w:val="left" w:pos="2268"/>
          <w:tab w:val="left" w:pos="2835"/>
        </w:tabs>
        <w:spacing w:after="120"/>
        <w:ind w:left="1134" w:right="1134"/>
        <w:jc w:val="both"/>
        <w:rPr>
          <w:lang w:val="fr-BE"/>
        </w:rPr>
      </w:pPr>
      <w:r>
        <w:rPr>
          <w:lang w:val="fr-FR"/>
        </w:rPr>
        <w:t>6.2.2.7.3</w:t>
      </w:r>
      <w:r>
        <w:rPr>
          <w:lang w:val="fr-FR"/>
        </w:rPr>
        <w:tab/>
        <w:t>Ajouter le nota suivant à la fin :</w:t>
      </w:r>
    </w:p>
    <w:p w14:paraId="76F89F11" w14:textId="77777777" w:rsidR="00E05FCF" w:rsidRDefault="00E05FCF" w:rsidP="00E05FCF">
      <w:pPr>
        <w:tabs>
          <w:tab w:val="left" w:pos="1701"/>
          <w:tab w:val="left" w:pos="2268"/>
          <w:tab w:val="left" w:pos="2835"/>
        </w:tabs>
        <w:spacing w:after="120"/>
        <w:ind w:left="1134" w:right="1134"/>
        <w:jc w:val="both"/>
        <w:rPr>
          <w:i/>
          <w:lang w:val="fr-BE"/>
        </w:rPr>
      </w:pPr>
      <w:r>
        <w:rPr>
          <w:bCs/>
          <w:iCs/>
          <w:lang w:val="fr-BE"/>
        </w:rPr>
        <w:t>«</w:t>
      </w:r>
      <w:r>
        <w:rPr>
          <w:bCs/>
          <w:i/>
          <w:lang w:val="fr-BE"/>
        </w:rPr>
        <w:t> </w:t>
      </w:r>
      <w:r>
        <w:rPr>
          <w:b/>
          <w:i/>
          <w:lang w:val="fr-BE"/>
        </w:rPr>
        <w:t>NOTA</w:t>
      </w:r>
      <w:r>
        <w:rPr>
          <w:bCs/>
          <w:i/>
          <w:lang w:val="fr-BE"/>
        </w:rPr>
        <w:t> :</w:t>
      </w:r>
      <w:r>
        <w:rPr>
          <w:i/>
          <w:lang w:val="fr-BE"/>
        </w:rPr>
        <w:tab/>
        <w:t>Les bouteilles d’acétylène construites conformément à la vingt et unième édition révisée du Règlement type qui ne sont pas marquées conformément aux prescriptions du 6.2.2.7.3 k) ou l) applicables selon la vingt-deuxième édition révisée du Règlement type peuvent encore être utilisées jusqu’à l’entrée en vigueur de la vingt-troisième édition révisée du Règlement type, date à laquelle elles devront soit être marquées conformément à cette nouvelle édition, soit retirées de la circulation. </w:t>
      </w:r>
      <w:r>
        <w:rPr>
          <w:iCs/>
          <w:lang w:val="fr-BE"/>
        </w:rPr>
        <w:t>»</w:t>
      </w:r>
    </w:p>
    <w:p w14:paraId="3AFB43FD" w14:textId="77777777" w:rsidR="00E05FCF" w:rsidRDefault="00E05FCF" w:rsidP="00E05FCF">
      <w:pPr>
        <w:kinsoku/>
        <w:overflowPunct/>
        <w:autoSpaceDE/>
        <w:adjustRightInd/>
        <w:snapToGrid/>
        <w:spacing w:after="120"/>
        <w:ind w:left="1134" w:right="1134"/>
        <w:jc w:val="both"/>
        <w:rPr>
          <w:i/>
          <w:iCs/>
        </w:rPr>
      </w:pPr>
      <w:r>
        <w:rPr>
          <w:i/>
          <w:iCs/>
        </w:rPr>
        <w:t>(Document de référence : ST/SG/AC.10/C.3/2022/6)</w:t>
      </w:r>
    </w:p>
    <w:p w14:paraId="546C21A4" w14:textId="77777777" w:rsidR="00E05FCF" w:rsidRDefault="00E05FCF" w:rsidP="00E05FCF">
      <w:pPr>
        <w:tabs>
          <w:tab w:val="left" w:pos="1701"/>
          <w:tab w:val="left" w:pos="2268"/>
          <w:tab w:val="left" w:pos="2835"/>
        </w:tabs>
        <w:spacing w:after="120"/>
        <w:ind w:left="1134" w:right="1134"/>
        <w:jc w:val="both"/>
        <w:rPr>
          <w:lang w:val="fr-BE"/>
        </w:rPr>
      </w:pPr>
      <w:r>
        <w:rPr>
          <w:lang w:val="fr-FR"/>
        </w:rPr>
        <w:t>6.2.2.11</w:t>
      </w:r>
      <w:r>
        <w:rPr>
          <w:lang w:val="fr-FR"/>
        </w:rPr>
        <w:tab/>
        <w:t>Ajouter le nota suivant à la fin :</w:t>
      </w:r>
    </w:p>
    <w:p w14:paraId="53537D86" w14:textId="2C7D45DC" w:rsidR="00E05FCF" w:rsidRDefault="00E05FCF" w:rsidP="00E05FCF">
      <w:pPr>
        <w:tabs>
          <w:tab w:val="left" w:pos="1701"/>
          <w:tab w:val="left" w:pos="2268"/>
          <w:tab w:val="left" w:pos="2835"/>
        </w:tabs>
        <w:spacing w:after="120"/>
        <w:ind w:left="1134" w:right="1134"/>
        <w:jc w:val="both"/>
        <w:rPr>
          <w:i/>
          <w:iCs/>
          <w:lang w:val="fr-BE"/>
        </w:rPr>
      </w:pPr>
      <w:r>
        <w:rPr>
          <w:bCs/>
          <w:lang w:val="fr-BE"/>
        </w:rPr>
        <w:t>«</w:t>
      </w:r>
      <w:r>
        <w:rPr>
          <w:bCs/>
          <w:i/>
          <w:iCs/>
          <w:lang w:val="fr-BE"/>
        </w:rPr>
        <w:t> </w:t>
      </w:r>
      <w:r>
        <w:rPr>
          <w:b/>
          <w:i/>
          <w:iCs/>
          <w:lang w:val="fr-BE"/>
        </w:rPr>
        <w:t>NOTA </w:t>
      </w:r>
      <w:r>
        <w:rPr>
          <w:bCs/>
          <w:i/>
          <w:iCs/>
          <w:lang w:val="fr-BE"/>
        </w:rPr>
        <w:t>:</w:t>
      </w:r>
      <w:r>
        <w:rPr>
          <w:i/>
          <w:iCs/>
          <w:lang w:val="fr-BE"/>
        </w:rPr>
        <w:tab/>
        <w:t>Les fermetures des récipients à pression rechargeables fabriquées avant le 1er janvier 2027 conformément aux prescriptions applicables selon la vingt et unième édition révisée du Règlement type et marquées conformément aux prescriptions du 6.2.2.11 applicables selon la vingt-deuxième édition révisée peuvent encore être utilisées. </w:t>
      </w:r>
      <w:r>
        <w:rPr>
          <w:lang w:val="fr-BE"/>
        </w:rPr>
        <w:t>»</w:t>
      </w:r>
      <w:r>
        <w:rPr>
          <w:i/>
          <w:iCs/>
          <w:lang w:val="fr-BE"/>
        </w:rPr>
        <w:t>.</w:t>
      </w:r>
    </w:p>
    <w:p w14:paraId="45035B91" w14:textId="77777777" w:rsidR="00E05FCF" w:rsidRDefault="00E05FCF" w:rsidP="00E05FCF">
      <w:pPr>
        <w:kinsoku/>
        <w:overflowPunct/>
        <w:autoSpaceDE/>
        <w:adjustRightInd/>
        <w:snapToGrid/>
        <w:spacing w:after="120"/>
        <w:ind w:left="1134" w:right="1134"/>
        <w:jc w:val="both"/>
        <w:rPr>
          <w:i/>
          <w:iCs/>
        </w:rPr>
      </w:pPr>
      <w:r>
        <w:rPr>
          <w:i/>
          <w:iCs/>
        </w:rPr>
        <w:t>(Document de référence : ST/SG/AC.10/C.3/2022/6, tel que modifié)</w:t>
      </w:r>
    </w:p>
    <w:p w14:paraId="2CDC9402" w14:textId="77777777" w:rsidR="00E05FCF" w:rsidRDefault="00E05FCF" w:rsidP="00E05FCF">
      <w:pPr>
        <w:tabs>
          <w:tab w:val="right" w:pos="851"/>
        </w:tabs>
        <w:spacing w:before="360" w:after="240" w:line="270" w:lineRule="exact"/>
        <w:ind w:left="1134" w:right="1134" w:hanging="1134"/>
        <w:rPr>
          <w:b/>
          <w:sz w:val="24"/>
        </w:rPr>
      </w:pPr>
      <w:r>
        <w:rPr>
          <w:b/>
          <w:sz w:val="24"/>
          <w:lang w:val="fr-FR"/>
        </w:rPr>
        <w:tab/>
      </w:r>
      <w:r>
        <w:rPr>
          <w:b/>
          <w:sz w:val="24"/>
          <w:lang w:val="fr-FR"/>
        </w:rPr>
        <w:tab/>
      </w:r>
      <w:r>
        <w:rPr>
          <w:b/>
          <w:sz w:val="24"/>
        </w:rPr>
        <w:t>Chapitre 6.5</w:t>
      </w:r>
    </w:p>
    <w:p w14:paraId="2526CB66"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[6.5.5.1.7</w:t>
      </w:r>
      <w:r>
        <w:rPr>
          <w:lang w:val="fr-FR"/>
        </w:rPr>
        <w:tab/>
        <w:t>Dans la troisième phrase, remplacer « taux » par « degré ».]</w:t>
      </w:r>
    </w:p>
    <w:p w14:paraId="5C55C425"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6152B334"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[6.5.6.8.4.2</w:t>
      </w:r>
      <w:r>
        <w:rPr>
          <w:lang w:val="fr-FR"/>
        </w:rPr>
        <w:tab/>
        <w:t>À l’alinéa b</w:t>
      </w:r>
      <w:r w:rsidRPr="00803F68">
        <w:rPr>
          <w:lang w:val="fr-FR"/>
        </w:rPr>
        <w:t>)</w:t>
      </w:r>
      <w:r>
        <w:rPr>
          <w:lang w:val="fr-FR"/>
        </w:rPr>
        <w:t xml:space="preserve"> i</w:t>
      </w:r>
      <w:r w:rsidRPr="00803F68">
        <w:rPr>
          <w:lang w:val="fr-FR"/>
        </w:rPr>
        <w:t>)</w:t>
      </w:r>
      <w:r>
        <w:rPr>
          <w:lang w:val="fr-FR"/>
        </w:rPr>
        <w:t>, remplacer « taux » par « degré ».]</w:t>
      </w:r>
    </w:p>
    <w:p w14:paraId="3CB1C415"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0ABC2C94" w14:textId="77777777" w:rsidR="00E05FCF" w:rsidRPr="000F462A" w:rsidRDefault="00E05FCF" w:rsidP="00E05FCF">
      <w:pPr>
        <w:pStyle w:val="H1G"/>
        <w:keepNext w:val="0"/>
        <w:keepLines w:val="0"/>
      </w:pPr>
      <w:r w:rsidRPr="000F462A">
        <w:rPr>
          <w:lang w:val="fr-FR"/>
        </w:rPr>
        <w:tab/>
      </w:r>
      <w:r w:rsidRPr="000F462A">
        <w:rPr>
          <w:lang w:val="fr-FR"/>
        </w:rPr>
        <w:tab/>
      </w:r>
      <w:r w:rsidRPr="000F462A">
        <w:t xml:space="preserve">Chapitre </w:t>
      </w:r>
      <w:r>
        <w:t>6.7</w:t>
      </w:r>
    </w:p>
    <w:p w14:paraId="7006E029" w14:textId="77777777" w:rsidR="00E05FCF" w:rsidRDefault="00E05FCF" w:rsidP="00E05FCF">
      <w:pPr>
        <w:tabs>
          <w:tab w:val="left" w:pos="2268"/>
        </w:tabs>
        <w:kinsoku/>
        <w:overflowPunct/>
        <w:autoSpaceDE/>
        <w:adjustRightInd/>
        <w:snapToGrid/>
        <w:spacing w:after="120"/>
        <w:ind w:left="2268" w:right="1134" w:hanging="1134"/>
        <w:jc w:val="both"/>
        <w:rPr>
          <w:i/>
          <w:iCs/>
        </w:rPr>
      </w:pPr>
      <w:r>
        <w:rPr>
          <w:lang w:val="fr-FR"/>
        </w:rPr>
        <w:t>[6.7.4.15.1</w:t>
      </w:r>
      <w:r>
        <w:rPr>
          <w:lang w:val="fr-FR"/>
        </w:rPr>
        <w:tab/>
        <w:t>À l’alinéa i</w:t>
      </w:r>
      <w:r w:rsidRPr="00803F68">
        <w:rPr>
          <w:lang w:val="fr-FR"/>
        </w:rPr>
        <w:t>)</w:t>
      </w:r>
      <w:r>
        <w:rPr>
          <w:lang w:val="fr-FR"/>
        </w:rPr>
        <w:t xml:space="preserve"> iv</w:t>
      </w:r>
      <w:r w:rsidRPr="00803F68">
        <w:rPr>
          <w:lang w:val="fr-FR"/>
        </w:rPr>
        <w:t>)</w:t>
      </w:r>
      <w:r>
        <w:rPr>
          <w:lang w:val="fr-FR"/>
        </w:rPr>
        <w:t>, remplacer « </w:t>
      </w:r>
      <w:r w:rsidRPr="00EA07F7">
        <w:rPr>
          <w:lang w:val="fr-FR"/>
        </w:rPr>
        <w:t>Taux de remplissage</w:t>
      </w:r>
      <w:r>
        <w:rPr>
          <w:lang w:val="fr-FR"/>
        </w:rPr>
        <w:t> » par « Masse maximale admissible de gaz rempli ».</w:t>
      </w:r>
    </w:p>
    <w:p w14:paraId="52D28027"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Pr>
          <w:lang w:val="fr-FR"/>
        </w:rPr>
        <w:tab/>
        <w:t>Dans la figure 6.7.4.15.1, sous « </w:t>
      </w:r>
      <w:r w:rsidRPr="00713359">
        <w:rPr>
          <w:lang w:val="fr-FR"/>
        </w:rPr>
        <w:t>TEMPS DE RETENUE</w:t>
      </w:r>
      <w:r>
        <w:rPr>
          <w:lang w:val="fr-FR"/>
        </w:rPr>
        <w:t> », modifier le titre de la dernière colonne pour lire « Masse maximale admissible de gaz rempli ».]</w:t>
      </w:r>
    </w:p>
    <w:p w14:paraId="708B2A5D" w14:textId="77777777" w:rsidR="00E05FCF" w:rsidRDefault="00E05FCF" w:rsidP="00E05FCF">
      <w:pPr>
        <w:kinsoku/>
        <w:overflowPunct/>
        <w:autoSpaceDE/>
        <w:adjustRightInd/>
        <w:snapToGrid/>
        <w:spacing w:after="120"/>
        <w:ind w:left="1134" w:right="1134"/>
        <w:jc w:val="both"/>
        <w:rPr>
          <w:i/>
          <w:iCs/>
        </w:rPr>
      </w:pPr>
      <w:r>
        <w:rPr>
          <w:i/>
          <w:iCs/>
        </w:rPr>
        <w:t>(Documents de référence : ST/SG/AC.10/C.3/2022/23 et document informel INF.18)</w:t>
      </w:r>
    </w:p>
    <w:p w14:paraId="25E51597" w14:textId="77777777" w:rsidR="00E05FCF" w:rsidRDefault="00E05FCF" w:rsidP="00E05FCF">
      <w:pPr>
        <w:tabs>
          <w:tab w:val="left" w:pos="2268"/>
        </w:tabs>
        <w:kinsoku/>
        <w:overflowPunct/>
        <w:autoSpaceDE/>
        <w:adjustRightInd/>
        <w:snapToGrid/>
        <w:spacing w:after="120"/>
        <w:ind w:left="2268" w:right="1134" w:hanging="1134"/>
        <w:jc w:val="both"/>
        <w:rPr>
          <w:lang w:val="fr-FR"/>
        </w:rPr>
      </w:pPr>
      <w:r w:rsidRPr="00026281">
        <w:t>6.7.5.2.4</w:t>
      </w:r>
      <w:r w:rsidRPr="003772BB">
        <w:t xml:space="preserve"> </w:t>
      </w:r>
      <w:r>
        <w:tab/>
        <w:t xml:space="preserve">À l’alinéa </w:t>
      </w:r>
      <w:r w:rsidRPr="003772BB">
        <w:t>a)</w:t>
      </w:r>
      <w:r>
        <w:t>, r</w:t>
      </w:r>
      <w:proofErr w:type="spellStart"/>
      <w:r w:rsidRPr="001013E4">
        <w:rPr>
          <w:lang w:val="fr-FR"/>
        </w:rPr>
        <w:t>emplacer</w:t>
      </w:r>
      <w:proofErr w:type="spellEnd"/>
      <w:r w:rsidRPr="001013E4">
        <w:rPr>
          <w:lang w:val="fr-FR"/>
        </w:rPr>
        <w:t xml:space="preserve"> «</w:t>
      </w:r>
      <w:r>
        <w:rPr>
          <w:lang w:val="fr-FR"/>
        </w:rPr>
        <w:t> </w:t>
      </w:r>
      <w:r w:rsidRPr="00F33D6E">
        <w:rPr>
          <w:lang w:val="fr-FR"/>
        </w:rPr>
        <w:t>ISO 11114-</w:t>
      </w:r>
      <w:proofErr w:type="gramStart"/>
      <w:r w:rsidRPr="00F33D6E">
        <w:rPr>
          <w:lang w:val="fr-FR"/>
        </w:rPr>
        <w:t>1:</w:t>
      </w:r>
      <w:proofErr w:type="gramEnd"/>
      <w:r w:rsidRPr="00F33D6E">
        <w:rPr>
          <w:lang w:val="fr-FR"/>
        </w:rPr>
        <w:t>2012 + A1:2017 et ISO 11114-2:2013</w:t>
      </w:r>
      <w:r>
        <w:rPr>
          <w:lang w:val="fr-FR"/>
        </w:rPr>
        <w:t> </w:t>
      </w:r>
      <w:r w:rsidRPr="001013E4">
        <w:rPr>
          <w:lang w:val="fr-FR"/>
        </w:rPr>
        <w:t>» par «</w:t>
      </w:r>
      <w:r>
        <w:rPr>
          <w:lang w:val="fr-FR"/>
        </w:rPr>
        <w:t> </w:t>
      </w:r>
      <w:r w:rsidRPr="00D35A13">
        <w:rPr>
          <w:lang w:val="fr-FR"/>
        </w:rPr>
        <w:t xml:space="preserve">ISO 11114-1:2012 + </w:t>
      </w:r>
      <w:proofErr w:type="spellStart"/>
      <w:r w:rsidRPr="00D35A13">
        <w:rPr>
          <w:lang w:val="fr-FR"/>
        </w:rPr>
        <w:t>Amd</w:t>
      </w:r>
      <w:proofErr w:type="spellEnd"/>
      <w:r w:rsidRPr="00D35A13">
        <w:rPr>
          <w:lang w:val="fr-FR"/>
        </w:rPr>
        <w:t xml:space="preserve"> 1:2017</w:t>
      </w:r>
      <w:r>
        <w:rPr>
          <w:lang w:val="fr-FR"/>
        </w:rPr>
        <w:t xml:space="preserve"> et </w:t>
      </w:r>
      <w:r w:rsidRPr="001013E4">
        <w:rPr>
          <w:lang w:val="fr-FR"/>
        </w:rPr>
        <w:t>ISO 11114-2:2021</w:t>
      </w:r>
      <w:r>
        <w:rPr>
          <w:lang w:val="fr-FR"/>
        </w:rPr>
        <w:t> </w:t>
      </w:r>
      <w:r w:rsidRPr="001013E4">
        <w:rPr>
          <w:lang w:val="fr-FR"/>
        </w:rPr>
        <w:t>».</w:t>
      </w:r>
    </w:p>
    <w:p w14:paraId="607A1998"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022/14, proposition 1 et propositions d’ordre rédactionnel</w:t>
      </w:r>
      <w:r w:rsidRPr="000F462A">
        <w:rPr>
          <w:i/>
          <w:iCs/>
        </w:rPr>
        <w:t>)</w:t>
      </w:r>
    </w:p>
    <w:p w14:paraId="4734D0F5" w14:textId="77777777" w:rsidR="00E05FCF" w:rsidRDefault="00E05FCF" w:rsidP="00E05FCF">
      <w:pPr>
        <w:pStyle w:val="H1G"/>
        <w:rPr>
          <w:lang w:val="fr-FR"/>
        </w:rPr>
      </w:pPr>
      <w:r>
        <w:rPr>
          <w:lang w:val="fr-FR"/>
        </w:rPr>
        <w:tab/>
      </w:r>
      <w:r>
        <w:rPr>
          <w:lang w:val="fr-FR"/>
        </w:rPr>
        <w:tab/>
        <w:t>Le document ST/SG/AC.10/C.3/2022/2 contenant des amendements à la version espagnole a été adopté.</w:t>
      </w:r>
    </w:p>
    <w:p w14:paraId="504120B1" w14:textId="77777777" w:rsidR="00E05FCF" w:rsidRDefault="00E05FCF" w:rsidP="00E05FCF">
      <w:pPr>
        <w:pStyle w:val="H1G"/>
        <w:rPr>
          <w:lang w:val="fr-FR"/>
        </w:rPr>
      </w:pPr>
      <w:r>
        <w:rPr>
          <w:lang w:val="fr-FR"/>
        </w:rPr>
        <w:tab/>
      </w:r>
      <w:r>
        <w:rPr>
          <w:lang w:val="fr-FR"/>
        </w:rPr>
        <w:tab/>
        <w:t>[Document informel INF.18 avec des amendements complémentaires à la version espagnole, adopté.]</w:t>
      </w:r>
    </w:p>
    <w:p w14:paraId="6D901066" w14:textId="77777777" w:rsidR="00E05FCF" w:rsidRPr="000F462A" w:rsidRDefault="00E05FCF" w:rsidP="00E05FCF">
      <w:pPr>
        <w:pStyle w:val="HChG"/>
        <w:keepNext w:val="0"/>
        <w:keepLines w:val="0"/>
        <w:rPr>
          <w:lang w:val="fr-FR"/>
        </w:rPr>
      </w:pPr>
      <w:r w:rsidRPr="000F462A">
        <w:rPr>
          <w:lang w:val="fr-FR"/>
        </w:rPr>
        <w:tab/>
      </w:r>
      <w:r>
        <w:rPr>
          <w:lang w:val="fr-FR"/>
        </w:rPr>
        <w:t>II.</w:t>
      </w:r>
      <w:r w:rsidRPr="000F462A">
        <w:rPr>
          <w:lang w:val="fr-FR"/>
        </w:rPr>
        <w:tab/>
      </w:r>
      <w:r>
        <w:rPr>
          <w:lang w:val="fr-FR"/>
        </w:rPr>
        <w:t>Corrections</w:t>
      </w:r>
      <w:r w:rsidRPr="000F462A">
        <w:rPr>
          <w:lang w:val="fr-FR"/>
        </w:rPr>
        <w:t xml:space="preserve"> à la vingt-deuxième édition révisée des Recommandations relatives au transport des marchandises dangereuses, Règlement type (ST/SG/AC.10/1/Rev.22)</w:t>
      </w:r>
    </w:p>
    <w:p w14:paraId="4AD1FAB0" w14:textId="77777777" w:rsidR="00E05FCF" w:rsidRPr="000F462A" w:rsidRDefault="00E05FCF" w:rsidP="00E05FCF">
      <w:pPr>
        <w:pStyle w:val="H23G"/>
      </w:pPr>
      <w:r w:rsidRPr="000F462A">
        <w:rPr>
          <w:lang w:val="fr-FR"/>
        </w:rPr>
        <w:lastRenderedPageBreak/>
        <w:tab/>
      </w:r>
      <w:r w:rsidRPr="000F462A">
        <w:rPr>
          <w:lang w:val="fr-FR"/>
        </w:rPr>
        <w:tab/>
      </w:r>
      <w:r w:rsidRPr="000F462A">
        <w:t xml:space="preserve">Chapitre </w:t>
      </w:r>
      <w:r>
        <w:t>3.2</w:t>
      </w:r>
      <w:r w:rsidRPr="0042238A">
        <w:rPr>
          <w:lang w:val="fr-FR"/>
        </w:rPr>
        <w:t xml:space="preserve">, </w:t>
      </w:r>
      <w:r w:rsidRPr="0042238A">
        <w:rPr>
          <w:iCs/>
          <w:lang w:val="fr-FR"/>
        </w:rPr>
        <w:t>l</w:t>
      </w:r>
      <w:r w:rsidRPr="0042238A">
        <w:rPr>
          <w:lang w:val="fr-FR"/>
        </w:rPr>
        <w:t>iste des marchandises dangereuses</w:t>
      </w:r>
      <w:r>
        <w:rPr>
          <w:lang w:val="fr-FR"/>
        </w:rPr>
        <w:t>, pour le No ONU 0511, en colonne (2)</w:t>
      </w:r>
    </w:p>
    <w:p w14:paraId="748AFF7C" w14:textId="77777777" w:rsidR="00E05FCF" w:rsidRPr="00610453" w:rsidRDefault="00E05FCF" w:rsidP="00E05FCF">
      <w:pPr>
        <w:kinsoku/>
        <w:overflowPunct/>
        <w:autoSpaceDE/>
        <w:autoSpaceDN/>
        <w:adjustRightInd/>
        <w:snapToGrid/>
        <w:spacing w:after="120"/>
        <w:ind w:left="1134" w:right="1134"/>
        <w:jc w:val="both"/>
      </w:pPr>
      <w:r>
        <w:rPr>
          <w:i/>
          <w:iCs/>
        </w:rPr>
        <w:t xml:space="preserve">Au lieu </w:t>
      </w:r>
      <w:proofErr w:type="gramStart"/>
      <w:r>
        <w:rPr>
          <w:i/>
          <w:iCs/>
        </w:rPr>
        <w:t xml:space="preserve">de </w:t>
      </w:r>
      <w:r>
        <w:t>ÉLECTRONIQUE</w:t>
      </w:r>
      <w:proofErr w:type="gramEnd"/>
      <w:r>
        <w:t xml:space="preserve"> lire ÉLECTRONIQUES</w:t>
      </w:r>
    </w:p>
    <w:p w14:paraId="1378382D"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w:t>
      </w:r>
      <w:r w:rsidRPr="000F462A">
        <w:rPr>
          <w:i/>
          <w:iCs/>
        </w:rPr>
        <w:t>)</w:t>
      </w:r>
    </w:p>
    <w:p w14:paraId="060FE134" w14:textId="77777777" w:rsidR="00E05FCF" w:rsidRPr="000F462A" w:rsidRDefault="00E05FCF" w:rsidP="00E05FCF">
      <w:pPr>
        <w:pStyle w:val="H23G"/>
      </w:pPr>
      <w:r w:rsidRPr="000F462A">
        <w:rPr>
          <w:lang w:val="fr-FR"/>
        </w:rPr>
        <w:tab/>
      </w:r>
      <w:r w:rsidRPr="000F462A">
        <w:rPr>
          <w:lang w:val="fr-FR"/>
        </w:rPr>
        <w:tab/>
      </w:r>
      <w:r w:rsidRPr="000F462A">
        <w:t xml:space="preserve">Chapitre </w:t>
      </w:r>
      <w:r>
        <w:t>3.2</w:t>
      </w:r>
      <w:r w:rsidRPr="0042238A">
        <w:rPr>
          <w:lang w:val="fr-FR"/>
        </w:rPr>
        <w:t xml:space="preserve">, </w:t>
      </w:r>
      <w:r w:rsidRPr="0042238A">
        <w:rPr>
          <w:iCs/>
          <w:lang w:val="fr-FR"/>
        </w:rPr>
        <w:t>l</w:t>
      </w:r>
      <w:r w:rsidRPr="0042238A">
        <w:rPr>
          <w:lang w:val="fr-FR"/>
        </w:rPr>
        <w:t>iste des marchandises dangereuses</w:t>
      </w:r>
      <w:r>
        <w:rPr>
          <w:lang w:val="fr-FR"/>
        </w:rPr>
        <w:t>, pour le No ONU 0512, en colonne (2)</w:t>
      </w:r>
    </w:p>
    <w:p w14:paraId="2A3F4CFA" w14:textId="77777777" w:rsidR="00E05FCF" w:rsidRPr="00610453" w:rsidRDefault="00E05FCF" w:rsidP="00E05FCF">
      <w:pPr>
        <w:kinsoku/>
        <w:overflowPunct/>
        <w:autoSpaceDE/>
        <w:autoSpaceDN/>
        <w:adjustRightInd/>
        <w:snapToGrid/>
        <w:spacing w:after="120"/>
        <w:ind w:left="1134" w:right="1134"/>
        <w:jc w:val="both"/>
      </w:pPr>
      <w:r>
        <w:rPr>
          <w:i/>
          <w:iCs/>
        </w:rPr>
        <w:t xml:space="preserve">Au lieu </w:t>
      </w:r>
      <w:proofErr w:type="gramStart"/>
      <w:r>
        <w:rPr>
          <w:i/>
          <w:iCs/>
        </w:rPr>
        <w:t xml:space="preserve">de </w:t>
      </w:r>
      <w:r>
        <w:t>ÉLECTRONIQUE</w:t>
      </w:r>
      <w:proofErr w:type="gramEnd"/>
      <w:r>
        <w:t xml:space="preserve"> lire ÉLECTRONIQUES</w:t>
      </w:r>
    </w:p>
    <w:p w14:paraId="5978D86D"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w:t>
      </w:r>
      <w:r w:rsidRPr="000F462A">
        <w:rPr>
          <w:i/>
          <w:iCs/>
        </w:rPr>
        <w:t>)</w:t>
      </w:r>
    </w:p>
    <w:p w14:paraId="0C13C3FD" w14:textId="77777777" w:rsidR="00E05FCF" w:rsidRPr="000F462A" w:rsidRDefault="00E05FCF" w:rsidP="00E05FCF">
      <w:pPr>
        <w:pStyle w:val="H23G"/>
      </w:pPr>
      <w:r w:rsidRPr="000F462A">
        <w:rPr>
          <w:lang w:val="fr-FR"/>
        </w:rPr>
        <w:tab/>
      </w:r>
      <w:r w:rsidRPr="000F462A">
        <w:rPr>
          <w:lang w:val="fr-FR"/>
        </w:rPr>
        <w:tab/>
      </w:r>
      <w:r w:rsidRPr="000F462A">
        <w:t xml:space="preserve">Chapitre </w:t>
      </w:r>
      <w:r>
        <w:t>3.2</w:t>
      </w:r>
      <w:r w:rsidRPr="0042238A">
        <w:rPr>
          <w:lang w:val="fr-FR"/>
        </w:rPr>
        <w:t xml:space="preserve">, </w:t>
      </w:r>
      <w:r w:rsidRPr="0042238A">
        <w:rPr>
          <w:iCs/>
          <w:lang w:val="fr-FR"/>
        </w:rPr>
        <w:t>l</w:t>
      </w:r>
      <w:r w:rsidRPr="0042238A">
        <w:rPr>
          <w:lang w:val="fr-FR"/>
        </w:rPr>
        <w:t>iste des marchandises dangereuses</w:t>
      </w:r>
      <w:r>
        <w:rPr>
          <w:lang w:val="fr-FR"/>
        </w:rPr>
        <w:t>, pour le No ONU 0513, en colonne (2)</w:t>
      </w:r>
    </w:p>
    <w:p w14:paraId="6D527415" w14:textId="77777777" w:rsidR="00E05FCF" w:rsidRPr="00610453" w:rsidRDefault="00E05FCF" w:rsidP="00E05FCF">
      <w:pPr>
        <w:kinsoku/>
        <w:overflowPunct/>
        <w:autoSpaceDE/>
        <w:autoSpaceDN/>
        <w:adjustRightInd/>
        <w:snapToGrid/>
        <w:spacing w:after="120"/>
        <w:ind w:left="1134" w:right="1134"/>
        <w:jc w:val="both"/>
      </w:pPr>
      <w:r>
        <w:rPr>
          <w:i/>
          <w:iCs/>
        </w:rPr>
        <w:t xml:space="preserve">Au lieu </w:t>
      </w:r>
      <w:proofErr w:type="gramStart"/>
      <w:r>
        <w:rPr>
          <w:i/>
          <w:iCs/>
        </w:rPr>
        <w:t xml:space="preserve">de </w:t>
      </w:r>
      <w:r>
        <w:t>ÉLECTRONIQUE</w:t>
      </w:r>
      <w:proofErr w:type="gramEnd"/>
      <w:r>
        <w:t xml:space="preserve"> lire ÉLECTRONIQUES</w:t>
      </w:r>
    </w:p>
    <w:p w14:paraId="0F3C4C28" w14:textId="77777777" w:rsidR="00E05FCF" w:rsidRDefault="00E05FCF" w:rsidP="00E05FCF">
      <w:pPr>
        <w:kinsoku/>
        <w:overflowPunct/>
        <w:autoSpaceDE/>
        <w:autoSpaceDN/>
        <w:adjustRightInd/>
        <w:snapToGrid/>
        <w:spacing w:after="120"/>
        <w:ind w:left="1134" w:right="1134"/>
        <w:jc w:val="both"/>
        <w:rPr>
          <w:i/>
          <w:iCs/>
        </w:rPr>
      </w:pPr>
      <w:r w:rsidRPr="000F462A">
        <w:rPr>
          <w:i/>
          <w:iCs/>
        </w:rPr>
        <w:t>(Document de référence : ST/SG/AC.10/C.3/2</w:t>
      </w:r>
      <w:r>
        <w:rPr>
          <w:i/>
          <w:iCs/>
        </w:rPr>
        <w:t>022/1</w:t>
      </w:r>
      <w:r w:rsidRPr="000F462A">
        <w:rPr>
          <w:i/>
          <w:iCs/>
        </w:rPr>
        <w:t>)</w:t>
      </w:r>
    </w:p>
    <w:p w14:paraId="17425E32" w14:textId="77777777" w:rsidR="00E05FCF" w:rsidRPr="006E319E" w:rsidRDefault="00E05FCF" w:rsidP="00E05FCF">
      <w:pPr>
        <w:pStyle w:val="H23G"/>
      </w:pPr>
      <w:r w:rsidRPr="000F462A">
        <w:rPr>
          <w:lang w:val="fr-FR"/>
        </w:rPr>
        <w:tab/>
      </w:r>
      <w:r w:rsidRPr="000F462A">
        <w:rPr>
          <w:lang w:val="fr-FR"/>
        </w:rPr>
        <w:tab/>
      </w:r>
      <w:r w:rsidRPr="006E319E">
        <w:t>Index alphabétique, pour « DÉTONATEURS de mine (de sautage) ÉLECTRONIQUE programmables »</w:t>
      </w:r>
    </w:p>
    <w:p w14:paraId="68245876" w14:textId="77777777" w:rsidR="00E05FCF" w:rsidRPr="006E319E" w:rsidRDefault="00E05FCF" w:rsidP="00E05FCF">
      <w:pPr>
        <w:kinsoku/>
        <w:overflowPunct/>
        <w:autoSpaceDE/>
        <w:autoSpaceDN/>
        <w:adjustRightInd/>
        <w:snapToGrid/>
        <w:spacing w:after="120"/>
        <w:ind w:left="1134" w:right="1134"/>
        <w:jc w:val="both"/>
      </w:pPr>
      <w:r w:rsidRPr="006E319E">
        <w:rPr>
          <w:i/>
          <w:iCs/>
        </w:rPr>
        <w:t xml:space="preserve">Au lieu </w:t>
      </w:r>
      <w:proofErr w:type="gramStart"/>
      <w:r w:rsidRPr="006E319E">
        <w:rPr>
          <w:i/>
          <w:iCs/>
        </w:rPr>
        <w:t xml:space="preserve">de </w:t>
      </w:r>
      <w:r w:rsidRPr="006E319E">
        <w:t>ÉLECTRONIQUE</w:t>
      </w:r>
      <w:proofErr w:type="gramEnd"/>
      <w:r w:rsidRPr="006E319E">
        <w:t xml:space="preserve"> lire ÉLECTRONIQUES</w:t>
      </w:r>
    </w:p>
    <w:p w14:paraId="55629ED4" w14:textId="77777777" w:rsidR="00E05FCF" w:rsidRDefault="00E05FCF" w:rsidP="00E05FCF">
      <w:pPr>
        <w:kinsoku/>
        <w:overflowPunct/>
        <w:autoSpaceDE/>
        <w:autoSpaceDN/>
        <w:adjustRightInd/>
        <w:snapToGrid/>
        <w:spacing w:after="120"/>
        <w:ind w:left="1134" w:right="1134"/>
        <w:jc w:val="both"/>
        <w:rPr>
          <w:i/>
          <w:iCs/>
        </w:rPr>
      </w:pPr>
      <w:r w:rsidRPr="006E319E">
        <w:rPr>
          <w:i/>
          <w:iCs/>
        </w:rPr>
        <w:t>(Document de référence : ST/SG/AC.10/C.3/2022/1, modification de conséquence)</w:t>
      </w:r>
    </w:p>
    <w:p w14:paraId="4373FD70" w14:textId="77777777" w:rsidR="00E05FCF" w:rsidRPr="005F7509" w:rsidRDefault="00E05FCF" w:rsidP="00E05FCF">
      <w:pPr>
        <w:pStyle w:val="H23G"/>
        <w:rPr>
          <w:lang w:val="fr-FR"/>
        </w:rPr>
      </w:pPr>
      <w:r>
        <w:rPr>
          <w:lang w:val="fr-FR"/>
        </w:rPr>
        <w:tab/>
      </w:r>
      <w:r>
        <w:rPr>
          <w:lang w:val="fr-FR"/>
        </w:rPr>
        <w:tab/>
      </w:r>
      <w:r w:rsidRPr="005F7509">
        <w:rPr>
          <w:lang w:val="fr-FR"/>
        </w:rPr>
        <w:t xml:space="preserve">Chapitre 4.1, 4.1.4.1, P200, tableau 2, No ONU </w:t>
      </w:r>
      <w:r>
        <w:rPr>
          <w:lang w:val="fr-FR"/>
        </w:rPr>
        <w:t>1001</w:t>
      </w:r>
      <w:r w:rsidRPr="005F7509">
        <w:rPr>
          <w:lang w:val="fr-FR"/>
        </w:rPr>
        <w:t>, deuxième ligne, colonne «</w:t>
      </w:r>
      <w:r>
        <w:rPr>
          <w:lang w:val="fr-FR"/>
        </w:rPr>
        <w:t> </w:t>
      </w:r>
      <w:r w:rsidRPr="005F7509">
        <w:rPr>
          <w:lang w:val="fr-FR"/>
        </w:rPr>
        <w:t>Dispositions spéciales d’emballage</w:t>
      </w:r>
      <w:r>
        <w:rPr>
          <w:lang w:val="fr-FR"/>
        </w:rPr>
        <w:t> </w:t>
      </w:r>
      <w:r w:rsidRPr="005F7509">
        <w:rPr>
          <w:lang w:val="fr-FR"/>
        </w:rPr>
        <w:t>»</w:t>
      </w:r>
    </w:p>
    <w:p w14:paraId="53CE8408" w14:textId="77777777" w:rsidR="00E05FCF" w:rsidRPr="005F7509" w:rsidRDefault="00E05FCF" w:rsidP="00E05FCF">
      <w:pPr>
        <w:kinsoku/>
        <w:overflowPunct/>
        <w:autoSpaceDE/>
        <w:autoSpaceDN/>
        <w:adjustRightInd/>
        <w:snapToGrid/>
        <w:spacing w:after="120"/>
        <w:ind w:left="1134" w:right="1134"/>
        <w:rPr>
          <w:i/>
          <w:iCs/>
        </w:rPr>
      </w:pPr>
      <w:r w:rsidRPr="005F7509">
        <w:rPr>
          <w:i/>
          <w:iCs/>
        </w:rPr>
        <w:t xml:space="preserve">Ajouter </w:t>
      </w:r>
      <w:r>
        <w:t>c, p</w:t>
      </w:r>
    </w:p>
    <w:p w14:paraId="34AC18A6" w14:textId="77777777" w:rsidR="00E05FCF" w:rsidRDefault="00E05FCF" w:rsidP="00E05FCF">
      <w:pPr>
        <w:kinsoku/>
        <w:overflowPunct/>
        <w:autoSpaceDE/>
        <w:autoSpaceDN/>
        <w:adjustRightInd/>
        <w:snapToGrid/>
        <w:spacing w:after="120"/>
        <w:ind w:left="1134" w:right="1134"/>
        <w:jc w:val="both"/>
        <w:rPr>
          <w:i/>
          <w:iCs/>
        </w:rPr>
      </w:pPr>
      <w:r w:rsidRPr="005F7509">
        <w:rPr>
          <w:i/>
          <w:iCs/>
        </w:rPr>
        <w:t>(Document de référence : ST/SG/AC.10/C.3/</w:t>
      </w:r>
      <w:r>
        <w:rPr>
          <w:i/>
          <w:iCs/>
        </w:rPr>
        <w:t>2022</w:t>
      </w:r>
      <w:r w:rsidRPr="005F7509">
        <w:rPr>
          <w:i/>
          <w:iCs/>
        </w:rPr>
        <w:t>/</w:t>
      </w:r>
      <w:r>
        <w:rPr>
          <w:i/>
          <w:iCs/>
        </w:rPr>
        <w:t>8</w:t>
      </w:r>
      <w:r w:rsidRPr="005F7509">
        <w:rPr>
          <w:i/>
          <w:iCs/>
        </w:rPr>
        <w:t>)</w:t>
      </w:r>
    </w:p>
    <w:p w14:paraId="493A67CE" w14:textId="77777777" w:rsidR="00E05FCF" w:rsidRPr="005F7509" w:rsidRDefault="00E05FCF" w:rsidP="00E05FCF">
      <w:pPr>
        <w:pStyle w:val="H23G"/>
        <w:rPr>
          <w:lang w:val="fr-FR"/>
        </w:rPr>
      </w:pPr>
      <w:r>
        <w:rPr>
          <w:lang w:val="fr-FR"/>
        </w:rPr>
        <w:tab/>
      </w:r>
      <w:r>
        <w:rPr>
          <w:lang w:val="fr-FR"/>
        </w:rPr>
        <w:tab/>
      </w:r>
      <w:r w:rsidRPr="005F7509">
        <w:rPr>
          <w:lang w:val="fr-FR"/>
        </w:rPr>
        <w:t xml:space="preserve">Chapitre 4.1, 4.1.4.1, P200, tableau 2, No ONU </w:t>
      </w:r>
      <w:r>
        <w:rPr>
          <w:lang w:val="fr-FR"/>
        </w:rPr>
        <w:t>3374</w:t>
      </w:r>
      <w:r w:rsidRPr="005F7509">
        <w:rPr>
          <w:lang w:val="fr-FR"/>
        </w:rPr>
        <w:t>, deuxième ligne, colonne «</w:t>
      </w:r>
      <w:r>
        <w:rPr>
          <w:lang w:val="fr-FR"/>
        </w:rPr>
        <w:t> </w:t>
      </w:r>
      <w:r w:rsidRPr="005F7509">
        <w:rPr>
          <w:lang w:val="fr-FR"/>
        </w:rPr>
        <w:t>Dispositions spéciales d’emballage</w:t>
      </w:r>
      <w:r>
        <w:rPr>
          <w:lang w:val="fr-FR"/>
        </w:rPr>
        <w:t> </w:t>
      </w:r>
      <w:r w:rsidRPr="005F7509">
        <w:rPr>
          <w:lang w:val="fr-FR"/>
        </w:rPr>
        <w:t>»</w:t>
      </w:r>
    </w:p>
    <w:p w14:paraId="60AD18F5" w14:textId="77777777" w:rsidR="00E05FCF" w:rsidRPr="005F7509" w:rsidRDefault="00E05FCF" w:rsidP="00E05FCF">
      <w:pPr>
        <w:kinsoku/>
        <w:overflowPunct/>
        <w:autoSpaceDE/>
        <w:autoSpaceDN/>
        <w:adjustRightInd/>
        <w:snapToGrid/>
        <w:spacing w:after="120"/>
        <w:ind w:left="1134" w:right="1134"/>
        <w:rPr>
          <w:i/>
          <w:iCs/>
        </w:rPr>
      </w:pPr>
      <w:r w:rsidRPr="005F7509">
        <w:rPr>
          <w:i/>
          <w:iCs/>
        </w:rPr>
        <w:t xml:space="preserve">Ajouter </w:t>
      </w:r>
      <w:r>
        <w:t>c, p</w:t>
      </w:r>
    </w:p>
    <w:p w14:paraId="6BA36803" w14:textId="77777777" w:rsidR="00E05FCF" w:rsidRDefault="00E05FCF" w:rsidP="00E05FCF">
      <w:pPr>
        <w:kinsoku/>
        <w:overflowPunct/>
        <w:autoSpaceDE/>
        <w:autoSpaceDN/>
        <w:adjustRightInd/>
        <w:snapToGrid/>
        <w:spacing w:after="120"/>
        <w:ind w:left="1134" w:right="1134"/>
        <w:jc w:val="both"/>
        <w:rPr>
          <w:i/>
          <w:iCs/>
        </w:rPr>
      </w:pPr>
      <w:r w:rsidRPr="005F7509">
        <w:rPr>
          <w:i/>
          <w:iCs/>
        </w:rPr>
        <w:t>(Document de référence : ST/SG/AC.10/C.3/</w:t>
      </w:r>
      <w:r>
        <w:rPr>
          <w:i/>
          <w:iCs/>
        </w:rPr>
        <w:t>2022</w:t>
      </w:r>
      <w:r w:rsidRPr="005F7509">
        <w:rPr>
          <w:i/>
          <w:iCs/>
        </w:rPr>
        <w:t>/</w:t>
      </w:r>
      <w:r>
        <w:rPr>
          <w:i/>
          <w:iCs/>
        </w:rPr>
        <w:t>8</w:t>
      </w:r>
      <w:r w:rsidRPr="005F7509">
        <w:rPr>
          <w:i/>
          <w:iCs/>
        </w:rPr>
        <w:t>)</w:t>
      </w:r>
    </w:p>
    <w:p w14:paraId="76DA2257" w14:textId="77777777" w:rsidR="00E05FCF" w:rsidRDefault="00E05FCF" w:rsidP="00E05FCF">
      <w:pPr>
        <w:keepNext/>
        <w:keepLines/>
        <w:tabs>
          <w:tab w:val="right" w:pos="851"/>
        </w:tabs>
        <w:spacing w:before="240" w:after="120" w:line="240" w:lineRule="exact"/>
        <w:ind w:left="1134" w:right="1134" w:hanging="1134"/>
        <w:rPr>
          <w:b/>
        </w:rPr>
      </w:pPr>
      <w:r>
        <w:rPr>
          <w:b/>
          <w:lang w:val="fr-FR"/>
        </w:rPr>
        <w:tab/>
      </w:r>
      <w:r>
        <w:rPr>
          <w:b/>
          <w:lang w:val="fr-FR"/>
        </w:rPr>
        <w:tab/>
      </w:r>
      <w:r>
        <w:rPr>
          <w:b/>
        </w:rPr>
        <w:t>Chapitre 6.4, 6.4.23.2, alinéa c)</w:t>
      </w:r>
    </w:p>
    <w:p w14:paraId="29644923" w14:textId="77777777" w:rsidR="00E05FCF" w:rsidRDefault="00E05FCF" w:rsidP="00E05FCF">
      <w:pPr>
        <w:kinsoku/>
        <w:overflowPunct/>
        <w:autoSpaceDE/>
        <w:adjustRightInd/>
        <w:snapToGrid/>
        <w:spacing w:after="120"/>
        <w:ind w:left="1134" w:right="1134"/>
        <w:jc w:val="both"/>
      </w:pPr>
      <w:r>
        <w:rPr>
          <w:i/>
          <w:iCs/>
        </w:rPr>
        <w:t xml:space="preserve">Au lieu de </w:t>
      </w:r>
      <w:r>
        <w:t>iii) lire v)</w:t>
      </w:r>
    </w:p>
    <w:p w14:paraId="07567BFD" w14:textId="77777777" w:rsidR="00E05FCF" w:rsidRDefault="00E05FCF" w:rsidP="00E05FCF">
      <w:pPr>
        <w:kinsoku/>
        <w:overflowPunct/>
        <w:autoSpaceDE/>
        <w:adjustRightInd/>
        <w:snapToGrid/>
        <w:spacing w:after="120"/>
        <w:ind w:left="1134" w:right="1134"/>
        <w:jc w:val="both"/>
        <w:rPr>
          <w:i/>
          <w:iCs/>
        </w:rPr>
      </w:pPr>
      <w:r>
        <w:rPr>
          <w:i/>
          <w:iCs/>
        </w:rPr>
        <w:t>(Document de référence : ST/SG/AC.10/C.3/2022/16)</w:t>
      </w:r>
    </w:p>
    <w:p w14:paraId="1BDF5C33" w14:textId="77777777" w:rsidR="00E05FCF" w:rsidRDefault="00E05FCF" w:rsidP="00E05FCF">
      <w:pPr>
        <w:pStyle w:val="HChG"/>
      </w:pPr>
      <w:r>
        <w:tab/>
        <w:t>III.</w:t>
      </w:r>
      <w:r>
        <w:tab/>
      </w:r>
      <w:r w:rsidRPr="00C00FF0">
        <w:t xml:space="preserve">Modifications </w:t>
      </w:r>
      <w:r>
        <w:t>à</w:t>
      </w:r>
      <w:r w:rsidRPr="00C00FF0">
        <w:t xml:space="preserve"> la sixième version des Principes directeurs pour l'élaboration du Règlement type sur le transport des marchandises dangereuses</w:t>
      </w:r>
      <w:r>
        <w:tab/>
      </w:r>
      <w:r>
        <w:tab/>
        <w:t>[Anglais seulement]</w:t>
      </w:r>
    </w:p>
    <w:p w14:paraId="62E0C859" w14:textId="77777777" w:rsidR="00E05FCF" w:rsidRPr="00C00FF0" w:rsidRDefault="00E05FCF" w:rsidP="00E05FCF">
      <w:pPr>
        <w:pStyle w:val="SingleTxtG"/>
        <w:ind w:left="2268" w:hanging="1134"/>
        <w:rPr>
          <w:lang w:val="en-GB"/>
        </w:rPr>
      </w:pPr>
      <w:r w:rsidRPr="00C00FF0">
        <w:rPr>
          <w:lang w:val="en-GB"/>
        </w:rPr>
        <w:t>B.2, §2</w:t>
      </w:r>
      <w:r w:rsidRPr="00C00FF0">
        <w:rPr>
          <w:lang w:val="en-GB"/>
        </w:rPr>
        <w:tab/>
        <w:t>In table 4.1, for 6.1, add the following new row:</w:t>
      </w:r>
    </w:p>
    <w:tbl>
      <w:tblPr>
        <w:tblStyle w:val="TableGrid"/>
        <w:tblW w:w="0" w:type="auto"/>
        <w:tblInd w:w="1701" w:type="dxa"/>
        <w:tblCellMar>
          <w:left w:w="57" w:type="dxa"/>
          <w:right w:w="57" w:type="dxa"/>
        </w:tblCellMar>
        <w:tblLook w:val="04A0" w:firstRow="1" w:lastRow="0" w:firstColumn="1" w:lastColumn="0" w:noHBand="0" w:noVBand="1"/>
      </w:tblPr>
      <w:tblGrid>
        <w:gridCol w:w="846"/>
        <w:gridCol w:w="3685"/>
        <w:gridCol w:w="709"/>
        <w:gridCol w:w="709"/>
        <w:gridCol w:w="850"/>
      </w:tblGrid>
      <w:tr w:rsidR="00E05FCF" w:rsidRPr="00C00FF0" w14:paraId="763F854C" w14:textId="77777777" w:rsidTr="00D407EA">
        <w:tc>
          <w:tcPr>
            <w:tcW w:w="846" w:type="dxa"/>
            <w:tcBorders>
              <w:top w:val="single" w:sz="4" w:space="0" w:color="auto"/>
              <w:left w:val="single" w:sz="4" w:space="0" w:color="auto"/>
              <w:bottom w:val="single" w:sz="4" w:space="0" w:color="auto"/>
              <w:right w:val="single" w:sz="4" w:space="0" w:color="auto"/>
            </w:tcBorders>
            <w:hideMark/>
          </w:tcPr>
          <w:p w14:paraId="6472E488" w14:textId="77777777" w:rsidR="00E05FCF" w:rsidRPr="00C00FF0" w:rsidRDefault="00E05FCF" w:rsidP="00D407EA">
            <w:pPr>
              <w:pStyle w:val="SingleTxtG"/>
              <w:ind w:left="0" w:right="0"/>
              <w:jc w:val="center"/>
              <w:rPr>
                <w:lang w:val="en-GB"/>
              </w:rPr>
            </w:pPr>
            <w:r w:rsidRPr="00C00FF0">
              <w:rPr>
                <w:lang w:val="en-GB"/>
              </w:rPr>
              <w:t>6.1</w:t>
            </w:r>
          </w:p>
        </w:tc>
        <w:tc>
          <w:tcPr>
            <w:tcW w:w="3685" w:type="dxa"/>
            <w:tcBorders>
              <w:top w:val="single" w:sz="4" w:space="0" w:color="auto"/>
              <w:left w:val="single" w:sz="4" w:space="0" w:color="auto"/>
              <w:bottom w:val="single" w:sz="4" w:space="0" w:color="auto"/>
              <w:right w:val="single" w:sz="4" w:space="0" w:color="auto"/>
            </w:tcBorders>
            <w:hideMark/>
          </w:tcPr>
          <w:p w14:paraId="26B62C52" w14:textId="77777777" w:rsidR="00E05FCF" w:rsidRPr="00C00FF0" w:rsidRDefault="00E05FCF" w:rsidP="00D407EA">
            <w:pPr>
              <w:pStyle w:val="SingleTxtG"/>
              <w:ind w:left="0" w:right="0"/>
              <w:jc w:val="left"/>
              <w:rPr>
                <w:lang w:val="en-GB"/>
              </w:rPr>
            </w:pPr>
            <w:r w:rsidRPr="00C00FF0">
              <w:rPr>
                <w:lang w:val="en-GB"/>
              </w:rPr>
              <w:t xml:space="preserve">Cobalt </w:t>
            </w:r>
            <w:proofErr w:type="spellStart"/>
            <w:r w:rsidRPr="00C00FF0">
              <w:rPr>
                <w:lang w:val="en-GB"/>
              </w:rPr>
              <w:t>dihydroxide</w:t>
            </w:r>
            <w:proofErr w:type="spellEnd"/>
            <w:r w:rsidRPr="00C00FF0">
              <w:rPr>
                <w:lang w:val="en-GB"/>
              </w:rPr>
              <w:t xml:space="preserve"> powder (UN </w:t>
            </w:r>
            <w:proofErr w:type="gramStart"/>
            <w:r w:rsidRPr="00C00FF0">
              <w:rPr>
                <w:lang w:val="en-GB"/>
              </w:rPr>
              <w:t>3550)</w:t>
            </w:r>
            <w:r w:rsidRPr="00C00FF0">
              <w:rPr>
                <w:vertAlign w:val="superscript"/>
                <w:lang w:val="en-GB"/>
              </w:rPr>
              <w:t>b</w:t>
            </w:r>
            <w:proofErr w:type="gramEnd"/>
          </w:p>
        </w:tc>
        <w:tc>
          <w:tcPr>
            <w:tcW w:w="709" w:type="dxa"/>
            <w:tcBorders>
              <w:top w:val="single" w:sz="4" w:space="0" w:color="auto"/>
              <w:left w:val="single" w:sz="4" w:space="0" w:color="auto"/>
              <w:bottom w:val="single" w:sz="4" w:space="0" w:color="auto"/>
              <w:right w:val="single" w:sz="4" w:space="0" w:color="auto"/>
            </w:tcBorders>
            <w:hideMark/>
          </w:tcPr>
          <w:p w14:paraId="35CF0362" w14:textId="77777777" w:rsidR="00E05FCF" w:rsidRPr="00C00FF0" w:rsidRDefault="00E05FCF" w:rsidP="00D407EA">
            <w:pPr>
              <w:pStyle w:val="SingleTxtG"/>
              <w:ind w:left="0" w:right="0"/>
              <w:jc w:val="center"/>
              <w:rPr>
                <w:lang w:val="en-GB"/>
              </w:rPr>
            </w:pPr>
            <w:r w:rsidRPr="00C00FF0">
              <w:rPr>
                <w:lang w:val="en-GB"/>
              </w:rPr>
              <w:t>None</w:t>
            </w:r>
          </w:p>
        </w:tc>
        <w:tc>
          <w:tcPr>
            <w:tcW w:w="709" w:type="dxa"/>
            <w:tcBorders>
              <w:top w:val="single" w:sz="4" w:space="0" w:color="auto"/>
              <w:left w:val="single" w:sz="4" w:space="0" w:color="auto"/>
              <w:bottom w:val="single" w:sz="4" w:space="0" w:color="auto"/>
              <w:right w:val="single" w:sz="4" w:space="0" w:color="auto"/>
            </w:tcBorders>
            <w:hideMark/>
          </w:tcPr>
          <w:p w14:paraId="61C185EA" w14:textId="77777777" w:rsidR="00E05FCF" w:rsidRPr="00C00FF0" w:rsidRDefault="00E05FCF" w:rsidP="00D407EA">
            <w:pPr>
              <w:pStyle w:val="SingleTxtG"/>
              <w:ind w:left="0" w:right="5"/>
              <w:jc w:val="center"/>
              <w:rPr>
                <w:lang w:val="en-GB"/>
              </w:rPr>
            </w:pPr>
            <w:r w:rsidRPr="00C00FF0">
              <w:rPr>
                <w:lang w:val="en-GB"/>
              </w:rPr>
              <w:t>I</w:t>
            </w:r>
          </w:p>
        </w:tc>
        <w:tc>
          <w:tcPr>
            <w:tcW w:w="850" w:type="dxa"/>
            <w:tcBorders>
              <w:top w:val="single" w:sz="4" w:space="0" w:color="auto"/>
              <w:left w:val="single" w:sz="4" w:space="0" w:color="auto"/>
              <w:bottom w:val="single" w:sz="4" w:space="0" w:color="auto"/>
              <w:right w:val="single" w:sz="4" w:space="0" w:color="auto"/>
            </w:tcBorders>
            <w:hideMark/>
          </w:tcPr>
          <w:p w14:paraId="583B4E81" w14:textId="77777777" w:rsidR="00E05FCF" w:rsidRPr="00C00FF0" w:rsidRDefault="00E05FCF" w:rsidP="00D407EA">
            <w:pPr>
              <w:pStyle w:val="SingleTxtG"/>
              <w:ind w:left="0" w:right="0"/>
              <w:jc w:val="center"/>
              <w:rPr>
                <w:lang w:val="en-GB"/>
              </w:rPr>
            </w:pPr>
            <w:r w:rsidRPr="00C00FF0">
              <w:rPr>
                <w:lang w:val="en-GB"/>
              </w:rPr>
              <w:t>IBC07</w:t>
            </w:r>
          </w:p>
        </w:tc>
      </w:tr>
    </w:tbl>
    <w:p w14:paraId="7DE9BE06" w14:textId="77777777" w:rsidR="00E05FCF" w:rsidRPr="00C00FF0" w:rsidRDefault="00E05FCF" w:rsidP="00E05FCF">
      <w:pPr>
        <w:pStyle w:val="SingleTxtG"/>
        <w:spacing w:before="120"/>
        <w:ind w:left="2268" w:hanging="1134"/>
        <w:rPr>
          <w:lang w:val="en-GB"/>
        </w:rPr>
      </w:pPr>
      <w:r w:rsidRPr="00C00FF0">
        <w:rPr>
          <w:lang w:val="en-GB"/>
        </w:rPr>
        <w:tab/>
        <w:t xml:space="preserve">Note b reads: “ </w:t>
      </w:r>
      <w:r w:rsidRPr="00C00FF0">
        <w:rPr>
          <w:vertAlign w:val="superscript"/>
          <w:lang w:val="en-GB"/>
        </w:rPr>
        <w:t>b</w:t>
      </w:r>
      <w:r w:rsidRPr="00C00FF0">
        <w:rPr>
          <w:lang w:val="en-GB"/>
        </w:rPr>
        <w:t xml:space="preserve">  Acknowledging the unique properties of cobalt </w:t>
      </w:r>
      <w:proofErr w:type="spellStart"/>
      <w:r w:rsidRPr="00C00FF0">
        <w:rPr>
          <w:lang w:val="en-GB"/>
        </w:rPr>
        <w:t>dihydroxide</w:t>
      </w:r>
      <w:proofErr w:type="spellEnd"/>
      <w:r w:rsidRPr="00C00FF0">
        <w:rPr>
          <w:lang w:val="en-GB"/>
        </w:rPr>
        <w:t xml:space="preserve"> powder, which include that this material is: hygroscopic, heavy with a density of 3.6 g/cm³, has zero vapour pressure, tends to clump and not remain airborne, and that the airborne fraction has a low </w:t>
      </w:r>
      <w:proofErr w:type="spellStart"/>
      <w:r w:rsidRPr="00C00FF0">
        <w:rPr>
          <w:lang w:val="en-GB"/>
        </w:rPr>
        <w:t>respirability</w:t>
      </w:r>
      <w:proofErr w:type="spellEnd"/>
      <w:r w:rsidRPr="00C00FF0">
        <w:rPr>
          <w:lang w:val="en-GB"/>
        </w:rPr>
        <w:t xml:space="preserve"> value of only 0.8 % modelled to deposit in the deep lung, the Sub-Committee of Experts on the Transport of Dangerous Goods agreed to authorize UN 3550 to be packed in flexible intermediate bulk containers, provided these include a sift-proof liner (to prevent any egress of dust during transport), and are transported in closed cargo transport units”.</w:t>
      </w:r>
    </w:p>
    <w:p w14:paraId="0B2BF17B" w14:textId="77777777" w:rsidR="00E05FCF" w:rsidRPr="00C00FF0" w:rsidRDefault="00E05FCF" w:rsidP="00E05FCF">
      <w:pPr>
        <w:pStyle w:val="SingleTxtG"/>
        <w:rPr>
          <w:i/>
          <w:iCs/>
          <w:lang w:val="en-GB"/>
        </w:rPr>
      </w:pPr>
      <w:r w:rsidRPr="00C00FF0">
        <w:rPr>
          <w:i/>
          <w:iCs/>
          <w:lang w:val="en-GB"/>
        </w:rPr>
        <w:lastRenderedPageBreak/>
        <w:t>(Reference document:</w:t>
      </w:r>
      <w:r w:rsidRPr="00C00FF0">
        <w:rPr>
          <w:lang w:val="en-GB"/>
        </w:rPr>
        <w:t xml:space="preserve"> </w:t>
      </w:r>
      <w:r w:rsidRPr="00C00FF0">
        <w:rPr>
          <w:i/>
          <w:iCs/>
          <w:lang w:val="en-GB"/>
        </w:rPr>
        <w:t>ST/SG/AC.10/C.3/2022/3, as amended)</w:t>
      </w:r>
    </w:p>
    <w:p w14:paraId="2FDBB48E" w14:textId="77777777" w:rsidR="00E05FCF" w:rsidRPr="00C00FF0" w:rsidRDefault="00E05FCF" w:rsidP="00E05FCF">
      <w:pPr>
        <w:pStyle w:val="SingleTxtG"/>
        <w:ind w:left="2268" w:hanging="1134"/>
        <w:rPr>
          <w:lang w:val="en-GB"/>
        </w:rPr>
      </w:pPr>
      <w:r w:rsidRPr="00C00FF0">
        <w:rPr>
          <w:lang w:val="en-GB"/>
        </w:rPr>
        <w:t>C.3, §15</w:t>
      </w:r>
      <w:r w:rsidRPr="00C00FF0">
        <w:rPr>
          <w:lang w:val="en-GB"/>
        </w:rPr>
        <w:tab/>
        <w:t>Delete the entry for TP2 and renumber TP3 to TP11 as TP2 to TP10.</w:t>
      </w:r>
    </w:p>
    <w:p w14:paraId="1AAA8042" w14:textId="77777777" w:rsidR="00E05FCF" w:rsidRPr="00C00FF0" w:rsidRDefault="00E05FCF" w:rsidP="00E05FCF">
      <w:pPr>
        <w:pStyle w:val="SingleTxtG"/>
        <w:rPr>
          <w:i/>
          <w:iCs/>
          <w:lang w:val="en-GB"/>
        </w:rPr>
      </w:pPr>
      <w:r w:rsidRPr="00C00FF0">
        <w:rPr>
          <w:i/>
          <w:iCs/>
          <w:lang w:val="en-GB"/>
        </w:rPr>
        <w:t>(Reference document:</w:t>
      </w:r>
      <w:r w:rsidRPr="00C00FF0">
        <w:rPr>
          <w:lang w:val="en-GB"/>
        </w:rPr>
        <w:t xml:space="preserve"> </w:t>
      </w:r>
      <w:r w:rsidRPr="00C00FF0">
        <w:rPr>
          <w:i/>
          <w:iCs/>
          <w:lang w:val="en-GB"/>
        </w:rPr>
        <w:t>ST/SG/AC.10/C.3/2022/39)</w:t>
      </w:r>
    </w:p>
    <w:p w14:paraId="1A072132" w14:textId="77777777" w:rsidR="00E05FCF" w:rsidRPr="00C00FF0" w:rsidRDefault="00E05FCF" w:rsidP="00E05FCF">
      <w:pPr>
        <w:pStyle w:val="SingleTxtG"/>
        <w:ind w:left="2268" w:hanging="1134"/>
        <w:rPr>
          <w:lang w:val="en-GB"/>
        </w:rPr>
      </w:pPr>
      <w:r w:rsidRPr="00C00FF0">
        <w:rPr>
          <w:lang w:val="en-GB"/>
        </w:rPr>
        <w:t>C.3, §15</w:t>
      </w:r>
      <w:r w:rsidRPr="00C00FF0">
        <w:rPr>
          <w:lang w:val="en-GB"/>
        </w:rPr>
        <w:tab/>
        <w:t>In the renumbered TP4, after “low specific activity” add “and surface contaminated objects”. After “3534)” add “, to chemicals under pressure (UN Nos. 3500 to 3505)”.</w:t>
      </w:r>
    </w:p>
    <w:p w14:paraId="1E913E01" w14:textId="77777777" w:rsidR="00E05FCF" w:rsidRPr="00C00FF0" w:rsidRDefault="00E05FCF" w:rsidP="00E05FCF">
      <w:pPr>
        <w:pStyle w:val="SingleTxtG"/>
        <w:rPr>
          <w:i/>
          <w:iCs/>
          <w:lang w:val="en-GB"/>
        </w:rPr>
      </w:pPr>
      <w:r w:rsidRPr="00C00FF0">
        <w:rPr>
          <w:i/>
          <w:iCs/>
          <w:lang w:val="en-GB"/>
        </w:rPr>
        <w:t>(Reference document:</w:t>
      </w:r>
      <w:r w:rsidRPr="00C00FF0">
        <w:rPr>
          <w:lang w:val="en-GB"/>
        </w:rPr>
        <w:t xml:space="preserve"> </w:t>
      </w:r>
      <w:r w:rsidRPr="00C00FF0">
        <w:rPr>
          <w:i/>
          <w:iCs/>
          <w:lang w:val="en-GB"/>
        </w:rPr>
        <w:t>ST/SG/AC.10/C.3/2022/39, as amended)</w:t>
      </w:r>
    </w:p>
    <w:p w14:paraId="6B3922FE" w14:textId="77777777" w:rsidR="005608C1" w:rsidRPr="005608C1" w:rsidRDefault="005608C1" w:rsidP="005608C1">
      <w:pPr>
        <w:keepNext/>
        <w:keepLines/>
        <w:tabs>
          <w:tab w:val="right" w:pos="851"/>
        </w:tabs>
        <w:spacing w:before="360" w:after="240" w:line="300" w:lineRule="exact"/>
        <w:ind w:left="1134" w:right="1134" w:hanging="1134"/>
        <w:rPr>
          <w:rFonts w:eastAsia="Times New Roman"/>
          <w:b/>
          <w:sz w:val="28"/>
          <w:lang w:eastAsia="zh-CN"/>
        </w:rPr>
      </w:pPr>
      <w:r w:rsidRPr="005608C1">
        <w:rPr>
          <w:rFonts w:eastAsia="Times New Roman"/>
          <w:b/>
          <w:sz w:val="28"/>
          <w:lang w:eastAsia="zh-CN"/>
        </w:rPr>
        <w:tab/>
        <w:t>IV.</w:t>
      </w:r>
      <w:r w:rsidRPr="005608C1">
        <w:rPr>
          <w:rFonts w:eastAsia="Times New Roman"/>
          <w:b/>
          <w:sz w:val="28"/>
          <w:lang w:eastAsia="zh-CN"/>
        </w:rPr>
        <w:tab/>
      </w:r>
      <w:r w:rsidRPr="005608C1">
        <w:rPr>
          <w:rFonts w:eastAsia="Times New Roman"/>
          <w:b/>
          <w:sz w:val="28"/>
          <w:lang w:val="fr-FR" w:eastAsia="zh-CN"/>
        </w:rPr>
        <w:t>Projet d'amendements à la septième édition révisée du Manuel d’épreuves et de critères (ST/SG/AC.10/11/Rev.7 et Amend.1)</w:t>
      </w:r>
    </w:p>
    <w:p w14:paraId="450460BD" w14:textId="77777777" w:rsidR="00E05FCF" w:rsidRDefault="00E05FCF" w:rsidP="00E05FCF">
      <w:pPr>
        <w:pStyle w:val="H1G"/>
        <w:rPr>
          <w:lang w:val="fr-FR"/>
        </w:rPr>
      </w:pPr>
      <w:r>
        <w:rPr>
          <w:lang w:val="fr-FR"/>
        </w:rPr>
        <w:tab/>
      </w:r>
      <w:r>
        <w:rPr>
          <w:lang w:val="fr-FR"/>
        </w:rPr>
        <w:tab/>
        <w:t>Section 32</w:t>
      </w:r>
    </w:p>
    <w:p w14:paraId="54000B39" w14:textId="3594262B" w:rsidR="00E05FCF" w:rsidRDefault="00E05FCF" w:rsidP="00E05FCF">
      <w:pPr>
        <w:pStyle w:val="SingleTxtG"/>
        <w:ind w:left="2268" w:hanging="1134"/>
      </w:pPr>
      <w:r>
        <w:t>[32.2.2</w:t>
      </w:r>
      <w:r w:rsidR="00B03DDB">
        <w:tab/>
      </w:r>
      <w:r>
        <w:tab/>
        <w:t>Dans la première phrase, remplacer « 60 °C » par « 93 °C » et supprimer la fin de la phrase à partir de « en creuset fermé ».</w:t>
      </w:r>
    </w:p>
    <w:p w14:paraId="20BB7E5F" w14:textId="77777777" w:rsidR="00E05FCF" w:rsidRDefault="00E05FCF" w:rsidP="00E05FCF">
      <w:pPr>
        <w:pStyle w:val="SingleTxtG"/>
        <w:ind w:left="2268" w:hanging="1134"/>
      </w:pPr>
      <w:r>
        <w:tab/>
        <w:t>À la fin du paragraphe, ajouter :</w:t>
      </w:r>
    </w:p>
    <w:p w14:paraId="53EBD53B" w14:textId="77777777" w:rsidR="00E05FCF" w:rsidRDefault="00E05FCF" w:rsidP="00E05FCF">
      <w:pPr>
        <w:pStyle w:val="SingleTxtG"/>
        <w:ind w:left="2268" w:hanging="1134"/>
      </w:pPr>
      <w:r>
        <w:t>« </w:t>
      </w:r>
      <w:r w:rsidRPr="006E5F25">
        <w:t>Aux fins du transport, il convient en outre de se conformer aux spécifications suivantes</w:t>
      </w:r>
      <w:r>
        <w:t> </w:t>
      </w:r>
      <w:r w:rsidRPr="006E5F25">
        <w:t>:</w:t>
      </w:r>
    </w:p>
    <w:p w14:paraId="196026A8" w14:textId="77777777" w:rsidR="00E05FCF" w:rsidRDefault="00E05FCF" w:rsidP="00E05FCF">
      <w:pPr>
        <w:pStyle w:val="SingleTxtG"/>
        <w:ind w:left="2268" w:hanging="567"/>
      </w:pPr>
      <w:r>
        <w:t>a)</w:t>
      </w:r>
      <w:r>
        <w:tab/>
      </w:r>
      <w:r w:rsidRPr="003A1E4C">
        <w:t>Ne sont classées comme liquides inflammables que les matières dont le point d’éclair ne dépasse pas 60</w:t>
      </w:r>
      <w:r>
        <w:t> </w:t>
      </w:r>
      <w:r w:rsidRPr="003A1E4C">
        <w:t>°C (les liquides inflammables de la catégorie 4 du SGH ne sont pas concernés)</w:t>
      </w:r>
      <w:r>
        <w:t> </w:t>
      </w:r>
      <w:r w:rsidRPr="003A1E4C">
        <w:t>;</w:t>
      </w:r>
    </w:p>
    <w:p w14:paraId="18B7B5ED" w14:textId="77777777" w:rsidR="00E05FCF" w:rsidRPr="00ED67E1" w:rsidRDefault="00E05FCF" w:rsidP="00E05FCF">
      <w:pPr>
        <w:pStyle w:val="SingleTxtG"/>
        <w:ind w:left="2268" w:hanging="567"/>
        <w:rPr>
          <w:lang w:val="fr-FR"/>
        </w:rPr>
      </w:pPr>
      <w:r>
        <w:t>b)</w:t>
      </w:r>
      <w:r>
        <w:tab/>
      </w:r>
      <w:r w:rsidRPr="000D267F">
        <w:t>En outre, les matières transportées ou présentées au transport à température élevée sont classées comme liquides inflammables lorsqu’elles émettent des vapeurs inflammables à une température égale ou inférieure à la température maximale de transport.</w:t>
      </w:r>
      <w:r>
        <w:t>]</w:t>
      </w:r>
    </w:p>
    <w:p w14:paraId="5ACB1618" w14:textId="77777777" w:rsidR="00E05FCF" w:rsidRDefault="00E05FCF" w:rsidP="00E05FCF">
      <w:pPr>
        <w:pStyle w:val="SingleTxtG"/>
        <w:rPr>
          <w:i/>
          <w:iCs/>
          <w:lang w:val="fr-FR"/>
        </w:rPr>
      </w:pPr>
      <w:r w:rsidRPr="00604B7D">
        <w:rPr>
          <w:i/>
          <w:iCs/>
          <w:lang w:val="fr-FR"/>
        </w:rPr>
        <w:t xml:space="preserve">(Document de référence : </w:t>
      </w:r>
      <w:r>
        <w:rPr>
          <w:i/>
          <w:iCs/>
          <w:lang w:val="fr-FR"/>
        </w:rPr>
        <w:t>ST/SG/AC.10/C.3/2022/11, proposition 2, paragraphe 9</w:t>
      </w:r>
      <w:r w:rsidRPr="00604B7D">
        <w:rPr>
          <w:i/>
          <w:iCs/>
          <w:lang w:val="fr-FR"/>
        </w:rPr>
        <w:t>)</w:t>
      </w:r>
    </w:p>
    <w:p w14:paraId="3C1B7E1F" w14:textId="77777777" w:rsidR="00E05FCF" w:rsidRDefault="00E05FCF" w:rsidP="00E05FCF">
      <w:pPr>
        <w:pStyle w:val="H1G"/>
        <w:rPr>
          <w:lang w:val="fr-FR"/>
        </w:rPr>
      </w:pPr>
      <w:r>
        <w:rPr>
          <w:lang w:val="fr-FR"/>
        </w:rPr>
        <w:tab/>
      </w:r>
      <w:r>
        <w:rPr>
          <w:lang w:val="fr-FR"/>
        </w:rPr>
        <w:tab/>
        <w:t>Section 37</w:t>
      </w:r>
    </w:p>
    <w:p w14:paraId="05C23838" w14:textId="0F891A5D" w:rsidR="00E05FCF" w:rsidRPr="00ED67E1" w:rsidRDefault="00E05FCF" w:rsidP="00E05FCF">
      <w:pPr>
        <w:pStyle w:val="SingleTxtG"/>
        <w:ind w:left="2268" w:hanging="1134"/>
        <w:rPr>
          <w:lang w:val="fr-FR"/>
        </w:rPr>
      </w:pPr>
      <w:r>
        <w:t>[37.1.2</w:t>
      </w:r>
      <w:r>
        <w:tab/>
      </w:r>
      <w:r w:rsidR="00B03DDB">
        <w:tab/>
      </w:r>
      <w:r>
        <w:t>Dans la dernière phrase, après « aux fins de classification », ajouter « pour le transport ».]</w:t>
      </w:r>
    </w:p>
    <w:p w14:paraId="06F35E5D" w14:textId="77777777" w:rsidR="00E05FCF" w:rsidRDefault="00E05FCF" w:rsidP="00E05FCF">
      <w:pPr>
        <w:pStyle w:val="SingleTxtG"/>
        <w:rPr>
          <w:i/>
          <w:iCs/>
          <w:lang w:val="fr-FR"/>
        </w:rPr>
      </w:pPr>
      <w:r w:rsidRPr="00604B7D">
        <w:rPr>
          <w:i/>
          <w:iCs/>
          <w:lang w:val="fr-FR"/>
        </w:rPr>
        <w:t xml:space="preserve">(Document de référence : </w:t>
      </w:r>
      <w:r>
        <w:rPr>
          <w:i/>
          <w:iCs/>
          <w:lang w:val="fr-FR"/>
        </w:rPr>
        <w:t>ST/SG/AC.10/C.3/2022/11, proposition 1</w:t>
      </w:r>
      <w:r w:rsidRPr="00604B7D">
        <w:rPr>
          <w:i/>
          <w:iCs/>
          <w:lang w:val="fr-FR"/>
        </w:rPr>
        <w:t>)</w:t>
      </w:r>
    </w:p>
    <w:p w14:paraId="4177DB18" w14:textId="77777777" w:rsidR="00E05FCF" w:rsidRPr="00FB265F" w:rsidRDefault="00E05FCF" w:rsidP="00E05FCF">
      <w:pPr>
        <w:spacing w:before="240"/>
        <w:jc w:val="center"/>
        <w:rPr>
          <w:u w:val="single"/>
          <w:lang w:val="fr-FR"/>
        </w:rPr>
      </w:pPr>
      <w:r>
        <w:rPr>
          <w:u w:val="single"/>
          <w:lang w:val="fr-FR"/>
        </w:rPr>
        <w:tab/>
      </w:r>
      <w:r>
        <w:rPr>
          <w:u w:val="single"/>
          <w:lang w:val="fr-FR"/>
        </w:rPr>
        <w:tab/>
      </w:r>
      <w:r>
        <w:rPr>
          <w:u w:val="single"/>
          <w:lang w:val="fr-FR"/>
        </w:rPr>
        <w:tab/>
      </w:r>
    </w:p>
    <w:p w14:paraId="1B8B3D84" w14:textId="77777777" w:rsidR="00BD17FF" w:rsidRPr="00BB5190" w:rsidRDefault="00BD17FF" w:rsidP="004B5C22">
      <w:pPr>
        <w:spacing w:before="240"/>
      </w:pPr>
    </w:p>
    <w:sectPr w:rsidR="00BD17FF" w:rsidRPr="00BB5190" w:rsidSect="00BB5190">
      <w:headerReference w:type="even" r:id="rId12"/>
      <w:headerReference w:type="default" r:id="rId13"/>
      <w:footerReference w:type="even" r:id="rId14"/>
      <w:footerReference w:type="defaul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70C0" w14:textId="77777777" w:rsidR="00595938" w:rsidRDefault="00595938" w:rsidP="00F95C08">
      <w:pPr>
        <w:spacing w:line="240" w:lineRule="auto"/>
      </w:pPr>
    </w:p>
  </w:endnote>
  <w:endnote w:type="continuationSeparator" w:id="0">
    <w:p w14:paraId="38D46AF6" w14:textId="77777777" w:rsidR="00595938" w:rsidRPr="00AC3823" w:rsidRDefault="00595938" w:rsidP="00AC3823">
      <w:pPr>
        <w:pStyle w:val="Footer"/>
      </w:pPr>
    </w:p>
  </w:endnote>
  <w:endnote w:type="continuationNotice" w:id="1">
    <w:p w14:paraId="61779908" w14:textId="77777777" w:rsidR="00595938" w:rsidRDefault="005959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8373" w14:textId="4F7692B9" w:rsidR="00BB5190" w:rsidRPr="00BB5190" w:rsidRDefault="00BB5190" w:rsidP="00BB5190">
    <w:pPr>
      <w:pStyle w:val="Footer"/>
      <w:tabs>
        <w:tab w:val="right" w:pos="9638"/>
      </w:tabs>
    </w:pPr>
    <w:r w:rsidRPr="00BB5190">
      <w:rPr>
        <w:b/>
        <w:sz w:val="18"/>
      </w:rPr>
      <w:fldChar w:fldCharType="begin"/>
    </w:r>
    <w:r w:rsidRPr="00BB5190">
      <w:rPr>
        <w:b/>
        <w:sz w:val="18"/>
      </w:rPr>
      <w:instrText xml:space="preserve"> PAGE  \* MERGEFORMAT </w:instrText>
    </w:r>
    <w:r w:rsidRPr="00BB5190">
      <w:rPr>
        <w:b/>
        <w:sz w:val="18"/>
      </w:rPr>
      <w:fldChar w:fldCharType="separate"/>
    </w:r>
    <w:r w:rsidRPr="00BB5190">
      <w:rPr>
        <w:b/>
        <w:noProof/>
        <w:sz w:val="18"/>
      </w:rPr>
      <w:t>2</w:t>
    </w:r>
    <w:r w:rsidRPr="00BB5190">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EA77" w14:textId="32593D48" w:rsidR="00BB5190" w:rsidRPr="00BB5190" w:rsidRDefault="00BB5190" w:rsidP="00BB5190">
    <w:pPr>
      <w:pStyle w:val="Footer"/>
      <w:tabs>
        <w:tab w:val="right" w:pos="9638"/>
      </w:tabs>
      <w:rPr>
        <w:b/>
        <w:sz w:val="18"/>
      </w:rPr>
    </w:pPr>
    <w:r>
      <w:tab/>
    </w:r>
    <w:r w:rsidRPr="00BB5190">
      <w:rPr>
        <w:b/>
        <w:sz w:val="18"/>
      </w:rPr>
      <w:fldChar w:fldCharType="begin"/>
    </w:r>
    <w:r w:rsidRPr="00BB5190">
      <w:rPr>
        <w:b/>
        <w:sz w:val="18"/>
      </w:rPr>
      <w:instrText xml:space="preserve"> PAGE  \* MERGEFORMAT </w:instrText>
    </w:r>
    <w:r w:rsidRPr="00BB5190">
      <w:rPr>
        <w:b/>
        <w:sz w:val="18"/>
      </w:rPr>
      <w:fldChar w:fldCharType="separate"/>
    </w:r>
    <w:r w:rsidRPr="00BB5190">
      <w:rPr>
        <w:b/>
        <w:noProof/>
        <w:sz w:val="18"/>
      </w:rPr>
      <w:t>3</w:t>
    </w:r>
    <w:r w:rsidRPr="00BB519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839D" w14:textId="77777777" w:rsidR="00595938" w:rsidRPr="00AC3823" w:rsidRDefault="00595938" w:rsidP="00AC3823">
      <w:pPr>
        <w:pStyle w:val="Footer"/>
        <w:tabs>
          <w:tab w:val="right" w:pos="2155"/>
        </w:tabs>
        <w:spacing w:after="80" w:line="240" w:lineRule="atLeast"/>
        <w:ind w:left="680"/>
        <w:rPr>
          <w:u w:val="single"/>
        </w:rPr>
      </w:pPr>
      <w:r>
        <w:rPr>
          <w:u w:val="single"/>
        </w:rPr>
        <w:tab/>
      </w:r>
    </w:p>
  </w:footnote>
  <w:footnote w:type="continuationSeparator" w:id="0">
    <w:p w14:paraId="72FD766B" w14:textId="77777777" w:rsidR="00595938" w:rsidRPr="00AC3823" w:rsidRDefault="00595938" w:rsidP="00AC3823">
      <w:pPr>
        <w:pStyle w:val="Footer"/>
        <w:tabs>
          <w:tab w:val="right" w:pos="2155"/>
        </w:tabs>
        <w:spacing w:after="80" w:line="240" w:lineRule="atLeast"/>
        <w:ind w:left="680"/>
        <w:rPr>
          <w:u w:val="single"/>
        </w:rPr>
      </w:pPr>
      <w:r>
        <w:rPr>
          <w:u w:val="single"/>
        </w:rPr>
        <w:tab/>
      </w:r>
    </w:p>
  </w:footnote>
  <w:footnote w:type="continuationNotice" w:id="1">
    <w:p w14:paraId="358AA73D" w14:textId="77777777" w:rsidR="00595938" w:rsidRPr="00AC3823" w:rsidRDefault="00595938">
      <w:pPr>
        <w:spacing w:line="240" w:lineRule="auto"/>
        <w:rPr>
          <w:sz w:val="2"/>
          <w:szCs w:val="2"/>
        </w:rPr>
      </w:pPr>
    </w:p>
  </w:footnote>
  <w:footnote w:id="2">
    <w:p w14:paraId="334B8AA3" w14:textId="74EC7D32" w:rsidR="002325BF" w:rsidRDefault="002325BF" w:rsidP="002325BF">
      <w:pPr>
        <w:pStyle w:val="FootnoteText"/>
        <w:ind w:firstLine="0"/>
      </w:pPr>
      <w:r w:rsidRPr="001D3960">
        <w:rPr>
          <w:rStyle w:val="FootnoteReference"/>
        </w:rPr>
        <w:footnoteRef/>
      </w:r>
      <w:r w:rsidRPr="001D3960">
        <w:t xml:space="preserve"> For </w:t>
      </w:r>
      <w:proofErr w:type="spellStart"/>
      <w:r w:rsidRPr="001D3960">
        <w:t>practical</w:t>
      </w:r>
      <w:proofErr w:type="spellEnd"/>
      <w:r w:rsidRPr="001D3960">
        <w:t xml:space="preserve"> </w:t>
      </w:r>
      <w:proofErr w:type="spellStart"/>
      <w:r w:rsidRPr="001D3960">
        <w:t>reasons</w:t>
      </w:r>
      <w:proofErr w:type="spellEnd"/>
      <w:r w:rsidRPr="001D3960">
        <w:t xml:space="preserve">, </w:t>
      </w:r>
      <w:proofErr w:type="spellStart"/>
      <w:r w:rsidRPr="001D3960">
        <w:t>these</w:t>
      </w:r>
      <w:proofErr w:type="spellEnd"/>
      <w:r w:rsidRPr="001D3960">
        <w:t xml:space="preserve"> annexes have been </w:t>
      </w:r>
      <w:proofErr w:type="spellStart"/>
      <w:r w:rsidRPr="001D3960">
        <w:t>published</w:t>
      </w:r>
      <w:proofErr w:type="spellEnd"/>
      <w:r w:rsidRPr="001D3960">
        <w:t xml:space="preserve"> as an addendum </w:t>
      </w:r>
      <w:proofErr w:type="spellStart"/>
      <w:r w:rsidRPr="001D3960">
        <w:t>with</w:t>
      </w:r>
      <w:proofErr w:type="spellEnd"/>
      <w:r w:rsidRPr="001D3960">
        <w:t xml:space="preserve"> the </w:t>
      </w:r>
      <w:proofErr w:type="spellStart"/>
      <w:r w:rsidRPr="001D3960">
        <w:t>symbol</w:t>
      </w:r>
      <w:proofErr w:type="spellEnd"/>
      <w:r w:rsidRPr="001D3960">
        <w:t xml:space="preserve"> ST/SG/AC.10/C.3/120/Add.1.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C908" w14:textId="746B154C" w:rsidR="00BB5190" w:rsidRPr="00BB5190" w:rsidRDefault="00F6744D">
    <w:pPr>
      <w:pStyle w:val="Header"/>
    </w:pPr>
    <w:r>
      <w:t>ST/SG/AC.10/C.3/2022/</w:t>
    </w:r>
    <w:r w:rsidR="003629C8">
      <w:t>120/Add.1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4F52" w14:textId="6778BCF2" w:rsidR="00BB5190" w:rsidRPr="00BB5190" w:rsidRDefault="00DE3876" w:rsidP="00BB5190">
    <w:pPr>
      <w:pStyle w:val="Header"/>
      <w:jc w:val="right"/>
    </w:pPr>
    <w:r>
      <w:t>ST/SG/AC</w:t>
    </w:r>
    <w:r w:rsidR="00B27843">
      <w:t>.10/C.3/2022/120/Add.1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870A53"/>
    <w:multiLevelType w:val="hybridMultilevel"/>
    <w:tmpl w:val="FD8C9490"/>
    <w:lvl w:ilvl="0" w:tplc="9E56B492">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C46063"/>
    <w:multiLevelType w:val="hybridMultilevel"/>
    <w:tmpl w:val="6108CBE4"/>
    <w:lvl w:ilvl="0" w:tplc="60FE4BAC">
      <w:start w:val="1"/>
      <w:numFmt w:val="decimal"/>
      <w:lvlText w:val="%1."/>
      <w:lvlJc w:val="left"/>
      <w:pPr>
        <w:ind w:left="1917" w:hanging="360"/>
      </w:pPr>
      <w:rPr>
        <w:rFonts w:hint="default"/>
      </w:rPr>
    </w:lvl>
    <w:lvl w:ilvl="1" w:tplc="08090019" w:tentative="1">
      <w:start w:val="1"/>
      <w:numFmt w:val="lowerLetter"/>
      <w:lvlText w:val="%2."/>
      <w:lvlJc w:val="left"/>
      <w:pPr>
        <w:ind w:left="2637" w:hanging="360"/>
      </w:pPr>
    </w:lvl>
    <w:lvl w:ilvl="2" w:tplc="0809001B" w:tentative="1">
      <w:start w:val="1"/>
      <w:numFmt w:val="lowerRoman"/>
      <w:lvlText w:val="%3."/>
      <w:lvlJc w:val="right"/>
      <w:pPr>
        <w:ind w:left="3357" w:hanging="180"/>
      </w:pPr>
    </w:lvl>
    <w:lvl w:ilvl="3" w:tplc="0809000F" w:tentative="1">
      <w:start w:val="1"/>
      <w:numFmt w:val="decimal"/>
      <w:lvlText w:val="%4."/>
      <w:lvlJc w:val="left"/>
      <w:pPr>
        <w:ind w:left="4077" w:hanging="360"/>
      </w:pPr>
    </w:lvl>
    <w:lvl w:ilvl="4" w:tplc="08090019" w:tentative="1">
      <w:start w:val="1"/>
      <w:numFmt w:val="lowerLetter"/>
      <w:lvlText w:val="%5."/>
      <w:lvlJc w:val="left"/>
      <w:pPr>
        <w:ind w:left="4797" w:hanging="360"/>
      </w:pPr>
    </w:lvl>
    <w:lvl w:ilvl="5" w:tplc="0809001B" w:tentative="1">
      <w:start w:val="1"/>
      <w:numFmt w:val="lowerRoman"/>
      <w:lvlText w:val="%6."/>
      <w:lvlJc w:val="right"/>
      <w:pPr>
        <w:ind w:left="5517" w:hanging="180"/>
      </w:pPr>
    </w:lvl>
    <w:lvl w:ilvl="6" w:tplc="0809000F" w:tentative="1">
      <w:start w:val="1"/>
      <w:numFmt w:val="decimal"/>
      <w:lvlText w:val="%7."/>
      <w:lvlJc w:val="left"/>
      <w:pPr>
        <w:ind w:left="6237" w:hanging="360"/>
      </w:pPr>
    </w:lvl>
    <w:lvl w:ilvl="7" w:tplc="08090019" w:tentative="1">
      <w:start w:val="1"/>
      <w:numFmt w:val="lowerLetter"/>
      <w:lvlText w:val="%8."/>
      <w:lvlJc w:val="left"/>
      <w:pPr>
        <w:ind w:left="6957" w:hanging="360"/>
      </w:pPr>
    </w:lvl>
    <w:lvl w:ilvl="8" w:tplc="0809001B" w:tentative="1">
      <w:start w:val="1"/>
      <w:numFmt w:val="lowerRoman"/>
      <w:lvlText w:val="%9."/>
      <w:lvlJc w:val="right"/>
      <w:pPr>
        <w:ind w:left="7677" w:hanging="18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83DA6"/>
    <w:multiLevelType w:val="hybridMultilevel"/>
    <w:tmpl w:val="B23E93EE"/>
    <w:lvl w:ilvl="0" w:tplc="BADE65BE">
      <w:start w:val="1"/>
      <w:numFmt w:val="upperLetter"/>
      <w:lvlText w:val="%1."/>
      <w:lvlJc w:val="left"/>
      <w:pPr>
        <w:ind w:left="1497" w:hanging="360"/>
      </w:pPr>
      <w:rPr>
        <w:rFonts w:hint="default"/>
      </w:rPr>
    </w:lvl>
    <w:lvl w:ilvl="1" w:tplc="08090019">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18" w15:restartNumberingAfterBreak="0">
    <w:nsid w:val="2B3009BA"/>
    <w:multiLevelType w:val="hybridMultilevel"/>
    <w:tmpl w:val="44DE8E3C"/>
    <w:lvl w:ilvl="0" w:tplc="189ED09A">
      <w:start w:val="1"/>
      <w:numFmt w:val="upp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B29FE"/>
    <w:multiLevelType w:val="hybridMultilevel"/>
    <w:tmpl w:val="AF7C9992"/>
    <w:lvl w:ilvl="0" w:tplc="10E68674">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33A87895"/>
    <w:multiLevelType w:val="hybridMultilevel"/>
    <w:tmpl w:val="E6281B28"/>
    <w:lvl w:ilvl="0" w:tplc="77FC81E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3828237B"/>
    <w:multiLevelType w:val="hybridMultilevel"/>
    <w:tmpl w:val="975877FA"/>
    <w:lvl w:ilvl="0" w:tplc="53D6B5B0">
      <w:start w:val="1"/>
      <w:numFmt w:val="upperLetter"/>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23"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54DB10BE"/>
    <w:multiLevelType w:val="hybridMultilevel"/>
    <w:tmpl w:val="6958B070"/>
    <w:lvl w:ilvl="0" w:tplc="1794D516">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6047D7E"/>
    <w:multiLevelType w:val="hybridMultilevel"/>
    <w:tmpl w:val="F266E012"/>
    <w:lvl w:ilvl="0" w:tplc="B060FD2A">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D56D18"/>
    <w:multiLevelType w:val="hybridMultilevel"/>
    <w:tmpl w:val="D18EE874"/>
    <w:lvl w:ilvl="0" w:tplc="46C2DC08">
      <w:start w:val="1"/>
      <w:numFmt w:val="upperLetter"/>
      <w:lvlText w:val="%1."/>
      <w:lvlJc w:val="left"/>
      <w:pPr>
        <w:ind w:left="1560" w:hanging="42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2" w15:restartNumberingAfterBreak="0">
    <w:nsid w:val="7D671DF7"/>
    <w:multiLevelType w:val="hybridMultilevel"/>
    <w:tmpl w:val="AA6C8B00"/>
    <w:lvl w:ilvl="0" w:tplc="0D302534">
      <w:start w:val="1"/>
      <w:numFmt w:val="decimal"/>
      <w:lvlText w:val="%1."/>
      <w:lvlJc w:val="left"/>
      <w:pPr>
        <w:ind w:left="1497" w:hanging="360"/>
      </w:pPr>
      <w:rPr>
        <w:rFonts w:hint="default"/>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num w:numId="1">
    <w:abstractNumId w:val="29"/>
  </w:num>
  <w:num w:numId="2">
    <w:abstractNumId w:val="23"/>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9"/>
  </w:num>
  <w:num w:numId="15">
    <w:abstractNumId w:val="23"/>
  </w:num>
  <w:num w:numId="16">
    <w:abstractNumId w:val="13"/>
  </w:num>
  <w:num w:numId="17">
    <w:abstractNumId w:val="19"/>
  </w:num>
  <w:num w:numId="18">
    <w:abstractNumId w:val="16"/>
  </w:num>
  <w:num w:numId="19">
    <w:abstractNumId w:val="10"/>
  </w:num>
  <w:num w:numId="20">
    <w:abstractNumId w:val="25"/>
  </w:num>
  <w:num w:numId="21">
    <w:abstractNumId w:val="26"/>
  </w:num>
  <w:num w:numId="22">
    <w:abstractNumId w:val="30"/>
  </w:num>
  <w:num w:numId="23">
    <w:abstractNumId w:val="14"/>
  </w:num>
  <w:num w:numId="24">
    <w:abstractNumId w:val="12"/>
  </w:num>
  <w:num w:numId="25">
    <w:abstractNumId w:val="2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2"/>
  </w:num>
  <w:num w:numId="35">
    <w:abstractNumId w:val="15"/>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hyphenationZone w:val="425"/>
  <w:evenAndOddHeaders/>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3A"/>
    <w:rsid w:val="00017F94"/>
    <w:rsid w:val="00023842"/>
    <w:rsid w:val="000305D3"/>
    <w:rsid w:val="000334F9"/>
    <w:rsid w:val="0005078A"/>
    <w:rsid w:val="0007216B"/>
    <w:rsid w:val="0007796D"/>
    <w:rsid w:val="000B7790"/>
    <w:rsid w:val="00111F2F"/>
    <w:rsid w:val="00132EA9"/>
    <w:rsid w:val="0014365E"/>
    <w:rsid w:val="00157D76"/>
    <w:rsid w:val="00172E49"/>
    <w:rsid w:val="00176178"/>
    <w:rsid w:val="001B37FE"/>
    <w:rsid w:val="001D3960"/>
    <w:rsid w:val="001F2661"/>
    <w:rsid w:val="001F525A"/>
    <w:rsid w:val="002159CC"/>
    <w:rsid w:val="00216371"/>
    <w:rsid w:val="00223272"/>
    <w:rsid w:val="002325BF"/>
    <w:rsid w:val="0024779E"/>
    <w:rsid w:val="002539B1"/>
    <w:rsid w:val="00283190"/>
    <w:rsid w:val="002832AC"/>
    <w:rsid w:val="002D7C93"/>
    <w:rsid w:val="002E35CB"/>
    <w:rsid w:val="003065B0"/>
    <w:rsid w:val="003629C8"/>
    <w:rsid w:val="00390CA2"/>
    <w:rsid w:val="0042299E"/>
    <w:rsid w:val="00441C3B"/>
    <w:rsid w:val="00446FE5"/>
    <w:rsid w:val="00452396"/>
    <w:rsid w:val="004B5C22"/>
    <w:rsid w:val="004E468C"/>
    <w:rsid w:val="004F1D3A"/>
    <w:rsid w:val="005505B7"/>
    <w:rsid w:val="005608C1"/>
    <w:rsid w:val="00573BE5"/>
    <w:rsid w:val="00584CC2"/>
    <w:rsid w:val="00584DC4"/>
    <w:rsid w:val="00586ED3"/>
    <w:rsid w:val="00595938"/>
    <w:rsid w:val="00596AA9"/>
    <w:rsid w:val="0068456F"/>
    <w:rsid w:val="006E7D22"/>
    <w:rsid w:val="006F5AC3"/>
    <w:rsid w:val="0071601D"/>
    <w:rsid w:val="007566E9"/>
    <w:rsid w:val="007A62E6"/>
    <w:rsid w:val="007D21BF"/>
    <w:rsid w:val="007E2E41"/>
    <w:rsid w:val="00802E17"/>
    <w:rsid w:val="0080684C"/>
    <w:rsid w:val="008079EC"/>
    <w:rsid w:val="008123E0"/>
    <w:rsid w:val="00834364"/>
    <w:rsid w:val="00871C75"/>
    <w:rsid w:val="008776DC"/>
    <w:rsid w:val="008B40CD"/>
    <w:rsid w:val="009705C8"/>
    <w:rsid w:val="00987AD9"/>
    <w:rsid w:val="009C1CF4"/>
    <w:rsid w:val="00A30353"/>
    <w:rsid w:val="00A81281"/>
    <w:rsid w:val="00AB726A"/>
    <w:rsid w:val="00AC3823"/>
    <w:rsid w:val="00AE323C"/>
    <w:rsid w:val="00B00181"/>
    <w:rsid w:val="00B00B0D"/>
    <w:rsid w:val="00B03DDB"/>
    <w:rsid w:val="00B2382F"/>
    <w:rsid w:val="00B27843"/>
    <w:rsid w:val="00B765F7"/>
    <w:rsid w:val="00B82E15"/>
    <w:rsid w:val="00BA0CA9"/>
    <w:rsid w:val="00BB5190"/>
    <w:rsid w:val="00BD17FF"/>
    <w:rsid w:val="00C02897"/>
    <w:rsid w:val="00C71D87"/>
    <w:rsid w:val="00CE0C19"/>
    <w:rsid w:val="00D3439C"/>
    <w:rsid w:val="00D60CAC"/>
    <w:rsid w:val="00DB1831"/>
    <w:rsid w:val="00DB4BEE"/>
    <w:rsid w:val="00DD3BFD"/>
    <w:rsid w:val="00DE3876"/>
    <w:rsid w:val="00DF0EE0"/>
    <w:rsid w:val="00DF6678"/>
    <w:rsid w:val="00E05FCF"/>
    <w:rsid w:val="00E16523"/>
    <w:rsid w:val="00E81583"/>
    <w:rsid w:val="00E826EF"/>
    <w:rsid w:val="00ED3847"/>
    <w:rsid w:val="00EE5D80"/>
    <w:rsid w:val="00EF1426"/>
    <w:rsid w:val="00EF2E22"/>
    <w:rsid w:val="00F01738"/>
    <w:rsid w:val="00F10E60"/>
    <w:rsid w:val="00F115C6"/>
    <w:rsid w:val="00F13D54"/>
    <w:rsid w:val="00F17A4F"/>
    <w:rsid w:val="00F21F5A"/>
    <w:rsid w:val="00F660DF"/>
    <w:rsid w:val="00F6744D"/>
    <w:rsid w:val="00F730C8"/>
    <w:rsid w:val="00F95C08"/>
    <w:rsid w:val="00FB10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2400C"/>
  <w15:docId w15:val="{EA949AC5-83AE-47E5-A1A2-318DD9D5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584DC4"/>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584DC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584DC4"/>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584DC4"/>
    <w:pPr>
      <w:spacing w:line="240" w:lineRule="auto"/>
    </w:pPr>
    <w:rPr>
      <w:sz w:val="16"/>
    </w:rPr>
  </w:style>
  <w:style w:type="character" w:customStyle="1" w:styleId="FooterChar">
    <w:name w:val="Footer Char"/>
    <w:aliases w:val="3_G Char"/>
    <w:basedOn w:val="DefaultParagraphFont"/>
    <w:link w:val="Footer"/>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584DC4"/>
    <w:rPr>
      <w:rFonts w:ascii="Times New Roman" w:hAnsi="Times New Roman"/>
      <w:sz w:val="18"/>
      <w:vertAlign w:val="superscript"/>
      <w:lang w:val="fr-CH"/>
    </w:rPr>
  </w:style>
  <w:style w:type="character" w:styleId="EndnoteReference">
    <w:name w:val="endnote reference"/>
    <w:aliases w:val="1_G"/>
    <w:basedOn w:val="FootnoteReference"/>
    <w:qFormat/>
    <w:rsid w:val="00584DC4"/>
    <w:rPr>
      <w:rFonts w:ascii="Times New Roman" w:hAnsi="Times New Roman"/>
      <w:sz w:val="18"/>
      <w:vertAlign w:val="superscript"/>
      <w:lang w:val="fr-CH"/>
    </w:rPr>
  </w:style>
  <w:style w:type="table" w:styleId="TableGrid">
    <w:name w:val="Table Grid"/>
    <w:basedOn w:val="TableNormal"/>
    <w:uiPriority w:val="39"/>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584DC4"/>
    <w:rPr>
      <w:color w:val="0000FF"/>
      <w:u w:val="none"/>
    </w:rPr>
  </w:style>
  <w:style w:type="character" w:styleId="FollowedHyperlink">
    <w:name w:val="FollowedHyperlink"/>
    <w:basedOn w:val="DefaultParagraphFont"/>
    <w:unhideWhenUsed/>
    <w:rsid w:val="00584DC4"/>
    <w:rPr>
      <w:color w:val="0000FF"/>
      <w:u w:val="none"/>
    </w:rPr>
  </w:style>
  <w:style w:type="paragraph" w:styleId="FootnoteText">
    <w:name w:val="footnote text"/>
    <w:aliases w:val="5_G"/>
    <w:basedOn w:val="Normal"/>
    <w:link w:val="FootnoteTextChar"/>
    <w:qFormat/>
    <w:rsid w:val="00584DC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584DC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584DC4"/>
  </w:style>
  <w:style w:type="character" w:customStyle="1" w:styleId="EndnoteTextChar">
    <w:name w:val="Endnote Text Char"/>
    <w:aliases w:val="2_G Char"/>
    <w:basedOn w:val="DefaultParagraphFont"/>
    <w:link w:val="EndnoteText"/>
    <w:rsid w:val="00584DC4"/>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584DC4"/>
    <w:rPr>
      <w:rFonts w:ascii="Times New Roman" w:hAnsi="Times New Roman"/>
      <w:b/>
      <w:sz w:val="18"/>
      <w:lang w:val="fr-CH"/>
    </w:rPr>
  </w:style>
  <w:style w:type="character" w:customStyle="1" w:styleId="Heading1Char">
    <w:name w:val="Heading 1 Char"/>
    <w:aliases w:val="Table_G Char"/>
    <w:basedOn w:val="DefaultParagraphFont"/>
    <w:link w:val="Heading1"/>
    <w:rsid w:val="00584DC4"/>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32E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A9"/>
    <w:rPr>
      <w:rFonts w:ascii="Tahoma" w:hAnsi="Tahoma" w:cs="Tahoma"/>
      <w:sz w:val="16"/>
      <w:szCs w:val="16"/>
      <w:lang w:eastAsia="en-US"/>
    </w:rPr>
  </w:style>
  <w:style w:type="character" w:customStyle="1" w:styleId="HChGChar">
    <w:name w:val="_ H _Ch_G Char"/>
    <w:link w:val="HChG"/>
    <w:rsid w:val="00BB5190"/>
    <w:rPr>
      <w:rFonts w:ascii="Times New Roman" w:eastAsiaTheme="minorHAnsi" w:hAnsi="Times New Roman" w:cs="Times New Roman"/>
      <w:b/>
      <w:sz w:val="28"/>
      <w:szCs w:val="20"/>
      <w:lang w:eastAsia="en-US"/>
    </w:rPr>
  </w:style>
  <w:style w:type="character" w:customStyle="1" w:styleId="H1GChar">
    <w:name w:val="_ H_1_G Char"/>
    <w:link w:val="H1G"/>
    <w:rsid w:val="00BB5190"/>
    <w:rPr>
      <w:rFonts w:ascii="Times New Roman" w:eastAsiaTheme="minorHAnsi" w:hAnsi="Times New Roman" w:cs="Times New Roman"/>
      <w:b/>
      <w:sz w:val="24"/>
      <w:szCs w:val="20"/>
      <w:lang w:eastAsia="en-US"/>
    </w:rPr>
  </w:style>
  <w:style w:type="numbering" w:styleId="111111">
    <w:name w:val="Outline List 2"/>
    <w:basedOn w:val="NoList"/>
    <w:semiHidden/>
    <w:rsid w:val="00BB5190"/>
    <w:pPr>
      <w:numPr>
        <w:numId w:val="21"/>
      </w:numPr>
    </w:pPr>
  </w:style>
  <w:style w:type="numbering" w:styleId="1ai">
    <w:name w:val="Outline List 1"/>
    <w:basedOn w:val="NoList"/>
    <w:semiHidden/>
    <w:rsid w:val="00BB5190"/>
    <w:pPr>
      <w:numPr>
        <w:numId w:val="22"/>
      </w:numPr>
    </w:pPr>
  </w:style>
  <w:style w:type="paragraph" w:styleId="ListParagraph">
    <w:name w:val="List Paragraph"/>
    <w:basedOn w:val="Normal"/>
    <w:uiPriority w:val="34"/>
    <w:qFormat/>
    <w:rsid w:val="00BB5190"/>
    <w:pPr>
      <w:kinsoku/>
      <w:overflowPunct/>
      <w:autoSpaceDE/>
      <w:autoSpaceDN/>
      <w:adjustRightInd/>
      <w:snapToGrid/>
      <w:ind w:left="720"/>
      <w:contextualSpacing/>
    </w:pPr>
    <w:rPr>
      <w:rFonts w:eastAsia="Times New Roman"/>
      <w:lang w:val="en-GB"/>
    </w:rPr>
  </w:style>
  <w:style w:type="character" w:customStyle="1" w:styleId="SingleTxtGChar">
    <w:name w:val="_ Single Txt_G Char"/>
    <w:link w:val="SingleTxtG"/>
    <w:qFormat/>
    <w:rsid w:val="00BB5190"/>
    <w:rPr>
      <w:rFonts w:ascii="Times New Roman" w:eastAsiaTheme="minorHAnsi" w:hAnsi="Times New Roman" w:cs="Times New Roman"/>
      <w:sz w:val="20"/>
      <w:szCs w:val="20"/>
      <w:lang w:eastAsia="en-US"/>
    </w:rPr>
  </w:style>
  <w:style w:type="character" w:customStyle="1" w:styleId="H23GChar">
    <w:name w:val="_ H_2/3_G Char"/>
    <w:link w:val="H23G"/>
    <w:rsid w:val="00BB5190"/>
    <w:rPr>
      <w:rFonts w:ascii="Times New Roman" w:eastAsiaTheme="minorHAnsi" w:hAnsi="Times New Roman" w:cs="Times New Roman"/>
      <w:b/>
      <w:sz w:val="20"/>
      <w:szCs w:val="20"/>
      <w:lang w:eastAsia="en-US"/>
    </w:rPr>
  </w:style>
  <w:style w:type="character" w:styleId="CommentReference">
    <w:name w:val="annotation reference"/>
    <w:basedOn w:val="DefaultParagraphFont"/>
    <w:uiPriority w:val="99"/>
    <w:unhideWhenUsed/>
    <w:rsid w:val="00BB5190"/>
    <w:rPr>
      <w:sz w:val="16"/>
      <w:szCs w:val="16"/>
    </w:rPr>
  </w:style>
  <w:style w:type="paragraph" w:styleId="CommentText">
    <w:name w:val="annotation text"/>
    <w:basedOn w:val="Normal"/>
    <w:link w:val="CommentTextChar"/>
    <w:uiPriority w:val="99"/>
    <w:unhideWhenUsed/>
    <w:rsid w:val="00BB5190"/>
    <w:pPr>
      <w:spacing w:line="240" w:lineRule="auto"/>
    </w:pPr>
    <w:rPr>
      <w:rFonts w:eastAsia="SimSun"/>
      <w:lang w:val="en-GB" w:eastAsia="zh-CN"/>
    </w:rPr>
  </w:style>
  <w:style w:type="character" w:customStyle="1" w:styleId="CommentTextChar">
    <w:name w:val="Comment Text Char"/>
    <w:basedOn w:val="DefaultParagraphFont"/>
    <w:link w:val="CommentText"/>
    <w:uiPriority w:val="99"/>
    <w:rsid w:val="00BB5190"/>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5190"/>
    <w:rPr>
      <w:b/>
      <w:bCs/>
    </w:rPr>
  </w:style>
  <w:style w:type="character" w:customStyle="1" w:styleId="CommentSubjectChar">
    <w:name w:val="Comment Subject Char"/>
    <w:basedOn w:val="CommentTextChar"/>
    <w:link w:val="CommentSubject"/>
    <w:uiPriority w:val="99"/>
    <w:semiHidden/>
    <w:rsid w:val="00BB5190"/>
    <w:rPr>
      <w:rFonts w:ascii="Times New Roman" w:eastAsia="SimSun" w:hAnsi="Times New Roman" w:cs="Times New Roman"/>
      <w:b/>
      <w:bCs/>
      <w:sz w:val="20"/>
      <w:szCs w:val="20"/>
      <w:lang w:val="en-GB"/>
    </w:rPr>
  </w:style>
  <w:style w:type="paragraph" w:styleId="Revision">
    <w:name w:val="Revision"/>
    <w:hidden/>
    <w:uiPriority w:val="99"/>
    <w:semiHidden/>
    <w:rsid w:val="00BB5190"/>
    <w:pPr>
      <w:spacing w:after="0" w:line="240" w:lineRule="auto"/>
    </w:pPr>
    <w:rPr>
      <w:rFonts w:ascii="Times New Roman" w:eastAsia="SimSun" w:hAnsi="Times New Roman" w:cs="Times New Roman"/>
      <w:sz w:val="20"/>
      <w:szCs w:val="20"/>
      <w:lang w:val="en-GB"/>
    </w:rPr>
  </w:style>
  <w:style w:type="character" w:customStyle="1" w:styleId="normaltextrun">
    <w:name w:val="normaltextrun"/>
    <w:basedOn w:val="DefaultParagraphFont"/>
    <w:rsid w:val="00BB5190"/>
  </w:style>
  <w:style w:type="character" w:styleId="UnresolvedMention">
    <w:name w:val="Unresolved Mention"/>
    <w:basedOn w:val="DefaultParagraphFont"/>
    <w:uiPriority w:val="99"/>
    <w:semiHidden/>
    <w:unhideWhenUsed/>
    <w:rsid w:val="00BB5190"/>
    <w:rPr>
      <w:color w:val="605E5C"/>
      <w:shd w:val="clear" w:color="auto" w:fill="E1DFDD"/>
    </w:rPr>
  </w:style>
  <w:style w:type="table" w:customStyle="1" w:styleId="TableGrid1">
    <w:name w:val="Table Grid1"/>
    <w:basedOn w:val="TableNormal"/>
    <w:uiPriority w:val="39"/>
    <w:rsid w:val="00BB5190"/>
    <w:pPr>
      <w:suppressAutoHyphens/>
      <w:spacing w:after="0" w:line="240" w:lineRule="atLeast"/>
    </w:pPr>
    <w:rPr>
      <w:rFonts w:ascii="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Number">
    <w:name w:val="List Number"/>
    <w:basedOn w:val="Normal"/>
    <w:semiHidden/>
    <w:rsid w:val="00BB5190"/>
    <w:pPr>
      <w:tabs>
        <w:tab w:val="num" w:pos="360"/>
      </w:tabs>
      <w:kinsoku/>
      <w:overflowPunct/>
      <w:autoSpaceDE/>
      <w:autoSpaceDN/>
      <w:adjustRightInd/>
      <w:snapToGrid/>
      <w:ind w:left="360" w:hanging="360"/>
    </w:pPr>
    <w:rPr>
      <w:rFonts w:eastAsia="Times New Roman"/>
      <w:lang w:val="en-GB"/>
    </w:rPr>
  </w:style>
  <w:style w:type="paragraph" w:customStyle="1" w:styleId="Default">
    <w:name w:val="Default"/>
    <w:rsid w:val="00F6744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SingleTxtGZchnZchn">
    <w:name w:val="_ Single Txt_G Zchn Zchn"/>
    <w:rsid w:val="00F6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5CB9BDD-C20F-4D96-80B6-8AF3FA3A0818}">
  <ds:schemaRefs>
    <ds:schemaRef ds:uri="http://schemas.openxmlformats.org/officeDocument/2006/bibliography"/>
  </ds:schemaRefs>
</ds:datastoreItem>
</file>

<file path=customXml/itemProps2.xml><?xml version="1.0" encoding="utf-8"?>
<ds:datastoreItem xmlns:ds="http://schemas.openxmlformats.org/officeDocument/2006/customXml" ds:itemID="{024DC78B-D81D-40A8-97F1-21187E66A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3C33B-B3CF-44EA-8ACF-E80C8698C538}">
  <ds:schemaRefs>
    <ds:schemaRef ds:uri="http://schemas.microsoft.com/sharepoint/v3/contenttype/forms"/>
  </ds:schemaRefs>
</ds:datastoreItem>
</file>

<file path=customXml/itemProps4.xml><?xml version="1.0" encoding="utf-8"?>
<ds:datastoreItem xmlns:ds="http://schemas.openxmlformats.org/officeDocument/2006/customXml" ds:itemID="{FD6A9402-4F0B-453F-B284-C2759F43DAC9}">
  <ds:schemaRefs>
    <ds:schemaRef ds:uri="http://purl.org/dc/elements/1.1/"/>
    <ds:schemaRef ds:uri="http://schemas.microsoft.com/office/2006/metadata/properties"/>
    <ds:schemaRef ds:uri="http://purl.org/dc/terms/"/>
    <ds:schemaRef ds:uri="acccb6d4-dbe5-46d2-b4d3-5733603d8cc6"/>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85ec44e-1bab-4c0b-9df0-6ba128686fc9"/>
    <ds:schemaRef ds:uri="4b4a1c0d-4a69-4996-a84a-fc699b9f49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4867</Words>
  <Characters>26650</Characters>
  <Application>Microsoft Office Word</Application>
  <DocSecurity>0</DocSecurity>
  <Lines>620</Lines>
  <Paragraphs>363</Paragraphs>
  <ScaleCrop>false</ScaleCrop>
  <HeadingPairs>
    <vt:vector size="2" baseType="variant">
      <vt:variant>
        <vt:lpstr>Titre</vt:lpstr>
      </vt:variant>
      <vt:variant>
        <vt:i4>1</vt:i4>
      </vt:variant>
    </vt:vector>
  </HeadingPairs>
  <TitlesOfParts>
    <vt:vector size="1" baseType="lpstr">
      <vt:lpstr>ST/SG/AC.10/C.3/118/Add.1</vt:lpstr>
    </vt:vector>
  </TitlesOfParts>
  <Company>DCM</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ST/SG/AC.10/C.3/118/Add.1</dc:title>
  <dc:subject/>
  <dc:creator>Sandrine CLERE</dc:creator>
  <cp:keywords/>
  <cp:lastModifiedBy>Laurence Berthet</cp:lastModifiedBy>
  <cp:revision>16</cp:revision>
  <cp:lastPrinted>2022-07-28T08:56:00Z</cp:lastPrinted>
  <dcterms:created xsi:type="dcterms:W3CDTF">2022-07-14T13:08:00Z</dcterms:created>
  <dcterms:modified xsi:type="dcterms:W3CDTF">2022-07-28T08:56:00Z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