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96379E" w14:paraId="7D328746" w14:textId="77777777" w:rsidTr="00A27C92">
        <w:trPr>
          <w:trHeight w:hRule="exact" w:val="851"/>
        </w:trPr>
        <w:tc>
          <w:tcPr>
            <w:tcW w:w="9639" w:type="dxa"/>
            <w:gridSpan w:val="2"/>
            <w:tcBorders>
              <w:bottom w:val="single" w:sz="4" w:space="0" w:color="auto"/>
            </w:tcBorders>
            <w:shd w:val="clear" w:color="auto" w:fill="auto"/>
            <w:vAlign w:val="bottom"/>
          </w:tcPr>
          <w:p w14:paraId="5BA2520C" w14:textId="77777777" w:rsidR="0096379E" w:rsidRPr="0096379E" w:rsidRDefault="0096379E" w:rsidP="0096379E">
            <w:pPr>
              <w:jc w:val="right"/>
              <w:rPr>
                <w:lang w:val="en-US"/>
              </w:rPr>
            </w:pPr>
            <w:r w:rsidRPr="0096379E">
              <w:rPr>
                <w:sz w:val="40"/>
                <w:lang w:val="en-US"/>
              </w:rPr>
              <w:t>E</w:t>
            </w:r>
            <w:r w:rsidRPr="0096379E">
              <w:rPr>
                <w:lang w:val="en-US"/>
              </w:rPr>
              <w:t>/ECE/324/Rev.2/Add.12H/Rev.4/Amend.3−</w:t>
            </w:r>
            <w:r w:rsidRPr="0096379E">
              <w:rPr>
                <w:sz w:val="40"/>
                <w:lang w:val="en-US"/>
              </w:rPr>
              <w:t>E</w:t>
            </w:r>
            <w:r w:rsidRPr="0096379E">
              <w:rPr>
                <w:lang w:val="en-US"/>
              </w:rPr>
              <w:t>/ECE/TRANS/505/Rev.2/Add.12H/Rev.4/Amend.3</w:t>
            </w:r>
          </w:p>
        </w:tc>
      </w:tr>
      <w:tr w:rsidR="00421A10" w:rsidRPr="00DB58B5" w14:paraId="05B082CB" w14:textId="77777777" w:rsidTr="00A27C92">
        <w:trPr>
          <w:trHeight w:hRule="exact" w:val="2835"/>
        </w:trPr>
        <w:tc>
          <w:tcPr>
            <w:tcW w:w="6804" w:type="dxa"/>
            <w:tcBorders>
              <w:top w:val="single" w:sz="4" w:space="0" w:color="auto"/>
              <w:bottom w:val="single" w:sz="12" w:space="0" w:color="auto"/>
            </w:tcBorders>
            <w:shd w:val="clear" w:color="auto" w:fill="auto"/>
          </w:tcPr>
          <w:p w14:paraId="167C7E5F" w14:textId="77777777" w:rsidR="00421A10" w:rsidRPr="0096379E"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4108B264" w14:textId="77777777" w:rsidR="00421A10" w:rsidRPr="00DB58B5" w:rsidRDefault="0096379E" w:rsidP="00A27C92">
            <w:pPr>
              <w:spacing w:before="480" w:line="240" w:lineRule="exact"/>
            </w:pPr>
            <w:r>
              <w:t>21 février 2022</w:t>
            </w:r>
          </w:p>
        </w:tc>
      </w:tr>
    </w:tbl>
    <w:p w14:paraId="5F965EC4" w14:textId="77777777" w:rsidR="00421A10" w:rsidRPr="006549FF" w:rsidRDefault="0029791D" w:rsidP="0029791D">
      <w:pPr>
        <w:pStyle w:val="HChG"/>
      </w:pPr>
      <w:r>
        <w:tab/>
      </w:r>
      <w:r>
        <w:tab/>
      </w:r>
      <w:r w:rsidR="00421A10" w:rsidRPr="006549FF">
        <w:t>Accord</w:t>
      </w:r>
    </w:p>
    <w:p w14:paraId="26BE67D0" w14:textId="6E7737C7" w:rsidR="00421A10" w:rsidRPr="00583D68" w:rsidRDefault="0029791D" w:rsidP="0029791D">
      <w:pPr>
        <w:pStyle w:val="H1G"/>
      </w:pPr>
      <w:r>
        <w:tab/>
      </w:r>
      <w:r>
        <w:tab/>
      </w:r>
      <w:r w:rsidR="0086500B" w:rsidRPr="009D62F8">
        <w:rPr>
          <w:rFonts w:eastAsia="Times New Roman"/>
          <w:lang w:val="fr-FR"/>
        </w:rPr>
        <w:t>Concernant l</w:t>
      </w:r>
      <w:r w:rsidR="0086500B">
        <w:rPr>
          <w:rFonts w:eastAsia="Times New Roman"/>
          <w:b w:val="0"/>
          <w:lang w:val="fr-FR"/>
        </w:rPr>
        <w:t>’</w:t>
      </w:r>
      <w:r w:rsidR="0086500B" w:rsidRPr="009D62F8">
        <w:rPr>
          <w:rFonts w:eastAsia="Times New Roman"/>
          <w:lang w:val="fr-FR"/>
        </w:rPr>
        <w:t>adoption de Règlements techniques harmonisés de l</w:t>
      </w:r>
      <w:r w:rsidR="0086500B">
        <w:rPr>
          <w:rFonts w:eastAsia="Times New Roman"/>
          <w:b w:val="0"/>
          <w:lang w:val="fr-FR"/>
        </w:rPr>
        <w:t>’</w:t>
      </w:r>
      <w:r w:rsidR="0086500B" w:rsidRPr="009D62F8">
        <w:rPr>
          <w:rFonts w:eastAsia="Times New Roman"/>
          <w:lang w:val="fr-FR"/>
        </w:rPr>
        <w:t>ONU applicables aux véhicules à roues et aux équipements et pièces susceptibles d</w:t>
      </w:r>
      <w:r w:rsidR="0086500B">
        <w:rPr>
          <w:rFonts w:eastAsia="Times New Roman"/>
          <w:b w:val="0"/>
          <w:lang w:val="fr-FR"/>
        </w:rPr>
        <w:t>’</w:t>
      </w:r>
      <w:r w:rsidR="0086500B" w:rsidRPr="009D62F8">
        <w:rPr>
          <w:rFonts w:eastAsia="Times New Roman"/>
          <w:lang w:val="fr-FR"/>
        </w:rPr>
        <w:t xml:space="preserve">être montés ou utilisés sur les véhicules à roues </w:t>
      </w:r>
      <w:r w:rsidR="0086500B">
        <w:rPr>
          <w:rFonts w:eastAsia="Times New Roman"/>
          <w:lang w:val="fr-FR"/>
        </w:rPr>
        <w:br/>
      </w:r>
      <w:r w:rsidR="0086500B" w:rsidRPr="009D62F8">
        <w:rPr>
          <w:rFonts w:eastAsia="Times New Roman"/>
          <w:lang w:val="fr-FR"/>
        </w:rPr>
        <w:t>et les conditions de reconnaissance réciproque des homologations délivrées conformément à ces Règlements</w:t>
      </w:r>
      <w:r w:rsidR="00442E31" w:rsidRPr="0086500B">
        <w:rPr>
          <w:rStyle w:val="Appelnotedebasdep"/>
          <w:b w:val="0"/>
          <w:bCs/>
          <w:sz w:val="20"/>
          <w:vertAlign w:val="baseline"/>
        </w:rPr>
        <w:footnoteReference w:customMarkFollows="1" w:id="2"/>
        <w:t>*</w:t>
      </w:r>
    </w:p>
    <w:p w14:paraId="71A14B89" w14:textId="2FAB4D10" w:rsidR="00421A10" w:rsidRPr="00A12483" w:rsidRDefault="00421A10" w:rsidP="0029791D">
      <w:pPr>
        <w:pStyle w:val="SingleTxtG"/>
        <w:jc w:val="left"/>
        <w:rPr>
          <w:b/>
          <w:sz w:val="24"/>
          <w:szCs w:val="24"/>
        </w:rPr>
      </w:pPr>
      <w:r w:rsidRPr="006549FF">
        <w:t xml:space="preserve">(Révision </w:t>
      </w:r>
      <w:r w:rsidR="0086500B" w:rsidRPr="009D62F8">
        <w:rPr>
          <w:rFonts w:eastAsia="Times New Roman"/>
          <w:lang w:val="fr-FR"/>
        </w:rPr>
        <w:t>3, comprenant les amendements entrés en vigueur le 14 septembre 2017</w:t>
      </w:r>
      <w:r w:rsidRPr="006549FF">
        <w:t>)</w:t>
      </w:r>
    </w:p>
    <w:p w14:paraId="53DBB0B8" w14:textId="77777777" w:rsidR="00421A10" w:rsidRPr="006549FF" w:rsidRDefault="0029791D" w:rsidP="0029791D">
      <w:pPr>
        <w:jc w:val="center"/>
      </w:pPr>
      <w:r>
        <w:t>_______________</w:t>
      </w:r>
    </w:p>
    <w:p w14:paraId="2E1756B1" w14:textId="0DC7830E" w:rsidR="00421A10" w:rsidRPr="00D33BAC" w:rsidRDefault="0029791D" w:rsidP="0029791D">
      <w:pPr>
        <w:pStyle w:val="HChG"/>
      </w:pPr>
      <w:r>
        <w:tab/>
      </w:r>
      <w:r>
        <w:tab/>
      </w:r>
      <w:r w:rsidR="00421A10" w:rsidRPr="00D33BAC">
        <w:t xml:space="preserve">Additif </w:t>
      </w:r>
      <w:r w:rsidR="00D33BAC" w:rsidRPr="00D33BAC">
        <w:t>12H</w:t>
      </w:r>
      <w:r w:rsidR="00421A10" w:rsidRPr="00D33BAC">
        <w:t xml:space="preserve">: Règlement </w:t>
      </w:r>
      <w:r w:rsidR="001E7643" w:rsidRPr="00D33BAC">
        <w:t xml:space="preserve">ONU </w:t>
      </w:r>
      <w:r w:rsidR="00421A10" w:rsidRPr="00D33BAC">
        <w:t>n</w:t>
      </w:r>
      <w:r w:rsidR="00421A10" w:rsidRPr="00D33BAC">
        <w:rPr>
          <w:vertAlign w:val="superscript"/>
        </w:rPr>
        <w:t>o</w:t>
      </w:r>
      <w:r w:rsidR="00421A10" w:rsidRPr="00D33BAC">
        <w:t> </w:t>
      </w:r>
      <w:r w:rsidR="00D33BAC" w:rsidRPr="00D33BAC">
        <w:t>13H</w:t>
      </w:r>
    </w:p>
    <w:p w14:paraId="50658197" w14:textId="49D0F94A" w:rsidR="00421A10" w:rsidRPr="006549FF" w:rsidRDefault="0029791D" w:rsidP="0029791D">
      <w:pPr>
        <w:pStyle w:val="H1G"/>
      </w:pPr>
      <w:r w:rsidRPr="00D33BAC">
        <w:tab/>
      </w:r>
      <w:r w:rsidRPr="00D33BAC">
        <w:tab/>
      </w:r>
      <w:r w:rsidR="00421A10" w:rsidRPr="006549FF">
        <w:t xml:space="preserve">Révision </w:t>
      </w:r>
      <w:r w:rsidR="00D33BAC">
        <w:t>4 − Amendement 2</w:t>
      </w:r>
    </w:p>
    <w:p w14:paraId="0D6EB2CD" w14:textId="63D4F0BA" w:rsidR="00421A10" w:rsidRPr="0029791D" w:rsidRDefault="00D33BAC" w:rsidP="0029791D">
      <w:pPr>
        <w:pStyle w:val="SingleTxtG"/>
      </w:pPr>
      <w:r w:rsidRPr="009D62F8">
        <w:rPr>
          <w:rFonts w:eastAsia="Times New Roman"/>
          <w:spacing w:val="-2"/>
          <w:lang w:val="fr-FR"/>
        </w:rPr>
        <w:t>Complément</w:t>
      </w:r>
      <w:r w:rsidRPr="00170F11">
        <w:rPr>
          <w:rFonts w:eastAsia="Times New Roman"/>
          <w:spacing w:val="-2"/>
          <w:lang w:val="fr-FR"/>
        </w:rPr>
        <w:t xml:space="preserve"> 3</w:t>
      </w:r>
      <w:r w:rsidRPr="009D62F8">
        <w:rPr>
          <w:rFonts w:eastAsia="Times New Roman"/>
          <w:spacing w:val="-2"/>
          <w:lang w:val="fr-FR"/>
        </w:rPr>
        <w:t xml:space="preserve"> à la série</w:t>
      </w:r>
      <w:r w:rsidRPr="00170F11">
        <w:rPr>
          <w:rFonts w:eastAsia="Times New Roman"/>
          <w:spacing w:val="-2"/>
          <w:lang w:val="fr-FR"/>
        </w:rPr>
        <w:t xml:space="preserve"> 01 </w:t>
      </w:r>
      <w:r w:rsidRPr="009D62F8">
        <w:rPr>
          <w:rFonts w:eastAsia="Times New Roman"/>
          <w:spacing w:val="-2"/>
          <w:lang w:val="fr-FR"/>
        </w:rPr>
        <w:t>d</w:t>
      </w:r>
      <w:r>
        <w:rPr>
          <w:rFonts w:eastAsia="Times New Roman"/>
          <w:spacing w:val="-2"/>
          <w:lang w:val="fr-FR"/>
        </w:rPr>
        <w:t>’</w:t>
      </w:r>
      <w:r w:rsidRPr="00170F11">
        <w:rPr>
          <w:rFonts w:eastAsia="Times New Roman"/>
          <w:spacing w:val="-2"/>
          <w:lang w:val="fr-FR"/>
        </w:rPr>
        <w:t xml:space="preserve">amendements </w:t>
      </w:r>
      <w:r>
        <w:rPr>
          <w:rFonts w:eastAsia="Times New Roman"/>
          <w:spacing w:val="-2"/>
          <w:lang w:val="fr-FR"/>
        </w:rPr>
        <w:t>−</w:t>
      </w:r>
      <w:r w:rsidRPr="00170F11">
        <w:rPr>
          <w:rFonts w:eastAsia="Times New Roman"/>
          <w:spacing w:val="-2"/>
          <w:lang w:val="fr-FR"/>
        </w:rPr>
        <w:t xml:space="preserve"> </w:t>
      </w:r>
      <w:r w:rsidRPr="009D62F8">
        <w:rPr>
          <w:rFonts w:eastAsia="Times New Roman"/>
          <w:spacing w:val="-2"/>
          <w:lang w:val="fr-FR"/>
        </w:rPr>
        <w:t>Date d</w:t>
      </w:r>
      <w:r>
        <w:rPr>
          <w:rFonts w:eastAsia="Times New Roman"/>
          <w:spacing w:val="-2"/>
          <w:lang w:val="fr-FR"/>
        </w:rPr>
        <w:t>’</w:t>
      </w:r>
      <w:r w:rsidRPr="009D62F8">
        <w:rPr>
          <w:rFonts w:eastAsia="Times New Roman"/>
          <w:spacing w:val="-2"/>
          <w:lang w:val="fr-FR"/>
        </w:rPr>
        <w:t>entrée en vigueur</w:t>
      </w:r>
      <w:r>
        <w:rPr>
          <w:rFonts w:eastAsia="Times New Roman"/>
          <w:spacing w:val="-2"/>
          <w:lang w:val="fr-FR"/>
        </w:rPr>
        <w:t> </w:t>
      </w:r>
      <w:r w:rsidRPr="00170F11">
        <w:rPr>
          <w:rFonts w:eastAsia="Times New Roman"/>
          <w:spacing w:val="-2"/>
          <w:lang w:val="fr-FR"/>
        </w:rPr>
        <w:t xml:space="preserve">: </w:t>
      </w:r>
      <w:r w:rsidRPr="00170F11">
        <w:rPr>
          <w:rFonts w:eastAsia="Times New Roman"/>
          <w:lang w:val="fr-FR"/>
        </w:rPr>
        <w:t xml:space="preserve">7 </w:t>
      </w:r>
      <w:r w:rsidRPr="009D62F8">
        <w:rPr>
          <w:rFonts w:eastAsia="Times New Roman"/>
          <w:lang w:val="fr-FR"/>
        </w:rPr>
        <w:t>janvier</w:t>
      </w:r>
      <w:r w:rsidRPr="00170F11">
        <w:rPr>
          <w:rFonts w:eastAsia="Times New Roman"/>
          <w:lang w:val="fr-FR"/>
        </w:rPr>
        <w:t xml:space="preserve"> 2021</w:t>
      </w:r>
    </w:p>
    <w:p w14:paraId="3846443F" w14:textId="780E4E67" w:rsidR="00D33BAC" w:rsidRPr="00170F11" w:rsidRDefault="0029791D" w:rsidP="00D33BAC">
      <w:pPr>
        <w:pStyle w:val="H1G"/>
        <w:rPr>
          <w:lang w:val="fr-FR"/>
        </w:rPr>
      </w:pPr>
      <w:r>
        <w:tab/>
      </w:r>
      <w:r>
        <w:tab/>
      </w:r>
      <w:r w:rsidR="00D33BAC" w:rsidRPr="009D62F8">
        <w:rPr>
          <w:lang w:val="fr-FR"/>
        </w:rPr>
        <w:t>Prescriptions uniformes relatives à l</w:t>
      </w:r>
      <w:r w:rsidR="00D33BAC">
        <w:rPr>
          <w:lang w:val="fr-FR"/>
        </w:rPr>
        <w:t>’</w:t>
      </w:r>
      <w:r w:rsidR="00D33BAC" w:rsidRPr="009D62F8">
        <w:rPr>
          <w:lang w:val="fr-FR"/>
        </w:rPr>
        <w:t>homologation des voitures particulières en ce qui concerne le freinage</w:t>
      </w:r>
    </w:p>
    <w:p w14:paraId="7F0A5E7F" w14:textId="72A034E1" w:rsidR="0096379E" w:rsidRPr="001311C9" w:rsidRDefault="00D33BAC" w:rsidP="001311C9">
      <w:pPr>
        <w:kinsoku/>
        <w:overflowPunct/>
        <w:autoSpaceDE/>
        <w:autoSpaceDN/>
        <w:adjustRightInd/>
        <w:snapToGrid/>
        <w:spacing w:after="40"/>
        <w:ind w:left="1134" w:right="1134"/>
        <w:jc w:val="both"/>
        <w:rPr>
          <w:rFonts w:eastAsia="Times New Roman"/>
          <w:lang w:val="fr-FR" w:eastAsia="en-GB"/>
        </w:rPr>
      </w:pPr>
      <w:r w:rsidRPr="001311C9">
        <w:rPr>
          <w:lang w:val="fr-FR" w:eastAsia="en-GB"/>
        </w:rPr>
        <w:t>Le présent document est communiqué uniquement à titre d’information. Le texte authentique, juridiquement contraignant, est celui du document</w:t>
      </w:r>
      <w:r w:rsidRPr="001311C9">
        <w:rPr>
          <w:rFonts w:eastAsia="Times New Roman"/>
          <w:lang w:val="fr-FR" w:eastAsia="en-GB"/>
        </w:rPr>
        <w:t xml:space="preserve"> ECE/TRANS/WP.29/2021/7</w:t>
      </w:r>
      <w:r w:rsidR="00442E31">
        <w:rPr>
          <w:noProof/>
          <w:lang w:eastAsia="fr-CH"/>
        </w:rPr>
        <mc:AlternateContent>
          <mc:Choice Requires="wps">
            <w:drawing>
              <wp:anchor distT="0" distB="0" distL="114300" distR="114300" simplePos="0" relativeHeight="251658240" behindDoc="0" locked="0" layoutInCell="1" allowOverlap="1" wp14:anchorId="41147EBB" wp14:editId="4A4E9A4F">
                <wp:simplePos x="0" y="0"/>
                <wp:positionH relativeFrom="margin">
                  <wp:posOffset>0</wp:posOffset>
                </wp:positionH>
                <wp:positionV relativeFrom="margin">
                  <wp:posOffset>6301105</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09262863" w14:textId="77777777" w:rsidR="00442E31" w:rsidRPr="0029791D" w:rsidRDefault="00442E31" w:rsidP="00C9521D">
                            <w:pPr>
                              <w:ind w:left="1134" w:right="1134"/>
                              <w:jc w:val="center"/>
                            </w:pPr>
                            <w:r>
                              <w:t>_______________</w:t>
                            </w:r>
                          </w:p>
                          <w:p w14:paraId="17E81890" w14:textId="77777777" w:rsidR="00442E31" w:rsidRDefault="00442E31" w:rsidP="00C9521D">
                            <w:pPr>
                              <w:jc w:val="center"/>
                              <w:rPr>
                                <w:b/>
                                <w:bCs/>
                                <w:sz w:val="22"/>
                              </w:rPr>
                            </w:pPr>
                            <w:r>
                              <w:rPr>
                                <w:noProof/>
                                <w:lang w:eastAsia="fr-CH"/>
                              </w:rPr>
                              <w:drawing>
                                <wp:inline distT="0" distB="0" distL="0" distR="0" wp14:anchorId="781EEF01" wp14:editId="55C3EABB">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3E030170" w14:textId="77777777" w:rsidR="00442E31" w:rsidRDefault="00442E31"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47EBB" id="_x0000_t202" coordsize="21600,21600" o:spt="202" path="m,l,21600r21600,l21600,xe">
                <v:stroke joinstyle="miter"/>
                <v:path gradientshapeok="t" o:connecttype="rect"/>
              </v:shapetype>
              <v:shape id="Zone de texte 4" o:spid="_x0000_s1026" type="#_x0000_t202" style="position:absolute;left:0;text-align:left;margin-left:0;margin-top:496.15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" stroked="f">
                <v:textbox inset="0,0,0,0">
                  <w:txbxContent>
                    <w:p w14:paraId="09262863" w14:textId="77777777" w:rsidR="00442E31" w:rsidRPr="0029791D" w:rsidRDefault="00442E31" w:rsidP="00C9521D">
                      <w:pPr>
                        <w:ind w:left="1134" w:right="1134"/>
                        <w:jc w:val="center"/>
                      </w:pPr>
                      <w:r>
                        <w:t>_______________</w:t>
                      </w:r>
                    </w:p>
                    <w:p w14:paraId="17E81890" w14:textId="77777777" w:rsidR="00442E31" w:rsidRDefault="00442E31" w:rsidP="00C9521D">
                      <w:pPr>
                        <w:jc w:val="center"/>
                        <w:rPr>
                          <w:b/>
                          <w:bCs/>
                          <w:sz w:val="22"/>
                        </w:rPr>
                      </w:pPr>
                      <w:r>
                        <w:rPr>
                          <w:noProof/>
                          <w:lang w:eastAsia="fr-CH"/>
                        </w:rPr>
                        <w:drawing>
                          <wp:inline distT="0" distB="0" distL="0" distR="0" wp14:anchorId="781EEF01" wp14:editId="55C3EABB">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3E030170" w14:textId="77777777" w:rsidR="00442E31" w:rsidRDefault="00442E31" w:rsidP="00C6525D">
                      <w:pPr>
                        <w:jc w:val="center"/>
                      </w:pPr>
                      <w:r w:rsidRPr="0029791D">
                        <w:rPr>
                          <w:b/>
                          <w:bCs/>
                          <w:sz w:val="24"/>
                          <w:szCs w:val="24"/>
                        </w:rPr>
                        <w:t>Nations Unies</w:t>
                      </w:r>
                    </w:p>
                  </w:txbxContent>
                </v:textbox>
                <w10:wrap anchorx="margin" anchory="margin"/>
              </v:shape>
            </w:pict>
          </mc:Fallback>
        </mc:AlternateContent>
      </w:r>
      <w:r w:rsidR="001311C9">
        <w:rPr>
          <w:rFonts w:eastAsia="Times New Roman"/>
          <w:lang w:val="fr-FR" w:eastAsia="en-GB"/>
        </w:rPr>
        <w:t>3</w:t>
      </w:r>
    </w:p>
    <w:p w14:paraId="4BD83921" w14:textId="07199DD2" w:rsidR="001311C9" w:rsidRDefault="001311C9">
      <w:pPr>
        <w:suppressAutoHyphens w:val="0"/>
        <w:kinsoku/>
        <w:overflowPunct/>
        <w:autoSpaceDE/>
        <w:autoSpaceDN/>
        <w:adjustRightInd/>
        <w:snapToGrid/>
        <w:spacing w:line="240" w:lineRule="auto"/>
      </w:pPr>
      <w:r>
        <w:br w:type="page"/>
      </w:r>
    </w:p>
    <w:p w14:paraId="250FCCD7" w14:textId="77777777" w:rsidR="001311C9" w:rsidRPr="005451E7" w:rsidRDefault="001311C9" w:rsidP="00EF1FE1">
      <w:pPr>
        <w:pStyle w:val="SingleTxtG"/>
        <w:keepNext/>
        <w:rPr>
          <w:rFonts w:asciiTheme="majorBidi" w:hAnsiTheme="majorBidi"/>
          <w:i/>
          <w:iCs/>
          <w:lang w:val="fr-FR"/>
        </w:rPr>
      </w:pPr>
      <w:r>
        <w:rPr>
          <w:i/>
          <w:iCs/>
          <w:lang w:val="fr-FR"/>
        </w:rPr>
        <w:lastRenderedPageBreak/>
        <w:t>Paragraphe 5.2.22.2 (et alinéas)</w:t>
      </w:r>
      <w:r>
        <w:rPr>
          <w:lang w:val="fr-FR"/>
        </w:rPr>
        <w:t>, lire (la note de bas de page 6 reste inchangée, les paragraphes 5.2.22 et 5.2.22.1 ne figurent ici qu’à titre d’information) :</w:t>
      </w:r>
    </w:p>
    <w:p w14:paraId="6A3219DD" w14:textId="77777777" w:rsidR="001311C9" w:rsidRPr="005451E7" w:rsidRDefault="001311C9" w:rsidP="00EF1FE1">
      <w:pPr>
        <w:pStyle w:val="SingleTxtG"/>
        <w:keepNext/>
        <w:ind w:left="2268" w:hanging="1134"/>
        <w:jc w:val="left"/>
        <w:rPr>
          <w:i/>
          <w:iCs/>
          <w:lang w:val="fr-FR"/>
        </w:rPr>
      </w:pPr>
      <w:r>
        <w:rPr>
          <w:lang w:val="fr-FR"/>
        </w:rPr>
        <w:t>« 5.2.22</w:t>
      </w:r>
      <w:r>
        <w:rPr>
          <w:lang w:val="fr-FR"/>
        </w:rPr>
        <w:tab/>
        <w:t>Envoi d’un signal de freinage pour l’allumage des feux stop</w:t>
      </w:r>
    </w:p>
    <w:p w14:paraId="1F17113F" w14:textId="77777777" w:rsidR="001311C9" w:rsidRPr="005451E7" w:rsidRDefault="001311C9" w:rsidP="001311C9">
      <w:pPr>
        <w:pStyle w:val="SingleTxtG"/>
        <w:ind w:left="2268" w:hanging="1134"/>
        <w:rPr>
          <w:lang w:val="fr-FR"/>
        </w:rPr>
      </w:pPr>
      <w:r>
        <w:rPr>
          <w:lang w:val="fr-FR"/>
        </w:rPr>
        <w:t>5.2.22.1</w:t>
      </w:r>
      <w:r>
        <w:rPr>
          <w:lang w:val="fr-FR"/>
        </w:rPr>
        <w:tab/>
        <w:t>L’actionnement du système de freinage de service par le conducteur doit générer un signal qui servira à allumer les feux stop.</w:t>
      </w:r>
    </w:p>
    <w:p w14:paraId="52FD6F2F" w14:textId="77777777" w:rsidR="001311C9" w:rsidRPr="005451E7" w:rsidRDefault="001311C9" w:rsidP="001311C9">
      <w:pPr>
        <w:pStyle w:val="SingleTxtG"/>
        <w:ind w:left="2268" w:hanging="1134"/>
        <w:rPr>
          <w:lang w:val="fr-FR"/>
        </w:rPr>
      </w:pPr>
      <w:r>
        <w:rPr>
          <w:lang w:val="fr-FR"/>
        </w:rPr>
        <w:t>5.2.22.2</w:t>
      </w:r>
      <w:r>
        <w:rPr>
          <w:lang w:val="fr-FR"/>
        </w:rPr>
        <w:tab/>
        <w:t>Prescriptions pour les véhicules équipés d’une fonction de freinage à commande automatique ou d’un système de freinage par récupération qui produit un ralentissement (par exemple, par relâchement de la pédale d’accélérateur)</w:t>
      </w:r>
      <w:r w:rsidRPr="005A2232">
        <w:rPr>
          <w:sz w:val="18"/>
          <w:szCs w:val="18"/>
          <w:vertAlign w:val="superscript"/>
          <w:lang w:val="fr-FR"/>
        </w:rPr>
        <w:t>6</w:t>
      </w:r>
      <w:r>
        <w:rPr>
          <w:lang w:val="fr-FR"/>
        </w:rPr>
        <w:t>.</w:t>
      </w:r>
    </w:p>
    <w:tbl>
      <w:tblPr>
        <w:tblW w:w="6237" w:type="dxa"/>
        <w:tblInd w:w="2268" w:type="dxa"/>
        <w:tblLayout w:type="fixed"/>
        <w:tblCellMar>
          <w:left w:w="0" w:type="dxa"/>
          <w:right w:w="0" w:type="dxa"/>
        </w:tblCellMar>
        <w:tblLook w:val="01E0" w:firstRow="1" w:lastRow="1" w:firstColumn="1" w:lastColumn="1" w:noHBand="0" w:noVBand="0"/>
      </w:tblPr>
      <w:tblGrid>
        <w:gridCol w:w="2294"/>
        <w:gridCol w:w="3943"/>
      </w:tblGrid>
      <w:tr w:rsidR="001311C9" w:rsidRPr="005A2232" w14:paraId="7AA6B860" w14:textId="77777777" w:rsidTr="006426C3">
        <w:trPr>
          <w:tblHeader/>
        </w:trPr>
        <w:tc>
          <w:tcPr>
            <w:tcW w:w="6232" w:type="dxa"/>
            <w:gridSpan w:val="2"/>
            <w:tcBorders>
              <w:top w:val="single" w:sz="4" w:space="0" w:color="auto"/>
              <w:bottom w:val="single" w:sz="12" w:space="0" w:color="auto"/>
            </w:tcBorders>
            <w:shd w:val="clear" w:color="auto" w:fill="auto"/>
            <w:vAlign w:val="bottom"/>
          </w:tcPr>
          <w:p w14:paraId="5F9F3AFC" w14:textId="77777777" w:rsidR="001311C9" w:rsidRPr="005A2232" w:rsidRDefault="001311C9" w:rsidP="006426C3">
            <w:pPr>
              <w:spacing w:before="80" w:after="80" w:line="200" w:lineRule="exact"/>
              <w:ind w:right="113"/>
              <w:rPr>
                <w:i/>
                <w:sz w:val="16"/>
                <w:lang w:val="fr-FR"/>
              </w:rPr>
            </w:pPr>
            <w:r w:rsidRPr="005A2232">
              <w:rPr>
                <w:i/>
                <w:sz w:val="16"/>
                <w:lang w:val="fr-FR"/>
              </w:rPr>
              <w:t>Décélération par freinage à commande automatique ou freinage par récupération</w:t>
            </w:r>
          </w:p>
        </w:tc>
      </w:tr>
      <w:tr w:rsidR="001311C9" w:rsidRPr="005A2232" w14:paraId="2D0EFBA3" w14:textId="77777777" w:rsidTr="006426C3">
        <w:trPr>
          <w:trHeight w:hRule="exact" w:val="113"/>
          <w:tblHeader/>
        </w:trPr>
        <w:tc>
          <w:tcPr>
            <w:tcW w:w="6232" w:type="dxa"/>
            <w:gridSpan w:val="2"/>
            <w:tcBorders>
              <w:top w:val="single" w:sz="12" w:space="0" w:color="auto"/>
            </w:tcBorders>
            <w:shd w:val="clear" w:color="auto" w:fill="auto"/>
          </w:tcPr>
          <w:p w14:paraId="68FC2B1E" w14:textId="77777777" w:rsidR="001311C9" w:rsidRPr="005A2232" w:rsidRDefault="001311C9" w:rsidP="006426C3">
            <w:pPr>
              <w:spacing w:before="40" w:after="120"/>
              <w:ind w:right="113"/>
              <w:rPr>
                <w:lang w:val="fr-FR"/>
              </w:rPr>
            </w:pPr>
          </w:p>
        </w:tc>
      </w:tr>
      <w:tr w:rsidR="001311C9" w:rsidRPr="005A2232" w14:paraId="214B04D6" w14:textId="77777777" w:rsidTr="006426C3">
        <w:tc>
          <w:tcPr>
            <w:tcW w:w="2292" w:type="dxa"/>
            <w:shd w:val="clear" w:color="auto" w:fill="auto"/>
          </w:tcPr>
          <w:p w14:paraId="32D8589C" w14:textId="51158EB4" w:rsidR="001311C9" w:rsidRPr="005A2232" w:rsidRDefault="001311C9" w:rsidP="006426C3">
            <w:pPr>
              <w:spacing w:before="40" w:after="120"/>
              <w:ind w:right="113"/>
              <w:rPr>
                <w:szCs w:val="18"/>
              </w:rPr>
            </w:pPr>
            <w:r w:rsidRPr="005A2232">
              <w:rPr>
                <w:szCs w:val="18"/>
                <w:lang w:val="fr-FR"/>
              </w:rPr>
              <w:t>≤1,3 m/s</w:t>
            </w:r>
            <w:r w:rsidRPr="005A2232">
              <w:rPr>
                <w:szCs w:val="18"/>
                <w:vertAlign w:val="superscript"/>
                <w:lang w:val="fr-FR"/>
              </w:rPr>
              <w:t>2</w:t>
            </w:r>
          </w:p>
        </w:tc>
        <w:tc>
          <w:tcPr>
            <w:tcW w:w="3940" w:type="dxa"/>
            <w:shd w:val="clear" w:color="auto" w:fill="auto"/>
          </w:tcPr>
          <w:p w14:paraId="30CC1B96" w14:textId="43107691" w:rsidR="001311C9" w:rsidRPr="005A2232" w:rsidRDefault="001311C9" w:rsidP="006426C3">
            <w:pPr>
              <w:spacing w:before="40" w:after="120"/>
              <w:ind w:right="113"/>
              <w:rPr>
                <w:szCs w:val="18"/>
              </w:rPr>
            </w:pPr>
            <w:r w:rsidRPr="005A2232">
              <w:rPr>
                <w:szCs w:val="18"/>
                <w:lang w:val="fr-FR"/>
              </w:rPr>
              <w:t>&gt;1,3 m/s</w:t>
            </w:r>
            <w:r w:rsidRPr="005A2232">
              <w:rPr>
                <w:szCs w:val="18"/>
                <w:vertAlign w:val="superscript"/>
                <w:lang w:val="fr-FR"/>
              </w:rPr>
              <w:t>2</w:t>
            </w:r>
          </w:p>
        </w:tc>
      </w:tr>
      <w:tr w:rsidR="001311C9" w:rsidRPr="005A2232" w14:paraId="0CFAD1BD" w14:textId="77777777" w:rsidTr="006426C3">
        <w:tc>
          <w:tcPr>
            <w:tcW w:w="2292" w:type="dxa"/>
            <w:tcBorders>
              <w:bottom w:val="single" w:sz="12" w:space="0" w:color="auto"/>
            </w:tcBorders>
            <w:shd w:val="clear" w:color="auto" w:fill="auto"/>
          </w:tcPr>
          <w:p w14:paraId="56055A2F" w14:textId="77777777" w:rsidR="001311C9" w:rsidRPr="005A2232" w:rsidRDefault="001311C9" w:rsidP="006426C3">
            <w:pPr>
              <w:spacing w:before="40" w:after="120"/>
              <w:ind w:right="113"/>
              <w:rPr>
                <w:szCs w:val="18"/>
              </w:rPr>
            </w:pPr>
            <w:r w:rsidRPr="005A2232">
              <w:rPr>
                <w:szCs w:val="18"/>
                <w:lang w:val="fr-FR"/>
              </w:rPr>
              <w:t>Peut émettre le signal</w:t>
            </w:r>
          </w:p>
        </w:tc>
        <w:tc>
          <w:tcPr>
            <w:tcW w:w="3940" w:type="dxa"/>
            <w:tcBorders>
              <w:bottom w:val="single" w:sz="12" w:space="0" w:color="auto"/>
            </w:tcBorders>
            <w:shd w:val="clear" w:color="auto" w:fill="auto"/>
          </w:tcPr>
          <w:p w14:paraId="2661B21D" w14:textId="77777777" w:rsidR="001311C9" w:rsidRPr="005A2232" w:rsidRDefault="001311C9" w:rsidP="006426C3">
            <w:pPr>
              <w:spacing w:before="40" w:after="120"/>
              <w:ind w:right="113"/>
              <w:rPr>
                <w:szCs w:val="18"/>
              </w:rPr>
            </w:pPr>
            <w:r w:rsidRPr="005A2232">
              <w:rPr>
                <w:szCs w:val="18"/>
                <w:lang w:val="fr-FR"/>
              </w:rPr>
              <w:t>Doit émettre le signal</w:t>
            </w:r>
          </w:p>
        </w:tc>
      </w:tr>
    </w:tbl>
    <w:p w14:paraId="0D4CF2EA" w14:textId="77777777" w:rsidR="001311C9" w:rsidRPr="005451E7" w:rsidRDefault="001311C9" w:rsidP="001311C9">
      <w:pPr>
        <w:pStyle w:val="SingleTxtG"/>
        <w:spacing w:before="240"/>
        <w:ind w:left="2268"/>
        <w:rPr>
          <w:lang w:val="fr-FR"/>
        </w:rPr>
      </w:pPr>
      <w:bookmarkStart w:id="0" w:name="_Hlk43975836"/>
      <w:r>
        <w:rPr>
          <w:lang w:val="fr-FR"/>
        </w:rPr>
        <w:t>Une fois émis, le signal doit persister tant qu’une demande de décélération est maintenue. Il peut toutefois être supprimé à l’arrêt.</w:t>
      </w:r>
    </w:p>
    <w:bookmarkEnd w:id="0"/>
    <w:p w14:paraId="5C0FB7C6" w14:textId="77777777" w:rsidR="001311C9" w:rsidRPr="005451E7" w:rsidRDefault="001311C9" w:rsidP="001311C9">
      <w:pPr>
        <w:pStyle w:val="SingleTxtG"/>
        <w:ind w:left="2268"/>
        <w:rPr>
          <w:lang w:val="fr-FR"/>
        </w:rPr>
      </w:pPr>
      <w:r>
        <w:rPr>
          <w:lang w:val="fr-FR"/>
        </w:rPr>
        <w:t>Une mesure appropriée (par exemple, l’élimination de l’hystérésis, le lissage ou la temporisation) doit être mise en œuvre afin d’éviter que des modifications rapides du signal n’entraînent le clignotement des feux stop. ».</w:t>
      </w:r>
    </w:p>
    <w:p w14:paraId="620A0CAE" w14:textId="77777777" w:rsidR="001311C9" w:rsidRPr="005451E7" w:rsidRDefault="001311C9" w:rsidP="001311C9">
      <w:pPr>
        <w:pStyle w:val="SingleTxtG"/>
        <w:keepNext/>
        <w:rPr>
          <w:strike/>
          <w:lang w:val="fr-FR"/>
        </w:rPr>
      </w:pPr>
      <w:r>
        <w:rPr>
          <w:i/>
          <w:iCs/>
          <w:lang w:val="fr-FR"/>
        </w:rPr>
        <w:t>Paragraphe 5.2.22.3</w:t>
      </w:r>
      <w:r>
        <w:rPr>
          <w:lang w:val="fr-FR"/>
        </w:rPr>
        <w:t>, lire (la note de bas de page 7 reste inchangée) :</w:t>
      </w:r>
    </w:p>
    <w:p w14:paraId="369562AD" w14:textId="67A6C3F7" w:rsidR="001311C9" w:rsidRPr="005A2232" w:rsidRDefault="001311C9" w:rsidP="001311C9">
      <w:pPr>
        <w:pStyle w:val="SingleTxtG"/>
        <w:ind w:left="2268" w:hanging="1134"/>
      </w:pPr>
      <w:r>
        <w:rPr>
          <w:lang w:val="fr-FR"/>
        </w:rPr>
        <w:t>« 5.2.22.3</w:t>
      </w:r>
      <w:r>
        <w:rPr>
          <w:lang w:val="fr-FR"/>
        </w:rPr>
        <w:tab/>
        <w:t xml:space="preserve">L’actionnement d’une partie du système de freinage de service au moyen du </w:t>
      </w:r>
      <w:r w:rsidR="00921E46">
        <w:rPr>
          <w:lang w:val="fr-FR"/>
        </w:rPr>
        <w:t>“</w:t>
      </w:r>
      <w:r>
        <w:rPr>
          <w:lang w:val="fr-FR"/>
        </w:rPr>
        <w:t>freinage sélectif</w:t>
      </w:r>
      <w:r w:rsidR="00921E46">
        <w:rPr>
          <w:lang w:val="fr-FR"/>
        </w:rPr>
        <w:t>”</w:t>
      </w:r>
      <w:r>
        <w:rPr>
          <w:lang w:val="fr-FR"/>
        </w:rPr>
        <w:t xml:space="preserve"> ou de fonctions dont le but premier n’est pas de réduire la vitesse du véhicule (par exemple un léger actionnement du frein à friction pour nettoyer les disques) ne doit pas générer le signal susmentionné</w:t>
      </w:r>
      <w:r w:rsidRPr="005A2232">
        <w:rPr>
          <w:sz w:val="18"/>
          <w:szCs w:val="18"/>
          <w:vertAlign w:val="superscript"/>
          <w:lang w:val="fr-FR"/>
        </w:rPr>
        <w:t>7</w:t>
      </w:r>
      <w:r>
        <w:rPr>
          <w:lang w:val="fr-FR"/>
        </w:rPr>
        <w:t>. ».</w:t>
      </w:r>
    </w:p>
    <w:p w14:paraId="1BF75D2B" w14:textId="77777777" w:rsidR="001311C9" w:rsidRPr="005451E7" w:rsidRDefault="001311C9" w:rsidP="001311C9">
      <w:pPr>
        <w:pStyle w:val="SingleTxtG"/>
        <w:keepNext/>
        <w:rPr>
          <w:lang w:val="fr-FR"/>
        </w:rPr>
      </w:pPr>
      <w:r>
        <w:rPr>
          <w:i/>
          <w:iCs/>
          <w:lang w:val="fr-FR"/>
        </w:rPr>
        <w:t>Paragraphe 5.2.22.4</w:t>
      </w:r>
      <w:r>
        <w:rPr>
          <w:lang w:val="fr-FR"/>
        </w:rPr>
        <w:t>, lire (y compris la suppression du renvoi à la note de bas de page 8) :</w:t>
      </w:r>
    </w:p>
    <w:p w14:paraId="7CC83210" w14:textId="3CF23E46" w:rsidR="005F0207" w:rsidRDefault="001311C9" w:rsidP="00921E46">
      <w:pPr>
        <w:pStyle w:val="SingleTxtG"/>
        <w:ind w:left="2268" w:hanging="1134"/>
        <w:rPr>
          <w:lang w:val="fr-FR"/>
        </w:rPr>
      </w:pPr>
      <w:r>
        <w:rPr>
          <w:lang w:val="fr-FR"/>
        </w:rPr>
        <w:t>« 5.2.22.4</w:t>
      </w:r>
      <w:r>
        <w:rPr>
          <w:lang w:val="fr-FR"/>
        </w:rPr>
        <w:tab/>
        <w:t>Le signal ne doit pas être émis lorsque le ralentissement est uniquement dû à l’effet de freinage naturel du moteur, à la résistance à l’air ou au roulement ou à la déclivité de la route. ».</w:t>
      </w:r>
    </w:p>
    <w:p w14:paraId="344BE9C8" w14:textId="472B4CCA" w:rsidR="001311C9" w:rsidRPr="001311C9" w:rsidRDefault="001311C9" w:rsidP="001311C9">
      <w:pPr>
        <w:pStyle w:val="SingleTxtG"/>
        <w:spacing w:before="240" w:after="0"/>
        <w:jc w:val="center"/>
        <w:rPr>
          <w:u w:val="single"/>
        </w:rPr>
      </w:pPr>
      <w:r>
        <w:rPr>
          <w:u w:val="single"/>
        </w:rPr>
        <w:tab/>
      </w:r>
      <w:r>
        <w:rPr>
          <w:u w:val="single"/>
        </w:rPr>
        <w:tab/>
      </w:r>
      <w:r>
        <w:rPr>
          <w:u w:val="single"/>
        </w:rPr>
        <w:tab/>
      </w:r>
      <w:r>
        <w:rPr>
          <w:u w:val="single"/>
        </w:rPr>
        <w:tab/>
      </w:r>
    </w:p>
    <w:sectPr w:rsidR="001311C9" w:rsidRPr="001311C9" w:rsidSect="0096379E">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487D" w14:textId="77777777" w:rsidR="007D088D" w:rsidRDefault="007D088D"/>
  </w:endnote>
  <w:endnote w:type="continuationSeparator" w:id="0">
    <w:p w14:paraId="0F5FEA8E" w14:textId="77777777" w:rsidR="007D088D" w:rsidRDefault="007D088D">
      <w:pPr>
        <w:pStyle w:val="Pieddepage"/>
      </w:pPr>
    </w:p>
  </w:endnote>
  <w:endnote w:type="continuationNotice" w:id="1">
    <w:p w14:paraId="78F3C968" w14:textId="77777777" w:rsidR="007D088D" w:rsidRPr="00C451B9" w:rsidRDefault="007D088D"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5E4D" w14:textId="77777777" w:rsidR="0096379E" w:rsidRPr="0096379E" w:rsidRDefault="0096379E" w:rsidP="0096379E">
    <w:pPr>
      <w:pStyle w:val="Pieddepage"/>
      <w:tabs>
        <w:tab w:val="right" w:pos="9638"/>
      </w:tabs>
    </w:pPr>
    <w:r w:rsidRPr="0096379E">
      <w:rPr>
        <w:b/>
        <w:sz w:val="18"/>
      </w:rPr>
      <w:fldChar w:fldCharType="begin"/>
    </w:r>
    <w:r w:rsidRPr="0096379E">
      <w:rPr>
        <w:b/>
        <w:sz w:val="18"/>
      </w:rPr>
      <w:instrText xml:space="preserve"> PAGE  \* MERGEFORMAT </w:instrText>
    </w:r>
    <w:r w:rsidRPr="0096379E">
      <w:rPr>
        <w:b/>
        <w:sz w:val="18"/>
      </w:rPr>
      <w:fldChar w:fldCharType="separate"/>
    </w:r>
    <w:r w:rsidRPr="0096379E">
      <w:rPr>
        <w:b/>
        <w:noProof/>
        <w:sz w:val="18"/>
      </w:rPr>
      <w:t>2</w:t>
    </w:r>
    <w:r w:rsidRPr="0096379E">
      <w:rPr>
        <w:b/>
        <w:sz w:val="18"/>
      </w:rPr>
      <w:fldChar w:fldCharType="end"/>
    </w:r>
    <w:r>
      <w:rPr>
        <w:b/>
        <w:sz w:val="18"/>
      </w:rPr>
      <w:tab/>
    </w:r>
    <w:r>
      <w:t>GE.22-02346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B5C4" w14:textId="77777777" w:rsidR="0096379E" w:rsidRPr="0096379E" w:rsidRDefault="0096379E" w:rsidP="0096379E">
    <w:pPr>
      <w:pStyle w:val="Pieddepage"/>
      <w:tabs>
        <w:tab w:val="right" w:pos="9638"/>
      </w:tabs>
      <w:rPr>
        <w:b/>
        <w:sz w:val="18"/>
      </w:rPr>
    </w:pPr>
    <w:r>
      <w:t>GE.22-02346</w:t>
    </w:r>
    <w:r>
      <w:tab/>
    </w:r>
    <w:r w:rsidRPr="0096379E">
      <w:rPr>
        <w:b/>
        <w:sz w:val="18"/>
      </w:rPr>
      <w:fldChar w:fldCharType="begin"/>
    </w:r>
    <w:r w:rsidRPr="0096379E">
      <w:rPr>
        <w:b/>
        <w:sz w:val="18"/>
      </w:rPr>
      <w:instrText xml:space="preserve"> PAGE  \* MERGEFORMAT </w:instrText>
    </w:r>
    <w:r w:rsidRPr="0096379E">
      <w:rPr>
        <w:b/>
        <w:sz w:val="18"/>
      </w:rPr>
      <w:fldChar w:fldCharType="separate"/>
    </w:r>
    <w:r w:rsidRPr="0096379E">
      <w:rPr>
        <w:b/>
        <w:noProof/>
        <w:sz w:val="18"/>
      </w:rPr>
      <w:t>3</w:t>
    </w:r>
    <w:r w:rsidRPr="0096379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1E0C" w14:textId="5CFA825E" w:rsidR="00467F2C" w:rsidRPr="0096379E" w:rsidRDefault="0096379E" w:rsidP="0096379E">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4BA61E15" wp14:editId="3EDCF281">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22-02346  (F)</w:t>
    </w:r>
    <w:r>
      <w:rPr>
        <w:noProof/>
        <w:sz w:val="20"/>
      </w:rPr>
      <w:drawing>
        <wp:anchor distT="0" distB="0" distL="114300" distR="114300" simplePos="0" relativeHeight="251660288" behindDoc="0" locked="0" layoutInCell="1" allowOverlap="1" wp14:anchorId="70582481" wp14:editId="007D5763">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210322    210322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54F9" w14:textId="77777777" w:rsidR="007D088D" w:rsidRPr="00D27D5E" w:rsidRDefault="007D088D" w:rsidP="00D27D5E">
      <w:pPr>
        <w:tabs>
          <w:tab w:val="right" w:pos="2155"/>
        </w:tabs>
        <w:spacing w:after="80"/>
        <w:ind w:left="680"/>
        <w:rPr>
          <w:u w:val="single"/>
        </w:rPr>
      </w:pPr>
      <w:r>
        <w:rPr>
          <w:u w:val="single"/>
        </w:rPr>
        <w:tab/>
      </w:r>
    </w:p>
  </w:footnote>
  <w:footnote w:type="continuationSeparator" w:id="0">
    <w:p w14:paraId="79AA4B09" w14:textId="77777777" w:rsidR="007D088D" w:rsidRPr="00D171D4" w:rsidRDefault="007D088D" w:rsidP="00D171D4">
      <w:pPr>
        <w:tabs>
          <w:tab w:val="right" w:pos="2155"/>
        </w:tabs>
        <w:spacing w:after="80"/>
        <w:ind w:left="680"/>
        <w:rPr>
          <w:u w:val="single"/>
        </w:rPr>
      </w:pPr>
      <w:r w:rsidRPr="00D171D4">
        <w:rPr>
          <w:u w:val="single"/>
        </w:rPr>
        <w:tab/>
      </w:r>
    </w:p>
  </w:footnote>
  <w:footnote w:type="continuationNotice" w:id="1">
    <w:p w14:paraId="45518F1F" w14:textId="77777777" w:rsidR="007D088D" w:rsidRPr="00C451B9" w:rsidRDefault="007D088D" w:rsidP="00C451B9">
      <w:pPr>
        <w:spacing w:line="240" w:lineRule="auto"/>
        <w:rPr>
          <w:sz w:val="2"/>
          <w:szCs w:val="2"/>
        </w:rPr>
      </w:pPr>
    </w:p>
  </w:footnote>
  <w:footnote w:id="2">
    <w:p w14:paraId="638E2171" w14:textId="77777777" w:rsidR="00591072" w:rsidRPr="00591072" w:rsidRDefault="00442E31" w:rsidP="00591072">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00591072" w:rsidRPr="00591072">
        <w:t>Anciens titres de l’Accord :</w:t>
      </w:r>
    </w:p>
    <w:p w14:paraId="5EA5D9E5" w14:textId="77777777" w:rsidR="00591072" w:rsidRPr="00591072" w:rsidRDefault="00591072" w:rsidP="00591072">
      <w:pPr>
        <w:pStyle w:val="Notedebasdepage"/>
      </w:pPr>
      <w:r w:rsidRPr="0096379E">
        <w:tab/>
      </w:r>
      <w:r w:rsidRPr="0096379E">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p>
    <w:p w14:paraId="1BA51670" w14:textId="77777777" w:rsidR="00591072" w:rsidRPr="00591072" w:rsidRDefault="00591072" w:rsidP="00591072">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p w14:paraId="275A7DE9" w14:textId="77777777" w:rsidR="00442E31" w:rsidRPr="00442E31" w:rsidRDefault="00442E3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EEDF" w14:textId="77777777" w:rsidR="0096379E" w:rsidRPr="0096379E" w:rsidRDefault="0096379E">
    <w:pPr>
      <w:pStyle w:val="En-tte"/>
      <w:rPr>
        <w:lang w:val="en-US"/>
      </w:rPr>
    </w:pPr>
    <w:r>
      <w:fldChar w:fldCharType="begin"/>
    </w:r>
    <w:r w:rsidRPr="0096379E">
      <w:rPr>
        <w:lang w:val="en-US"/>
      </w:rPr>
      <w:instrText xml:space="preserve"> TITLE  \* MERGEFORMAT </w:instrText>
    </w:r>
    <w:r>
      <w:fldChar w:fldCharType="separate"/>
    </w:r>
    <w:r w:rsidRPr="0096379E">
      <w:rPr>
        <w:lang w:val="en-US"/>
      </w:rPr>
      <w:t>E/ECE/324/Rev.2/Add.12H/Rev.4/Amend.3</w:t>
    </w:r>
    <w:r>
      <w:fldChar w:fldCharType="end"/>
    </w:r>
    <w:r w:rsidRPr="0096379E">
      <w:rPr>
        <w:lang w:val="en-US"/>
      </w:rPr>
      <w:br/>
    </w:r>
    <w:r>
      <w:fldChar w:fldCharType="begin"/>
    </w:r>
    <w:r w:rsidRPr="0096379E">
      <w:rPr>
        <w:lang w:val="en-US"/>
      </w:rPr>
      <w:instrText xml:space="preserve"> KEYWORDS  \* MERGEFORMAT </w:instrText>
    </w:r>
    <w:r>
      <w:fldChar w:fldCharType="separate"/>
    </w:r>
    <w:r w:rsidRPr="0096379E">
      <w:rPr>
        <w:lang w:val="en-US"/>
      </w:rPr>
      <w:t>E/ECE/TRANS/505/Rev.2/Add.12H/Rev.4/Amend.3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AE5F" w14:textId="77777777" w:rsidR="0096379E" w:rsidRPr="0096379E" w:rsidRDefault="0096379E" w:rsidP="0096379E">
    <w:pPr>
      <w:pStyle w:val="En-tte"/>
      <w:jc w:val="right"/>
      <w:rPr>
        <w:lang w:val="en-US"/>
      </w:rPr>
    </w:pPr>
    <w:r>
      <w:fldChar w:fldCharType="begin"/>
    </w:r>
    <w:r w:rsidRPr="0096379E">
      <w:rPr>
        <w:lang w:val="en-US"/>
      </w:rPr>
      <w:instrText xml:space="preserve"> TITLE  \* MERGEFORMAT </w:instrText>
    </w:r>
    <w:r>
      <w:fldChar w:fldCharType="separate"/>
    </w:r>
    <w:r w:rsidRPr="0096379E">
      <w:rPr>
        <w:lang w:val="en-US"/>
      </w:rPr>
      <w:t>E/ECE/324/Rev.2/Add.12H/Rev.4/Amend.3</w:t>
    </w:r>
    <w:r>
      <w:fldChar w:fldCharType="end"/>
    </w:r>
    <w:r w:rsidRPr="0096379E">
      <w:rPr>
        <w:lang w:val="en-US"/>
      </w:rPr>
      <w:br/>
    </w:r>
    <w:r>
      <w:fldChar w:fldCharType="begin"/>
    </w:r>
    <w:r w:rsidRPr="0096379E">
      <w:rPr>
        <w:lang w:val="en-US"/>
      </w:rPr>
      <w:instrText xml:space="preserve"> KEYWORDS  \* MERGEFORMAT </w:instrText>
    </w:r>
    <w:r>
      <w:fldChar w:fldCharType="separate"/>
    </w:r>
    <w:r w:rsidRPr="0096379E">
      <w:rPr>
        <w:lang w:val="en-US"/>
      </w:rPr>
      <w:t>E/ECE/TRANS/505/Rev.2/Add.12H/Rev.4/Amend.3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8D"/>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7310"/>
    <w:rsid w:val="00077E35"/>
    <w:rsid w:val="0008669E"/>
    <w:rsid w:val="00090599"/>
    <w:rsid w:val="000A1501"/>
    <w:rsid w:val="000A2494"/>
    <w:rsid w:val="000A6B7E"/>
    <w:rsid w:val="000B20D3"/>
    <w:rsid w:val="000C6CDB"/>
    <w:rsid w:val="000D5C25"/>
    <w:rsid w:val="000E4F06"/>
    <w:rsid w:val="000E5601"/>
    <w:rsid w:val="000E5602"/>
    <w:rsid w:val="000F41F2"/>
    <w:rsid w:val="0010373B"/>
    <w:rsid w:val="0011415F"/>
    <w:rsid w:val="00125446"/>
    <w:rsid w:val="001311C9"/>
    <w:rsid w:val="001358D9"/>
    <w:rsid w:val="00141E26"/>
    <w:rsid w:val="00143EB9"/>
    <w:rsid w:val="00152C5A"/>
    <w:rsid w:val="0015389C"/>
    <w:rsid w:val="00160540"/>
    <w:rsid w:val="00166C68"/>
    <w:rsid w:val="00174814"/>
    <w:rsid w:val="00181A90"/>
    <w:rsid w:val="00190D5D"/>
    <w:rsid w:val="00192EEB"/>
    <w:rsid w:val="00194484"/>
    <w:rsid w:val="001A2040"/>
    <w:rsid w:val="001A20FB"/>
    <w:rsid w:val="001A252F"/>
    <w:rsid w:val="001A376F"/>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E2F5C"/>
    <w:rsid w:val="002F0C48"/>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0BBF"/>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102D2"/>
    <w:rsid w:val="00714A66"/>
    <w:rsid w:val="007176C1"/>
    <w:rsid w:val="00720BC0"/>
    <w:rsid w:val="0072116B"/>
    <w:rsid w:val="00725063"/>
    <w:rsid w:val="00732E72"/>
    <w:rsid w:val="00741D90"/>
    <w:rsid w:val="00755D4F"/>
    <w:rsid w:val="007607B1"/>
    <w:rsid w:val="00765296"/>
    <w:rsid w:val="00766D28"/>
    <w:rsid w:val="007723C2"/>
    <w:rsid w:val="007815B9"/>
    <w:rsid w:val="00783E82"/>
    <w:rsid w:val="00785F1F"/>
    <w:rsid w:val="007869B6"/>
    <w:rsid w:val="00790B9D"/>
    <w:rsid w:val="00796316"/>
    <w:rsid w:val="007A1C58"/>
    <w:rsid w:val="007A20D2"/>
    <w:rsid w:val="007A79CD"/>
    <w:rsid w:val="007C16EA"/>
    <w:rsid w:val="007D088D"/>
    <w:rsid w:val="007D2668"/>
    <w:rsid w:val="007D3119"/>
    <w:rsid w:val="007F1867"/>
    <w:rsid w:val="007F1EC4"/>
    <w:rsid w:val="007F55CB"/>
    <w:rsid w:val="007F768E"/>
    <w:rsid w:val="008021D4"/>
    <w:rsid w:val="008149F9"/>
    <w:rsid w:val="008245B7"/>
    <w:rsid w:val="0082755E"/>
    <w:rsid w:val="00831A18"/>
    <w:rsid w:val="00837345"/>
    <w:rsid w:val="00844750"/>
    <w:rsid w:val="00851A74"/>
    <w:rsid w:val="00853AB8"/>
    <w:rsid w:val="00854C34"/>
    <w:rsid w:val="0085586A"/>
    <w:rsid w:val="00856DB2"/>
    <w:rsid w:val="0086500B"/>
    <w:rsid w:val="00895DE5"/>
    <w:rsid w:val="008A0FA8"/>
    <w:rsid w:val="008A1EC0"/>
    <w:rsid w:val="008A4A2E"/>
    <w:rsid w:val="008B44C4"/>
    <w:rsid w:val="008C322B"/>
    <w:rsid w:val="008C4B74"/>
    <w:rsid w:val="008D1156"/>
    <w:rsid w:val="008D59DB"/>
    <w:rsid w:val="008E0319"/>
    <w:rsid w:val="008E4DE2"/>
    <w:rsid w:val="008E6252"/>
    <w:rsid w:val="008E7CE2"/>
    <w:rsid w:val="008E7FAE"/>
    <w:rsid w:val="00911BF7"/>
    <w:rsid w:val="0091594A"/>
    <w:rsid w:val="00921E46"/>
    <w:rsid w:val="009230F1"/>
    <w:rsid w:val="00926925"/>
    <w:rsid w:val="00935490"/>
    <w:rsid w:val="009418DE"/>
    <w:rsid w:val="009516B7"/>
    <w:rsid w:val="009545F1"/>
    <w:rsid w:val="00957CE5"/>
    <w:rsid w:val="009624E2"/>
    <w:rsid w:val="0096379E"/>
    <w:rsid w:val="009707E4"/>
    <w:rsid w:val="00973B8F"/>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2492E"/>
    <w:rsid w:val="00A27C92"/>
    <w:rsid w:val="00A31163"/>
    <w:rsid w:val="00A34593"/>
    <w:rsid w:val="00A364DB"/>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C67A1"/>
    <w:rsid w:val="00AC7977"/>
    <w:rsid w:val="00AC7E56"/>
    <w:rsid w:val="00AE2617"/>
    <w:rsid w:val="00AE352C"/>
    <w:rsid w:val="00AE39A5"/>
    <w:rsid w:val="00AE79AC"/>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44CB"/>
    <w:rsid w:val="00D27D5E"/>
    <w:rsid w:val="00D32B08"/>
    <w:rsid w:val="00D33BAC"/>
    <w:rsid w:val="00D407D1"/>
    <w:rsid w:val="00D43E5F"/>
    <w:rsid w:val="00D51CE6"/>
    <w:rsid w:val="00D639BD"/>
    <w:rsid w:val="00D65777"/>
    <w:rsid w:val="00D66E0D"/>
    <w:rsid w:val="00D7425A"/>
    <w:rsid w:val="00D74F7E"/>
    <w:rsid w:val="00D7695F"/>
    <w:rsid w:val="00D9039B"/>
    <w:rsid w:val="00D93582"/>
    <w:rsid w:val="00DA41A2"/>
    <w:rsid w:val="00DA43A1"/>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D3A26"/>
    <w:rsid w:val="00EF1FE1"/>
    <w:rsid w:val="00EF70BB"/>
    <w:rsid w:val="00F02FA9"/>
    <w:rsid w:val="00F06660"/>
    <w:rsid w:val="00F07AE1"/>
    <w:rsid w:val="00F116EB"/>
    <w:rsid w:val="00F1794E"/>
    <w:rsid w:val="00F211AF"/>
    <w:rsid w:val="00F25EC3"/>
    <w:rsid w:val="00F32ADB"/>
    <w:rsid w:val="00F32C98"/>
    <w:rsid w:val="00F37E12"/>
    <w:rsid w:val="00F424BD"/>
    <w:rsid w:val="00F4527A"/>
    <w:rsid w:val="00F45D41"/>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D02A2"/>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D5027C3"/>
  <w15:docId w15:val="{75AC17AD-1564-4E97-A889-4972470C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DD853-6C80-497A-A7B6-E059B1ECA315}"/>
</file>

<file path=customXml/itemProps2.xml><?xml version="1.0" encoding="utf-8"?>
<ds:datastoreItem xmlns:ds="http://schemas.openxmlformats.org/officeDocument/2006/customXml" ds:itemID="{DF296652-CAB2-4D7E-B0B8-90B67A052CD8}"/>
</file>

<file path=docProps/app.xml><?xml version="1.0" encoding="utf-8"?>
<Properties xmlns="http://schemas.openxmlformats.org/officeDocument/2006/extended-properties" xmlns:vt="http://schemas.openxmlformats.org/officeDocument/2006/docPropsVTypes">
  <Template>E_ECE_324.dotm</Template>
  <TotalTime>0</TotalTime>
  <Pages>2</Pages>
  <Words>364</Words>
  <Characters>2368</Characters>
  <Application>Microsoft Office Word</Application>
  <DocSecurity>0</DocSecurity>
  <Lines>236</Lines>
  <Paragraphs>160</Paragraphs>
  <ScaleCrop>false</ScaleCrop>
  <HeadingPairs>
    <vt:vector size="2" baseType="variant">
      <vt:variant>
        <vt:lpstr>Titre</vt:lpstr>
      </vt:variant>
      <vt:variant>
        <vt:i4>1</vt:i4>
      </vt:variant>
    </vt:vector>
  </HeadingPairs>
  <TitlesOfParts>
    <vt:vector size="1" baseType="lpstr">
      <vt:lpstr>E/ECE/324/Rev.2/Add.12H/Rev.4/Amend.3</vt:lpstr>
    </vt:vector>
  </TitlesOfParts>
  <Company>CSD</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E/ECE/324/Rev.2/Add.12H/Rev.4/Amend.3</dc:title>
  <dc:creator>Nathalie VITTOZ</dc:creator>
  <cp:keywords>E/ECE/TRANS/505/Rev.2/Add.12H/Rev.4/Amend.3</cp:keywords>
  <cp:lastModifiedBy>Nathalie Vittoz</cp:lastModifiedBy>
  <cp:revision>2</cp:revision>
  <cp:lastPrinted>2008-11-04T15:54:00Z</cp:lastPrinted>
  <dcterms:created xsi:type="dcterms:W3CDTF">2022-03-21T10:02:00Z</dcterms:created>
  <dcterms:modified xsi:type="dcterms:W3CDTF">2022-03-21T10:02:00Z</dcterms:modified>
</cp:coreProperties>
</file>