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ECF0BE" w14:textId="77777777" w:rsidTr="00C97039">
        <w:trPr>
          <w:trHeight w:hRule="exact" w:val="851"/>
        </w:trPr>
        <w:tc>
          <w:tcPr>
            <w:tcW w:w="1276" w:type="dxa"/>
            <w:tcBorders>
              <w:bottom w:val="single" w:sz="4" w:space="0" w:color="auto"/>
            </w:tcBorders>
          </w:tcPr>
          <w:p w14:paraId="19BC037B" w14:textId="77777777" w:rsidR="00F35BAF" w:rsidRPr="00DB58B5" w:rsidRDefault="00F35BAF" w:rsidP="00036028"/>
        </w:tc>
        <w:tc>
          <w:tcPr>
            <w:tcW w:w="2268" w:type="dxa"/>
            <w:tcBorders>
              <w:bottom w:val="single" w:sz="4" w:space="0" w:color="auto"/>
            </w:tcBorders>
            <w:vAlign w:val="bottom"/>
          </w:tcPr>
          <w:p w14:paraId="5CDE396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4C4B2D" w14:textId="48AFE8EE" w:rsidR="00F35BAF" w:rsidRPr="00DB58B5" w:rsidRDefault="00036028" w:rsidP="00036028">
            <w:pPr>
              <w:jc w:val="right"/>
            </w:pPr>
            <w:r w:rsidRPr="00036028">
              <w:rPr>
                <w:sz w:val="40"/>
              </w:rPr>
              <w:t>ECE</w:t>
            </w:r>
            <w:r>
              <w:t>/TRANS/WP.29/GRBP/2022/17</w:t>
            </w:r>
          </w:p>
        </w:tc>
      </w:tr>
      <w:tr w:rsidR="00F35BAF" w:rsidRPr="00DB58B5" w14:paraId="1B832DB8" w14:textId="77777777" w:rsidTr="00C97039">
        <w:trPr>
          <w:trHeight w:hRule="exact" w:val="2835"/>
        </w:trPr>
        <w:tc>
          <w:tcPr>
            <w:tcW w:w="1276" w:type="dxa"/>
            <w:tcBorders>
              <w:top w:val="single" w:sz="4" w:space="0" w:color="auto"/>
              <w:bottom w:val="single" w:sz="12" w:space="0" w:color="auto"/>
            </w:tcBorders>
          </w:tcPr>
          <w:p w14:paraId="55DC5202" w14:textId="77777777" w:rsidR="00F35BAF" w:rsidRPr="00DB58B5" w:rsidRDefault="00F35BAF" w:rsidP="00C97039">
            <w:pPr>
              <w:spacing w:before="120"/>
              <w:jc w:val="center"/>
            </w:pPr>
            <w:r>
              <w:rPr>
                <w:noProof/>
                <w:lang w:eastAsia="fr-CH"/>
              </w:rPr>
              <w:drawing>
                <wp:inline distT="0" distB="0" distL="0" distR="0" wp14:anchorId="1238D9AE" wp14:editId="2A03AB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42FE4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14EE1E" w14:textId="77777777" w:rsidR="00F35BAF" w:rsidRDefault="00036028" w:rsidP="00C97039">
            <w:pPr>
              <w:spacing w:before="240"/>
            </w:pPr>
            <w:proofErr w:type="spellStart"/>
            <w:r>
              <w:t>Distr</w:t>
            </w:r>
            <w:proofErr w:type="spellEnd"/>
            <w:r>
              <w:t>. générale</w:t>
            </w:r>
          </w:p>
          <w:p w14:paraId="52142E0E" w14:textId="350C4990" w:rsidR="00036028" w:rsidRDefault="00036028" w:rsidP="00036028">
            <w:pPr>
              <w:spacing w:line="240" w:lineRule="exact"/>
            </w:pPr>
            <w:r>
              <w:t>16 juin 2022</w:t>
            </w:r>
          </w:p>
          <w:p w14:paraId="61AB89DA" w14:textId="77777777" w:rsidR="00036028" w:rsidRDefault="00036028" w:rsidP="00036028">
            <w:pPr>
              <w:spacing w:line="240" w:lineRule="exact"/>
            </w:pPr>
            <w:r>
              <w:t>Français</w:t>
            </w:r>
          </w:p>
          <w:p w14:paraId="2521C4AF" w14:textId="4C5BF110" w:rsidR="00036028" w:rsidRPr="00DB58B5" w:rsidRDefault="00036028" w:rsidP="00036028">
            <w:pPr>
              <w:spacing w:line="240" w:lineRule="exact"/>
            </w:pPr>
            <w:r>
              <w:t>Original : anglais</w:t>
            </w:r>
          </w:p>
        </w:tc>
      </w:tr>
    </w:tbl>
    <w:p w14:paraId="127D99EE" w14:textId="77777777" w:rsidR="007F20FA" w:rsidRPr="000312C0" w:rsidRDefault="007F20FA" w:rsidP="007F20FA">
      <w:pPr>
        <w:spacing w:before="120"/>
        <w:rPr>
          <w:b/>
          <w:sz w:val="28"/>
          <w:szCs w:val="28"/>
        </w:rPr>
      </w:pPr>
      <w:r w:rsidRPr="000312C0">
        <w:rPr>
          <w:b/>
          <w:sz w:val="28"/>
          <w:szCs w:val="28"/>
        </w:rPr>
        <w:t>Commission économique pour l’Europe</w:t>
      </w:r>
    </w:p>
    <w:p w14:paraId="7786E7C5" w14:textId="77777777" w:rsidR="007F20FA" w:rsidRDefault="007F20FA" w:rsidP="007F20FA">
      <w:pPr>
        <w:spacing w:before="120"/>
        <w:rPr>
          <w:sz w:val="28"/>
          <w:szCs w:val="28"/>
        </w:rPr>
      </w:pPr>
      <w:r w:rsidRPr="00685843">
        <w:rPr>
          <w:sz w:val="28"/>
          <w:szCs w:val="28"/>
        </w:rPr>
        <w:t>Comité des transports intérieurs</w:t>
      </w:r>
    </w:p>
    <w:p w14:paraId="31122572" w14:textId="268DBC1E" w:rsidR="001C58CC" w:rsidRPr="001C58CC" w:rsidRDefault="001C58CC" w:rsidP="001C58CC">
      <w:pPr>
        <w:spacing w:before="120"/>
        <w:rPr>
          <w:b/>
          <w:sz w:val="24"/>
          <w:szCs w:val="24"/>
          <w:lang w:val="fr-FR"/>
        </w:rPr>
      </w:pPr>
      <w:r w:rsidRPr="001C58CC">
        <w:rPr>
          <w:b/>
          <w:bCs/>
          <w:sz w:val="24"/>
          <w:szCs w:val="24"/>
          <w:lang w:val="fr-FR"/>
        </w:rPr>
        <w:t xml:space="preserve">Forum mondial de l’harmonisation </w:t>
      </w:r>
      <w:r>
        <w:rPr>
          <w:b/>
          <w:bCs/>
          <w:sz w:val="24"/>
          <w:szCs w:val="24"/>
          <w:lang w:val="fr-FR"/>
        </w:rPr>
        <w:br/>
      </w:r>
      <w:r w:rsidRPr="001C58CC">
        <w:rPr>
          <w:b/>
          <w:bCs/>
          <w:sz w:val="24"/>
          <w:szCs w:val="24"/>
          <w:lang w:val="fr-FR"/>
        </w:rPr>
        <w:t>des Règlements concernant les véhicules</w:t>
      </w:r>
    </w:p>
    <w:p w14:paraId="20335E62" w14:textId="77777777" w:rsidR="001C58CC" w:rsidRPr="00EC3983" w:rsidRDefault="001C58CC" w:rsidP="001C58CC">
      <w:pPr>
        <w:spacing w:before="120" w:after="120"/>
        <w:rPr>
          <w:b/>
          <w:bCs/>
          <w:lang w:val="fr-FR"/>
        </w:rPr>
      </w:pPr>
      <w:r w:rsidRPr="00EC3983">
        <w:rPr>
          <w:b/>
          <w:bCs/>
          <w:lang w:val="fr-FR"/>
        </w:rPr>
        <w:t>Groupe de travail du bruit et des pneumatiques</w:t>
      </w:r>
    </w:p>
    <w:p w14:paraId="6DB89284" w14:textId="77777777" w:rsidR="001C58CC" w:rsidRPr="00EC3983" w:rsidRDefault="001C58CC" w:rsidP="001C58CC">
      <w:pPr>
        <w:rPr>
          <w:b/>
          <w:lang w:val="fr-FR"/>
        </w:rPr>
      </w:pPr>
      <w:r w:rsidRPr="00EC3983">
        <w:rPr>
          <w:b/>
          <w:bCs/>
          <w:lang w:val="fr-FR"/>
        </w:rPr>
        <w:t>Soixante-seizième session</w:t>
      </w:r>
      <w:r w:rsidRPr="00EC3983">
        <w:rPr>
          <w:lang w:val="fr-FR"/>
        </w:rPr>
        <w:t xml:space="preserve"> </w:t>
      </w:r>
    </w:p>
    <w:p w14:paraId="5CD9C5A4" w14:textId="77777777" w:rsidR="001C58CC" w:rsidRPr="00EC3983" w:rsidRDefault="001C58CC" w:rsidP="001C58CC">
      <w:pPr>
        <w:rPr>
          <w:bCs/>
          <w:lang w:val="fr-FR"/>
        </w:rPr>
      </w:pPr>
      <w:r w:rsidRPr="00EC3983">
        <w:rPr>
          <w:lang w:val="fr-FR"/>
        </w:rPr>
        <w:t>Genève, 5-7 septembre 2022</w:t>
      </w:r>
    </w:p>
    <w:p w14:paraId="29800FCD" w14:textId="77777777" w:rsidR="001C58CC" w:rsidRPr="00EC3983" w:rsidRDefault="001C58CC" w:rsidP="001C58CC">
      <w:pPr>
        <w:rPr>
          <w:bCs/>
          <w:lang w:val="fr-FR"/>
        </w:rPr>
      </w:pPr>
      <w:r w:rsidRPr="00EC3983">
        <w:rPr>
          <w:lang w:val="fr-FR"/>
        </w:rPr>
        <w:t>Point 4 c) de l</w:t>
      </w:r>
      <w:r>
        <w:rPr>
          <w:lang w:val="fr-FR"/>
        </w:rPr>
        <w:t>’</w:t>
      </w:r>
      <w:r w:rsidRPr="00EC3983">
        <w:rPr>
          <w:lang w:val="fr-FR"/>
        </w:rPr>
        <w:t>ordre du jour provisoire</w:t>
      </w:r>
    </w:p>
    <w:p w14:paraId="30EB028A" w14:textId="77416EDC" w:rsidR="001C58CC" w:rsidRPr="00EC3983" w:rsidRDefault="001C58CC" w:rsidP="001C58CC">
      <w:pPr>
        <w:rPr>
          <w:b/>
          <w:bCs/>
          <w:lang w:val="fr-FR"/>
        </w:rPr>
      </w:pPr>
      <w:r w:rsidRPr="00EC3983">
        <w:rPr>
          <w:b/>
          <w:bCs/>
          <w:lang w:val="fr-FR"/>
        </w:rPr>
        <w:t xml:space="preserve">Pneumatiques : Règlement ONU </w:t>
      </w:r>
      <w:r w:rsidRPr="001C58CC">
        <w:rPr>
          <w:rFonts w:eastAsia="MS Mincho"/>
          <w:b/>
          <w:bCs/>
          <w:lang w:val="fr-FR"/>
        </w:rPr>
        <w:t>n</w:t>
      </w:r>
      <w:r w:rsidRPr="001C58CC">
        <w:rPr>
          <w:rFonts w:eastAsia="MS Mincho"/>
          <w:b/>
          <w:bCs/>
          <w:vertAlign w:val="superscript"/>
          <w:lang w:val="fr-FR"/>
        </w:rPr>
        <w:t>o</w:t>
      </w:r>
      <w:r>
        <w:rPr>
          <w:b/>
          <w:bCs/>
          <w:lang w:val="fr-FR"/>
        </w:rPr>
        <w:t> </w:t>
      </w:r>
      <w:r w:rsidRPr="00EC3983">
        <w:rPr>
          <w:b/>
          <w:bCs/>
          <w:lang w:val="fr-FR"/>
        </w:rPr>
        <w:t xml:space="preserve">117 (Pneumatiques − Résistance </w:t>
      </w:r>
      <w:r>
        <w:rPr>
          <w:b/>
          <w:bCs/>
          <w:lang w:val="fr-FR"/>
        </w:rPr>
        <w:br/>
      </w:r>
      <w:r w:rsidRPr="00EC3983">
        <w:rPr>
          <w:b/>
          <w:bCs/>
          <w:lang w:val="fr-FR"/>
        </w:rPr>
        <w:t>au roulement, bruit de roulement et adhérence sur sol mouillé)</w:t>
      </w:r>
    </w:p>
    <w:p w14:paraId="42CD4485" w14:textId="77E2DF6F" w:rsidR="001C58CC" w:rsidRPr="00EC3983" w:rsidRDefault="001C58CC" w:rsidP="001C58CC">
      <w:pPr>
        <w:pStyle w:val="HChG"/>
        <w:rPr>
          <w:lang w:val="fr-FR"/>
        </w:rPr>
      </w:pPr>
      <w:r w:rsidRPr="00EC3983">
        <w:rPr>
          <w:lang w:val="fr-FR"/>
        </w:rPr>
        <w:tab/>
      </w:r>
      <w:r w:rsidRPr="00EC3983">
        <w:rPr>
          <w:lang w:val="fr-FR"/>
        </w:rPr>
        <w:tab/>
        <w:t>Proposition de série 04 d</w:t>
      </w:r>
      <w:r>
        <w:rPr>
          <w:lang w:val="fr-FR"/>
        </w:rPr>
        <w:t>’</w:t>
      </w:r>
      <w:r w:rsidRPr="00EC3983">
        <w:rPr>
          <w:lang w:val="fr-FR"/>
        </w:rPr>
        <w:t>amendements au Règlement ONU</w:t>
      </w:r>
      <w:r>
        <w:rPr>
          <w:lang w:val="fr-FR"/>
        </w:rPr>
        <w:t> </w:t>
      </w:r>
      <w:r w:rsidRPr="001C58CC">
        <w:rPr>
          <w:rFonts w:eastAsia="MS Mincho"/>
          <w:lang w:val="fr-FR"/>
        </w:rPr>
        <w:t>n</w:t>
      </w:r>
      <w:r w:rsidRPr="001C58CC">
        <w:rPr>
          <w:rFonts w:eastAsia="MS Mincho"/>
          <w:vertAlign w:val="superscript"/>
          <w:lang w:val="fr-FR"/>
        </w:rPr>
        <w:t>o</w:t>
      </w:r>
      <w:r>
        <w:rPr>
          <w:lang w:val="fr-FR"/>
        </w:rPr>
        <w:t> </w:t>
      </w:r>
      <w:r w:rsidRPr="00EC3983">
        <w:rPr>
          <w:lang w:val="fr-FR"/>
        </w:rPr>
        <w:t>117</w:t>
      </w:r>
    </w:p>
    <w:p w14:paraId="57CA7ABB" w14:textId="5961F87C" w:rsidR="001C58CC" w:rsidRPr="00EC3983" w:rsidRDefault="001C58CC" w:rsidP="001C58CC">
      <w:pPr>
        <w:pStyle w:val="H1G"/>
        <w:rPr>
          <w:lang w:val="fr-FR"/>
        </w:rPr>
      </w:pPr>
      <w:r w:rsidRPr="00EC3983">
        <w:rPr>
          <w:lang w:val="fr-FR"/>
        </w:rPr>
        <w:tab/>
      </w:r>
      <w:r w:rsidRPr="00EC3983">
        <w:rPr>
          <w:lang w:val="fr-FR"/>
        </w:rPr>
        <w:tab/>
        <w:t>Communication des experts de l</w:t>
      </w:r>
      <w:r>
        <w:rPr>
          <w:lang w:val="fr-FR"/>
        </w:rPr>
        <w:t>’</w:t>
      </w:r>
      <w:r w:rsidRPr="00EC3983">
        <w:rPr>
          <w:lang w:val="fr-FR"/>
        </w:rPr>
        <w:t xml:space="preserve">Organisation technique européenne </w:t>
      </w:r>
      <w:r>
        <w:rPr>
          <w:lang w:val="fr-FR"/>
        </w:rPr>
        <w:br/>
      </w:r>
      <w:r w:rsidRPr="00EC3983">
        <w:rPr>
          <w:lang w:val="fr-FR"/>
        </w:rPr>
        <w:t>du pneumatique et de la jante</w:t>
      </w:r>
      <w:r w:rsidRPr="001C58CC">
        <w:rPr>
          <w:b w:val="0"/>
          <w:bCs/>
          <w:sz w:val="20"/>
          <w:lang w:val="fr-FR"/>
        </w:rPr>
        <w:footnoteReference w:customMarkFollows="1" w:id="2"/>
        <w:t>*</w:t>
      </w:r>
    </w:p>
    <w:p w14:paraId="5A36F0CA" w14:textId="48C61917" w:rsidR="00F9573C" w:rsidRDefault="001C58CC" w:rsidP="001C58CC">
      <w:pPr>
        <w:pStyle w:val="SingleTxtG"/>
        <w:rPr>
          <w:lang w:val="fr-FR"/>
        </w:rPr>
      </w:pPr>
      <w:r>
        <w:rPr>
          <w:lang w:val="fr-FR"/>
        </w:rPr>
        <w:tab/>
      </w:r>
      <w:r>
        <w:rPr>
          <w:lang w:val="fr-FR"/>
        </w:rPr>
        <w:tab/>
      </w:r>
      <w:r w:rsidRPr="00EC3983">
        <w:rPr>
          <w:lang w:val="fr-FR"/>
        </w:rPr>
        <w:t>Le texte ci-après a été établi par les experts de l</w:t>
      </w:r>
      <w:r>
        <w:rPr>
          <w:lang w:val="fr-FR"/>
        </w:rPr>
        <w:t>’</w:t>
      </w:r>
      <w:r w:rsidRPr="00EC3983">
        <w:rPr>
          <w:lang w:val="fr-FR"/>
        </w:rPr>
        <w:t>Organisation technique européenne du pneumatique et de la jante (ETRTO). Les modifications qu</w:t>
      </w:r>
      <w:r>
        <w:rPr>
          <w:lang w:val="fr-FR"/>
        </w:rPr>
        <w:t>’</w:t>
      </w:r>
      <w:r w:rsidRPr="00EC3983">
        <w:rPr>
          <w:lang w:val="fr-FR"/>
        </w:rPr>
        <w:t>il est proposé d</w:t>
      </w:r>
      <w:r>
        <w:rPr>
          <w:lang w:val="fr-FR"/>
        </w:rPr>
        <w:t>’</w:t>
      </w:r>
      <w:r w:rsidRPr="00EC3983">
        <w:rPr>
          <w:lang w:val="fr-FR"/>
        </w:rPr>
        <w:t>apporter au texte actuel du Règlement figurent en caractères gras pour les ajouts et biffés pour les suppressions.</w:t>
      </w:r>
      <w:r>
        <w:rPr>
          <w:lang w:val="fr-FR"/>
        </w:rPr>
        <w:t xml:space="preserve"> </w:t>
      </w:r>
    </w:p>
    <w:p w14:paraId="72BD683C" w14:textId="6754C0AD" w:rsidR="001C58CC" w:rsidRDefault="001C58CC">
      <w:pPr>
        <w:suppressAutoHyphens w:val="0"/>
        <w:kinsoku/>
        <w:overflowPunct/>
        <w:autoSpaceDE/>
        <w:autoSpaceDN/>
        <w:adjustRightInd/>
        <w:snapToGrid/>
        <w:spacing w:after="200" w:line="276" w:lineRule="auto"/>
        <w:rPr>
          <w:lang w:val="fr-FR"/>
        </w:rPr>
      </w:pPr>
      <w:r>
        <w:rPr>
          <w:lang w:val="fr-FR"/>
        </w:rPr>
        <w:br w:type="page"/>
      </w:r>
    </w:p>
    <w:p w14:paraId="5A3114C2" w14:textId="022552F6" w:rsidR="001C58CC" w:rsidRPr="001C58CC" w:rsidRDefault="001C58CC" w:rsidP="001C58CC">
      <w:pPr>
        <w:pStyle w:val="HChG"/>
      </w:pPr>
      <w:r>
        <w:rPr>
          <w:lang w:val="fr-FR"/>
        </w:rPr>
        <w:lastRenderedPageBreak/>
        <w:tab/>
      </w:r>
      <w:r w:rsidRPr="00EC3983">
        <w:rPr>
          <w:lang w:val="fr-FR"/>
        </w:rPr>
        <w:t>I.</w:t>
      </w:r>
      <w:r w:rsidRPr="00EC3983">
        <w:rPr>
          <w:lang w:val="fr-FR"/>
        </w:rPr>
        <w:tab/>
        <w:t>Proposition</w:t>
      </w:r>
    </w:p>
    <w:p w14:paraId="27F63410" w14:textId="77777777" w:rsidR="001C58CC" w:rsidRPr="00EC3983" w:rsidRDefault="001C58CC" w:rsidP="001C58CC">
      <w:pPr>
        <w:spacing w:after="120"/>
        <w:ind w:left="1134" w:right="1134"/>
        <w:jc w:val="both"/>
        <w:rPr>
          <w:i/>
          <w:lang w:val="fr-FR"/>
        </w:rPr>
      </w:pPr>
      <w:bookmarkStart w:id="0" w:name="_Hlk75337670"/>
      <w:r w:rsidRPr="00EC3983">
        <w:rPr>
          <w:i/>
          <w:iCs/>
          <w:lang w:val="fr-FR"/>
        </w:rPr>
        <w:t>Paragraphe 6.6</w:t>
      </w:r>
      <w:r w:rsidRPr="00EC3983">
        <w:rPr>
          <w:lang w:val="fr-FR"/>
        </w:rPr>
        <w:t>, lire :</w:t>
      </w:r>
    </w:p>
    <w:p w14:paraId="2B381EA2" w14:textId="77777777" w:rsidR="001C58CC" w:rsidRPr="00DB650F" w:rsidRDefault="001C58CC" w:rsidP="001C58CC">
      <w:pPr>
        <w:keepNext/>
        <w:keepLines/>
        <w:spacing w:before="120" w:after="120"/>
        <w:ind w:left="2268" w:right="1134" w:hanging="1134"/>
        <w:jc w:val="both"/>
        <w:rPr>
          <w:bCs/>
          <w:color w:val="000000" w:themeColor="text1"/>
          <w:lang w:val="fr-FR"/>
        </w:rPr>
      </w:pPr>
      <w:bookmarkStart w:id="1" w:name="_Hlk101882867"/>
      <w:bookmarkEnd w:id="0"/>
      <w:r w:rsidRPr="00EC3983">
        <w:rPr>
          <w:lang w:val="fr-FR"/>
        </w:rPr>
        <w:t>« </w:t>
      </w:r>
      <w:r w:rsidRPr="00DB650F">
        <w:rPr>
          <w:lang w:val="fr-FR"/>
        </w:rPr>
        <w:t>6.6</w:t>
      </w:r>
      <w:r w:rsidRPr="00DB650F">
        <w:rPr>
          <w:lang w:val="fr-FR"/>
        </w:rPr>
        <w:tab/>
      </w:r>
      <w:r w:rsidRPr="00DB650F">
        <w:rPr>
          <w:strike/>
          <w:lang w:val="fr-FR"/>
        </w:rPr>
        <w:t>Pour être classé dans la catégorie “pneumatique traction”, un pneumatique doit satisfaire aux conditions du paragraphe 6.6.1 ci-dessous.</w:t>
      </w:r>
      <w:r w:rsidRPr="00DB650F">
        <w:rPr>
          <w:lang w:val="fr-FR"/>
        </w:rPr>
        <w:t xml:space="preserve"> </w:t>
      </w:r>
      <w:r w:rsidRPr="00DB650F">
        <w:rPr>
          <w:b/>
          <w:bCs/>
          <w:lang w:val="fr-FR"/>
        </w:rPr>
        <w:t>Un pneumatique peut être classé dans la catégorie “pneumatique traction” si le nombre total (</w:t>
      </w:r>
      <w:proofErr w:type="spellStart"/>
      <w:r w:rsidRPr="00DB650F">
        <w:rPr>
          <w:b/>
          <w:bCs/>
          <w:i/>
          <w:iCs/>
          <w:lang w:val="fr-FR"/>
        </w:rPr>
        <w:t>n</w:t>
      </w:r>
      <w:r w:rsidRPr="00DB650F">
        <w:rPr>
          <w:b/>
          <w:bCs/>
          <w:vertAlign w:val="subscript"/>
          <w:lang w:val="fr-FR"/>
        </w:rPr>
        <w:t>TE</w:t>
      </w:r>
      <w:proofErr w:type="spellEnd"/>
      <w:r w:rsidRPr="00DB650F">
        <w:rPr>
          <w:b/>
          <w:bCs/>
          <w:lang w:val="fr-FR"/>
        </w:rPr>
        <w:t>) d</w:t>
      </w:r>
      <w:r>
        <w:rPr>
          <w:b/>
          <w:bCs/>
          <w:lang w:val="fr-FR"/>
        </w:rPr>
        <w:t>’</w:t>
      </w:r>
      <w:r w:rsidRPr="00DB650F">
        <w:rPr>
          <w:b/>
          <w:bCs/>
          <w:lang w:val="fr-FR"/>
        </w:rPr>
        <w:t>éléments de traction de ses sculptures est égal ou supérieur à un seuil qui est calculé sur la base du potentiel de déformation (</w:t>
      </w:r>
      <w:proofErr w:type="spellStart"/>
      <w:r w:rsidRPr="00DB650F">
        <w:rPr>
          <w:b/>
          <w:bCs/>
          <w:i/>
          <w:iCs/>
          <w:lang w:val="fr-FR"/>
        </w:rPr>
        <w:t>P</w:t>
      </w:r>
      <w:r w:rsidRPr="00DB650F">
        <w:rPr>
          <w:b/>
          <w:bCs/>
          <w:vertAlign w:val="subscript"/>
          <w:lang w:val="fr-FR"/>
        </w:rPr>
        <w:t>def</w:t>
      </w:r>
      <w:proofErr w:type="spellEnd"/>
      <w:r w:rsidRPr="00DB650F">
        <w:rPr>
          <w:b/>
          <w:bCs/>
          <w:lang w:val="fr-FR"/>
        </w:rPr>
        <w:t>) des sculptures conformément au paragraphe 6.6.3.</w:t>
      </w:r>
      <w:bookmarkStart w:id="2" w:name="_Hlk101883200"/>
      <w:bookmarkEnd w:id="1"/>
    </w:p>
    <w:p w14:paraId="50C99A68" w14:textId="77777777" w:rsidR="001C58CC" w:rsidRDefault="001C58CC" w:rsidP="001C58CC">
      <w:pPr>
        <w:ind w:left="2268" w:right="1134" w:hanging="1134"/>
        <w:jc w:val="both"/>
        <w:rPr>
          <w:lang w:val="fr-FR"/>
        </w:rPr>
      </w:pPr>
      <w:r w:rsidRPr="00DB650F">
        <w:rPr>
          <w:lang w:val="fr-FR"/>
        </w:rPr>
        <w:t>6.6.1</w:t>
      </w:r>
      <w:r w:rsidRPr="00DB650F">
        <w:rPr>
          <w:lang w:val="fr-FR"/>
        </w:rPr>
        <w:tab/>
      </w:r>
      <w:r w:rsidRPr="00DB650F">
        <w:rPr>
          <w:strike/>
          <w:lang w:val="fr-FR"/>
        </w:rPr>
        <w:t>Sur toute sa circonférence, le pneumatique doit comporter au minimum deux nervures, chacune comprenant un minimum de 30 blocs séparés par des rainures ou des lamelles dont la profondeur minimale doit correspondre à la moitié de la profondeur des sculptures.</w:t>
      </w:r>
      <w:r w:rsidRPr="00DB650F">
        <w:rPr>
          <w:lang w:val="fr-FR"/>
        </w:rPr>
        <w:t xml:space="preserve"> </w:t>
      </w:r>
      <w:r w:rsidRPr="00DB650F">
        <w:rPr>
          <w:strike/>
          <w:lang w:val="fr-FR"/>
        </w:rPr>
        <w:t>L</w:t>
      </w:r>
      <w:r>
        <w:rPr>
          <w:strike/>
          <w:lang w:val="fr-FR"/>
        </w:rPr>
        <w:t>’</w:t>
      </w:r>
      <w:r w:rsidRPr="00DB650F">
        <w:rPr>
          <w:strike/>
          <w:lang w:val="fr-FR"/>
        </w:rPr>
        <w:t>option consistant à soumettre le pneumatique à un essai physique ne sera proposée qu</w:t>
      </w:r>
      <w:r>
        <w:rPr>
          <w:strike/>
          <w:lang w:val="fr-FR"/>
        </w:rPr>
        <w:t>’</w:t>
      </w:r>
      <w:r w:rsidRPr="00DB650F">
        <w:rPr>
          <w:strike/>
          <w:lang w:val="fr-FR"/>
        </w:rPr>
        <w:t>à un stade ultérieur, à la suite d</w:t>
      </w:r>
      <w:r>
        <w:rPr>
          <w:strike/>
          <w:lang w:val="fr-FR"/>
        </w:rPr>
        <w:t>’</w:t>
      </w:r>
      <w:r w:rsidRPr="00DB650F">
        <w:rPr>
          <w:strike/>
          <w:lang w:val="fr-FR"/>
        </w:rPr>
        <w:t>un nouvel amendement au Règlement dans lequel il sera fait référence aux méthodes d</w:t>
      </w:r>
      <w:r>
        <w:rPr>
          <w:strike/>
          <w:lang w:val="fr-FR"/>
        </w:rPr>
        <w:t>’</w:t>
      </w:r>
      <w:r w:rsidRPr="00DB650F">
        <w:rPr>
          <w:strike/>
          <w:lang w:val="fr-FR"/>
        </w:rPr>
        <w:t>essai appropriées et à des valeurs limites.</w:t>
      </w:r>
      <w:r w:rsidRPr="00DB650F">
        <w:rPr>
          <w:lang w:val="fr-FR"/>
        </w:rPr>
        <w:t xml:space="preserve"> </w:t>
      </w:r>
    </w:p>
    <w:p w14:paraId="22FBF802" w14:textId="1C42FBFB" w:rsidR="001C58CC" w:rsidRPr="001C58CC" w:rsidRDefault="001C58CC" w:rsidP="001C58CC">
      <w:pPr>
        <w:spacing w:after="120"/>
        <w:ind w:left="2268" w:right="1134"/>
        <w:jc w:val="both"/>
        <w:rPr>
          <w:lang w:val="fr-FR"/>
        </w:rPr>
      </w:pPr>
      <w:r w:rsidRPr="00DB650F">
        <w:rPr>
          <w:b/>
          <w:bCs/>
          <w:lang w:val="fr-FR"/>
        </w:rPr>
        <w:t>Calcul du potentiel de déformation des sculptures</w:t>
      </w:r>
    </w:p>
    <w:p w14:paraId="37661F52" w14:textId="2D734C03" w:rsidR="001C58CC" w:rsidRPr="00DB650F" w:rsidRDefault="001C58CC" w:rsidP="001C58CC">
      <w:pPr>
        <w:spacing w:after="120"/>
        <w:ind w:left="2268" w:right="1134"/>
        <w:jc w:val="both"/>
        <w:rPr>
          <w:b/>
          <w:bCs/>
          <w:color w:val="000000" w:themeColor="text1"/>
          <w:lang w:val="fr-FR"/>
        </w:rPr>
      </w:pPr>
      <w:r w:rsidRPr="00DB650F">
        <w:rPr>
          <w:b/>
          <w:bCs/>
          <w:lang w:val="fr-FR"/>
        </w:rPr>
        <w:t xml:space="preserve">Le </w:t>
      </w:r>
      <w:r w:rsidRPr="001C58CC">
        <w:rPr>
          <w:b/>
          <w:bCs/>
        </w:rPr>
        <w:t>“</w:t>
      </w:r>
      <w:r w:rsidRPr="00DB650F">
        <w:rPr>
          <w:b/>
          <w:bCs/>
          <w:lang w:val="fr-FR"/>
        </w:rPr>
        <w:t>potentiel de déformation</w:t>
      </w:r>
      <w:r w:rsidRPr="001C58CC">
        <w:rPr>
          <w:b/>
          <w:bCs/>
        </w:rPr>
        <w:t>”</w:t>
      </w:r>
      <w:r w:rsidRPr="00DB650F">
        <w:rPr>
          <w:b/>
          <w:bCs/>
          <w:lang w:val="fr-FR"/>
        </w:rPr>
        <w:t xml:space="preserve"> (</w:t>
      </w:r>
      <w:proofErr w:type="spellStart"/>
      <w:r w:rsidRPr="00DB650F">
        <w:rPr>
          <w:b/>
          <w:bCs/>
          <w:i/>
          <w:iCs/>
          <w:lang w:val="fr-FR"/>
        </w:rPr>
        <w:t>P</w:t>
      </w:r>
      <w:r w:rsidRPr="00DB650F">
        <w:rPr>
          <w:b/>
          <w:bCs/>
          <w:vertAlign w:val="subscript"/>
          <w:lang w:val="fr-FR"/>
        </w:rPr>
        <w:t>def</w:t>
      </w:r>
      <w:proofErr w:type="spellEnd"/>
      <w:r w:rsidRPr="00DB650F">
        <w:rPr>
          <w:b/>
          <w:bCs/>
          <w:lang w:val="fr-FR"/>
        </w:rPr>
        <w:t>) est calculé comme suit :</w:t>
      </w:r>
    </w:p>
    <w:p w14:paraId="63CC6846" w14:textId="6622E1C2" w:rsidR="001C58CC" w:rsidRPr="00267444" w:rsidRDefault="001C58CC" w:rsidP="001C58CC">
      <w:pPr>
        <w:spacing w:after="120"/>
        <w:ind w:left="2268" w:right="1134" w:hanging="1134"/>
        <w:jc w:val="both"/>
        <w:rPr>
          <w:b/>
          <w:bCs/>
          <w:color w:val="000000" w:themeColor="text1"/>
          <w:lang w:val="en-US"/>
        </w:rPr>
      </w:pPr>
      <m:oMathPara>
        <m:oMath>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P</m:t>
              </m:r>
            </m:e>
            <m:sub>
              <m:r>
                <m:rPr>
                  <m:nor/>
                </m:rPr>
                <w:rPr>
                  <w:rFonts w:ascii="Cambria Math" w:hAnsi="Cambria Math"/>
                  <w:b/>
                  <w:color w:val="000000" w:themeColor="text1"/>
                  <w:lang w:val="en-US"/>
                </w:rPr>
                <m:t>def</m:t>
              </m:r>
            </m:sub>
          </m:sSub>
          <m:r>
            <m:rPr>
              <m:sty m:val="bi"/>
            </m:rPr>
            <w:rPr>
              <w:rFonts w:ascii="Cambria Math" w:hAnsi="Cambria Math"/>
              <w:color w:val="000000" w:themeColor="text1"/>
              <w:lang w:val="en-US"/>
            </w:rPr>
            <m:t>=</m:t>
          </m:r>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R</m:t>
              </m:r>
            </m:e>
            <m:sub>
              <m:r>
                <m:rPr>
                  <m:nor/>
                </m:rPr>
                <w:rPr>
                  <w:rFonts w:ascii="Cambria Math" w:hAnsi="Cambria Math"/>
                  <w:b/>
                  <w:color w:val="000000" w:themeColor="text1"/>
                  <w:lang w:val="en-US"/>
                </w:rPr>
                <m:t>void</m:t>
              </m:r>
            </m:sub>
          </m:sSub>
          <m:r>
            <m:rPr>
              <m:sty m:val="bi"/>
            </m:rPr>
            <w:rPr>
              <w:rFonts w:ascii="Cambria Math" w:hAnsi="Cambria Math"/>
              <w:color w:val="000000" w:themeColor="text1"/>
              <w:lang w:val="en-US"/>
            </w:rPr>
            <m:t>∙</m:t>
          </m:r>
          <m:sSup>
            <m:sSupPr>
              <m:ctrlPr>
                <w:rPr>
                  <w:rFonts w:ascii="Cambria Math" w:hAnsi="Cambria Math"/>
                  <w:b/>
                  <w:i/>
                  <w:color w:val="000000" w:themeColor="text1"/>
                  <w:lang w:val="fr-FR"/>
                </w:rPr>
              </m:ctrlPr>
            </m:sSupPr>
            <m:e>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d</m:t>
                  </m:r>
                </m:e>
                <m:sub>
                  <m:r>
                    <m:rPr>
                      <m:nor/>
                    </m:rPr>
                    <w:rPr>
                      <w:rFonts w:ascii="Cambria Math" w:hAnsi="Cambria Math"/>
                      <w:b/>
                      <w:color w:val="000000" w:themeColor="text1"/>
                      <w:lang w:val="en-US"/>
                    </w:rPr>
                    <m:t>tr</m:t>
                  </m:r>
                </m:sub>
              </m:sSub>
            </m:e>
            <m:sup>
              <m:r>
                <m:rPr>
                  <m:sty m:val="bi"/>
                </m:rPr>
                <w:rPr>
                  <w:rFonts w:ascii="Cambria Math" w:hAnsi="Cambria Math"/>
                  <w:color w:val="000000" w:themeColor="text1"/>
                  <w:lang w:val="fr-FR"/>
                </w:rPr>
                <m:t>3</m:t>
              </m:r>
            </m:sup>
          </m:sSup>
        </m:oMath>
      </m:oMathPara>
    </w:p>
    <w:p w14:paraId="33C93D51" w14:textId="77777777" w:rsidR="001C58CC" w:rsidRPr="00DB650F" w:rsidRDefault="001C58CC" w:rsidP="001C58CC">
      <w:pPr>
        <w:spacing w:after="120"/>
        <w:ind w:left="2268" w:right="1134"/>
        <w:jc w:val="both"/>
        <w:rPr>
          <w:b/>
          <w:bCs/>
          <w:color w:val="000000" w:themeColor="text1"/>
          <w:lang w:val="fr-FR"/>
        </w:rPr>
      </w:pPr>
      <w:r>
        <w:rPr>
          <w:b/>
          <w:bCs/>
          <w:lang w:val="fr-FR"/>
        </w:rPr>
        <w:t>o</w:t>
      </w:r>
      <w:r w:rsidRPr="00DB650F">
        <w:rPr>
          <w:b/>
          <w:bCs/>
          <w:lang w:val="fr-FR"/>
        </w:rPr>
        <w:t>ù :</w:t>
      </w:r>
    </w:p>
    <w:p w14:paraId="4A4217E1" w14:textId="77777777" w:rsidR="001C58CC" w:rsidRPr="00DB650F" w:rsidRDefault="001C58CC" w:rsidP="001C58CC">
      <w:pPr>
        <w:spacing w:after="120"/>
        <w:ind w:left="2268" w:right="1134"/>
        <w:jc w:val="both"/>
        <w:rPr>
          <w:b/>
          <w:bCs/>
          <w:color w:val="000000" w:themeColor="text1"/>
          <w:lang w:val="fr-FR"/>
        </w:rPr>
      </w:pPr>
      <w:proofErr w:type="spellStart"/>
      <w:r w:rsidRPr="00272F14">
        <w:rPr>
          <w:b/>
          <w:bCs/>
          <w:i/>
          <w:iCs/>
          <w:lang w:val="fr-FR"/>
        </w:rPr>
        <w:t>R</w:t>
      </w:r>
      <w:r w:rsidRPr="00DB650F">
        <w:rPr>
          <w:b/>
          <w:bCs/>
          <w:vertAlign w:val="subscript"/>
          <w:lang w:val="fr-FR"/>
        </w:rPr>
        <w:t>void</w:t>
      </w:r>
      <w:proofErr w:type="spellEnd"/>
      <w:r w:rsidRPr="00DB650F">
        <w:rPr>
          <w:b/>
          <w:bCs/>
          <w:lang w:val="fr-FR"/>
        </w:rPr>
        <w:t xml:space="preserve"> est une valeur sans dimension comprise entre 0 et 1</w:t>
      </w:r>
      <w:r>
        <w:rPr>
          <w:b/>
          <w:bCs/>
          <w:lang w:val="fr-FR"/>
        </w:rPr>
        <w:t>,</w:t>
      </w:r>
      <w:r w:rsidRPr="00DB650F">
        <w:rPr>
          <w:b/>
          <w:bCs/>
          <w:lang w:val="fr-FR"/>
        </w:rPr>
        <w:t xml:space="preserve"> qui représente le rapport rainures/parties pleines des sculptures selon la définition donnée au paragraphe 2.17 </w:t>
      </w:r>
      <w:r w:rsidRPr="00DB650F">
        <w:rPr>
          <w:lang w:val="fr-FR"/>
        </w:rPr>
        <w:t>;</w:t>
      </w:r>
    </w:p>
    <w:p w14:paraId="649AE934" w14:textId="77777777" w:rsidR="001C58CC" w:rsidRPr="00DB650F" w:rsidRDefault="001C58CC" w:rsidP="001C58CC">
      <w:pPr>
        <w:spacing w:after="120"/>
        <w:ind w:left="2268" w:right="1134"/>
        <w:jc w:val="both"/>
        <w:rPr>
          <w:b/>
          <w:bCs/>
          <w:color w:val="000000" w:themeColor="text1"/>
          <w:lang w:val="fr-FR"/>
        </w:rPr>
      </w:pPr>
      <w:proofErr w:type="spellStart"/>
      <w:r w:rsidRPr="00DB650F">
        <w:rPr>
          <w:b/>
          <w:bCs/>
          <w:i/>
          <w:iCs/>
          <w:lang w:val="fr-FR"/>
        </w:rPr>
        <w:t>d</w:t>
      </w:r>
      <w:r w:rsidRPr="00DB650F">
        <w:rPr>
          <w:b/>
          <w:bCs/>
          <w:vertAlign w:val="subscript"/>
          <w:lang w:val="fr-FR"/>
        </w:rPr>
        <w:t>tr</w:t>
      </w:r>
      <w:proofErr w:type="spellEnd"/>
      <w:r w:rsidRPr="00DB650F">
        <w:rPr>
          <w:b/>
          <w:bCs/>
          <w:vertAlign w:val="subscript"/>
          <w:lang w:val="fr-FR"/>
        </w:rPr>
        <w:t xml:space="preserve"> </w:t>
      </w:r>
      <w:r w:rsidRPr="00DB650F">
        <w:rPr>
          <w:b/>
          <w:bCs/>
          <w:lang w:val="fr-FR"/>
        </w:rPr>
        <w:t>est la profondeur de sculpture maximale telle que définie au paragraphe 2.16 du présent Règlement, exprimée en millimètres</w:t>
      </w:r>
      <w:r w:rsidRPr="00DB650F">
        <w:rPr>
          <w:lang w:val="fr-FR"/>
        </w:rPr>
        <w:t>.</w:t>
      </w:r>
    </w:p>
    <w:p w14:paraId="25F16142" w14:textId="77777777" w:rsidR="001C58CC" w:rsidRPr="00DB650F" w:rsidRDefault="001C58CC" w:rsidP="001C58CC">
      <w:pPr>
        <w:spacing w:after="120"/>
        <w:ind w:left="2268" w:right="1134"/>
        <w:jc w:val="both"/>
        <w:rPr>
          <w:b/>
          <w:bCs/>
          <w:color w:val="000000" w:themeColor="text1"/>
          <w:lang w:val="fr-FR"/>
        </w:rPr>
      </w:pPr>
      <w:r w:rsidRPr="00DB650F">
        <w:rPr>
          <w:b/>
          <w:bCs/>
          <w:lang w:val="fr-FR"/>
        </w:rPr>
        <w:t xml:space="preserve">Le potentiel de déformation </w:t>
      </w:r>
      <w:proofErr w:type="spellStart"/>
      <w:r w:rsidRPr="00DB650F">
        <w:rPr>
          <w:b/>
          <w:bCs/>
          <w:i/>
          <w:iCs/>
          <w:lang w:val="fr-FR"/>
        </w:rPr>
        <w:t>P</w:t>
      </w:r>
      <w:r w:rsidRPr="00DB650F">
        <w:rPr>
          <w:b/>
          <w:bCs/>
          <w:vertAlign w:val="subscript"/>
          <w:lang w:val="fr-FR"/>
        </w:rPr>
        <w:t>def</w:t>
      </w:r>
      <w:proofErr w:type="spellEnd"/>
      <w:r w:rsidRPr="00DB650F">
        <w:rPr>
          <w:b/>
          <w:bCs/>
          <w:lang w:val="fr-FR"/>
        </w:rPr>
        <w:t xml:space="preserve"> est exprimé en mm</w:t>
      </w:r>
      <w:r w:rsidRPr="00DB650F">
        <w:rPr>
          <w:b/>
          <w:bCs/>
          <w:vertAlign w:val="superscript"/>
          <w:lang w:val="fr-FR"/>
        </w:rPr>
        <w:t>3</w:t>
      </w:r>
      <w:r w:rsidRPr="00DB650F">
        <w:rPr>
          <w:b/>
          <w:bCs/>
          <w:lang w:val="fr-FR"/>
        </w:rPr>
        <w:t>.</w:t>
      </w:r>
    </w:p>
    <w:p w14:paraId="382CF3FF" w14:textId="77777777" w:rsidR="001C58CC" w:rsidRPr="00DB650F" w:rsidRDefault="001C58CC" w:rsidP="001C58CC">
      <w:pPr>
        <w:spacing w:after="120"/>
        <w:ind w:left="2268" w:right="1134" w:hanging="1134"/>
        <w:jc w:val="both"/>
        <w:rPr>
          <w:b/>
          <w:bCs/>
          <w:color w:val="000000" w:themeColor="text1"/>
          <w:lang w:val="fr-FR"/>
        </w:rPr>
      </w:pPr>
      <w:r w:rsidRPr="00DB650F">
        <w:rPr>
          <w:b/>
          <w:bCs/>
          <w:lang w:val="fr-FR"/>
        </w:rPr>
        <w:t>6.6.2</w:t>
      </w:r>
      <w:r w:rsidRPr="00DB650F">
        <w:rPr>
          <w:lang w:val="fr-FR"/>
        </w:rPr>
        <w:tab/>
      </w:r>
      <w:r w:rsidRPr="00DB650F">
        <w:rPr>
          <w:b/>
          <w:bCs/>
          <w:lang w:val="fr-FR"/>
        </w:rPr>
        <w:t>Calcul du nombre d</w:t>
      </w:r>
      <w:r>
        <w:rPr>
          <w:b/>
          <w:bCs/>
          <w:lang w:val="fr-FR"/>
        </w:rPr>
        <w:t>’</w:t>
      </w:r>
      <w:r w:rsidRPr="00DB650F">
        <w:rPr>
          <w:b/>
          <w:bCs/>
          <w:lang w:val="fr-FR"/>
        </w:rPr>
        <w:t>éléments de traction</w:t>
      </w:r>
    </w:p>
    <w:p w14:paraId="2F99615E" w14:textId="633BBD18" w:rsidR="001C58CC" w:rsidRPr="00DB650F" w:rsidRDefault="001C58CC" w:rsidP="001C58CC">
      <w:pPr>
        <w:spacing w:after="120"/>
        <w:ind w:left="2268" w:right="1134"/>
        <w:jc w:val="both"/>
        <w:rPr>
          <w:b/>
          <w:bCs/>
          <w:color w:val="000000" w:themeColor="text1"/>
          <w:lang w:val="fr-FR"/>
        </w:rPr>
      </w:pPr>
      <w:r w:rsidRPr="00DB650F">
        <w:rPr>
          <w:b/>
          <w:bCs/>
          <w:lang w:val="fr-FR"/>
        </w:rPr>
        <w:t xml:space="preserve">Les </w:t>
      </w:r>
      <w:r w:rsidRPr="0094500A">
        <w:rPr>
          <w:b/>
          <w:bCs/>
          <w:lang w:val="fr-FR"/>
        </w:rPr>
        <w:t>“</w:t>
      </w:r>
      <w:r w:rsidRPr="00DB650F">
        <w:rPr>
          <w:b/>
          <w:bCs/>
          <w:lang w:val="fr-FR"/>
        </w:rPr>
        <w:t>éléments de traction</w:t>
      </w:r>
      <w:r w:rsidRPr="0094500A">
        <w:rPr>
          <w:b/>
          <w:bCs/>
          <w:lang w:val="fr-FR"/>
        </w:rPr>
        <w:t>”</w:t>
      </w:r>
      <w:r w:rsidRPr="00DB650F">
        <w:rPr>
          <w:b/>
          <w:bCs/>
          <w:lang w:val="fr-FR"/>
        </w:rPr>
        <w:t xml:space="preserve"> (TE) sont des éléments des sculptures qui sont complètement séparés les uns des autres par des rainures ou des lamelles, sur tout leur contour, à la surface de</w:t>
      </w:r>
      <w:r w:rsidRPr="00EC3983">
        <w:rPr>
          <w:b/>
          <w:bCs/>
          <w:lang w:val="fr-FR"/>
        </w:rPr>
        <w:t xml:space="preserve"> la bande</w:t>
      </w:r>
      <w:r w:rsidRPr="00DB650F">
        <w:rPr>
          <w:b/>
          <w:bCs/>
          <w:lang w:val="fr-FR"/>
        </w:rPr>
        <w:t xml:space="preserve"> </w:t>
      </w:r>
      <w:r w:rsidRPr="00EC3983">
        <w:rPr>
          <w:b/>
          <w:bCs/>
          <w:lang w:val="fr-FR"/>
        </w:rPr>
        <w:t>de roulement</w:t>
      </w:r>
      <w:r w:rsidRPr="00DB650F">
        <w:rPr>
          <w:lang w:val="fr-FR"/>
        </w:rPr>
        <w:t>.</w:t>
      </w:r>
    </w:p>
    <w:p w14:paraId="2A3923EC" w14:textId="77777777" w:rsidR="001C58CC" w:rsidRPr="00DB650F" w:rsidRDefault="001C58CC" w:rsidP="001C58CC">
      <w:pPr>
        <w:spacing w:after="120"/>
        <w:ind w:left="2268" w:right="1134"/>
        <w:jc w:val="both"/>
        <w:rPr>
          <w:b/>
          <w:bCs/>
          <w:color w:val="000000" w:themeColor="text1"/>
          <w:lang w:val="fr-FR"/>
        </w:rPr>
      </w:pPr>
      <w:r w:rsidRPr="00DB650F">
        <w:rPr>
          <w:b/>
          <w:bCs/>
          <w:lang w:val="fr-FR"/>
        </w:rPr>
        <w:t>Le nombre total d</w:t>
      </w:r>
      <w:r>
        <w:rPr>
          <w:b/>
          <w:bCs/>
          <w:lang w:val="fr-FR"/>
        </w:rPr>
        <w:t>’</w:t>
      </w:r>
      <w:r w:rsidRPr="00DB650F">
        <w:rPr>
          <w:b/>
          <w:bCs/>
          <w:lang w:val="fr-FR"/>
        </w:rPr>
        <w:t>éléments de traction</w:t>
      </w:r>
      <w:r>
        <w:rPr>
          <w:b/>
          <w:bCs/>
          <w:lang w:val="fr-FR"/>
        </w:rPr>
        <w:t>,</w:t>
      </w:r>
      <w:r w:rsidRPr="00DB650F">
        <w:rPr>
          <w:b/>
          <w:bCs/>
          <w:lang w:val="fr-FR"/>
        </w:rPr>
        <w:t xml:space="preserve"> </w:t>
      </w:r>
      <w:proofErr w:type="spellStart"/>
      <w:r w:rsidRPr="00DB650F">
        <w:rPr>
          <w:b/>
          <w:bCs/>
          <w:i/>
          <w:iCs/>
          <w:lang w:val="fr-FR"/>
        </w:rPr>
        <w:t>n</w:t>
      </w:r>
      <w:r w:rsidRPr="00DB650F">
        <w:rPr>
          <w:b/>
          <w:bCs/>
          <w:vertAlign w:val="subscript"/>
          <w:lang w:val="fr-FR"/>
        </w:rPr>
        <w:t>TE</w:t>
      </w:r>
      <w:proofErr w:type="spellEnd"/>
      <w:r>
        <w:rPr>
          <w:b/>
          <w:bCs/>
          <w:lang w:val="fr-FR"/>
        </w:rPr>
        <w:t>,</w:t>
      </w:r>
      <w:r w:rsidRPr="00DB650F">
        <w:rPr>
          <w:b/>
          <w:bCs/>
          <w:lang w:val="fr-FR"/>
        </w:rPr>
        <w:t xml:space="preserve"> est calculé comme suit :</w:t>
      </w:r>
    </w:p>
    <w:p w14:paraId="6D23E73A" w14:textId="65A73A3D" w:rsidR="001C58CC" w:rsidRPr="00267444" w:rsidRDefault="001C58CC" w:rsidP="001C58CC">
      <w:pPr>
        <w:spacing w:after="120"/>
        <w:ind w:left="2268" w:right="1134" w:hanging="1134"/>
        <w:jc w:val="both"/>
        <w:rPr>
          <w:b/>
          <w:color w:val="000000" w:themeColor="text1"/>
          <w:lang w:val="es-ES"/>
        </w:rPr>
      </w:pPr>
      <m:oMathPara>
        <m:oMath>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n</m:t>
              </m:r>
            </m:e>
            <m:sub>
              <m:r>
                <m:rPr>
                  <m:nor/>
                </m:rPr>
                <w:rPr>
                  <w:rFonts w:ascii="Cambria Math" w:hAnsi="Cambria Math"/>
                  <w:b/>
                  <w:color w:val="000000" w:themeColor="text1"/>
                  <w:lang w:val="es-ES"/>
                </w:rPr>
                <m:t>TE</m:t>
              </m:r>
            </m:sub>
          </m:sSub>
          <m:r>
            <m:rPr>
              <m:sty m:val="bi"/>
            </m:rPr>
            <w:rPr>
              <w:rFonts w:ascii="Cambria Math" w:hAnsi="Cambria Math"/>
              <w:color w:val="000000" w:themeColor="text1"/>
              <w:lang w:val="es-ES"/>
            </w:rPr>
            <m:t>=</m:t>
          </m:r>
          <m:f>
            <m:fPr>
              <m:ctrlPr>
                <w:rPr>
                  <w:rFonts w:ascii="Cambria Math" w:hAnsi="Cambria Math"/>
                  <w:b/>
                  <w:i/>
                  <w:color w:val="000000" w:themeColor="text1"/>
                  <w:lang w:val="fr-FR"/>
                </w:rPr>
              </m:ctrlPr>
            </m:fPr>
            <m:num>
              <m:r>
                <m:rPr>
                  <m:sty m:val="bi"/>
                </m:rPr>
                <w:rPr>
                  <w:rFonts w:ascii="Cambria Math" w:hAnsi="Cambria Math"/>
                  <w:color w:val="000000" w:themeColor="text1"/>
                  <w:lang w:val="fr-FR"/>
                </w:rPr>
                <m:t>1</m:t>
              </m:r>
            </m:num>
            <m:den>
              <m:r>
                <m:rPr>
                  <m:sty m:val="bi"/>
                </m:rPr>
                <w:rPr>
                  <w:rFonts w:ascii="Cambria Math" w:hAnsi="Cambria Math"/>
                  <w:color w:val="000000" w:themeColor="text1"/>
                  <w:lang w:val="fr-FR"/>
                </w:rPr>
                <m:t>2</m:t>
              </m:r>
            </m:den>
          </m:f>
          <m:r>
            <m:rPr>
              <m:sty m:val="b"/>
            </m:rPr>
            <w:rPr>
              <w:rFonts w:ascii="Cambria Math" w:hAnsi="Cambria Math"/>
              <w:color w:val="000000" w:themeColor="text1"/>
              <w:lang w:val="es-ES"/>
            </w:rPr>
            <m:t>∙</m:t>
          </m:r>
          <m:d>
            <m:dPr>
              <m:ctrlPr>
                <w:rPr>
                  <w:rFonts w:ascii="Cambria Math" w:hAnsi="Cambria Math"/>
                  <w:b/>
                  <w:color w:val="000000" w:themeColor="text1"/>
                  <w:lang w:val="fr-FR"/>
                </w:rPr>
              </m:ctrlPr>
            </m:dPr>
            <m:e>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n</m:t>
                  </m:r>
                </m:e>
                <m:sub>
                  <m:r>
                    <m:rPr>
                      <m:nor/>
                    </m:rPr>
                    <w:rPr>
                      <w:rFonts w:ascii="Cambria Math" w:hAnsi="Cambria Math"/>
                      <w:b/>
                      <w:color w:val="000000" w:themeColor="text1"/>
                      <w:lang w:val="es-ES"/>
                    </w:rPr>
                    <m:t>TE,50</m:t>
                  </m:r>
                </m:sub>
              </m:sSub>
              <m:r>
                <m:rPr>
                  <m:sty m:val="bi"/>
                </m:rPr>
                <w:rPr>
                  <w:rFonts w:ascii="Cambria Math" w:hAnsi="Cambria Math"/>
                  <w:color w:val="000000" w:themeColor="text1"/>
                  <w:lang w:val="es-ES"/>
                </w:rPr>
                <m:t>+</m:t>
              </m:r>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n</m:t>
                  </m:r>
                </m:e>
                <m:sub>
                  <m:r>
                    <m:rPr>
                      <m:nor/>
                    </m:rPr>
                    <w:rPr>
                      <w:rFonts w:ascii="Cambria Math" w:hAnsi="Cambria Math"/>
                      <w:b/>
                      <w:color w:val="000000" w:themeColor="text1"/>
                      <w:lang w:val="es-ES"/>
                    </w:rPr>
                    <m:t>TE,70</m:t>
                  </m:r>
                </m:sub>
              </m:sSub>
            </m:e>
          </m:d>
        </m:oMath>
      </m:oMathPara>
    </w:p>
    <w:p w14:paraId="156A9BC0" w14:textId="77777777" w:rsidR="001C58CC" w:rsidRPr="00DB650F" w:rsidRDefault="001C58CC" w:rsidP="001C58CC">
      <w:pPr>
        <w:spacing w:after="120"/>
        <w:ind w:left="2268" w:right="1134"/>
        <w:jc w:val="both"/>
        <w:rPr>
          <w:b/>
          <w:color w:val="000000" w:themeColor="text1"/>
          <w:lang w:val="fr-FR"/>
        </w:rPr>
      </w:pPr>
      <w:r>
        <w:rPr>
          <w:b/>
          <w:bCs/>
          <w:lang w:val="fr-FR"/>
        </w:rPr>
        <w:t>o</w:t>
      </w:r>
      <w:r w:rsidRPr="00DB650F">
        <w:rPr>
          <w:b/>
          <w:bCs/>
          <w:lang w:val="fr-FR"/>
        </w:rPr>
        <w:t>ù :</w:t>
      </w:r>
    </w:p>
    <w:p w14:paraId="35E5DC02" w14:textId="77777777" w:rsidR="001C58CC" w:rsidRPr="00DB650F" w:rsidRDefault="001C58CC" w:rsidP="001C58CC">
      <w:pPr>
        <w:spacing w:after="120"/>
        <w:ind w:left="2268" w:right="1134"/>
        <w:jc w:val="both"/>
        <w:rPr>
          <w:b/>
          <w:color w:val="000000" w:themeColor="text1"/>
          <w:lang w:val="fr-FR"/>
        </w:rPr>
      </w:pPr>
      <w:r w:rsidRPr="00DB650F">
        <w:rPr>
          <w:b/>
          <w:bCs/>
          <w:i/>
          <w:iCs/>
          <w:lang w:val="fr-FR"/>
        </w:rPr>
        <w:t>n</w:t>
      </w:r>
      <w:r w:rsidRPr="00DB650F">
        <w:rPr>
          <w:b/>
          <w:bCs/>
          <w:vertAlign w:val="subscript"/>
          <w:lang w:val="fr-FR"/>
        </w:rPr>
        <w:t>TE,50</w:t>
      </w:r>
      <w:r w:rsidRPr="00DB650F">
        <w:rPr>
          <w:b/>
          <w:bCs/>
          <w:lang w:val="fr-FR"/>
        </w:rPr>
        <w:t xml:space="preserve"> est le nombre d</w:t>
      </w:r>
      <w:r>
        <w:rPr>
          <w:b/>
          <w:bCs/>
          <w:lang w:val="fr-FR"/>
        </w:rPr>
        <w:t>’</w:t>
      </w:r>
      <w:r w:rsidRPr="00DB650F">
        <w:rPr>
          <w:b/>
          <w:bCs/>
          <w:lang w:val="fr-FR"/>
        </w:rPr>
        <w:t>éléments de traction séparés par des rainures/lamelles dont la profondeur est égale ou supérieure à 50</w:t>
      </w:r>
      <w:r>
        <w:rPr>
          <w:b/>
          <w:bCs/>
          <w:lang w:val="fr-FR"/>
        </w:rPr>
        <w:t xml:space="preserve"> </w:t>
      </w:r>
      <w:r w:rsidRPr="00DB650F">
        <w:rPr>
          <w:b/>
          <w:bCs/>
          <w:lang w:val="fr-FR"/>
        </w:rPr>
        <w:t>% de la profondeur maximale des sculptures ;</w:t>
      </w:r>
    </w:p>
    <w:p w14:paraId="4E360899" w14:textId="77777777" w:rsidR="001C58CC" w:rsidRPr="00DB650F" w:rsidRDefault="001C58CC" w:rsidP="001C58CC">
      <w:pPr>
        <w:spacing w:after="120"/>
        <w:ind w:left="2268" w:right="1134"/>
        <w:jc w:val="both"/>
        <w:rPr>
          <w:b/>
          <w:color w:val="000000" w:themeColor="text1"/>
          <w:lang w:val="fr-FR"/>
        </w:rPr>
      </w:pPr>
      <w:r w:rsidRPr="00DB650F">
        <w:rPr>
          <w:b/>
          <w:bCs/>
          <w:i/>
          <w:iCs/>
          <w:lang w:val="fr-FR"/>
        </w:rPr>
        <w:t>n</w:t>
      </w:r>
      <w:r w:rsidRPr="00DB650F">
        <w:rPr>
          <w:b/>
          <w:bCs/>
          <w:vertAlign w:val="subscript"/>
          <w:lang w:val="fr-FR"/>
        </w:rPr>
        <w:t>TE,70</w:t>
      </w:r>
      <w:r w:rsidRPr="00DB650F">
        <w:rPr>
          <w:b/>
          <w:bCs/>
          <w:lang w:val="fr-FR"/>
        </w:rPr>
        <w:t xml:space="preserve"> est le nombre d</w:t>
      </w:r>
      <w:r>
        <w:rPr>
          <w:b/>
          <w:bCs/>
          <w:lang w:val="fr-FR"/>
        </w:rPr>
        <w:t>’</w:t>
      </w:r>
      <w:r w:rsidRPr="00DB650F">
        <w:rPr>
          <w:b/>
          <w:bCs/>
          <w:lang w:val="fr-FR"/>
        </w:rPr>
        <w:t>éléments de traction séparés par des rainures/lamelles dont la profondeur est égale ou supérieure à 70</w:t>
      </w:r>
      <w:r>
        <w:rPr>
          <w:b/>
          <w:bCs/>
          <w:lang w:val="fr-FR"/>
        </w:rPr>
        <w:t xml:space="preserve"> </w:t>
      </w:r>
      <w:r w:rsidRPr="00DB650F">
        <w:rPr>
          <w:b/>
          <w:bCs/>
          <w:lang w:val="fr-FR"/>
        </w:rPr>
        <w:t>% de la profondeur maximale des sculptures.</w:t>
      </w:r>
    </w:p>
    <w:p w14:paraId="09F4C78D" w14:textId="77777777" w:rsidR="001C58CC" w:rsidRPr="00DB650F" w:rsidRDefault="001C58CC" w:rsidP="001C58CC">
      <w:pPr>
        <w:spacing w:after="120"/>
        <w:ind w:left="2268" w:right="1134"/>
        <w:jc w:val="both"/>
        <w:rPr>
          <w:b/>
          <w:color w:val="000000" w:themeColor="text1"/>
          <w:lang w:val="fr-FR"/>
        </w:rPr>
      </w:pPr>
      <w:r w:rsidRPr="00DB650F">
        <w:rPr>
          <w:b/>
          <w:bCs/>
          <w:lang w:val="fr-FR"/>
        </w:rPr>
        <w:t>Pour prévenir toute équivoque, chaque élément de traction compté pour le calcul d</w:t>
      </w:r>
      <w:r w:rsidRPr="00EC3983">
        <w:rPr>
          <w:b/>
          <w:bCs/>
          <w:lang w:val="fr-FR"/>
        </w:rPr>
        <w:t>e</w:t>
      </w:r>
      <w:r w:rsidRPr="00DB650F">
        <w:rPr>
          <w:b/>
          <w:bCs/>
          <w:lang w:val="fr-FR"/>
        </w:rPr>
        <w:t xml:space="preserve"> </w:t>
      </w:r>
      <w:r w:rsidRPr="00DB650F">
        <w:rPr>
          <w:b/>
          <w:bCs/>
          <w:i/>
          <w:iCs/>
          <w:lang w:val="fr-FR"/>
        </w:rPr>
        <w:t>n</w:t>
      </w:r>
      <w:r w:rsidRPr="00DB650F">
        <w:rPr>
          <w:b/>
          <w:bCs/>
          <w:vertAlign w:val="subscript"/>
          <w:lang w:val="fr-FR"/>
        </w:rPr>
        <w:t>TE,70</w:t>
      </w:r>
      <w:r w:rsidRPr="00DB650F">
        <w:rPr>
          <w:b/>
          <w:bCs/>
          <w:lang w:val="fr-FR"/>
        </w:rPr>
        <w:t xml:space="preserve"> est également compté pour le calcul de </w:t>
      </w:r>
      <w:r w:rsidRPr="00DB650F">
        <w:rPr>
          <w:b/>
          <w:bCs/>
          <w:i/>
          <w:iCs/>
          <w:lang w:val="fr-FR"/>
        </w:rPr>
        <w:t>n</w:t>
      </w:r>
      <w:r w:rsidRPr="00DB650F">
        <w:rPr>
          <w:b/>
          <w:bCs/>
          <w:vertAlign w:val="subscript"/>
          <w:lang w:val="fr-FR"/>
        </w:rPr>
        <w:t>TE,50</w:t>
      </w:r>
      <w:r w:rsidRPr="00DB650F">
        <w:rPr>
          <w:b/>
          <w:bCs/>
          <w:lang w:val="fr-FR"/>
        </w:rPr>
        <w:t>.</w:t>
      </w:r>
    </w:p>
    <w:p w14:paraId="0E982A44" w14:textId="77777777" w:rsidR="001C58CC" w:rsidRPr="00DB650F" w:rsidRDefault="001C58CC" w:rsidP="001C58CC">
      <w:pPr>
        <w:spacing w:after="120"/>
        <w:ind w:left="2268" w:right="1134" w:hanging="1134"/>
        <w:jc w:val="both"/>
        <w:rPr>
          <w:b/>
          <w:bCs/>
          <w:color w:val="000000" w:themeColor="text1"/>
          <w:lang w:val="fr-FR"/>
        </w:rPr>
      </w:pPr>
      <w:r w:rsidRPr="00DB650F">
        <w:rPr>
          <w:b/>
          <w:bCs/>
          <w:lang w:val="fr-FR"/>
        </w:rPr>
        <w:t>6.6.3</w:t>
      </w:r>
      <w:r w:rsidRPr="00DB650F">
        <w:rPr>
          <w:lang w:val="fr-FR"/>
        </w:rPr>
        <w:tab/>
      </w:r>
      <w:r w:rsidRPr="00DB650F">
        <w:rPr>
          <w:b/>
          <w:bCs/>
          <w:lang w:val="fr-FR"/>
        </w:rPr>
        <w:t>Pour qu</w:t>
      </w:r>
      <w:r>
        <w:rPr>
          <w:b/>
          <w:bCs/>
          <w:lang w:val="fr-FR"/>
        </w:rPr>
        <w:t>’</w:t>
      </w:r>
      <w:r w:rsidRPr="00DB650F">
        <w:rPr>
          <w:b/>
          <w:bCs/>
          <w:lang w:val="fr-FR"/>
        </w:rPr>
        <w:t>un pneumatique puisse être classé dans la catégorie “pneumatique traction”, le nombre total d</w:t>
      </w:r>
      <w:r>
        <w:rPr>
          <w:b/>
          <w:bCs/>
          <w:lang w:val="fr-FR"/>
        </w:rPr>
        <w:t>’</w:t>
      </w:r>
      <w:r w:rsidRPr="00DB650F">
        <w:rPr>
          <w:b/>
          <w:bCs/>
          <w:lang w:val="fr-FR"/>
        </w:rPr>
        <w:t xml:space="preserve">éléments de traction de ses sculptures doit, en fonction de la classe du pneumatique et, pour les pneumatiques de la classe C3, en fonction du diamètre de jante nominal, satisfaire aux conditions suivantes </w:t>
      </w:r>
      <w:r w:rsidRPr="00DB650F">
        <w:rPr>
          <w:lang w:val="fr-FR"/>
        </w:rPr>
        <w:t>:</w:t>
      </w:r>
    </w:p>
    <w:p w14:paraId="7E9A3576" w14:textId="77777777" w:rsidR="001C58CC" w:rsidRPr="00DB650F" w:rsidRDefault="001C58CC" w:rsidP="001C58CC">
      <w:pPr>
        <w:tabs>
          <w:tab w:val="left" w:pos="4111"/>
        </w:tabs>
        <w:spacing w:after="120"/>
        <w:ind w:left="2268" w:right="1134" w:hanging="1134"/>
        <w:jc w:val="both"/>
        <w:rPr>
          <w:b/>
          <w:bCs/>
          <w:color w:val="000000" w:themeColor="text1"/>
          <w:lang w:val="fr-FR"/>
        </w:rPr>
      </w:pPr>
      <w:r w:rsidRPr="00DB650F">
        <w:rPr>
          <w:lang w:val="fr-FR"/>
        </w:rPr>
        <w:tab/>
      </w:r>
      <w:r w:rsidRPr="00DB650F">
        <w:rPr>
          <w:b/>
          <w:bCs/>
          <w:lang w:val="fr-FR"/>
        </w:rPr>
        <w:t>Pour les pneumatiques de la classe C2 :</w:t>
      </w:r>
      <w:r w:rsidRPr="00DB650F">
        <w:rPr>
          <w:lang w:val="fr-FR"/>
        </w:rPr>
        <w:tab/>
      </w:r>
      <m:oMath>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n</m:t>
            </m:r>
          </m:e>
          <m:sub>
            <m:r>
              <m:rPr>
                <m:nor/>
              </m:rPr>
              <w:rPr>
                <w:rFonts w:ascii="Cambria Math" w:hAnsi="Cambria Math"/>
                <w:b/>
                <w:color w:val="000000" w:themeColor="text1"/>
                <w:lang w:val="fr-FR"/>
              </w:rPr>
              <m:t>TE</m:t>
            </m:r>
          </m:sub>
        </m:sSub>
        <m:r>
          <m:rPr>
            <m:sty m:val="bi"/>
          </m:rPr>
          <w:rPr>
            <w:rFonts w:ascii="Cambria Math" w:hAnsi="Cambria Math"/>
            <w:color w:val="000000" w:themeColor="text1"/>
            <w:lang w:val="fr-FR"/>
          </w:rPr>
          <m:t>≥-</m:t>
        </m:r>
        <m:f>
          <m:fPr>
            <m:ctrlPr>
              <w:rPr>
                <w:rFonts w:ascii="Cambria Math" w:hAnsi="Cambria Math"/>
                <w:b/>
                <w:bCs/>
                <w:i/>
                <w:color w:val="000000" w:themeColor="text1"/>
                <w:lang w:val="fr-FR"/>
              </w:rPr>
            </m:ctrlPr>
          </m:fPr>
          <m:num>
            <m:r>
              <m:rPr>
                <m:sty m:val="bi"/>
              </m:rPr>
              <w:rPr>
                <w:rFonts w:ascii="Cambria Math" w:hAnsi="Cambria Math"/>
                <w:color w:val="000000" w:themeColor="text1"/>
                <w:lang w:val="fr-FR"/>
              </w:rPr>
              <m:t>2</m:t>
            </m:r>
          </m:num>
          <m:den>
            <m:r>
              <m:rPr>
                <m:sty m:val="bi"/>
              </m:rPr>
              <w:rPr>
                <w:rFonts w:ascii="Cambria Math" w:hAnsi="Cambria Math"/>
                <w:color w:val="000000" w:themeColor="text1"/>
                <w:lang w:val="fr-FR"/>
              </w:rPr>
              <m:t xml:space="preserve">25 </m:t>
            </m:r>
            <m:sSup>
              <m:sSupPr>
                <m:ctrlPr>
                  <w:rPr>
                    <w:rFonts w:ascii="Cambria Math" w:hAnsi="Cambria Math"/>
                    <w:b/>
                    <w:bCs/>
                    <w:i/>
                    <w:color w:val="000000" w:themeColor="text1"/>
                    <w:lang w:val="fr-FR"/>
                  </w:rPr>
                </m:ctrlPr>
              </m:sSupPr>
              <m:e>
                <m:r>
                  <m:rPr>
                    <m:sty m:val="b"/>
                  </m:rPr>
                  <w:rPr>
                    <w:rFonts w:ascii="Cambria Math" w:hAnsi="Cambria Math"/>
                    <w:color w:val="000000" w:themeColor="text1"/>
                    <w:lang w:val="fr-FR"/>
                  </w:rPr>
                  <m:t>mm</m:t>
                </m:r>
              </m:e>
              <m:sup>
                <m:r>
                  <m:rPr>
                    <m:sty m:val="bi"/>
                  </m:rPr>
                  <w:rPr>
                    <w:rFonts w:ascii="Cambria Math" w:hAnsi="Cambria Math"/>
                    <w:color w:val="000000" w:themeColor="text1"/>
                    <w:lang w:val="fr-FR"/>
                  </w:rPr>
                  <m:t>3</m:t>
                </m:r>
              </m:sup>
            </m:sSup>
          </m:den>
        </m:f>
        <m:r>
          <m:rPr>
            <m:sty m:val="bi"/>
          </m:rPr>
          <w:rPr>
            <w:rFonts w:ascii="Cambria Math" w:hAnsi="Cambria Math"/>
            <w:color w:val="000000" w:themeColor="text1"/>
            <w:lang w:val="fr-FR"/>
          </w:rPr>
          <m:t>∙</m:t>
        </m:r>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P</m:t>
            </m:r>
          </m:e>
          <m:sub>
            <m:r>
              <m:rPr>
                <m:nor/>
              </m:rPr>
              <w:rPr>
                <w:rFonts w:ascii="Cambria Math" w:hAnsi="Cambria Math"/>
                <w:b/>
                <w:color w:val="000000" w:themeColor="text1"/>
                <w:lang w:val="fr-FR"/>
              </w:rPr>
              <m:t>def</m:t>
            </m:r>
          </m:sub>
        </m:sSub>
        <m:r>
          <m:rPr>
            <m:sty m:val="bi"/>
          </m:rPr>
          <w:rPr>
            <w:rFonts w:ascii="Cambria Math" w:hAnsi="Cambria Math"/>
            <w:color w:val="000000" w:themeColor="text1"/>
            <w:lang w:val="fr-FR"/>
          </w:rPr>
          <m:t>+100</m:t>
        </m:r>
      </m:oMath>
    </w:p>
    <w:p w14:paraId="7D01E9FF" w14:textId="77777777" w:rsidR="001C58CC" w:rsidRPr="00DB650F" w:rsidRDefault="001C58CC" w:rsidP="001C58CC">
      <w:pPr>
        <w:spacing w:after="120"/>
        <w:ind w:left="2268" w:right="1134"/>
        <w:jc w:val="both"/>
        <w:rPr>
          <w:b/>
          <w:bCs/>
          <w:color w:val="000000" w:themeColor="text1"/>
          <w:lang w:val="fr-FR"/>
        </w:rPr>
      </w:pPr>
      <w:r w:rsidRPr="00DB650F">
        <w:rPr>
          <w:b/>
          <w:bCs/>
          <w:lang w:val="fr-FR"/>
        </w:rPr>
        <w:lastRenderedPageBreak/>
        <w:t>Pour les pneumatiques de la classe C3 dont le code de diamètre nominal de la jante est inférieur à 20 :</w:t>
      </w:r>
    </w:p>
    <w:p w14:paraId="4D7ADED6" w14:textId="70BF63BF" w:rsidR="001C58CC" w:rsidRPr="00267444" w:rsidRDefault="001C58CC" w:rsidP="001C58CC">
      <w:pPr>
        <w:tabs>
          <w:tab w:val="left" w:pos="4111"/>
        </w:tabs>
        <w:spacing w:after="120"/>
        <w:ind w:left="2268" w:right="1134" w:hanging="1134"/>
        <w:jc w:val="both"/>
        <w:rPr>
          <w:b/>
          <w:bCs/>
          <w:color w:val="000000" w:themeColor="text1"/>
          <w:lang w:val="es-ES"/>
        </w:rPr>
      </w:pPr>
      <m:oMathPara>
        <m:oMath>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n</m:t>
              </m:r>
            </m:e>
            <m:sub>
              <m:r>
                <m:rPr>
                  <m:nor/>
                </m:rPr>
                <w:rPr>
                  <w:rFonts w:ascii="Cambria Math" w:hAnsi="Cambria Math"/>
                  <w:b/>
                  <w:color w:val="000000" w:themeColor="text1"/>
                  <w:lang w:val="es-ES"/>
                </w:rPr>
                <m:t>TE</m:t>
              </m:r>
            </m:sub>
          </m:sSub>
          <m:r>
            <m:rPr>
              <m:sty m:val="bi"/>
            </m:rPr>
            <w:rPr>
              <w:rFonts w:ascii="Cambria Math" w:hAnsi="Cambria Math"/>
              <w:color w:val="000000" w:themeColor="text1"/>
              <w:lang w:val="es-ES"/>
            </w:rPr>
            <m:t>≥-</m:t>
          </m:r>
          <m:f>
            <m:fPr>
              <m:ctrlPr>
                <w:rPr>
                  <w:rFonts w:ascii="Cambria Math" w:hAnsi="Cambria Math"/>
                  <w:b/>
                  <w:bCs/>
                  <w:i/>
                  <w:color w:val="000000" w:themeColor="text1"/>
                  <w:lang w:val="fr-FR"/>
                </w:rPr>
              </m:ctrlPr>
            </m:fPr>
            <m:num>
              <m:r>
                <m:rPr>
                  <m:sty m:val="bi"/>
                </m:rPr>
                <w:rPr>
                  <w:rFonts w:ascii="Cambria Math" w:hAnsi="Cambria Math"/>
                  <w:color w:val="000000" w:themeColor="text1"/>
                  <w:lang w:val="fr-FR"/>
                </w:rPr>
                <m:t>1</m:t>
              </m:r>
            </m:num>
            <m:den>
              <m:r>
                <m:rPr>
                  <m:sty m:val="bi"/>
                </m:rPr>
                <w:rPr>
                  <w:rFonts w:ascii="Cambria Math" w:hAnsi="Cambria Math"/>
                  <w:color w:val="000000" w:themeColor="text1"/>
                  <w:lang w:val="fr-FR"/>
                </w:rPr>
                <m:t>10</m:t>
              </m:r>
              <m:sSup>
                <m:sSupPr>
                  <m:ctrlPr>
                    <w:rPr>
                      <w:rFonts w:ascii="Cambria Math" w:hAnsi="Cambria Math"/>
                      <w:b/>
                      <w:bCs/>
                      <w:i/>
                      <w:color w:val="000000" w:themeColor="text1"/>
                      <w:lang w:val="fr-FR"/>
                    </w:rPr>
                  </m:ctrlPr>
                </m:sSupPr>
                <m:e>
                  <m:r>
                    <m:rPr>
                      <m:sty m:val="b"/>
                    </m:rPr>
                    <w:rPr>
                      <w:rFonts w:ascii="Cambria Math" w:hAnsi="Cambria Math"/>
                      <w:color w:val="000000" w:themeColor="text1"/>
                      <w:lang w:val="es-ES"/>
                    </w:rPr>
                    <m:t xml:space="preserve"> </m:t>
                  </m:r>
                  <m:r>
                    <m:rPr>
                      <m:nor/>
                    </m:rPr>
                    <w:rPr>
                      <w:rFonts w:ascii="Cambria Math" w:hAnsi="Cambria Math"/>
                      <w:b/>
                      <w:bCs/>
                      <w:color w:val="000000" w:themeColor="text1"/>
                      <w:lang w:val="es-ES"/>
                    </w:rPr>
                    <m:t>mm</m:t>
                  </m:r>
                </m:e>
                <m:sup>
                  <m:r>
                    <m:rPr>
                      <m:sty m:val="bi"/>
                    </m:rPr>
                    <w:rPr>
                      <w:rFonts w:ascii="Cambria Math" w:hAnsi="Cambria Math"/>
                      <w:color w:val="000000" w:themeColor="text1"/>
                      <w:lang w:val="fr-FR"/>
                    </w:rPr>
                    <m:t>3</m:t>
                  </m:r>
                </m:sup>
              </m:sSup>
            </m:den>
          </m:f>
          <m:r>
            <m:rPr>
              <m:sty m:val="bi"/>
            </m:rPr>
            <w:rPr>
              <w:rFonts w:ascii="Cambria Math" w:hAnsi="Cambria Math"/>
              <w:color w:val="000000" w:themeColor="text1"/>
              <w:lang w:val="es-ES"/>
            </w:rPr>
            <m:t>∙</m:t>
          </m:r>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P</m:t>
              </m:r>
            </m:e>
            <m:sub>
              <m:r>
                <m:rPr>
                  <m:nor/>
                </m:rPr>
                <w:rPr>
                  <w:rFonts w:ascii="Cambria Math" w:hAnsi="Cambria Math"/>
                  <w:b/>
                  <w:color w:val="000000" w:themeColor="text1"/>
                  <w:lang w:val="es-ES"/>
                </w:rPr>
                <m:t>def</m:t>
              </m:r>
            </m:sub>
          </m:sSub>
          <m:r>
            <m:rPr>
              <m:sty m:val="bi"/>
            </m:rPr>
            <w:rPr>
              <w:rFonts w:ascii="Cambria Math" w:hAnsi="Cambria Math"/>
              <w:color w:val="000000" w:themeColor="text1"/>
              <w:lang w:val="es-ES"/>
            </w:rPr>
            <m:t>+</m:t>
          </m:r>
          <m:r>
            <m:rPr>
              <m:sty m:val="bi"/>
            </m:rPr>
            <w:rPr>
              <w:rFonts w:ascii="Cambria Math" w:hAnsi="Cambria Math"/>
              <w:color w:val="000000" w:themeColor="text1"/>
              <w:lang w:val="fr-FR"/>
            </w:rPr>
            <m:t>200</m:t>
          </m:r>
        </m:oMath>
      </m:oMathPara>
    </w:p>
    <w:p w14:paraId="6C647FDA" w14:textId="77777777" w:rsidR="001C58CC" w:rsidRDefault="001C58CC" w:rsidP="001C58CC">
      <w:pPr>
        <w:keepNext/>
        <w:spacing w:after="120"/>
        <w:ind w:left="2268" w:right="1134"/>
        <w:jc w:val="both"/>
        <w:rPr>
          <w:b/>
          <w:bCs/>
          <w:color w:val="000000" w:themeColor="text1"/>
          <w:lang w:val="fr-FR"/>
        </w:rPr>
      </w:pPr>
      <w:r w:rsidRPr="00DB650F">
        <w:rPr>
          <w:b/>
          <w:bCs/>
          <w:lang w:val="fr-FR"/>
        </w:rPr>
        <w:t>Pour les pneumatiques de la classe C3 dont le code de diamètre nominal de la jante est égal ou supérieur à 20 :</w:t>
      </w:r>
    </w:p>
    <w:p w14:paraId="4AF59B3C" w14:textId="77777777" w:rsidR="001C58CC" w:rsidRDefault="001C58CC" w:rsidP="001C58CC">
      <w:pPr>
        <w:keepNext/>
        <w:spacing w:after="120"/>
        <w:ind w:left="2268" w:right="1134"/>
        <w:jc w:val="both"/>
        <w:rPr>
          <w:b/>
          <w:bCs/>
          <w:color w:val="000000" w:themeColor="text1"/>
          <w:lang w:val="fr-FR"/>
        </w:rPr>
      </w:pPr>
      <w:r w:rsidRPr="00DB650F">
        <w:rPr>
          <w:b/>
          <w:bCs/>
          <w:lang w:val="fr-FR"/>
        </w:rPr>
        <w:t xml:space="preserve">Si </w:t>
      </w:r>
      <w:proofErr w:type="spellStart"/>
      <w:r w:rsidRPr="00DB650F">
        <w:rPr>
          <w:b/>
          <w:bCs/>
          <w:i/>
          <w:iCs/>
          <w:lang w:val="fr-FR"/>
        </w:rPr>
        <w:t>P</w:t>
      </w:r>
      <w:r w:rsidRPr="00DB650F">
        <w:rPr>
          <w:b/>
          <w:bCs/>
          <w:vertAlign w:val="subscript"/>
          <w:lang w:val="fr-FR"/>
        </w:rPr>
        <w:t>def</w:t>
      </w:r>
      <w:proofErr w:type="spellEnd"/>
      <w:r w:rsidRPr="00DB650F">
        <w:rPr>
          <w:b/>
          <w:bCs/>
          <w:lang w:val="fr-FR"/>
        </w:rPr>
        <w:t xml:space="preserve"> &lt; 1400 mm</w:t>
      </w:r>
      <w:r w:rsidRPr="00DB650F">
        <w:rPr>
          <w:b/>
          <w:bCs/>
          <w:vertAlign w:val="superscript"/>
          <w:lang w:val="fr-FR"/>
        </w:rPr>
        <w:t>3</w:t>
      </w:r>
      <w:r w:rsidRPr="00DB650F">
        <w:rPr>
          <w:b/>
          <w:bCs/>
          <w:lang w:val="fr-FR"/>
        </w:rPr>
        <w:t> :</w:t>
      </w:r>
      <w:r w:rsidRPr="00DB650F">
        <w:rPr>
          <w:lang w:val="fr-FR"/>
        </w:rPr>
        <w:tab/>
      </w:r>
      <w:r w:rsidRPr="00DB650F">
        <w:rPr>
          <w:lang w:val="fr-FR"/>
        </w:rPr>
        <w:tab/>
      </w:r>
      <m:oMath>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n</m:t>
            </m:r>
          </m:e>
          <m:sub>
            <m:r>
              <m:rPr>
                <m:nor/>
              </m:rPr>
              <w:rPr>
                <w:rFonts w:ascii="Cambria Math" w:hAnsi="Cambria Math"/>
                <w:b/>
                <w:color w:val="000000" w:themeColor="text1"/>
                <w:lang w:val="fr-FR"/>
              </w:rPr>
              <m:t>TE</m:t>
            </m:r>
          </m:sub>
        </m:sSub>
        <m:r>
          <m:rPr>
            <m:sty m:val="bi"/>
          </m:rPr>
          <w:rPr>
            <w:rFonts w:ascii="Cambria Math" w:hAnsi="Cambria Math"/>
            <w:color w:val="000000" w:themeColor="text1"/>
            <w:lang w:val="fr-FR"/>
          </w:rPr>
          <m:t>≥-</m:t>
        </m:r>
        <m:f>
          <m:fPr>
            <m:ctrlPr>
              <w:rPr>
                <w:rFonts w:ascii="Cambria Math" w:hAnsi="Cambria Math"/>
                <w:b/>
                <w:bCs/>
                <w:i/>
                <w:color w:val="000000" w:themeColor="text1"/>
                <w:lang w:val="fr-FR"/>
              </w:rPr>
            </m:ctrlPr>
          </m:fPr>
          <m:num>
            <m:r>
              <m:rPr>
                <m:sty m:val="bi"/>
              </m:rPr>
              <w:rPr>
                <w:rFonts w:ascii="Cambria Math" w:hAnsi="Cambria Math"/>
                <w:color w:val="000000" w:themeColor="text1"/>
                <w:lang w:val="fr-FR"/>
              </w:rPr>
              <m:t>17</m:t>
            </m:r>
          </m:num>
          <m:den>
            <m:r>
              <m:rPr>
                <m:sty m:val="bi"/>
              </m:rPr>
              <w:rPr>
                <w:rFonts w:ascii="Cambria Math" w:hAnsi="Cambria Math"/>
                <w:color w:val="000000" w:themeColor="text1"/>
                <w:lang w:val="fr-FR"/>
              </w:rPr>
              <m:t xml:space="preserve">70 </m:t>
            </m:r>
            <m:sSup>
              <m:sSupPr>
                <m:ctrlPr>
                  <w:rPr>
                    <w:rFonts w:ascii="Cambria Math" w:hAnsi="Cambria Math"/>
                    <w:b/>
                    <w:i/>
                    <w:color w:val="000000" w:themeColor="text1"/>
                    <w:lang w:val="fr-FR"/>
                  </w:rPr>
                </m:ctrlPr>
              </m:sSupPr>
              <m:e>
                <m:r>
                  <m:rPr>
                    <m:nor/>
                  </m:rPr>
                  <w:rPr>
                    <w:rFonts w:ascii="Cambria Math" w:hAnsi="Cambria Math"/>
                    <w:b/>
                    <w:color w:val="000000" w:themeColor="text1"/>
                    <w:lang w:val="fr-FR"/>
                  </w:rPr>
                  <m:t>mm</m:t>
                </m:r>
              </m:e>
              <m:sup>
                <m:r>
                  <m:rPr>
                    <m:sty m:val="bi"/>
                  </m:rPr>
                  <w:rPr>
                    <w:rFonts w:ascii="Cambria Math" w:hAnsi="Cambria Math"/>
                    <w:color w:val="000000" w:themeColor="text1"/>
                    <w:lang w:val="fr-FR"/>
                  </w:rPr>
                  <m:t>3</m:t>
                </m:r>
              </m:sup>
            </m:sSup>
          </m:den>
        </m:f>
        <m:r>
          <m:rPr>
            <m:sty m:val="bi"/>
          </m:rPr>
          <w:rPr>
            <w:rFonts w:ascii="Cambria Math" w:hAnsi="Cambria Math"/>
            <w:color w:val="000000" w:themeColor="text1"/>
            <w:lang w:val="fr-FR"/>
          </w:rPr>
          <m:t>∙</m:t>
        </m:r>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P</m:t>
            </m:r>
          </m:e>
          <m:sub>
            <m:r>
              <m:rPr>
                <m:nor/>
              </m:rPr>
              <w:rPr>
                <w:rFonts w:ascii="Cambria Math" w:hAnsi="Cambria Math"/>
                <w:b/>
                <w:color w:val="000000" w:themeColor="text1"/>
                <w:lang w:val="fr-FR"/>
              </w:rPr>
              <m:t>def</m:t>
            </m:r>
          </m:sub>
        </m:sSub>
        <m:r>
          <m:rPr>
            <m:sty m:val="bi"/>
          </m:rPr>
          <w:rPr>
            <w:rFonts w:ascii="Cambria Math" w:hAnsi="Cambria Math"/>
            <w:color w:val="000000" w:themeColor="text1"/>
            <w:lang w:val="fr-FR"/>
          </w:rPr>
          <m:t>+400</m:t>
        </m:r>
      </m:oMath>
    </w:p>
    <w:p w14:paraId="6AE900ED" w14:textId="4B511E3E" w:rsidR="001C58CC" w:rsidRPr="001C58CC" w:rsidRDefault="001C58CC" w:rsidP="001C58CC">
      <w:pPr>
        <w:keepNext/>
        <w:spacing w:after="120"/>
        <w:ind w:left="2268" w:right="1134"/>
        <w:jc w:val="both"/>
        <w:rPr>
          <w:b/>
          <w:bCs/>
          <w:color w:val="000000" w:themeColor="text1"/>
          <w:lang w:val="fr-FR"/>
        </w:rPr>
      </w:pPr>
      <w:r w:rsidRPr="00DB650F">
        <w:rPr>
          <w:b/>
          <w:bCs/>
          <w:lang w:val="fr-FR"/>
        </w:rPr>
        <w:t xml:space="preserve">Si </w:t>
      </w:r>
      <w:proofErr w:type="spellStart"/>
      <w:r w:rsidRPr="00DB650F">
        <w:rPr>
          <w:b/>
          <w:bCs/>
          <w:i/>
          <w:iCs/>
          <w:lang w:val="fr-FR"/>
        </w:rPr>
        <w:t>P</w:t>
      </w:r>
      <w:r w:rsidRPr="00DB650F">
        <w:rPr>
          <w:b/>
          <w:bCs/>
          <w:vertAlign w:val="subscript"/>
          <w:lang w:val="fr-FR"/>
        </w:rPr>
        <w:t>def</w:t>
      </w:r>
      <w:proofErr w:type="spellEnd"/>
      <w:r w:rsidRPr="00DB650F">
        <w:rPr>
          <w:b/>
          <w:bCs/>
          <w:vertAlign w:val="subscript"/>
          <w:lang w:val="fr-FR"/>
        </w:rPr>
        <w:t xml:space="preserve"> </w:t>
      </w:r>
      <w:r w:rsidRPr="00DB650F">
        <w:rPr>
          <w:b/>
          <w:bCs/>
          <w:lang w:val="fr-FR"/>
        </w:rPr>
        <w:t>≥ 1400 mm3 :</w:t>
      </w:r>
      <w:r w:rsidRPr="00DB650F">
        <w:rPr>
          <w:lang w:val="fr-FR"/>
        </w:rPr>
        <w:tab/>
      </w:r>
      <w:r w:rsidRPr="00DB650F">
        <w:rPr>
          <w:lang w:val="fr-FR"/>
        </w:rPr>
        <w:tab/>
        <w:t xml:space="preserve"> </w:t>
      </w:r>
      <m:oMath>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n</m:t>
            </m:r>
          </m:e>
          <m:sub>
            <m:r>
              <m:rPr>
                <m:nor/>
              </m:rPr>
              <w:rPr>
                <w:rFonts w:ascii="Cambria Math" w:hAnsi="Cambria Math"/>
                <w:b/>
                <w:color w:val="000000" w:themeColor="text1"/>
                <w:lang w:val="fr-FR"/>
              </w:rPr>
              <m:t>TE</m:t>
            </m:r>
          </m:sub>
        </m:sSub>
        <m:r>
          <m:rPr>
            <m:sty m:val="bi"/>
          </m:rPr>
          <w:rPr>
            <w:rFonts w:ascii="Cambria Math" w:hAnsi="Cambria Math"/>
            <w:color w:val="000000" w:themeColor="text1"/>
            <w:lang w:val="fr-FR"/>
          </w:rPr>
          <m:t>≥-</m:t>
        </m:r>
        <w:bookmarkStart w:id="3" w:name="_Hlk67064715"/>
        <m:f>
          <m:fPr>
            <m:ctrlPr>
              <w:rPr>
                <w:rFonts w:ascii="Cambria Math" w:hAnsi="Cambria Math"/>
                <w:b/>
                <w:bCs/>
                <w:i/>
                <w:color w:val="000000" w:themeColor="text1"/>
                <w:lang w:val="fr-FR"/>
              </w:rPr>
            </m:ctrlPr>
          </m:fPr>
          <m:num>
            <m:r>
              <m:rPr>
                <m:sty m:val="bi"/>
              </m:rPr>
              <w:rPr>
                <w:rFonts w:ascii="Cambria Math" w:hAnsi="Cambria Math"/>
                <w:color w:val="000000" w:themeColor="text1"/>
                <w:lang w:val="fr-FR"/>
              </w:rPr>
              <m:t>1</m:t>
            </m:r>
          </m:num>
          <m:den>
            <m:r>
              <m:rPr>
                <m:sty m:val="bi"/>
              </m:rPr>
              <w:rPr>
                <w:rFonts w:ascii="Cambria Math" w:hAnsi="Cambria Math"/>
                <w:color w:val="000000" w:themeColor="text1"/>
                <w:lang w:val="fr-FR"/>
              </w:rPr>
              <m:t xml:space="preserve">10 </m:t>
            </m:r>
            <m:sSup>
              <m:sSupPr>
                <m:ctrlPr>
                  <w:rPr>
                    <w:rFonts w:ascii="Cambria Math" w:hAnsi="Cambria Math"/>
                    <w:b/>
                    <w:i/>
                    <w:color w:val="000000" w:themeColor="text1"/>
                    <w:lang w:val="fr-FR"/>
                  </w:rPr>
                </m:ctrlPr>
              </m:sSupPr>
              <m:e>
                <m:r>
                  <m:rPr>
                    <m:nor/>
                  </m:rPr>
                  <w:rPr>
                    <w:rFonts w:ascii="Cambria Math" w:hAnsi="Cambria Math"/>
                    <w:b/>
                    <w:color w:val="000000" w:themeColor="text1"/>
                    <w:lang w:val="fr-FR"/>
                  </w:rPr>
                  <m:t>mm</m:t>
                </m:r>
              </m:e>
              <m:sup>
                <m:r>
                  <m:rPr>
                    <m:sty m:val="bi"/>
                  </m:rPr>
                  <w:rPr>
                    <w:rFonts w:ascii="Cambria Math" w:hAnsi="Cambria Math"/>
                    <w:color w:val="000000" w:themeColor="text1"/>
                    <w:lang w:val="fr-FR"/>
                  </w:rPr>
                  <m:t>3</m:t>
                </m:r>
              </m:sup>
            </m:sSup>
          </m:den>
        </m:f>
        <w:bookmarkEnd w:id="3"/>
        <m:r>
          <m:rPr>
            <m:sty m:val="bi"/>
          </m:rPr>
          <w:rPr>
            <w:rFonts w:ascii="Cambria Math" w:hAnsi="Cambria Math"/>
            <w:color w:val="000000" w:themeColor="text1"/>
            <w:lang w:val="fr-FR"/>
          </w:rPr>
          <m:t>∙</m:t>
        </m:r>
        <m:sSub>
          <m:sSubPr>
            <m:ctrlPr>
              <w:rPr>
                <w:rFonts w:ascii="Cambria Math" w:hAnsi="Cambria Math"/>
                <w:b/>
                <w:i/>
                <w:color w:val="000000" w:themeColor="text1"/>
                <w:lang w:val="fr-FR"/>
              </w:rPr>
            </m:ctrlPr>
          </m:sSubPr>
          <m:e>
            <m:r>
              <m:rPr>
                <m:sty m:val="bi"/>
              </m:rPr>
              <w:rPr>
                <w:rFonts w:ascii="Cambria Math" w:hAnsi="Cambria Math"/>
                <w:color w:val="000000" w:themeColor="text1"/>
                <w:lang w:val="fr-FR"/>
              </w:rPr>
              <m:t>P</m:t>
            </m:r>
          </m:e>
          <m:sub>
            <m:r>
              <m:rPr>
                <m:nor/>
              </m:rPr>
              <w:rPr>
                <w:rFonts w:ascii="Cambria Math" w:hAnsi="Cambria Math"/>
                <w:b/>
                <w:color w:val="000000" w:themeColor="text1"/>
                <w:lang w:val="fr-FR"/>
              </w:rPr>
              <m:t>def</m:t>
            </m:r>
          </m:sub>
        </m:sSub>
        <m:r>
          <m:rPr>
            <m:sty m:val="bi"/>
          </m:rPr>
          <w:rPr>
            <w:rFonts w:ascii="Cambria Math" w:hAnsi="Cambria Math"/>
            <w:color w:val="000000" w:themeColor="text1"/>
            <w:lang w:val="fr-FR"/>
          </w:rPr>
          <m:t>+200</m:t>
        </m:r>
      </m:oMath>
      <w:bookmarkEnd w:id="2"/>
      <w:r>
        <w:rPr>
          <w:rFonts w:eastAsiaTheme="minorEastAsia"/>
          <w:b/>
          <w:color w:val="000000" w:themeColor="text1"/>
          <w:lang w:val="fr-FR"/>
        </w:rPr>
        <w:t> </w:t>
      </w:r>
      <w:r w:rsidRPr="00200914">
        <w:rPr>
          <w:bCs/>
          <w:color w:val="000000" w:themeColor="text1"/>
          <w:lang w:val="fr-FR"/>
        </w:rPr>
        <w:t>».</w:t>
      </w:r>
    </w:p>
    <w:p w14:paraId="07D57E76" w14:textId="5B6299BF" w:rsidR="001C58CC" w:rsidRPr="00DB650F" w:rsidRDefault="001C58CC" w:rsidP="001C58CC">
      <w:pPr>
        <w:pStyle w:val="HChG"/>
        <w:rPr>
          <w:lang w:val="fr-FR"/>
        </w:rPr>
      </w:pPr>
      <w:r>
        <w:rPr>
          <w:lang w:val="fr-FR"/>
        </w:rPr>
        <w:tab/>
      </w:r>
      <w:r w:rsidRPr="00DB650F">
        <w:rPr>
          <w:lang w:val="fr-FR"/>
        </w:rPr>
        <w:t>II.</w:t>
      </w:r>
      <w:r w:rsidRPr="00DB650F">
        <w:rPr>
          <w:lang w:val="fr-FR"/>
        </w:rPr>
        <w:tab/>
        <w:t>Justification</w:t>
      </w:r>
    </w:p>
    <w:p w14:paraId="246119CF" w14:textId="3B37D66C" w:rsidR="001C58CC" w:rsidRPr="00DB650F" w:rsidRDefault="001C58CC" w:rsidP="001C58CC">
      <w:pPr>
        <w:spacing w:after="120"/>
        <w:ind w:left="1128" w:right="1134" w:firstLine="6"/>
        <w:jc w:val="both"/>
        <w:rPr>
          <w:color w:val="000000" w:themeColor="text1"/>
          <w:lang w:val="fr-FR"/>
        </w:rPr>
      </w:pPr>
      <w:r w:rsidRPr="00DB650F">
        <w:rPr>
          <w:color w:val="000000" w:themeColor="text1"/>
          <w:lang w:val="fr-FR"/>
        </w:rPr>
        <w:t>1.</w:t>
      </w:r>
      <w:r w:rsidRPr="00DB650F">
        <w:rPr>
          <w:color w:val="000000" w:themeColor="text1"/>
          <w:lang w:val="fr-FR"/>
        </w:rPr>
        <w:tab/>
      </w:r>
      <w:r w:rsidRPr="00DB650F">
        <w:rPr>
          <w:lang w:val="fr-FR"/>
        </w:rPr>
        <w:t>Comme il est indiqué dans le document informel GRBP-70-19, les industriels du pneumatique</w:t>
      </w:r>
      <w:r w:rsidRPr="00DB650F">
        <w:rPr>
          <w:i/>
          <w:iCs/>
          <w:lang w:val="fr-FR"/>
        </w:rPr>
        <w:t xml:space="preserve"> </w:t>
      </w:r>
      <w:r w:rsidRPr="00DB650F">
        <w:rPr>
          <w:lang w:val="fr-FR"/>
        </w:rPr>
        <w:t>ont étudié la possibilité d</w:t>
      </w:r>
      <w:r>
        <w:rPr>
          <w:lang w:val="fr-FR"/>
        </w:rPr>
        <w:t>’</w:t>
      </w:r>
      <w:r w:rsidRPr="00DB650F">
        <w:rPr>
          <w:lang w:val="fr-FR"/>
        </w:rPr>
        <w:t>élaborer une procédure d</w:t>
      </w:r>
      <w:r>
        <w:rPr>
          <w:lang w:val="fr-FR"/>
        </w:rPr>
        <w:t>’</w:t>
      </w:r>
      <w:r w:rsidRPr="00DB650F">
        <w:rPr>
          <w:lang w:val="fr-FR"/>
        </w:rPr>
        <w:t>essai visant à caractériser les pneumatiques traction. Cependant, le niveau de reproductibilité des essais est très faible, surtout pour les sols meubles. Il n</w:t>
      </w:r>
      <w:r>
        <w:rPr>
          <w:lang w:val="fr-FR"/>
        </w:rPr>
        <w:t>’</w:t>
      </w:r>
      <w:r w:rsidRPr="00DB650F">
        <w:rPr>
          <w:lang w:val="fr-FR"/>
        </w:rPr>
        <w:t>a donc pas été possible d</w:t>
      </w:r>
      <w:r>
        <w:rPr>
          <w:lang w:val="fr-FR"/>
        </w:rPr>
        <w:t>’</w:t>
      </w:r>
      <w:r w:rsidRPr="00DB650F">
        <w:rPr>
          <w:lang w:val="fr-FR"/>
        </w:rPr>
        <w:t>élaborer une nouvelle définition reposant sur un essai unique ou une combinaison d</w:t>
      </w:r>
      <w:r>
        <w:rPr>
          <w:lang w:val="fr-FR"/>
        </w:rPr>
        <w:t>’</w:t>
      </w:r>
      <w:r w:rsidRPr="00DB650F">
        <w:rPr>
          <w:lang w:val="fr-FR"/>
        </w:rPr>
        <w:t>essais, et il a été décidé de passer de l</w:t>
      </w:r>
      <w:r>
        <w:rPr>
          <w:lang w:val="fr-FR"/>
        </w:rPr>
        <w:t>’</w:t>
      </w:r>
      <w:r w:rsidRPr="00DB650F">
        <w:rPr>
          <w:lang w:val="fr-FR"/>
        </w:rPr>
        <w:t xml:space="preserve">approche géométrique pure </w:t>
      </w:r>
      <w:r>
        <w:rPr>
          <w:lang w:val="fr-FR"/>
        </w:rPr>
        <w:t>actuelle</w:t>
      </w:r>
      <w:r w:rsidRPr="00DB650F">
        <w:rPr>
          <w:lang w:val="fr-FR"/>
        </w:rPr>
        <w:t xml:space="preserve"> à une approche plus mécanique.</w:t>
      </w:r>
    </w:p>
    <w:p w14:paraId="3970A8DB" w14:textId="02021B60" w:rsidR="001C58CC" w:rsidRDefault="001C58CC" w:rsidP="001C58CC">
      <w:pPr>
        <w:pStyle w:val="SingleTxtG"/>
        <w:rPr>
          <w:lang w:val="fr-FR"/>
        </w:rPr>
      </w:pPr>
      <w:r w:rsidRPr="00DB650F">
        <w:rPr>
          <w:color w:val="000000" w:themeColor="text1"/>
          <w:lang w:val="fr-FR"/>
        </w:rPr>
        <w:t>2.</w:t>
      </w:r>
      <w:r w:rsidRPr="00DB650F">
        <w:rPr>
          <w:color w:val="000000" w:themeColor="text1"/>
          <w:lang w:val="fr-FR"/>
        </w:rPr>
        <w:tab/>
      </w:r>
      <w:r w:rsidRPr="00DB650F">
        <w:rPr>
          <w:lang w:val="fr-FR"/>
        </w:rPr>
        <w:t>Après avoir réexaminé l</w:t>
      </w:r>
      <w:r>
        <w:rPr>
          <w:lang w:val="fr-FR"/>
        </w:rPr>
        <w:t>’</w:t>
      </w:r>
      <w:r w:rsidRPr="00DB650F">
        <w:rPr>
          <w:lang w:val="fr-FR"/>
        </w:rPr>
        <w:t>approche initiale, il s</w:t>
      </w:r>
      <w:r>
        <w:rPr>
          <w:lang w:val="fr-FR"/>
        </w:rPr>
        <w:t>’</w:t>
      </w:r>
      <w:r w:rsidRPr="00DB650F">
        <w:rPr>
          <w:lang w:val="fr-FR"/>
        </w:rPr>
        <w:t xml:space="preserve">est avéré que la définition des éléments de traction proposée au départ rendait trop difficile la vérification, </w:t>
      </w:r>
      <w:r>
        <w:rPr>
          <w:lang w:val="fr-FR"/>
        </w:rPr>
        <w:t>si bien qu’</w:t>
      </w:r>
      <w:r w:rsidRPr="00DB650F">
        <w:rPr>
          <w:lang w:val="fr-FR"/>
        </w:rPr>
        <w:t>une définition plus simple a été proposée.</w:t>
      </w:r>
    </w:p>
    <w:p w14:paraId="14D60894" w14:textId="584B49FF" w:rsidR="001C58CC" w:rsidRPr="001C58CC" w:rsidRDefault="001C58CC" w:rsidP="001C58CC">
      <w:pPr>
        <w:pStyle w:val="SingleTxtG"/>
        <w:spacing w:before="240" w:after="0"/>
        <w:jc w:val="center"/>
        <w:rPr>
          <w:u w:val="single"/>
        </w:rPr>
      </w:pPr>
      <w:r>
        <w:tab/>
      </w:r>
      <w:r>
        <w:rPr>
          <w:u w:val="single"/>
        </w:rPr>
        <w:tab/>
      </w:r>
      <w:r>
        <w:rPr>
          <w:u w:val="single"/>
        </w:rPr>
        <w:tab/>
      </w:r>
      <w:r>
        <w:rPr>
          <w:u w:val="single"/>
        </w:rPr>
        <w:tab/>
      </w:r>
    </w:p>
    <w:sectPr w:rsidR="001C58CC" w:rsidRPr="001C58CC" w:rsidSect="000360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D729" w14:textId="77777777" w:rsidR="00BA2CA5" w:rsidRDefault="00BA2CA5" w:rsidP="00F95C08">
      <w:pPr>
        <w:spacing w:line="240" w:lineRule="auto"/>
      </w:pPr>
    </w:p>
  </w:endnote>
  <w:endnote w:type="continuationSeparator" w:id="0">
    <w:p w14:paraId="60322CC7" w14:textId="77777777" w:rsidR="00BA2CA5" w:rsidRPr="00AC3823" w:rsidRDefault="00BA2CA5" w:rsidP="00AC3823">
      <w:pPr>
        <w:pStyle w:val="Pieddepage"/>
      </w:pPr>
    </w:p>
  </w:endnote>
  <w:endnote w:type="continuationNotice" w:id="1">
    <w:p w14:paraId="35067182" w14:textId="77777777" w:rsidR="00BA2CA5" w:rsidRDefault="00BA2C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8A55" w14:textId="3D517A1F" w:rsidR="00036028" w:rsidRPr="00036028" w:rsidRDefault="00036028" w:rsidP="00036028">
    <w:pPr>
      <w:pStyle w:val="Pieddepage"/>
      <w:tabs>
        <w:tab w:val="right" w:pos="9638"/>
      </w:tabs>
    </w:pPr>
    <w:r w:rsidRPr="00036028">
      <w:rPr>
        <w:b/>
        <w:sz w:val="18"/>
      </w:rPr>
      <w:fldChar w:fldCharType="begin"/>
    </w:r>
    <w:r w:rsidRPr="00036028">
      <w:rPr>
        <w:b/>
        <w:sz w:val="18"/>
      </w:rPr>
      <w:instrText xml:space="preserve"> PAGE  \* MERGEFORMAT </w:instrText>
    </w:r>
    <w:r w:rsidRPr="00036028">
      <w:rPr>
        <w:b/>
        <w:sz w:val="18"/>
      </w:rPr>
      <w:fldChar w:fldCharType="separate"/>
    </w:r>
    <w:r w:rsidRPr="00036028">
      <w:rPr>
        <w:b/>
        <w:noProof/>
        <w:sz w:val="18"/>
      </w:rPr>
      <w:t>2</w:t>
    </w:r>
    <w:r w:rsidRPr="00036028">
      <w:rPr>
        <w:b/>
        <w:sz w:val="18"/>
      </w:rPr>
      <w:fldChar w:fldCharType="end"/>
    </w:r>
    <w:r>
      <w:rPr>
        <w:b/>
        <w:sz w:val="18"/>
      </w:rPr>
      <w:tab/>
    </w:r>
    <w:r>
      <w:t>GE.22-09396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2263" w14:textId="71A36C98" w:rsidR="00036028" w:rsidRPr="00036028" w:rsidRDefault="00036028" w:rsidP="00036028">
    <w:pPr>
      <w:pStyle w:val="Pieddepage"/>
      <w:tabs>
        <w:tab w:val="right" w:pos="9638"/>
      </w:tabs>
      <w:rPr>
        <w:b/>
        <w:sz w:val="18"/>
      </w:rPr>
    </w:pPr>
    <w:r>
      <w:t>GE.22-09396</w:t>
    </w:r>
    <w:r>
      <w:tab/>
    </w:r>
    <w:r w:rsidRPr="00036028">
      <w:rPr>
        <w:b/>
        <w:sz w:val="18"/>
      </w:rPr>
      <w:fldChar w:fldCharType="begin"/>
    </w:r>
    <w:r w:rsidRPr="00036028">
      <w:rPr>
        <w:b/>
        <w:sz w:val="18"/>
      </w:rPr>
      <w:instrText xml:space="preserve"> PAGE  \* MERGEFORMAT </w:instrText>
    </w:r>
    <w:r w:rsidRPr="00036028">
      <w:rPr>
        <w:b/>
        <w:sz w:val="18"/>
      </w:rPr>
      <w:fldChar w:fldCharType="separate"/>
    </w:r>
    <w:r w:rsidRPr="00036028">
      <w:rPr>
        <w:b/>
        <w:noProof/>
        <w:sz w:val="18"/>
      </w:rPr>
      <w:t>3</w:t>
    </w:r>
    <w:r w:rsidRPr="000360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14D0" w14:textId="0CB52141" w:rsidR="007F20FA" w:rsidRPr="00036028" w:rsidRDefault="00036028" w:rsidP="0003602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DCCA2CA" wp14:editId="4AC2696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22-09396  (F)</w:t>
    </w:r>
    <w:r>
      <w:rPr>
        <w:noProof/>
        <w:sz w:val="20"/>
      </w:rPr>
      <w:drawing>
        <wp:anchor distT="0" distB="0" distL="114300" distR="114300" simplePos="0" relativeHeight="251660288" behindDoc="0" locked="0" layoutInCell="1" allowOverlap="1" wp14:anchorId="4766B226" wp14:editId="770FB25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150722    150722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448B" w14:textId="77777777" w:rsidR="00BA2CA5" w:rsidRPr="00AC3823" w:rsidRDefault="00BA2CA5" w:rsidP="00AC3823">
      <w:pPr>
        <w:pStyle w:val="Pieddepage"/>
        <w:tabs>
          <w:tab w:val="right" w:pos="2155"/>
        </w:tabs>
        <w:spacing w:after="80" w:line="240" w:lineRule="atLeast"/>
        <w:ind w:left="680"/>
        <w:rPr>
          <w:u w:val="single"/>
        </w:rPr>
      </w:pPr>
      <w:r>
        <w:rPr>
          <w:u w:val="single"/>
        </w:rPr>
        <w:tab/>
      </w:r>
    </w:p>
  </w:footnote>
  <w:footnote w:type="continuationSeparator" w:id="0">
    <w:p w14:paraId="57A0C209" w14:textId="77777777" w:rsidR="00BA2CA5" w:rsidRPr="00AC3823" w:rsidRDefault="00BA2CA5" w:rsidP="00AC3823">
      <w:pPr>
        <w:pStyle w:val="Pieddepage"/>
        <w:tabs>
          <w:tab w:val="right" w:pos="2155"/>
        </w:tabs>
        <w:spacing w:after="80" w:line="240" w:lineRule="atLeast"/>
        <w:ind w:left="680"/>
        <w:rPr>
          <w:u w:val="single"/>
        </w:rPr>
      </w:pPr>
      <w:r>
        <w:rPr>
          <w:u w:val="single"/>
        </w:rPr>
        <w:tab/>
      </w:r>
    </w:p>
  </w:footnote>
  <w:footnote w:type="continuationNotice" w:id="1">
    <w:p w14:paraId="49570DA4" w14:textId="77777777" w:rsidR="00BA2CA5" w:rsidRPr="00AC3823" w:rsidRDefault="00BA2CA5">
      <w:pPr>
        <w:spacing w:line="240" w:lineRule="auto"/>
        <w:rPr>
          <w:sz w:val="2"/>
          <w:szCs w:val="2"/>
        </w:rPr>
      </w:pPr>
    </w:p>
  </w:footnote>
  <w:footnote w:id="2">
    <w:p w14:paraId="7C17B45B" w14:textId="77777777" w:rsidR="001C58CC" w:rsidRPr="007E464F" w:rsidRDefault="001C58CC" w:rsidP="001C58CC">
      <w:pPr>
        <w:pStyle w:val="Notedebasdepage"/>
      </w:pPr>
      <w:r w:rsidRPr="001C58CC">
        <w:rPr>
          <w:sz w:val="20"/>
          <w:lang w:val="fr-FR"/>
        </w:rPr>
        <w:tab/>
        <w:t>*</w:t>
      </w:r>
      <w:r w:rsidRPr="001C58CC">
        <w:rPr>
          <w:sz w:val="20"/>
          <w:lang w:val="fr-FR"/>
        </w:rPr>
        <w:tab/>
      </w:r>
      <w:r>
        <w:rPr>
          <w:lang w:val="fr-FR"/>
        </w:rPr>
        <w:t xml:space="preserve">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 </w:t>
      </w:r>
    </w:p>
    <w:p w14:paraId="346EF488" w14:textId="77777777" w:rsidR="001C58CC" w:rsidRPr="00267444" w:rsidRDefault="001C58CC" w:rsidP="001C58C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150" w14:textId="07DC1DC6" w:rsidR="00036028" w:rsidRPr="00036028" w:rsidRDefault="00036028">
    <w:pPr>
      <w:pStyle w:val="En-tte"/>
    </w:pPr>
    <w:fldSimple w:instr=" TITLE  \* MERGEFORMAT ">
      <w:r w:rsidR="00953468">
        <w:t>ECE/TRANS/WP.29/GRBP/2022/17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ED3C" w14:textId="117DEA7C" w:rsidR="00036028" w:rsidRPr="00036028" w:rsidRDefault="00036028" w:rsidP="00036028">
    <w:pPr>
      <w:pStyle w:val="En-tte"/>
      <w:jc w:val="right"/>
    </w:pPr>
    <w:fldSimple w:instr=" TITLE  \* MERGEFORMAT ">
      <w:r w:rsidR="00953468">
        <w:t>ECE/TRANS/WP.29/GRBP/2022/17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A5"/>
    <w:rsid w:val="00017F94"/>
    <w:rsid w:val="00023842"/>
    <w:rsid w:val="000334F9"/>
    <w:rsid w:val="00036028"/>
    <w:rsid w:val="00045FEB"/>
    <w:rsid w:val="0007796D"/>
    <w:rsid w:val="000B7790"/>
    <w:rsid w:val="00111F2F"/>
    <w:rsid w:val="0014365E"/>
    <w:rsid w:val="00143C66"/>
    <w:rsid w:val="00176178"/>
    <w:rsid w:val="001C58CC"/>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53468"/>
    <w:rsid w:val="009705C8"/>
    <w:rsid w:val="009C1CF4"/>
    <w:rsid w:val="009F6B74"/>
    <w:rsid w:val="00A12C5B"/>
    <w:rsid w:val="00A3029F"/>
    <w:rsid w:val="00A30353"/>
    <w:rsid w:val="00AC3823"/>
    <w:rsid w:val="00AE323C"/>
    <w:rsid w:val="00AF0CB5"/>
    <w:rsid w:val="00B00181"/>
    <w:rsid w:val="00B00B0D"/>
    <w:rsid w:val="00B45F2E"/>
    <w:rsid w:val="00B765F7"/>
    <w:rsid w:val="00B77993"/>
    <w:rsid w:val="00BA0CA9"/>
    <w:rsid w:val="00BA2CA5"/>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60065"/>
  <w15:docId w15:val="{402FEC29-D281-456D-A028-A0E11BC5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610</Words>
  <Characters>4276</Characters>
  <Application>Microsoft Office Word</Application>
  <DocSecurity>0</DocSecurity>
  <Lines>356</Lines>
  <Paragraphs>195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ECE/TRANS/WP.29/GRBP/2022/17</dc:title>
  <dc:subject/>
  <dc:creator>Maud DARICHE</dc:creator>
  <cp:keywords/>
  <cp:lastModifiedBy>Maud Dariche</cp:lastModifiedBy>
  <cp:revision>3</cp:revision>
  <cp:lastPrinted>2022-07-15T15:16:00Z</cp:lastPrinted>
  <dcterms:created xsi:type="dcterms:W3CDTF">2022-07-15T15:16:00Z</dcterms:created>
  <dcterms:modified xsi:type="dcterms:W3CDTF">2022-07-15T15:16:00Z</dcterms:modified>
</cp:coreProperties>
</file>