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17C36B63" w14:textId="77777777" w:rsidTr="000D1B89">
        <w:trPr>
          <w:cantSplit/>
          <w:trHeight w:hRule="exact" w:val="851"/>
        </w:trPr>
        <w:tc>
          <w:tcPr>
            <w:tcW w:w="1276" w:type="dxa"/>
            <w:tcBorders>
              <w:bottom w:val="single" w:sz="4" w:space="0" w:color="auto"/>
            </w:tcBorders>
            <w:vAlign w:val="bottom"/>
          </w:tcPr>
          <w:p w14:paraId="5E4430C4" w14:textId="77777777" w:rsidR="00717266" w:rsidRDefault="00717266" w:rsidP="000D1B89">
            <w:pPr>
              <w:spacing w:after="80"/>
            </w:pPr>
          </w:p>
        </w:tc>
        <w:tc>
          <w:tcPr>
            <w:tcW w:w="2268" w:type="dxa"/>
            <w:tcBorders>
              <w:bottom w:val="single" w:sz="4" w:space="0" w:color="auto"/>
            </w:tcBorders>
            <w:vAlign w:val="bottom"/>
          </w:tcPr>
          <w:p w14:paraId="790FAEA9"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9AC72F7" w14:textId="77777777" w:rsidR="00717266" w:rsidRPr="00D47EEA" w:rsidRDefault="00A30C72" w:rsidP="00A30C72">
            <w:pPr>
              <w:suppressAutoHyphens w:val="0"/>
              <w:spacing w:after="20"/>
              <w:jc w:val="right"/>
            </w:pPr>
            <w:r w:rsidRPr="00A30C72">
              <w:rPr>
                <w:sz w:val="40"/>
              </w:rPr>
              <w:t>ECE</w:t>
            </w:r>
            <w:r>
              <w:t>/TRANS/WP.15/AC.1/2022/21</w:t>
            </w:r>
          </w:p>
        </w:tc>
      </w:tr>
      <w:tr w:rsidR="00717266" w14:paraId="624FFBA0" w14:textId="77777777" w:rsidTr="000D1B89">
        <w:trPr>
          <w:cantSplit/>
          <w:trHeight w:hRule="exact" w:val="2835"/>
        </w:trPr>
        <w:tc>
          <w:tcPr>
            <w:tcW w:w="1276" w:type="dxa"/>
            <w:tcBorders>
              <w:top w:val="single" w:sz="4" w:space="0" w:color="auto"/>
              <w:bottom w:val="single" w:sz="12" w:space="0" w:color="auto"/>
            </w:tcBorders>
          </w:tcPr>
          <w:p w14:paraId="3EFB7FE5" w14:textId="77777777" w:rsidR="00717266" w:rsidRDefault="00717266" w:rsidP="000D1B89">
            <w:pPr>
              <w:spacing w:before="120"/>
            </w:pPr>
            <w:r>
              <w:rPr>
                <w:noProof/>
                <w:lang w:val="fr-CH" w:eastAsia="fr-CH"/>
              </w:rPr>
              <w:drawing>
                <wp:inline distT="0" distB="0" distL="0" distR="0" wp14:anchorId="48C77999" wp14:editId="2790AFD6">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166403E"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ACCD83B" w14:textId="77777777" w:rsidR="00A30C72" w:rsidRPr="00BA15A9" w:rsidRDefault="00A30C72" w:rsidP="00A30C72">
            <w:pPr>
              <w:spacing w:before="240" w:line="240" w:lineRule="exact"/>
              <w:rPr>
                <w:lang w:val="en-US"/>
              </w:rPr>
            </w:pPr>
            <w:r>
              <w:t>Distr.: General</w:t>
            </w:r>
          </w:p>
          <w:p w14:paraId="7F9043F2" w14:textId="77777777" w:rsidR="00A30C72" w:rsidRPr="00BA15A9" w:rsidRDefault="00A30C72" w:rsidP="00A30C72">
            <w:pPr>
              <w:spacing w:line="240" w:lineRule="exact"/>
              <w:rPr>
                <w:lang w:val="en-US"/>
              </w:rPr>
            </w:pPr>
            <w:r>
              <w:t>21 June 2022</w:t>
            </w:r>
          </w:p>
          <w:p w14:paraId="6FA2E40F" w14:textId="77777777" w:rsidR="00A30C72" w:rsidRDefault="00A30C72" w:rsidP="00A30C72">
            <w:pPr>
              <w:spacing w:line="240" w:lineRule="exact"/>
            </w:pPr>
            <w:r>
              <w:t xml:space="preserve">English </w:t>
            </w:r>
          </w:p>
          <w:p w14:paraId="7FA46F55" w14:textId="571401E4" w:rsidR="00A30C72" w:rsidRDefault="00A30C72" w:rsidP="00A30C72">
            <w:pPr>
              <w:suppressAutoHyphens w:val="0"/>
            </w:pPr>
            <w:r>
              <w:t>Original: Russian</w:t>
            </w:r>
          </w:p>
        </w:tc>
      </w:tr>
    </w:tbl>
    <w:p w14:paraId="1D3251C2" w14:textId="77777777" w:rsidR="00786519" w:rsidRPr="00C55907" w:rsidRDefault="00786519" w:rsidP="00786519">
      <w:pPr>
        <w:spacing w:before="120"/>
        <w:rPr>
          <w:b/>
          <w:sz w:val="28"/>
          <w:szCs w:val="28"/>
        </w:rPr>
      </w:pPr>
      <w:r w:rsidRPr="00C55907">
        <w:rPr>
          <w:b/>
          <w:sz w:val="28"/>
          <w:szCs w:val="28"/>
        </w:rPr>
        <w:t>Economic Commission for Europe</w:t>
      </w:r>
    </w:p>
    <w:p w14:paraId="2E773A4C" w14:textId="77777777" w:rsidR="00786519" w:rsidRPr="00C55907" w:rsidRDefault="00786519" w:rsidP="00786519">
      <w:pPr>
        <w:spacing w:before="120"/>
        <w:rPr>
          <w:sz w:val="28"/>
          <w:szCs w:val="28"/>
        </w:rPr>
      </w:pPr>
      <w:r w:rsidRPr="00C55907">
        <w:rPr>
          <w:sz w:val="28"/>
          <w:szCs w:val="28"/>
        </w:rPr>
        <w:t>Inland Transport Committee</w:t>
      </w:r>
    </w:p>
    <w:p w14:paraId="2F043FA4" w14:textId="77777777" w:rsidR="00786519" w:rsidRPr="00C55907" w:rsidRDefault="00786519" w:rsidP="00786519">
      <w:pPr>
        <w:spacing w:before="120" w:after="120"/>
        <w:rPr>
          <w:b/>
          <w:sz w:val="24"/>
          <w:szCs w:val="24"/>
        </w:rPr>
      </w:pPr>
      <w:r w:rsidRPr="00C55907">
        <w:rPr>
          <w:b/>
          <w:sz w:val="24"/>
          <w:szCs w:val="24"/>
        </w:rPr>
        <w:t>Working Party on the Transport of Dangerous Goods</w:t>
      </w:r>
    </w:p>
    <w:p w14:paraId="031B1F1C" w14:textId="77777777" w:rsidR="00786519" w:rsidRDefault="00786519" w:rsidP="00786519">
      <w:pPr>
        <w:spacing w:before="120"/>
        <w:rPr>
          <w:b/>
        </w:rPr>
      </w:pPr>
      <w:r>
        <w:rPr>
          <w:b/>
        </w:rPr>
        <w:t>Joint Meeting of the RID Committee of Experts and the</w:t>
      </w:r>
      <w:r>
        <w:rPr>
          <w:b/>
        </w:rPr>
        <w:br/>
        <w:t>Working Party on the Transport of Dangerous Goods</w:t>
      </w:r>
    </w:p>
    <w:p w14:paraId="7718CA58" w14:textId="27C822AC" w:rsidR="00786519" w:rsidRPr="00C963D3" w:rsidRDefault="00786519" w:rsidP="00786519">
      <w:pPr>
        <w:rPr>
          <w:lang w:val="en-US"/>
        </w:rPr>
      </w:pPr>
      <w:r>
        <w:t>Geneva,</w:t>
      </w:r>
      <w:r w:rsidR="005D35B4">
        <w:t xml:space="preserve"> </w:t>
      </w:r>
      <w:r>
        <w:t>12–16 September 2022</w:t>
      </w:r>
    </w:p>
    <w:p w14:paraId="0D1793E6" w14:textId="77777777" w:rsidR="00786519" w:rsidRPr="00712B8C" w:rsidRDefault="00786519" w:rsidP="00786519">
      <w:pPr>
        <w:rPr>
          <w:b/>
          <w:bCs/>
          <w:lang w:val="en-US"/>
        </w:rPr>
      </w:pPr>
      <w:r>
        <w:t>Item 2 of the provisional agenda:</w:t>
      </w:r>
    </w:p>
    <w:p w14:paraId="5C9190D5" w14:textId="349B92C0" w:rsidR="00786519" w:rsidRDefault="00786519" w:rsidP="00786519">
      <w:pPr>
        <w:rPr>
          <w:b/>
          <w:bCs/>
        </w:rPr>
      </w:pPr>
      <w:r w:rsidRPr="00786519">
        <w:rPr>
          <w:b/>
          <w:bCs/>
        </w:rPr>
        <w:t>Tanks</w:t>
      </w:r>
    </w:p>
    <w:p w14:paraId="56686D28" w14:textId="77777777" w:rsidR="00786519" w:rsidRPr="0033141A" w:rsidRDefault="00786519" w:rsidP="00786519">
      <w:pPr>
        <w:pStyle w:val="HChG"/>
        <w:rPr>
          <w:lang w:val="en-US"/>
        </w:rPr>
      </w:pPr>
      <w:r>
        <w:tab/>
      </w:r>
      <w:r>
        <w:tab/>
      </w:r>
      <w:r>
        <w:rPr>
          <w:bCs/>
        </w:rPr>
        <w:t>Calculation of the shell thickness for tanks with code P22DH (UN No. 1017 CHLORINE;</w:t>
      </w:r>
      <w:r>
        <w:t xml:space="preserve"> </w:t>
      </w:r>
      <w:r>
        <w:rPr>
          <w:bCs/>
        </w:rPr>
        <w:t>UN No. 1076 PHOSGENE)</w:t>
      </w:r>
    </w:p>
    <w:p w14:paraId="7F30878C" w14:textId="00FC8402" w:rsidR="00786519" w:rsidRDefault="00786519" w:rsidP="00A85F73">
      <w:pPr>
        <w:pStyle w:val="H1G"/>
      </w:pPr>
      <w:r>
        <w:tab/>
      </w:r>
      <w:r>
        <w:tab/>
        <w:t>Transmitted by the Government of the Russian Federation</w:t>
      </w:r>
      <w:r w:rsidR="00096E73" w:rsidRPr="003B243A">
        <w:rPr>
          <w:rStyle w:val="FootnoteReference"/>
          <w:b w:val="0"/>
          <w:bCs/>
          <w:sz w:val="20"/>
          <w:szCs w:val="22"/>
          <w:vertAlign w:val="baseline"/>
        </w:rPr>
        <w:footnoteReference w:customMarkFollows="1" w:id="2"/>
        <w:t>*</w:t>
      </w:r>
      <w:r w:rsidR="003B243A" w:rsidRPr="003B243A">
        <w:rPr>
          <w:b w:val="0"/>
          <w:bCs/>
          <w:position w:val="6"/>
          <w:sz w:val="20"/>
          <w:szCs w:val="24"/>
        </w:rPr>
        <w:t>,</w:t>
      </w:r>
      <w:r w:rsidR="003B243A">
        <w:rPr>
          <w:b w:val="0"/>
          <w:bCs/>
          <w:sz w:val="20"/>
          <w:szCs w:val="24"/>
        </w:rPr>
        <w:t xml:space="preserve"> </w:t>
      </w:r>
      <w:r w:rsidR="00B15615" w:rsidRPr="00096E73">
        <w:rPr>
          <w:rStyle w:val="FootnoteReference"/>
          <w:b w:val="0"/>
          <w:bCs/>
          <w:sz w:val="20"/>
          <w:szCs w:val="24"/>
          <w:vertAlign w:val="baseline"/>
        </w:rPr>
        <w:footnoteReference w:customMarkFollows="1" w:id="3"/>
        <w:t>**</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786519" w14:paraId="21EA0FB8" w14:textId="77777777" w:rsidTr="00786519">
        <w:trPr>
          <w:jc w:val="center"/>
        </w:trPr>
        <w:tc>
          <w:tcPr>
            <w:tcW w:w="9637" w:type="dxa"/>
            <w:tcBorders>
              <w:bottom w:val="nil"/>
            </w:tcBorders>
          </w:tcPr>
          <w:p w14:paraId="532DDFA8" w14:textId="78E39AF0" w:rsidR="00786519" w:rsidRPr="00786519" w:rsidRDefault="00786519" w:rsidP="00786519">
            <w:pPr>
              <w:tabs>
                <w:tab w:val="left" w:pos="255"/>
              </w:tabs>
              <w:suppressAutoHyphens w:val="0"/>
              <w:spacing w:before="240" w:after="120"/>
              <w:rPr>
                <w:sz w:val="24"/>
              </w:rPr>
            </w:pPr>
            <w:r>
              <w:tab/>
            </w:r>
            <w:r>
              <w:rPr>
                <w:i/>
                <w:sz w:val="24"/>
              </w:rPr>
              <w:t>Summary</w:t>
            </w:r>
          </w:p>
        </w:tc>
      </w:tr>
      <w:tr w:rsidR="00786519" w14:paraId="11B53370" w14:textId="77777777" w:rsidTr="00786519">
        <w:trPr>
          <w:jc w:val="center"/>
        </w:trPr>
        <w:tc>
          <w:tcPr>
            <w:tcW w:w="9637" w:type="dxa"/>
            <w:tcBorders>
              <w:top w:val="nil"/>
              <w:bottom w:val="nil"/>
            </w:tcBorders>
            <w:shd w:val="clear" w:color="auto" w:fill="auto"/>
          </w:tcPr>
          <w:p w14:paraId="2B69B799" w14:textId="432AA22A" w:rsidR="00786519" w:rsidRPr="00786519" w:rsidRDefault="00786519" w:rsidP="00786519">
            <w:pPr>
              <w:pStyle w:val="SingleTxtG"/>
              <w:tabs>
                <w:tab w:val="clear" w:pos="1701"/>
                <w:tab w:val="clear" w:pos="2268"/>
              </w:tabs>
              <w:spacing w:after="60"/>
              <w:ind w:left="2552" w:hanging="2268"/>
              <w:rPr>
                <w:rFonts w:eastAsia="Times New Roman"/>
                <w:b/>
                <w:szCs w:val="22"/>
                <w:lang w:eastAsia="en-US"/>
              </w:rPr>
            </w:pPr>
            <w:r>
              <w:rPr>
                <w:b/>
                <w:bCs/>
              </w:rPr>
              <w:t>Executive summary</w:t>
            </w:r>
            <w:r w:rsidRPr="00FC22AE">
              <w:t>:</w:t>
            </w:r>
            <w:r>
              <w:tab/>
              <w:t>The purpose of this document is to clarify the conditions for calculating the shell thickness for tanks with code P22DH (UN No. 1017 CHLORINE; UN No. 1076 PHOSGENE).</w:t>
            </w:r>
          </w:p>
        </w:tc>
      </w:tr>
      <w:tr w:rsidR="00786519" w14:paraId="21B292E3" w14:textId="77777777" w:rsidTr="00786519">
        <w:trPr>
          <w:jc w:val="center"/>
        </w:trPr>
        <w:tc>
          <w:tcPr>
            <w:tcW w:w="9637" w:type="dxa"/>
            <w:tcBorders>
              <w:top w:val="nil"/>
              <w:bottom w:val="nil"/>
            </w:tcBorders>
            <w:shd w:val="clear" w:color="auto" w:fill="auto"/>
          </w:tcPr>
          <w:p w14:paraId="19B0762E" w14:textId="0E9B6AD8" w:rsidR="00786519" w:rsidRPr="00786519" w:rsidRDefault="00786519" w:rsidP="00786519">
            <w:pPr>
              <w:pStyle w:val="SingleTxtG"/>
              <w:tabs>
                <w:tab w:val="clear" w:pos="1701"/>
                <w:tab w:val="clear" w:pos="2268"/>
              </w:tabs>
              <w:spacing w:after="60"/>
              <w:ind w:left="2552" w:hanging="2268"/>
              <w:rPr>
                <w:rFonts w:eastAsia="Times New Roman"/>
                <w:b/>
                <w:szCs w:val="22"/>
                <w:lang w:eastAsia="en-US"/>
              </w:rPr>
            </w:pPr>
            <w:r>
              <w:rPr>
                <w:b/>
                <w:bCs/>
              </w:rPr>
              <w:t>Action to be taken</w:t>
            </w:r>
            <w:r w:rsidRPr="00FC22AE">
              <w:t>:</w:t>
            </w:r>
            <w:r>
              <w:tab/>
              <w:t>Three alternatives are proposed to take into account the calculation pressure for the thickness of a tank shell for the transport of Class 2 dangerous goods.</w:t>
            </w:r>
          </w:p>
        </w:tc>
      </w:tr>
      <w:tr w:rsidR="00786519" w14:paraId="03BB0834" w14:textId="77777777" w:rsidTr="00786519">
        <w:trPr>
          <w:jc w:val="center"/>
        </w:trPr>
        <w:tc>
          <w:tcPr>
            <w:tcW w:w="9637" w:type="dxa"/>
            <w:tcBorders>
              <w:top w:val="nil"/>
              <w:bottom w:val="nil"/>
            </w:tcBorders>
            <w:shd w:val="clear" w:color="auto" w:fill="auto"/>
          </w:tcPr>
          <w:p w14:paraId="255D34B0" w14:textId="1AD0FE25" w:rsidR="00786519" w:rsidRPr="00786519" w:rsidRDefault="00786519" w:rsidP="00786519">
            <w:pPr>
              <w:pStyle w:val="SingleTxtG"/>
              <w:tabs>
                <w:tab w:val="clear" w:pos="1701"/>
                <w:tab w:val="clear" w:pos="2268"/>
              </w:tabs>
              <w:spacing w:after="60"/>
              <w:ind w:left="2552" w:hanging="2268"/>
              <w:rPr>
                <w:rFonts w:eastAsia="Times New Roman"/>
                <w:b/>
                <w:szCs w:val="22"/>
                <w:lang w:eastAsia="en-US"/>
              </w:rPr>
            </w:pPr>
            <w:r>
              <w:rPr>
                <w:b/>
                <w:bCs/>
              </w:rPr>
              <w:t>Related documents</w:t>
            </w:r>
            <w:r w:rsidRPr="00FC22AE">
              <w:t>:</w:t>
            </w:r>
            <w:r>
              <w:tab/>
              <w:t>None</w:t>
            </w:r>
          </w:p>
        </w:tc>
      </w:tr>
      <w:tr w:rsidR="00786519" w14:paraId="12C0B58B" w14:textId="77777777" w:rsidTr="00786519">
        <w:trPr>
          <w:jc w:val="center"/>
        </w:trPr>
        <w:tc>
          <w:tcPr>
            <w:tcW w:w="9637" w:type="dxa"/>
            <w:tcBorders>
              <w:top w:val="nil"/>
            </w:tcBorders>
          </w:tcPr>
          <w:p w14:paraId="6F8314C5" w14:textId="77777777" w:rsidR="00786519" w:rsidRDefault="00786519" w:rsidP="00786519">
            <w:pPr>
              <w:suppressAutoHyphens w:val="0"/>
            </w:pPr>
          </w:p>
        </w:tc>
      </w:tr>
    </w:tbl>
    <w:p w14:paraId="1D2F60DF" w14:textId="3A2B2BD5" w:rsidR="00786519" w:rsidRPr="005467F1" w:rsidRDefault="00786519" w:rsidP="00786519">
      <w:pPr>
        <w:pStyle w:val="HChG"/>
        <w:jc w:val="both"/>
      </w:pPr>
      <w:r>
        <w:tab/>
      </w:r>
      <w:r>
        <w:tab/>
      </w:r>
      <w:r>
        <w:rPr>
          <w:bCs/>
        </w:rPr>
        <w:t>Introduction</w:t>
      </w:r>
    </w:p>
    <w:p w14:paraId="3DA3FC3D" w14:textId="77777777" w:rsidR="00786519" w:rsidRPr="0033141A" w:rsidRDefault="00786519" w:rsidP="00786519">
      <w:pPr>
        <w:pStyle w:val="SingleTxtG"/>
        <w:rPr>
          <w:lang w:val="en-US"/>
        </w:rPr>
      </w:pPr>
      <w:r>
        <w:t>1.</w:t>
      </w:r>
      <w:r>
        <w:tab/>
        <w:t xml:space="preserve">Paragraph 6.8.2.1.17, in the explanation of the formula, refers to paragraph 6.8.2.1.14 for the calculation pressure (the reference is in </w:t>
      </w:r>
      <w:r>
        <w:rPr>
          <w:i/>
          <w:iCs/>
        </w:rPr>
        <w:t>italics</w:t>
      </w:r>
      <w:r>
        <w:t>):</w:t>
      </w:r>
    </w:p>
    <w:p w14:paraId="571096F6" w14:textId="77777777" w:rsidR="00786519" w:rsidRDefault="00786519" w:rsidP="00786519">
      <w:pPr>
        <w:pStyle w:val="SingleTxtG"/>
      </w:pPr>
      <w:r>
        <w:t>6.8.2.1.17</w:t>
      </w:r>
      <w:r>
        <w:tab/>
        <w:t>The shell thickness shall not be less than the greater of the values determined by the following formulae:</w:t>
      </w:r>
    </w:p>
    <w:p w14:paraId="327C3D4D" w14:textId="10422D40" w:rsidR="00786519" w:rsidRPr="00274AD1" w:rsidRDefault="008D5BD2" w:rsidP="00786519">
      <w:pPr>
        <w:pStyle w:val="SingleTxtG"/>
        <w:rPr>
          <w:lang w:val="es-ES"/>
        </w:rPr>
      </w:pPr>
      <w:r>
        <w:rPr>
          <w:lang w:val="es-ES"/>
        </w:rPr>
        <w:tab/>
      </w:r>
      <w:r>
        <w:rPr>
          <w:lang w:val="es-ES"/>
        </w:rPr>
        <w:tab/>
      </w:r>
      <w:r w:rsidR="00786519" w:rsidRPr="00274AD1">
        <w:rPr>
          <w:lang w:val="es-ES"/>
        </w:rPr>
        <w:t>e = (</w:t>
      </w:r>
      <w:bookmarkStart w:id="0" w:name="_Hlk107908809"/>
      <w:r w:rsidR="00786519" w:rsidRPr="00274AD1">
        <w:rPr>
          <w:lang w:val="es-ES"/>
        </w:rPr>
        <w:t>P</w:t>
      </w:r>
      <w:bookmarkStart w:id="1" w:name="_Hlk107908580"/>
      <w:r w:rsidR="00786519" w:rsidRPr="00857D00">
        <w:rPr>
          <w:vertAlign w:val="subscript"/>
          <w:lang w:val="es-ES"/>
        </w:rPr>
        <w:t>T</w:t>
      </w:r>
      <w:bookmarkEnd w:id="0"/>
      <w:bookmarkEnd w:id="1"/>
      <w:r w:rsidR="00786519" w:rsidRPr="00274AD1">
        <w:rPr>
          <w:lang w:val="es-ES"/>
        </w:rPr>
        <w:t>∙D)/(2</w:t>
      </w:r>
      <w:r w:rsidR="00786519" w:rsidRPr="00274AD1">
        <w:t>σ</w:t>
      </w:r>
      <w:r w:rsidR="00786519" w:rsidRPr="00274AD1">
        <w:rPr>
          <w:lang w:val="es-ES"/>
        </w:rPr>
        <w:t>∙</w:t>
      </w:r>
      <w:r w:rsidR="00786519" w:rsidRPr="00274AD1">
        <w:t>λ</w:t>
      </w:r>
      <w:r w:rsidR="00786519" w:rsidRPr="00274AD1">
        <w:rPr>
          <w:lang w:val="es-ES"/>
        </w:rPr>
        <w:t xml:space="preserve">); </w:t>
      </w:r>
    </w:p>
    <w:p w14:paraId="634875F5" w14:textId="74F2D6A7" w:rsidR="00786519" w:rsidRPr="00274AD1" w:rsidRDefault="008D5BD2" w:rsidP="00786519">
      <w:pPr>
        <w:pStyle w:val="SingleTxtG"/>
        <w:rPr>
          <w:lang w:val="es-ES"/>
        </w:rPr>
      </w:pPr>
      <w:r>
        <w:rPr>
          <w:lang w:val="es-ES"/>
        </w:rPr>
        <w:tab/>
      </w:r>
      <w:r>
        <w:rPr>
          <w:lang w:val="es-ES"/>
        </w:rPr>
        <w:tab/>
      </w:r>
      <w:r w:rsidR="00786519" w:rsidRPr="00274AD1">
        <w:rPr>
          <w:lang w:val="es-ES"/>
        </w:rPr>
        <w:t>e = (P</w:t>
      </w:r>
      <w:r w:rsidR="00786519">
        <w:rPr>
          <w:vertAlign w:val="subscript"/>
          <w:lang w:val="es-ES"/>
        </w:rPr>
        <w:t>C</w:t>
      </w:r>
      <w:r w:rsidR="00786519" w:rsidRPr="00274AD1">
        <w:rPr>
          <w:lang w:val="es-ES"/>
        </w:rPr>
        <w:t>∙D)/(2</w:t>
      </w:r>
      <w:r w:rsidR="00786519" w:rsidRPr="00274AD1">
        <w:t>σ</w:t>
      </w:r>
      <w:r w:rsidR="00786519" w:rsidRPr="00274AD1">
        <w:rPr>
          <w:lang w:val="es-ES"/>
        </w:rPr>
        <w:t>)</w:t>
      </w:r>
    </w:p>
    <w:p w14:paraId="6DE220AD" w14:textId="5DF859E2" w:rsidR="00786519" w:rsidRDefault="008D5BD2" w:rsidP="00786519">
      <w:pPr>
        <w:pStyle w:val="SingleTxtG"/>
      </w:pPr>
      <w:r>
        <w:tab/>
      </w:r>
      <w:r>
        <w:tab/>
      </w:r>
      <w:r w:rsidR="00786519">
        <w:t>where</w:t>
      </w:r>
    </w:p>
    <w:p w14:paraId="170C8389" w14:textId="4086BEED" w:rsidR="00786519" w:rsidRDefault="00E67891" w:rsidP="00786519">
      <w:pPr>
        <w:pStyle w:val="SingleTxtG"/>
      </w:pPr>
      <w:r>
        <w:tab/>
      </w:r>
      <w:r>
        <w:tab/>
      </w:r>
      <w:r>
        <w:tab/>
      </w:r>
      <w:r w:rsidR="00786519">
        <w:t>…</w:t>
      </w:r>
    </w:p>
    <w:p w14:paraId="561EEDD1" w14:textId="0E938C05" w:rsidR="00786519" w:rsidRDefault="00E67891" w:rsidP="00786519">
      <w:pPr>
        <w:pStyle w:val="SingleTxtG"/>
        <w:rPr>
          <w:lang w:val="en-US"/>
        </w:rPr>
      </w:pPr>
      <w:r>
        <w:rPr>
          <w:lang w:val="en-US"/>
        </w:rPr>
        <w:lastRenderedPageBreak/>
        <w:tab/>
      </w:r>
      <w:r>
        <w:rPr>
          <w:lang w:val="en-US"/>
        </w:rPr>
        <w:tab/>
      </w:r>
      <w:r w:rsidR="00786519" w:rsidRPr="008714FE">
        <w:rPr>
          <w:lang w:val="en-US"/>
        </w:rPr>
        <w:t>P</w:t>
      </w:r>
      <w:r w:rsidR="00786519" w:rsidRPr="008714FE">
        <w:rPr>
          <w:vertAlign w:val="subscript"/>
          <w:lang w:val="en-US"/>
        </w:rPr>
        <w:t>T</w:t>
      </w:r>
      <w:r w:rsidR="00786519">
        <w:rPr>
          <w:lang w:val="en-US"/>
        </w:rPr>
        <w:t xml:space="preserve"> = test pressure in MPa</w:t>
      </w:r>
    </w:p>
    <w:p w14:paraId="7B965CF7" w14:textId="42C03C3A" w:rsidR="00786519" w:rsidRDefault="00E67891" w:rsidP="00786519">
      <w:pPr>
        <w:pStyle w:val="SingleTxtG"/>
        <w:rPr>
          <w:lang w:val="en-US"/>
        </w:rPr>
      </w:pPr>
      <w:r>
        <w:rPr>
          <w:lang w:val="en-US"/>
        </w:rPr>
        <w:tab/>
      </w:r>
      <w:r>
        <w:rPr>
          <w:lang w:val="en-US"/>
        </w:rPr>
        <w:tab/>
      </w:r>
      <w:r w:rsidR="00786519">
        <w:rPr>
          <w:lang w:val="en-US"/>
        </w:rPr>
        <w:t>P</w:t>
      </w:r>
      <w:r w:rsidR="00786519">
        <w:rPr>
          <w:vertAlign w:val="subscript"/>
          <w:lang w:val="en-US"/>
        </w:rPr>
        <w:t>C</w:t>
      </w:r>
      <w:r w:rsidR="00786519">
        <w:rPr>
          <w:lang w:val="en-US"/>
        </w:rPr>
        <w:t xml:space="preserve"> = calculation pressure in MPa </w:t>
      </w:r>
      <w:r w:rsidR="00786519" w:rsidRPr="00FB72ED">
        <w:rPr>
          <w:i/>
          <w:iCs/>
          <w:lang w:val="en-US"/>
        </w:rPr>
        <w:t>as specified in 6.8.2.1.14</w:t>
      </w:r>
    </w:p>
    <w:p w14:paraId="52795B1A" w14:textId="3F3B28FD" w:rsidR="00786519" w:rsidRDefault="00E67891" w:rsidP="00786519">
      <w:pPr>
        <w:pStyle w:val="SingleTxtG"/>
        <w:rPr>
          <w:lang w:val="en-US"/>
        </w:rPr>
      </w:pPr>
      <w:r>
        <w:rPr>
          <w:lang w:val="en-US"/>
        </w:rPr>
        <w:tab/>
      </w:r>
      <w:r>
        <w:rPr>
          <w:lang w:val="en-US"/>
        </w:rPr>
        <w:tab/>
      </w:r>
      <w:r w:rsidR="00786519">
        <w:rPr>
          <w:lang w:val="en-US"/>
        </w:rPr>
        <w:t>… .</w:t>
      </w:r>
    </w:p>
    <w:p w14:paraId="14A8D987" w14:textId="77777777" w:rsidR="00786519" w:rsidRPr="0033141A" w:rsidRDefault="00786519" w:rsidP="00786519">
      <w:pPr>
        <w:pStyle w:val="SingleTxtG"/>
        <w:rPr>
          <w:lang w:val="en-US"/>
        </w:rPr>
      </w:pPr>
      <w:r>
        <w:t>2.</w:t>
      </w:r>
      <w:r>
        <w:tab/>
        <w:t xml:space="preserve">6.8.2.1.14 refers to 4.3.4.1 (the reference is in </w:t>
      </w:r>
      <w:r>
        <w:rPr>
          <w:i/>
          <w:iCs/>
        </w:rPr>
        <w:t>italics</w:t>
      </w:r>
      <w:r>
        <w:t>), which does not apply to Class 2 dangerous goods:</w:t>
      </w:r>
    </w:p>
    <w:p w14:paraId="2CADC4CB" w14:textId="77777777" w:rsidR="00786519" w:rsidRPr="0033141A" w:rsidRDefault="00786519" w:rsidP="00786519">
      <w:pPr>
        <w:pStyle w:val="SingleTxtG"/>
        <w:ind w:left="2268" w:hanging="1134"/>
        <w:rPr>
          <w:lang w:val="en-US"/>
        </w:rPr>
      </w:pPr>
      <w:r>
        <w:t>6.8.2.1.14</w:t>
      </w:r>
      <w:r>
        <w:tab/>
        <w:t>The calculation pressure is in the second part of the code (</w:t>
      </w:r>
      <w:r>
        <w:rPr>
          <w:i/>
          <w:iCs/>
        </w:rPr>
        <w:t>see 4.3.4.1</w:t>
      </w:r>
      <w:r>
        <w:t>) according to Column (12) of Table A of Chapter 3.2.</w:t>
      </w:r>
    </w:p>
    <w:p w14:paraId="216374CB" w14:textId="5BA03C2A" w:rsidR="00786519" w:rsidRPr="0033141A" w:rsidRDefault="00786519" w:rsidP="00786519">
      <w:pPr>
        <w:pStyle w:val="SingleTxtG"/>
        <w:ind w:left="2268" w:hanging="1134"/>
        <w:rPr>
          <w:lang w:val="en-US"/>
        </w:rPr>
      </w:pPr>
      <w:r>
        <w:tab/>
      </w:r>
      <w:r w:rsidR="00E67891">
        <w:tab/>
      </w:r>
      <w:r>
        <w:t>... .</w:t>
      </w:r>
    </w:p>
    <w:p w14:paraId="7F844970" w14:textId="77777777" w:rsidR="00786519" w:rsidRPr="0033141A" w:rsidRDefault="00786519" w:rsidP="00786519">
      <w:pPr>
        <w:pStyle w:val="SingleTxtG"/>
        <w:rPr>
          <w:lang w:val="en-US"/>
        </w:rPr>
      </w:pPr>
      <w:r>
        <w:t>3.</w:t>
      </w:r>
      <w:r>
        <w:tab/>
        <w:t>Three alternatives are proposed for the calculation pressure for the thickness of a tank shell for the transport of Class 2 dangerous goods.</w:t>
      </w:r>
    </w:p>
    <w:p w14:paraId="110248A6" w14:textId="77777777" w:rsidR="00786519" w:rsidRPr="0033141A" w:rsidRDefault="00786519" w:rsidP="00786519">
      <w:pPr>
        <w:pStyle w:val="HChG"/>
        <w:rPr>
          <w:lang w:val="en-US"/>
        </w:rPr>
      </w:pPr>
      <w:r>
        <w:tab/>
      </w:r>
      <w:r>
        <w:tab/>
      </w:r>
      <w:r>
        <w:rPr>
          <w:bCs/>
        </w:rPr>
        <w:t>Justification</w:t>
      </w:r>
    </w:p>
    <w:p w14:paraId="1FA9BEA1" w14:textId="77777777" w:rsidR="00786519" w:rsidRPr="0033141A" w:rsidRDefault="00786519" w:rsidP="00786519">
      <w:pPr>
        <w:pStyle w:val="SingleTxtG"/>
        <w:spacing w:before="120"/>
        <w:rPr>
          <w:lang w:val="en-US"/>
        </w:rPr>
      </w:pPr>
      <w:r>
        <w:t>4.</w:t>
      </w:r>
      <w:r>
        <w:tab/>
        <w:t>In 6.8.2.1.17, when determining the thickness of the shell, the calculation pressure has to be determined in accordance with the requirements of 6.8.2.1.14.</w:t>
      </w:r>
    </w:p>
    <w:p w14:paraId="4E02F46A" w14:textId="77777777" w:rsidR="00786519" w:rsidRPr="0033141A" w:rsidRDefault="00786519" w:rsidP="00786519">
      <w:pPr>
        <w:pStyle w:val="SingleTxtG"/>
        <w:spacing w:before="120"/>
        <w:rPr>
          <w:lang w:val="en-US"/>
        </w:rPr>
      </w:pPr>
      <w:r>
        <w:t>5.</w:t>
      </w:r>
      <w:r>
        <w:tab/>
        <w:t>The first paragraph of 6.8.2.1.14 refers to 4.3.4.1 to determine the calculation pressure.</w:t>
      </w:r>
    </w:p>
    <w:p w14:paraId="62675CC0" w14:textId="77777777" w:rsidR="00786519" w:rsidRPr="0033141A" w:rsidRDefault="00786519" w:rsidP="00786519">
      <w:pPr>
        <w:pStyle w:val="SingleTxtG"/>
        <w:spacing w:before="120"/>
        <w:rPr>
          <w:lang w:val="en-US"/>
        </w:rPr>
      </w:pPr>
      <w:r>
        <w:t>6.</w:t>
      </w:r>
      <w:r>
        <w:tab/>
        <w:t>Paragraph 4.3.4.1 provides for coding of tanks intended for the transport of dangerous goods of Classes 3–9.</w:t>
      </w:r>
    </w:p>
    <w:p w14:paraId="325E0E36" w14:textId="77777777" w:rsidR="00786519" w:rsidRPr="0033141A" w:rsidRDefault="00786519" w:rsidP="00786519">
      <w:pPr>
        <w:pStyle w:val="SingleTxtG"/>
        <w:spacing w:before="120"/>
        <w:rPr>
          <w:lang w:val="en-US"/>
        </w:rPr>
      </w:pPr>
      <w:r>
        <w:t>Thus, the current edition of RID/ADR does not clearly refer to a calculation pressure for the calculation of shell thickness for the transport of dangerous goods of Class 2. This means that the shell thickness for Class 2 dangerous goods is determined only when a test pressure is applied.</w:t>
      </w:r>
    </w:p>
    <w:p w14:paraId="5D540D00" w14:textId="77777777" w:rsidR="00786519" w:rsidRPr="0033141A" w:rsidRDefault="00786519" w:rsidP="00786519">
      <w:pPr>
        <w:pStyle w:val="SingleTxtG"/>
        <w:spacing w:before="120"/>
        <w:rPr>
          <w:lang w:val="en-US"/>
        </w:rPr>
      </w:pPr>
      <w:r>
        <w:t>7.</w:t>
      </w:r>
      <w:r>
        <w:tab/>
        <w:t>The coding of tanks intended for the transport of dangerous goods of Class 2 is established by paragraph 4.3.3.1.</w:t>
      </w:r>
    </w:p>
    <w:p w14:paraId="7C839B9A" w14:textId="77777777" w:rsidR="00786519" w:rsidRPr="0033141A" w:rsidRDefault="00786519" w:rsidP="00786519">
      <w:pPr>
        <w:pStyle w:val="SingleTxtG"/>
        <w:spacing w:before="120"/>
        <w:rPr>
          <w:lang w:val="en-US"/>
        </w:rPr>
      </w:pPr>
      <w:r>
        <w:t>The second part of the code provides two options for the calculation pressure:</w:t>
      </w:r>
    </w:p>
    <w:p w14:paraId="5FF564A5" w14:textId="44495E00" w:rsidR="00786519" w:rsidRPr="0033141A" w:rsidRDefault="00786519" w:rsidP="00786519">
      <w:pPr>
        <w:pStyle w:val="SingleTxtG"/>
        <w:spacing w:before="120"/>
        <w:rPr>
          <w:lang w:val="en-US"/>
        </w:rPr>
      </w:pPr>
      <w:r>
        <w:tab/>
        <w:t>(a)</w:t>
      </w:r>
      <w:r>
        <w:tab/>
        <w:t>The value of the minimum relevant test pressure according to the table in 4.3.3.2.5. In this case, only the logic is broken when calculating the thickness of the shell according to the requirements of 6.8.2.1.17, but safety is ensured; and only one formula (with a test pressure) can be used;</w:t>
      </w:r>
    </w:p>
    <w:p w14:paraId="6422F7F7" w14:textId="4DA7FB31" w:rsidR="00786519" w:rsidRPr="0033141A" w:rsidRDefault="00786519" w:rsidP="00786519">
      <w:pPr>
        <w:pStyle w:val="SingleTxtG"/>
        <w:spacing w:before="120"/>
        <w:rPr>
          <w:lang w:val="en-US"/>
        </w:rPr>
      </w:pPr>
      <w:r>
        <w:tab/>
        <w:t>(b)</w:t>
      </w:r>
      <w:r>
        <w:tab/>
        <w:t>A calculation pressure of 22 bar. In Table A of Chapter 3.2 we found two substances whose second part of the code indicated a calculation pressure of 22 bar:</w:t>
      </w:r>
    </w:p>
    <w:p w14:paraId="2C8F9965" w14:textId="77777777" w:rsidR="00786519" w:rsidRPr="0033141A" w:rsidRDefault="00786519" w:rsidP="00786519">
      <w:pPr>
        <w:pStyle w:val="SingleTxtG"/>
        <w:spacing w:before="120"/>
        <w:rPr>
          <w:lang w:val="en-US"/>
        </w:rPr>
      </w:pPr>
      <w:r>
        <w:t>UN No. 1017 CHLORINE and UN No. 1076 PHOSGEN. Tank code P22DH. For UN No. 1017 CHLORINE, the test pressure determined by the table in 4.3.3.2.5 is 17 or 19 bar, depending on whether the tank has thermal insulation. For the substance in question, it turns out that the shell thickness must be determined with the test pressure (the lesser value) and must not be determined using the calculation pressure (the higher value). In this case, in addition to having broken logic, safety is not fully ensured.</w:t>
      </w:r>
    </w:p>
    <w:p w14:paraId="1BFC894A" w14:textId="77777777" w:rsidR="00786519" w:rsidRPr="0033141A" w:rsidRDefault="00786519" w:rsidP="00786519">
      <w:pPr>
        <w:pStyle w:val="SingleTxtG"/>
        <w:spacing w:before="120"/>
        <w:rPr>
          <w:lang w:val="en-US"/>
        </w:rPr>
      </w:pPr>
      <w:r>
        <w:t>8.</w:t>
      </w:r>
      <w:r>
        <w:tab/>
        <w:t>To solve this problem, it's necessary to add a reference to the calculation pressure for Class 2 dangerous goods. It is thus proposed to consider three alternatives:</w:t>
      </w:r>
    </w:p>
    <w:p w14:paraId="422BAE4E" w14:textId="35F98276" w:rsidR="00786519" w:rsidRPr="0033141A" w:rsidRDefault="00E67891" w:rsidP="00E67891">
      <w:pPr>
        <w:pStyle w:val="SingleTxtG"/>
        <w:rPr>
          <w:lang w:val="en-US"/>
        </w:rPr>
      </w:pPr>
      <w:r>
        <w:tab/>
      </w:r>
      <w:r w:rsidR="00786519">
        <w:t>(1)</w:t>
      </w:r>
      <w:r w:rsidR="00786519">
        <w:tab/>
        <w:t>In the first paragraph of 6.8.2.1.14, include a reference to paragraph 4.3.3.1;</w:t>
      </w:r>
    </w:p>
    <w:p w14:paraId="20CAB8AF" w14:textId="11D7855A" w:rsidR="00786519" w:rsidRPr="0033141A" w:rsidRDefault="00E67891" w:rsidP="00E67891">
      <w:pPr>
        <w:pStyle w:val="SingleTxtG"/>
        <w:rPr>
          <w:lang w:val="en-US"/>
        </w:rPr>
      </w:pPr>
      <w:r>
        <w:tab/>
      </w:r>
      <w:r w:rsidR="00786519">
        <w:t>(2)</w:t>
      </w:r>
      <w:r w:rsidR="00786519">
        <w:tab/>
        <w:t>Add a reference to table 4.3.3.1.1 in the explanation of the formula in paragraph 6.8.2.1.17 for P</w:t>
      </w:r>
      <w:r w:rsidR="00786519" w:rsidRPr="008610DB">
        <w:rPr>
          <w:vertAlign w:val="subscript"/>
        </w:rPr>
        <w:t>C</w:t>
      </w:r>
      <w:r w:rsidR="00786519">
        <w:t>;</w:t>
      </w:r>
    </w:p>
    <w:p w14:paraId="1C1BDCF4" w14:textId="30C62AAB" w:rsidR="00786519" w:rsidRPr="0033141A" w:rsidRDefault="00E67891" w:rsidP="00E67891">
      <w:pPr>
        <w:pStyle w:val="SingleTxtG"/>
        <w:rPr>
          <w:lang w:val="en-US"/>
        </w:rPr>
      </w:pPr>
      <w:r>
        <w:tab/>
      </w:r>
      <w:r w:rsidR="00786519">
        <w:t>(3)</w:t>
      </w:r>
      <w:r w:rsidR="00786519">
        <w:tab/>
        <w:t>Remove the reference to 6.8.2.1.14 from the explanation to the formula in 6.8.2.1.17 for P</w:t>
      </w:r>
      <w:r w:rsidR="00786519" w:rsidRPr="008610DB">
        <w:rPr>
          <w:vertAlign w:val="subscript"/>
        </w:rPr>
        <w:t>C</w:t>
      </w:r>
      <w:r w:rsidR="00786519">
        <w:t>.</w:t>
      </w:r>
    </w:p>
    <w:p w14:paraId="73F84C23" w14:textId="77777777" w:rsidR="00786519" w:rsidRPr="0033141A" w:rsidRDefault="00786519" w:rsidP="00786519">
      <w:pPr>
        <w:pStyle w:val="SingleTxtG"/>
        <w:spacing w:before="120"/>
        <w:rPr>
          <w:lang w:val="en-US"/>
        </w:rPr>
      </w:pPr>
      <w:r>
        <w:t>All three options will equally restore in full the logic when determining the shell thickness of a tank for the transport of Class 2 dangerous goods and allow for the safe use of tanks when transporting UN No. 1017 CHLORINE.</w:t>
      </w:r>
    </w:p>
    <w:p w14:paraId="178DD035" w14:textId="77777777" w:rsidR="00786519" w:rsidRPr="0033141A" w:rsidRDefault="00786519" w:rsidP="00786519">
      <w:pPr>
        <w:pStyle w:val="HChG"/>
        <w:rPr>
          <w:lang w:val="en-US"/>
        </w:rPr>
      </w:pPr>
      <w:r>
        <w:tab/>
      </w:r>
      <w:r>
        <w:tab/>
      </w:r>
      <w:r>
        <w:rPr>
          <w:bCs/>
        </w:rPr>
        <w:t>Proposals</w:t>
      </w:r>
    </w:p>
    <w:p w14:paraId="36792D8A" w14:textId="77777777" w:rsidR="00786519" w:rsidRPr="0033141A" w:rsidRDefault="00786519" w:rsidP="00786519">
      <w:pPr>
        <w:pStyle w:val="SingleTxtG"/>
        <w:spacing w:before="120"/>
        <w:rPr>
          <w:rStyle w:val="H1GChar"/>
          <w:rFonts w:eastAsia="SimSun"/>
          <w:b w:val="0"/>
          <w:szCs w:val="24"/>
          <w:lang w:val="en-US"/>
        </w:rPr>
      </w:pPr>
      <w:r w:rsidRPr="007A4FF7">
        <w:rPr>
          <w:b/>
          <w:bCs/>
        </w:rPr>
        <w:t>Proposal 1</w:t>
      </w:r>
      <w:r>
        <w:t xml:space="preserve"> (new text in </w:t>
      </w:r>
      <w:r>
        <w:rPr>
          <w:i/>
          <w:iCs/>
          <w:u w:val="single"/>
        </w:rPr>
        <w:t xml:space="preserve">italics </w:t>
      </w:r>
      <w:r>
        <w:t xml:space="preserve">and </w:t>
      </w:r>
      <w:r>
        <w:rPr>
          <w:i/>
          <w:iCs/>
          <w:u w:val="single"/>
        </w:rPr>
        <w:t>underlined</w:t>
      </w:r>
      <w:r>
        <w:t>):</w:t>
      </w:r>
    </w:p>
    <w:p w14:paraId="61D4C805" w14:textId="77777777" w:rsidR="00786519" w:rsidRPr="007A4FF7" w:rsidRDefault="00786519" w:rsidP="00786519">
      <w:pPr>
        <w:pStyle w:val="H1G"/>
        <w:spacing w:before="120" w:after="120"/>
        <w:ind w:left="1843" w:hanging="709"/>
        <w:rPr>
          <w:b w:val="0"/>
          <w:sz w:val="20"/>
          <w:lang w:val="en-US"/>
        </w:rPr>
      </w:pPr>
      <w:r w:rsidRPr="007A4FF7">
        <w:rPr>
          <w:b w:val="0"/>
          <w:sz w:val="20"/>
        </w:rPr>
        <w:t>Option 1 (in the first paragraph of 6.8.2.1.14, include a reference to paragraph 4.3.3.1):</w:t>
      </w:r>
    </w:p>
    <w:p w14:paraId="3B0A4D32" w14:textId="77777777" w:rsidR="00786519" w:rsidRPr="0033141A" w:rsidRDefault="00786519" w:rsidP="00786519">
      <w:pPr>
        <w:pStyle w:val="SingleTxtG"/>
        <w:ind w:left="2268" w:hanging="1134"/>
        <w:rPr>
          <w:lang w:val="en-US"/>
        </w:rPr>
      </w:pPr>
      <w:r>
        <w:t>6.8.2.1.14</w:t>
      </w:r>
      <w:r>
        <w:tab/>
        <w:t xml:space="preserve">The calculation pressure is indicated in the second part of the code (see </w:t>
      </w:r>
      <w:r>
        <w:rPr>
          <w:i/>
          <w:iCs/>
          <w:u w:val="single"/>
        </w:rPr>
        <w:t xml:space="preserve">4.3.3.1 or </w:t>
      </w:r>
      <w:r>
        <w:t>4.3.4.1) according to Column (12) of Table A of Chapter 3.2.</w:t>
      </w:r>
    </w:p>
    <w:p w14:paraId="154047CA" w14:textId="1127B34F" w:rsidR="00786519" w:rsidRPr="0033141A" w:rsidRDefault="004E489C" w:rsidP="00786519">
      <w:pPr>
        <w:pStyle w:val="SingleTxtG"/>
        <w:ind w:left="2268" w:hanging="1134"/>
        <w:rPr>
          <w:lang w:val="en-US"/>
        </w:rPr>
      </w:pPr>
      <w:r>
        <w:tab/>
      </w:r>
      <w:r w:rsidR="00786519">
        <w:tab/>
        <w:t>... .</w:t>
      </w:r>
    </w:p>
    <w:p w14:paraId="5E0ED4F1" w14:textId="77777777" w:rsidR="00786519" w:rsidRPr="00BC5BF7" w:rsidRDefault="00786519" w:rsidP="00786519">
      <w:pPr>
        <w:pStyle w:val="H1G"/>
        <w:spacing w:before="120" w:after="120"/>
        <w:ind w:left="1843" w:hanging="709"/>
        <w:rPr>
          <w:b w:val="0"/>
          <w:sz w:val="20"/>
          <w:lang w:val="en-US"/>
        </w:rPr>
      </w:pPr>
      <w:r w:rsidRPr="00BC5BF7">
        <w:rPr>
          <w:b w:val="0"/>
          <w:sz w:val="20"/>
        </w:rPr>
        <w:t>Option 2 (add a reference to table 4.3.3.1.1 in the explanation to the formula for the calculation pressure in 6.8.2.1.17):</w:t>
      </w:r>
    </w:p>
    <w:p w14:paraId="7A0C031B" w14:textId="77777777" w:rsidR="00786519" w:rsidRPr="0033141A" w:rsidRDefault="00786519" w:rsidP="00786519">
      <w:pPr>
        <w:pStyle w:val="SingleTxtG"/>
        <w:ind w:left="2268" w:hanging="1134"/>
        <w:rPr>
          <w:lang w:val="en-US"/>
        </w:rPr>
      </w:pPr>
      <w:r>
        <w:t>6.8.2.1.17</w:t>
      </w:r>
      <w:r>
        <w:tab/>
        <w:t>The shell thickness shall not be less than the greater of the values determined by the following formulae:</w:t>
      </w:r>
    </w:p>
    <w:p w14:paraId="39E00FAE" w14:textId="684D317A" w:rsidR="00786519" w:rsidRPr="004969AB" w:rsidRDefault="004E489C" w:rsidP="004E489C">
      <w:pPr>
        <w:pStyle w:val="SingleTxtG"/>
        <w:rPr>
          <w:lang w:val="es-ES"/>
        </w:rPr>
      </w:pPr>
      <w:bookmarkStart w:id="2" w:name="_Hlk107909782"/>
      <w:r>
        <w:rPr>
          <w:lang w:val="es-ES"/>
        </w:rPr>
        <w:tab/>
      </w:r>
      <w:r>
        <w:rPr>
          <w:lang w:val="es-ES"/>
        </w:rPr>
        <w:tab/>
      </w:r>
      <w:r w:rsidR="00786519" w:rsidRPr="004969AB">
        <w:rPr>
          <w:lang w:val="es-ES"/>
        </w:rPr>
        <w:t>e = (P</w:t>
      </w:r>
      <w:r w:rsidR="00786519" w:rsidRPr="004969AB">
        <w:rPr>
          <w:vertAlign w:val="subscript"/>
          <w:lang w:val="es-ES"/>
        </w:rPr>
        <w:t>T</w:t>
      </w:r>
      <w:r w:rsidR="00786519" w:rsidRPr="004969AB">
        <w:rPr>
          <w:lang w:val="es-ES"/>
        </w:rPr>
        <w:t>∙D)/(2</w:t>
      </w:r>
      <w:r w:rsidR="00786519" w:rsidRPr="004969AB">
        <w:t>σ</w:t>
      </w:r>
      <w:r w:rsidR="00786519" w:rsidRPr="004969AB">
        <w:rPr>
          <w:lang w:val="es-ES"/>
        </w:rPr>
        <w:t>∙</w:t>
      </w:r>
      <w:r w:rsidR="00786519" w:rsidRPr="004969AB">
        <w:t>λ</w:t>
      </w:r>
      <w:r w:rsidR="00786519" w:rsidRPr="004969AB">
        <w:rPr>
          <w:lang w:val="es-ES"/>
        </w:rPr>
        <w:t xml:space="preserve">); </w:t>
      </w:r>
    </w:p>
    <w:p w14:paraId="63C65D33" w14:textId="0ADCA885" w:rsidR="00786519" w:rsidRPr="004969AB" w:rsidRDefault="004E489C" w:rsidP="004E489C">
      <w:pPr>
        <w:pStyle w:val="SingleTxtG"/>
        <w:rPr>
          <w:lang w:val="es-ES"/>
        </w:rPr>
      </w:pPr>
      <w:r>
        <w:rPr>
          <w:lang w:val="es-ES"/>
        </w:rPr>
        <w:tab/>
      </w:r>
      <w:r>
        <w:rPr>
          <w:lang w:val="es-ES"/>
        </w:rPr>
        <w:tab/>
      </w:r>
      <w:r w:rsidR="00786519" w:rsidRPr="004969AB">
        <w:rPr>
          <w:lang w:val="es-ES"/>
        </w:rPr>
        <w:t>e = (P</w:t>
      </w:r>
      <w:r w:rsidR="00786519" w:rsidRPr="004969AB">
        <w:rPr>
          <w:vertAlign w:val="subscript"/>
          <w:lang w:val="es-ES"/>
        </w:rPr>
        <w:t>C</w:t>
      </w:r>
      <w:r w:rsidR="00786519" w:rsidRPr="004969AB">
        <w:rPr>
          <w:lang w:val="es-ES"/>
        </w:rPr>
        <w:t>∙D)/(2</w:t>
      </w:r>
      <w:r w:rsidR="00786519" w:rsidRPr="004969AB">
        <w:t>σ</w:t>
      </w:r>
      <w:r w:rsidR="00786519" w:rsidRPr="004969AB">
        <w:rPr>
          <w:lang w:val="es-ES"/>
        </w:rPr>
        <w:t>)</w:t>
      </w:r>
    </w:p>
    <w:p w14:paraId="4BF2694F" w14:textId="14F46544" w:rsidR="00786519" w:rsidRPr="004969AB" w:rsidRDefault="004E489C" w:rsidP="004E489C">
      <w:pPr>
        <w:pStyle w:val="SingleTxtG"/>
      </w:pPr>
      <w:r>
        <w:tab/>
      </w:r>
      <w:r>
        <w:tab/>
      </w:r>
      <w:r w:rsidR="00786519" w:rsidRPr="004969AB">
        <w:t>where</w:t>
      </w:r>
    </w:p>
    <w:p w14:paraId="2DBED83D" w14:textId="17B6401B" w:rsidR="00786519" w:rsidRPr="004969AB" w:rsidRDefault="004E489C" w:rsidP="004E489C">
      <w:pPr>
        <w:pStyle w:val="SingleTxtG"/>
      </w:pPr>
      <w:r>
        <w:tab/>
      </w:r>
      <w:r>
        <w:tab/>
      </w:r>
      <w:r w:rsidR="00786519" w:rsidRPr="004969AB">
        <w:t>…</w:t>
      </w:r>
    </w:p>
    <w:p w14:paraId="0D7A5C27" w14:textId="5BA539BD" w:rsidR="00786519" w:rsidRPr="004969AB" w:rsidRDefault="004E489C" w:rsidP="004E489C">
      <w:pPr>
        <w:pStyle w:val="SingleTxtG"/>
        <w:rPr>
          <w:lang w:val="en-US"/>
        </w:rPr>
      </w:pPr>
      <w:r>
        <w:rPr>
          <w:lang w:val="en-US"/>
        </w:rPr>
        <w:tab/>
      </w:r>
      <w:r>
        <w:rPr>
          <w:lang w:val="en-US"/>
        </w:rPr>
        <w:tab/>
      </w:r>
      <w:r w:rsidR="00786519" w:rsidRPr="004969AB">
        <w:rPr>
          <w:lang w:val="en-US"/>
        </w:rPr>
        <w:t>P</w:t>
      </w:r>
      <w:r w:rsidR="00786519" w:rsidRPr="004969AB">
        <w:rPr>
          <w:vertAlign w:val="subscript"/>
          <w:lang w:val="en-US"/>
        </w:rPr>
        <w:t>T</w:t>
      </w:r>
      <w:r w:rsidR="00786519" w:rsidRPr="004969AB">
        <w:rPr>
          <w:lang w:val="en-US"/>
        </w:rPr>
        <w:t xml:space="preserve"> = test pressure in MPa</w:t>
      </w:r>
    </w:p>
    <w:p w14:paraId="2A2DFC4A" w14:textId="0BD08429" w:rsidR="00786519" w:rsidRDefault="004E489C" w:rsidP="004E489C">
      <w:pPr>
        <w:pStyle w:val="SingleTxtG"/>
        <w:ind w:left="2268" w:hanging="1134"/>
      </w:pPr>
      <w:r>
        <w:rPr>
          <w:lang w:val="en-US"/>
        </w:rPr>
        <w:tab/>
      </w:r>
      <w:r>
        <w:rPr>
          <w:lang w:val="en-US"/>
        </w:rPr>
        <w:tab/>
      </w:r>
      <w:r w:rsidR="00786519" w:rsidRPr="004969AB">
        <w:rPr>
          <w:lang w:val="en-US"/>
        </w:rPr>
        <w:t>P</w:t>
      </w:r>
      <w:r w:rsidR="00786519" w:rsidRPr="004969AB">
        <w:rPr>
          <w:vertAlign w:val="subscript"/>
          <w:lang w:val="en-US"/>
        </w:rPr>
        <w:t>C</w:t>
      </w:r>
      <w:r w:rsidR="00786519" w:rsidRPr="004969AB">
        <w:rPr>
          <w:lang w:val="en-US"/>
        </w:rPr>
        <w:t xml:space="preserve"> = calculation pressure in MPa as specified in 6.8.2.1.14</w:t>
      </w:r>
      <w:r w:rsidR="00786519">
        <w:rPr>
          <w:lang w:val="en-US"/>
        </w:rPr>
        <w:t xml:space="preserve"> </w:t>
      </w:r>
      <w:r w:rsidR="00786519">
        <w:rPr>
          <w:i/>
          <w:iCs/>
          <w:u w:val="single"/>
        </w:rPr>
        <w:t>or in the table of 4.3.3.1.1</w:t>
      </w:r>
      <w:r w:rsidR="00786519">
        <w:t xml:space="preserve">; </w:t>
      </w:r>
    </w:p>
    <w:p w14:paraId="41347E98" w14:textId="77777777" w:rsidR="00786519" w:rsidRPr="00712B8C" w:rsidRDefault="00786519" w:rsidP="00786519">
      <w:pPr>
        <w:spacing w:after="120"/>
        <w:ind w:left="2268" w:right="1134"/>
        <w:jc w:val="both"/>
        <w:rPr>
          <w:lang w:val="en-US"/>
        </w:rPr>
      </w:pPr>
      <w:r>
        <w:t>... .</w:t>
      </w:r>
    </w:p>
    <w:bookmarkEnd w:id="2"/>
    <w:p w14:paraId="15E973A6" w14:textId="77777777" w:rsidR="00786519" w:rsidRPr="008D5E2C" w:rsidRDefault="00786519" w:rsidP="00786519">
      <w:pPr>
        <w:pStyle w:val="H1G"/>
        <w:spacing w:before="120" w:after="120"/>
        <w:ind w:left="1843" w:hanging="709"/>
        <w:rPr>
          <w:b w:val="0"/>
          <w:sz w:val="20"/>
          <w:lang w:val="en-US"/>
        </w:rPr>
      </w:pPr>
      <w:r w:rsidRPr="008D5E2C">
        <w:rPr>
          <w:b w:val="0"/>
          <w:sz w:val="20"/>
        </w:rPr>
        <w:t>Option 3 (</w:t>
      </w:r>
      <w:r>
        <w:rPr>
          <w:b w:val="0"/>
          <w:sz w:val="20"/>
        </w:rPr>
        <w:t>remove the</w:t>
      </w:r>
      <w:r w:rsidRPr="008D5E2C">
        <w:rPr>
          <w:b w:val="0"/>
          <w:sz w:val="20"/>
        </w:rPr>
        <w:t xml:space="preserve"> reference to 6.8.2.1.14 in the explanation to the formula in 6.8.2.1.17):</w:t>
      </w:r>
    </w:p>
    <w:p w14:paraId="38066665" w14:textId="77777777" w:rsidR="00786519" w:rsidRDefault="00786519" w:rsidP="00786519">
      <w:pPr>
        <w:pStyle w:val="SingleTxtG"/>
        <w:ind w:left="2268" w:hanging="1134"/>
      </w:pPr>
      <w:r>
        <w:t>6.8.2.1.17</w:t>
      </w:r>
      <w:r>
        <w:tab/>
        <w:t>The shell thickness shall not be less than the greater of the values determined by the following formulae:</w:t>
      </w:r>
    </w:p>
    <w:p w14:paraId="68930848" w14:textId="533648E8" w:rsidR="00786519" w:rsidRPr="004969AB" w:rsidRDefault="004E489C" w:rsidP="004E489C">
      <w:pPr>
        <w:pStyle w:val="SingleTxtG"/>
        <w:rPr>
          <w:lang w:val="es-ES"/>
        </w:rPr>
      </w:pPr>
      <w:r>
        <w:rPr>
          <w:lang w:val="es-ES"/>
        </w:rPr>
        <w:tab/>
      </w:r>
      <w:r>
        <w:rPr>
          <w:lang w:val="es-ES"/>
        </w:rPr>
        <w:tab/>
      </w:r>
      <w:r w:rsidR="00786519" w:rsidRPr="004969AB">
        <w:rPr>
          <w:lang w:val="es-ES"/>
        </w:rPr>
        <w:t>e = (P</w:t>
      </w:r>
      <w:r w:rsidR="00786519" w:rsidRPr="004969AB">
        <w:rPr>
          <w:vertAlign w:val="subscript"/>
          <w:lang w:val="es-ES"/>
        </w:rPr>
        <w:t>T</w:t>
      </w:r>
      <w:r w:rsidR="00786519" w:rsidRPr="004969AB">
        <w:rPr>
          <w:lang w:val="es-ES"/>
        </w:rPr>
        <w:t>∙D)/(2</w:t>
      </w:r>
      <w:r w:rsidR="00786519" w:rsidRPr="004969AB">
        <w:t>σ</w:t>
      </w:r>
      <w:r w:rsidR="00786519" w:rsidRPr="004969AB">
        <w:rPr>
          <w:lang w:val="es-ES"/>
        </w:rPr>
        <w:t>∙</w:t>
      </w:r>
      <w:r w:rsidR="00786519" w:rsidRPr="004969AB">
        <w:t>λ</w:t>
      </w:r>
      <w:r w:rsidR="00786519" w:rsidRPr="004969AB">
        <w:rPr>
          <w:lang w:val="es-ES"/>
        </w:rPr>
        <w:t xml:space="preserve">); </w:t>
      </w:r>
    </w:p>
    <w:p w14:paraId="6BB198F5" w14:textId="30DFBF2C" w:rsidR="00786519" w:rsidRPr="004969AB" w:rsidRDefault="004E489C" w:rsidP="004E489C">
      <w:pPr>
        <w:pStyle w:val="SingleTxtG"/>
        <w:rPr>
          <w:lang w:val="es-ES"/>
        </w:rPr>
      </w:pPr>
      <w:r>
        <w:rPr>
          <w:lang w:val="es-ES"/>
        </w:rPr>
        <w:tab/>
      </w:r>
      <w:r>
        <w:rPr>
          <w:lang w:val="es-ES"/>
        </w:rPr>
        <w:tab/>
      </w:r>
      <w:r w:rsidR="00786519" w:rsidRPr="004969AB">
        <w:rPr>
          <w:lang w:val="es-ES"/>
        </w:rPr>
        <w:t>e = (P</w:t>
      </w:r>
      <w:r w:rsidR="00786519" w:rsidRPr="004969AB">
        <w:rPr>
          <w:vertAlign w:val="subscript"/>
          <w:lang w:val="es-ES"/>
        </w:rPr>
        <w:t>C</w:t>
      </w:r>
      <w:r w:rsidR="00786519" w:rsidRPr="004969AB">
        <w:rPr>
          <w:lang w:val="es-ES"/>
        </w:rPr>
        <w:t>∙D)/(2</w:t>
      </w:r>
      <w:r w:rsidR="00786519" w:rsidRPr="004969AB">
        <w:t>σ</w:t>
      </w:r>
      <w:r w:rsidR="00786519" w:rsidRPr="004969AB">
        <w:rPr>
          <w:lang w:val="es-ES"/>
        </w:rPr>
        <w:t>)</w:t>
      </w:r>
    </w:p>
    <w:p w14:paraId="1745D0F0" w14:textId="6284CD69" w:rsidR="00786519" w:rsidRPr="004969AB" w:rsidRDefault="004E489C" w:rsidP="004E489C">
      <w:pPr>
        <w:pStyle w:val="SingleTxtG"/>
      </w:pPr>
      <w:r>
        <w:tab/>
      </w:r>
      <w:r>
        <w:tab/>
      </w:r>
      <w:r w:rsidR="00786519" w:rsidRPr="004969AB">
        <w:t>where</w:t>
      </w:r>
    </w:p>
    <w:p w14:paraId="6C6D4A3F" w14:textId="10137463" w:rsidR="00786519" w:rsidRPr="004969AB" w:rsidRDefault="004E489C" w:rsidP="004E489C">
      <w:pPr>
        <w:pStyle w:val="SingleTxtG"/>
      </w:pPr>
      <w:r>
        <w:tab/>
      </w:r>
      <w:r>
        <w:tab/>
      </w:r>
      <w:r w:rsidR="00786519" w:rsidRPr="004969AB">
        <w:t>…</w:t>
      </w:r>
    </w:p>
    <w:p w14:paraId="37C64288" w14:textId="14E83C7F" w:rsidR="00786519" w:rsidRPr="004969AB" w:rsidRDefault="004E489C" w:rsidP="004E489C">
      <w:pPr>
        <w:pStyle w:val="SingleTxtG"/>
        <w:rPr>
          <w:lang w:val="en-US"/>
        </w:rPr>
      </w:pPr>
      <w:r>
        <w:rPr>
          <w:lang w:val="en-US"/>
        </w:rPr>
        <w:tab/>
      </w:r>
      <w:r>
        <w:rPr>
          <w:lang w:val="en-US"/>
        </w:rPr>
        <w:tab/>
      </w:r>
      <w:r w:rsidR="00786519" w:rsidRPr="004969AB">
        <w:rPr>
          <w:lang w:val="en-US"/>
        </w:rPr>
        <w:t>P</w:t>
      </w:r>
      <w:r w:rsidR="00786519" w:rsidRPr="004969AB">
        <w:rPr>
          <w:vertAlign w:val="subscript"/>
          <w:lang w:val="en-US"/>
        </w:rPr>
        <w:t>T</w:t>
      </w:r>
      <w:r w:rsidR="00786519" w:rsidRPr="004969AB">
        <w:rPr>
          <w:lang w:val="en-US"/>
        </w:rPr>
        <w:t xml:space="preserve"> = test pressure in MPa</w:t>
      </w:r>
    </w:p>
    <w:p w14:paraId="4BF327C2" w14:textId="5226B4A2" w:rsidR="00786519" w:rsidRDefault="004E489C" w:rsidP="004E489C">
      <w:pPr>
        <w:pStyle w:val="SingleTxtG"/>
      </w:pPr>
      <w:r>
        <w:rPr>
          <w:lang w:val="en-US"/>
        </w:rPr>
        <w:tab/>
      </w:r>
      <w:r>
        <w:rPr>
          <w:lang w:val="en-US"/>
        </w:rPr>
        <w:tab/>
      </w:r>
      <w:r w:rsidR="00786519" w:rsidRPr="004969AB">
        <w:rPr>
          <w:lang w:val="en-US"/>
        </w:rPr>
        <w:t>P</w:t>
      </w:r>
      <w:r w:rsidR="00786519" w:rsidRPr="004969AB">
        <w:rPr>
          <w:vertAlign w:val="subscript"/>
          <w:lang w:val="en-US"/>
        </w:rPr>
        <w:t>C</w:t>
      </w:r>
      <w:r w:rsidR="00786519" w:rsidRPr="004969AB">
        <w:rPr>
          <w:lang w:val="en-US"/>
        </w:rPr>
        <w:t xml:space="preserve"> = calculation pressure in MPa </w:t>
      </w:r>
      <w:r w:rsidR="00786519" w:rsidRPr="004969AB">
        <w:rPr>
          <w:i/>
          <w:iCs/>
          <w:strike/>
          <w:u w:val="single"/>
          <w:lang w:val="en-US"/>
        </w:rPr>
        <w:t>as specified in 6.8.2.1.14</w:t>
      </w:r>
      <w:r w:rsidR="00786519">
        <w:t xml:space="preserve">; </w:t>
      </w:r>
    </w:p>
    <w:p w14:paraId="4A491AD6" w14:textId="59049379" w:rsidR="00786519" w:rsidRPr="00712B8C" w:rsidRDefault="004E489C" w:rsidP="004E489C">
      <w:pPr>
        <w:pStyle w:val="SingleTxtG"/>
        <w:rPr>
          <w:lang w:val="en-US"/>
        </w:rPr>
      </w:pPr>
      <w:r>
        <w:tab/>
      </w:r>
      <w:r>
        <w:tab/>
      </w:r>
      <w:r w:rsidR="00786519">
        <w:t>... .</w:t>
      </w:r>
    </w:p>
    <w:p w14:paraId="71976A04" w14:textId="77777777" w:rsidR="00786519" w:rsidRPr="00712B8C" w:rsidRDefault="00786519" w:rsidP="00786519">
      <w:pPr>
        <w:spacing w:before="240"/>
        <w:jc w:val="center"/>
        <w:rPr>
          <w:u w:val="single"/>
          <w:lang w:val="en-US"/>
        </w:rPr>
      </w:pPr>
      <w:r w:rsidRPr="00712B8C">
        <w:rPr>
          <w:u w:val="single"/>
          <w:lang w:val="en-US"/>
        </w:rPr>
        <w:tab/>
      </w:r>
      <w:r w:rsidRPr="00712B8C">
        <w:rPr>
          <w:u w:val="single"/>
          <w:lang w:val="en-US"/>
        </w:rPr>
        <w:tab/>
      </w:r>
      <w:r w:rsidRPr="00712B8C">
        <w:rPr>
          <w:u w:val="single"/>
          <w:lang w:val="en-US"/>
        </w:rPr>
        <w:tab/>
      </w:r>
    </w:p>
    <w:sectPr w:rsidR="00786519" w:rsidRPr="00712B8C"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4A1AD" w14:textId="77777777" w:rsidR="00582247" w:rsidRPr="00FB1744" w:rsidRDefault="00582247" w:rsidP="00FB1744">
      <w:pPr>
        <w:pStyle w:val="Footer"/>
      </w:pPr>
    </w:p>
  </w:endnote>
  <w:endnote w:type="continuationSeparator" w:id="0">
    <w:p w14:paraId="033A8268" w14:textId="77777777" w:rsidR="00582247" w:rsidRPr="00FB1744" w:rsidRDefault="00582247"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0F59A" w14:textId="77777777" w:rsidR="00A30C72" w:rsidRDefault="00A30C72" w:rsidP="00A30C72">
    <w:pPr>
      <w:pStyle w:val="Footer"/>
      <w:tabs>
        <w:tab w:val="right" w:pos="9638"/>
      </w:tabs>
    </w:pPr>
    <w:r w:rsidRPr="00A30C72">
      <w:rPr>
        <w:b/>
        <w:bCs/>
        <w:sz w:val="18"/>
      </w:rPr>
      <w:fldChar w:fldCharType="begin"/>
    </w:r>
    <w:r w:rsidRPr="00A30C72">
      <w:rPr>
        <w:b/>
        <w:bCs/>
        <w:sz w:val="18"/>
      </w:rPr>
      <w:instrText xml:space="preserve"> PAGE  \* MERGEFORMAT </w:instrText>
    </w:r>
    <w:r w:rsidRPr="00A30C72">
      <w:rPr>
        <w:b/>
        <w:bCs/>
        <w:sz w:val="18"/>
      </w:rPr>
      <w:fldChar w:fldCharType="separate"/>
    </w:r>
    <w:r w:rsidRPr="00A30C72">
      <w:rPr>
        <w:b/>
        <w:bCs/>
        <w:noProof/>
        <w:sz w:val="18"/>
      </w:rPr>
      <w:t>2</w:t>
    </w:r>
    <w:r w:rsidRPr="00A30C72">
      <w:rPr>
        <w:b/>
        <w:bCs/>
        <w:sz w:val="18"/>
      </w:rPr>
      <w:fldChar w:fldCharType="end"/>
    </w:r>
    <w:r>
      <w:tab/>
      <w:t>GE.22-09685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B79D" w14:textId="77777777" w:rsidR="00A30C72" w:rsidRDefault="00A30C72" w:rsidP="00A30C72">
    <w:pPr>
      <w:pStyle w:val="Footer"/>
      <w:tabs>
        <w:tab w:val="right" w:pos="9638"/>
      </w:tabs>
    </w:pPr>
    <w:r>
      <w:t>GE.22-09685</w:t>
    </w:r>
    <w:r>
      <w:tab/>
    </w:r>
    <w:r w:rsidRPr="00A30C72">
      <w:rPr>
        <w:b/>
        <w:bCs/>
        <w:sz w:val="18"/>
      </w:rPr>
      <w:fldChar w:fldCharType="begin"/>
    </w:r>
    <w:r w:rsidRPr="00A30C72">
      <w:rPr>
        <w:b/>
        <w:bCs/>
        <w:sz w:val="18"/>
      </w:rPr>
      <w:instrText xml:space="preserve"> PAGE  \* MERGEFORMAT </w:instrText>
    </w:r>
    <w:r w:rsidRPr="00A30C72">
      <w:rPr>
        <w:b/>
        <w:bCs/>
        <w:sz w:val="18"/>
      </w:rPr>
      <w:fldChar w:fldCharType="separate"/>
    </w:r>
    <w:r w:rsidRPr="00A30C72">
      <w:rPr>
        <w:b/>
        <w:bCs/>
        <w:noProof/>
        <w:sz w:val="18"/>
      </w:rPr>
      <w:t>3</w:t>
    </w:r>
    <w:r w:rsidRPr="00A30C7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F768" w14:textId="77777777" w:rsidR="00C448F7" w:rsidRDefault="00A30C72">
    <w:pPr>
      <w:pStyle w:val="Footer"/>
      <w:rPr>
        <w:sz w:val="20"/>
      </w:rPr>
    </w:pPr>
    <w:r>
      <w:rPr>
        <w:noProof/>
        <w:lang w:val="en-US"/>
      </w:rPr>
      <w:drawing>
        <wp:anchor distT="0" distB="0" distL="114300" distR="114300" simplePos="0" relativeHeight="251659264" behindDoc="1" locked="1" layoutInCell="1" allowOverlap="1" wp14:anchorId="30008246" wp14:editId="1E928A2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17939FB" w14:textId="536C1FBB" w:rsidR="00A30C72" w:rsidRPr="00A30C72" w:rsidRDefault="00A30C72" w:rsidP="00A30C72">
    <w:pPr>
      <w:pStyle w:val="Footer"/>
      <w:tabs>
        <w:tab w:val="right" w:pos="7370"/>
      </w:tabs>
      <w:rPr>
        <w:sz w:val="20"/>
      </w:rPr>
    </w:pPr>
    <w:r>
      <w:rPr>
        <w:sz w:val="20"/>
      </w:rPr>
      <w:t>GE.22-09685  (E)</w:t>
    </w:r>
    <w:r>
      <w:rPr>
        <w:noProof/>
        <w:sz w:val="20"/>
      </w:rPr>
      <w:drawing>
        <wp:anchor distT="0" distB="0" distL="114300" distR="114300" simplePos="0" relativeHeight="251660288" behindDoc="0" locked="0" layoutInCell="1" allowOverlap="1" wp14:anchorId="76CAC205" wp14:editId="5B82416F">
          <wp:simplePos x="0" y="0"/>
          <wp:positionH relativeFrom="margin">
            <wp:posOffset>5583555</wp:posOffset>
          </wp:positionH>
          <wp:positionV relativeFrom="margin">
            <wp:posOffset>8981440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C7053">
      <w:rPr>
        <w:sz w:val="20"/>
      </w:rPr>
      <w:t xml:space="preserve">    050722    050722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4FE4D" w14:textId="77777777" w:rsidR="00582247" w:rsidRPr="00FB1744" w:rsidRDefault="00582247" w:rsidP="00FB1744">
      <w:pPr>
        <w:tabs>
          <w:tab w:val="right" w:pos="2155"/>
        </w:tabs>
        <w:spacing w:after="80" w:line="240" w:lineRule="auto"/>
        <w:ind w:left="680"/>
      </w:pPr>
      <w:r>
        <w:rPr>
          <w:u w:val="single"/>
        </w:rPr>
        <w:tab/>
      </w:r>
    </w:p>
  </w:footnote>
  <w:footnote w:type="continuationSeparator" w:id="0">
    <w:p w14:paraId="0939FDA8" w14:textId="77777777" w:rsidR="00582247" w:rsidRPr="00FB1744" w:rsidRDefault="00582247" w:rsidP="00FB1744">
      <w:pPr>
        <w:tabs>
          <w:tab w:val="right" w:pos="2155"/>
        </w:tabs>
        <w:spacing w:after="80" w:line="240" w:lineRule="auto"/>
        <w:ind w:left="680"/>
      </w:pPr>
      <w:r>
        <w:rPr>
          <w:u w:val="single"/>
        </w:rPr>
        <w:tab/>
      </w:r>
    </w:p>
  </w:footnote>
  <w:footnote w:type="continuationNotice" w:id="1">
    <w:p w14:paraId="2FE73954" w14:textId="77777777" w:rsidR="00B15615" w:rsidRPr="00B15615" w:rsidRDefault="00B15615" w:rsidP="00B15615">
      <w:pPr>
        <w:pStyle w:val="Footer"/>
      </w:pPr>
    </w:p>
  </w:footnote>
  <w:footnote w:id="2">
    <w:p w14:paraId="617EAB36" w14:textId="5BA76419" w:rsidR="00096E73" w:rsidRDefault="00096E73">
      <w:pPr>
        <w:pStyle w:val="FootnoteText"/>
      </w:pPr>
      <w:r w:rsidRPr="00096E73">
        <w:rPr>
          <w:rStyle w:val="FootnoteReference"/>
          <w:sz w:val="20"/>
          <w:szCs w:val="22"/>
          <w:vertAlign w:val="baseline"/>
        </w:rPr>
        <w:tab/>
        <w:t>*</w:t>
      </w:r>
      <w:r w:rsidRPr="00096E73">
        <w:rPr>
          <w:sz w:val="20"/>
          <w:szCs w:val="22"/>
        </w:rPr>
        <w:tab/>
      </w:r>
      <w:r>
        <w:t>A/76/6 (Sect.20), para</w:t>
      </w:r>
      <w:r w:rsidR="005A75FE">
        <w:t>.</w:t>
      </w:r>
      <w:r>
        <w:t xml:space="preserve"> 20.76.</w:t>
      </w:r>
    </w:p>
  </w:footnote>
  <w:footnote w:id="3">
    <w:p w14:paraId="09B578C9" w14:textId="524FA5D8" w:rsidR="00B15615" w:rsidRPr="00B15615" w:rsidRDefault="00B15615">
      <w:pPr>
        <w:pStyle w:val="FootnoteText"/>
      </w:pPr>
      <w:r w:rsidRPr="00B15615">
        <w:rPr>
          <w:rStyle w:val="FootnoteReference"/>
          <w:sz w:val="20"/>
          <w:szCs w:val="22"/>
          <w:vertAlign w:val="baseline"/>
        </w:rPr>
        <w:tab/>
        <w:t>**</w:t>
      </w:r>
      <w:r w:rsidRPr="00B15615">
        <w:rPr>
          <w:sz w:val="20"/>
          <w:szCs w:val="22"/>
        </w:rPr>
        <w:tab/>
      </w:r>
      <w:r>
        <w:t>Distributed by the Intergovernmental Organisation for International Carriage by Rail (OTIF) under the symbol OTIF/RID/RC/2022/21.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617C5" w14:textId="77777777" w:rsidR="00A30C72" w:rsidRDefault="00A30C72" w:rsidP="00A30C72">
    <w:pPr>
      <w:pStyle w:val="Header"/>
    </w:pPr>
    <w:r>
      <w:t>ECE/TRANS/WP.15/AC.1/2022/21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0C29E" w14:textId="77777777" w:rsidR="00A30C72" w:rsidRDefault="00A30C72" w:rsidP="00A30C72">
    <w:pPr>
      <w:pStyle w:val="Header"/>
      <w:jc w:val="right"/>
    </w:pPr>
    <w:r>
      <w:t>ECE/TRANS/WP.15/AC.1/2022/21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582247"/>
    <w:rsid w:val="00046E92"/>
    <w:rsid w:val="00096E73"/>
    <w:rsid w:val="000D1B89"/>
    <w:rsid w:val="000F6E29"/>
    <w:rsid w:val="001170DC"/>
    <w:rsid w:val="00247E2C"/>
    <w:rsid w:val="002A1AA8"/>
    <w:rsid w:val="002C7053"/>
    <w:rsid w:val="002D6C53"/>
    <w:rsid w:val="002F5595"/>
    <w:rsid w:val="00334F6A"/>
    <w:rsid w:val="00342AC8"/>
    <w:rsid w:val="003B243A"/>
    <w:rsid w:val="003B4550"/>
    <w:rsid w:val="003E27C0"/>
    <w:rsid w:val="0043448D"/>
    <w:rsid w:val="00461253"/>
    <w:rsid w:val="00495C4D"/>
    <w:rsid w:val="004E489C"/>
    <w:rsid w:val="005042C2"/>
    <w:rsid w:val="00506C12"/>
    <w:rsid w:val="0056599A"/>
    <w:rsid w:val="00582247"/>
    <w:rsid w:val="00585AE1"/>
    <w:rsid w:val="00587690"/>
    <w:rsid w:val="005A75FE"/>
    <w:rsid w:val="005D35B4"/>
    <w:rsid w:val="00671529"/>
    <w:rsid w:val="006A5598"/>
    <w:rsid w:val="00717266"/>
    <w:rsid w:val="007268F9"/>
    <w:rsid w:val="00786519"/>
    <w:rsid w:val="007C52B0"/>
    <w:rsid w:val="008D5BD2"/>
    <w:rsid w:val="009411B4"/>
    <w:rsid w:val="009C6864"/>
    <w:rsid w:val="009D0139"/>
    <w:rsid w:val="009F5CDC"/>
    <w:rsid w:val="00A30C72"/>
    <w:rsid w:val="00A429CD"/>
    <w:rsid w:val="00A775CF"/>
    <w:rsid w:val="00A85F73"/>
    <w:rsid w:val="00AB3C7E"/>
    <w:rsid w:val="00B06045"/>
    <w:rsid w:val="00B15615"/>
    <w:rsid w:val="00C032E0"/>
    <w:rsid w:val="00C35A27"/>
    <w:rsid w:val="00C448F7"/>
    <w:rsid w:val="00E02C2B"/>
    <w:rsid w:val="00E665C4"/>
    <w:rsid w:val="00E67891"/>
    <w:rsid w:val="00E929D6"/>
    <w:rsid w:val="00ED6C48"/>
    <w:rsid w:val="00EF76C5"/>
    <w:rsid w:val="00F65F5D"/>
    <w:rsid w:val="00F86A3A"/>
    <w:rsid w:val="00FB1744"/>
    <w:rsid w:val="00FC04AB"/>
    <w:rsid w:val="00FC22AE"/>
    <w:rsid w:val="00FE00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E57EB7"/>
  <w15:docId w15:val="{80095CD3-EE9D-40E9-AD61-4E1B6A9EE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qFormat/>
    <w:rsid w:val="00EF76C5"/>
    <w:rPr>
      <w:rFonts w:ascii="Times New Roman" w:hAnsi="Times New Roman" w:cs="Times New Roman"/>
      <w:sz w:val="20"/>
      <w:szCs w:val="20"/>
    </w:rPr>
  </w:style>
  <w:style w:type="character" w:customStyle="1" w:styleId="H1GChar">
    <w:name w:val="_ H_1_G Char"/>
    <w:link w:val="H1G"/>
    <w:rsid w:val="00786519"/>
    <w:rPr>
      <w:rFonts w:ascii="Times New Roman" w:eastAsia="Times New Roman" w:hAnsi="Times New Roman" w:cs="Times New Roman"/>
      <w:b/>
      <w:sz w:val="24"/>
      <w:szCs w:val="20"/>
      <w:lang w:eastAsia="en-US"/>
    </w:rPr>
  </w:style>
  <w:style w:type="character" w:customStyle="1" w:styleId="HChGChar">
    <w:name w:val="_ H _Ch_G Char"/>
    <w:link w:val="HChG"/>
    <w:rsid w:val="00786519"/>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DA907FF7-E03A-4373-B658-425065B765FD}"/>
</file>

<file path=customXml/itemProps3.xml><?xml version="1.0" encoding="utf-8"?>
<ds:datastoreItem xmlns:ds="http://schemas.openxmlformats.org/officeDocument/2006/customXml" ds:itemID="{8948F7CD-A0B7-4356-BD7B-57F935DB0197}"/>
</file>

<file path=customXml/itemProps4.xml><?xml version="1.0" encoding="utf-8"?>
<ds:datastoreItem xmlns:ds="http://schemas.openxmlformats.org/officeDocument/2006/customXml" ds:itemID="{F4E88757-3CC5-4A28-9678-70575C78616F}"/>
</file>

<file path=docProps/app.xml><?xml version="1.0" encoding="utf-8"?>
<Properties xmlns="http://schemas.openxmlformats.org/officeDocument/2006/extended-properties" xmlns:vt="http://schemas.openxmlformats.org/officeDocument/2006/docPropsVTypes">
  <Template>Normal.dotm</Template>
  <TotalTime>1</TotalTime>
  <Pages>3</Pages>
  <Words>812</Words>
  <Characters>4629</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ECE/TRANS/WP.15/AC.1/2022/21</vt:lpstr>
      <vt:lpstr>    Calculation of the shell thickness for tanks with code P22DH (UN No. 1017 CHLO</vt:lpstr>
      <vt:lpstr>    Transmitted by the Government of the Russian Federation(, (( </vt:lpstr>
      <vt:lpstr>    </vt:lpstr>
      <vt:lpstr>    Introduction</vt:lpstr>
      <vt:lpstr>    Justification</vt:lpstr>
      <vt:lpstr>    Proposals</vt:lpstr>
      <vt:lpstr>        Option 1 (in the first paragraph of 6.8.2.1.14, include a reference to paragraph</vt:lpstr>
      <vt:lpstr>        Option 2 (add a reference to table 4.3.3.1.1 in the explanation to the formula f</vt:lpstr>
      <vt:lpstr>        Option 3 (remove the reference to 6.8.2.1.14 in the explanation to the formula i</vt:lpstr>
    </vt:vector>
  </TitlesOfParts>
  <Company>DCM</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ECE/TRANS/WP.15/AC.1/2022/21</dc:title>
  <dc:subject>2209685</dc:subject>
  <dc:creator>cg</dc:creator>
  <cp:keywords/>
  <dc:description/>
  <cp:lastModifiedBy>Christine Barrio-Champeau</cp:lastModifiedBy>
  <cp:revision>2</cp:revision>
  <dcterms:created xsi:type="dcterms:W3CDTF">2022-07-25T11:55:00Z</dcterms:created>
  <dcterms:modified xsi:type="dcterms:W3CDTF">2022-07-25T11:55:00Z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