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665B5C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C3BFDB" w14:textId="77777777" w:rsidR="00F35BAF" w:rsidRPr="00DB58B5" w:rsidRDefault="00F35BAF" w:rsidP="001F6C5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A40F3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E8CF4D" w14:textId="1278C78F" w:rsidR="00F35BAF" w:rsidRPr="00DB58B5" w:rsidRDefault="001F6C53" w:rsidP="001F6C53">
            <w:pPr>
              <w:jc w:val="right"/>
            </w:pPr>
            <w:r w:rsidRPr="001F6C53">
              <w:rPr>
                <w:sz w:val="40"/>
              </w:rPr>
              <w:t>ECE</w:t>
            </w:r>
            <w:r>
              <w:t>/TRANS/WP.29/GRVA/2022/23</w:t>
            </w:r>
          </w:p>
        </w:tc>
      </w:tr>
      <w:tr w:rsidR="00F35BAF" w:rsidRPr="00DB58B5" w14:paraId="6C6D91E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FAA5D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A341A1" wp14:editId="2319A8C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B85B0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242F1D" w14:textId="77777777" w:rsidR="00F35BAF" w:rsidRDefault="001F6C5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B9CB915" w14:textId="77777777" w:rsidR="001F6C53" w:rsidRDefault="001F6C53" w:rsidP="001F6C53">
            <w:pPr>
              <w:spacing w:line="240" w:lineRule="exact"/>
            </w:pPr>
            <w:r>
              <w:t>14 juillet 2022</w:t>
            </w:r>
          </w:p>
          <w:p w14:paraId="05701F2C" w14:textId="77777777" w:rsidR="001F6C53" w:rsidRDefault="001F6C53" w:rsidP="001F6C53">
            <w:pPr>
              <w:spacing w:line="240" w:lineRule="exact"/>
            </w:pPr>
            <w:r>
              <w:t>Français</w:t>
            </w:r>
          </w:p>
          <w:p w14:paraId="73891167" w14:textId="7898F448" w:rsidR="001F6C53" w:rsidRPr="00DB58B5" w:rsidRDefault="001F6C53" w:rsidP="001F6C53">
            <w:pPr>
              <w:spacing w:line="240" w:lineRule="exact"/>
            </w:pPr>
            <w:r>
              <w:t>Original : anglais</w:t>
            </w:r>
          </w:p>
        </w:tc>
      </w:tr>
    </w:tbl>
    <w:p w14:paraId="428343ED" w14:textId="676E380C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F6C5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0D1C26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07D6AAD" w14:textId="7C3F95EA" w:rsidR="001F6C53" w:rsidRDefault="001F6C53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6726B4E" w14:textId="77777777" w:rsidR="001F6C53" w:rsidRDefault="001F6C53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273F35C9" w14:textId="77777777" w:rsidR="001F6C53" w:rsidRPr="00941E95" w:rsidRDefault="001F6C53" w:rsidP="001F6C53">
      <w:pPr>
        <w:spacing w:before="120"/>
        <w:rPr>
          <w:b/>
          <w:lang w:val="fr-FR"/>
        </w:rPr>
      </w:pPr>
      <w:r w:rsidRPr="00941E95">
        <w:rPr>
          <w:b/>
          <w:bCs/>
          <w:lang w:val="fr-FR"/>
        </w:rPr>
        <w:t>Quatorzième session</w:t>
      </w:r>
    </w:p>
    <w:p w14:paraId="3EFF1A50" w14:textId="77777777" w:rsidR="001F6C53" w:rsidRPr="00941E95" w:rsidRDefault="001F6C53" w:rsidP="001F6C53">
      <w:pPr>
        <w:rPr>
          <w:lang w:val="fr-FR"/>
        </w:rPr>
      </w:pPr>
      <w:bookmarkStart w:id="0" w:name="OLE_LINK2"/>
      <w:r w:rsidRPr="00941E95">
        <w:rPr>
          <w:lang w:val="fr-FR"/>
        </w:rPr>
        <w:t>Genève, 26-30 septembre 2022</w:t>
      </w:r>
    </w:p>
    <w:p w14:paraId="5BA1550A" w14:textId="4917C6B1" w:rsidR="001F6C53" w:rsidRPr="00941E95" w:rsidRDefault="001F6C53" w:rsidP="001F6C53">
      <w:pPr>
        <w:rPr>
          <w:lang w:val="fr-FR"/>
        </w:rPr>
      </w:pPr>
      <w:r w:rsidRPr="00941E95">
        <w:rPr>
          <w:lang w:val="fr-FR"/>
        </w:rPr>
        <w:t>Point 7 de l</w:t>
      </w:r>
      <w:r>
        <w:rPr>
          <w:lang w:val="fr-FR"/>
        </w:rPr>
        <w:t>’</w:t>
      </w:r>
      <w:r w:rsidRPr="00941E95">
        <w:rPr>
          <w:lang w:val="fr-FR"/>
        </w:rPr>
        <w:t>ordre du jour provisoire</w:t>
      </w:r>
    </w:p>
    <w:bookmarkEnd w:id="0"/>
    <w:p w14:paraId="574842A3" w14:textId="303F8D59" w:rsidR="001F6C53" w:rsidRPr="00941E95" w:rsidRDefault="001F6C53" w:rsidP="001F6C53">
      <w:pPr>
        <w:rPr>
          <w:b/>
          <w:bCs/>
          <w:lang w:val="fr-FR"/>
        </w:rPr>
      </w:pPr>
      <w:r w:rsidRPr="00941E95">
        <w:rPr>
          <w:b/>
          <w:bCs/>
          <w:lang w:val="fr-FR"/>
        </w:rPr>
        <w:t>Systèmes actifs de freinage d</w:t>
      </w:r>
      <w:r>
        <w:rPr>
          <w:b/>
          <w:bCs/>
          <w:lang w:val="fr-FR"/>
        </w:rPr>
        <w:t>’</w:t>
      </w:r>
      <w:r w:rsidRPr="00941E95">
        <w:rPr>
          <w:b/>
          <w:bCs/>
          <w:lang w:val="fr-FR"/>
        </w:rPr>
        <w:t>urgence</w:t>
      </w:r>
    </w:p>
    <w:p w14:paraId="0A315789" w14:textId="52E6C42B" w:rsidR="001F6C53" w:rsidRPr="00941E95" w:rsidRDefault="001F6C53" w:rsidP="001F6C53">
      <w:pPr>
        <w:pStyle w:val="HChG"/>
        <w:rPr>
          <w:lang w:val="fr-FR"/>
        </w:rPr>
      </w:pPr>
      <w:r w:rsidRPr="00941E95">
        <w:rPr>
          <w:lang w:val="fr-FR"/>
        </w:rPr>
        <w:tab/>
      </w:r>
      <w:r w:rsidRPr="00941E95">
        <w:rPr>
          <w:lang w:val="fr-FR"/>
        </w:rPr>
        <w:tab/>
      </w:r>
      <w:r w:rsidRPr="00EA2FE2">
        <w:rPr>
          <w:bCs/>
          <w:lang w:val="fr-FR"/>
        </w:rPr>
        <w:t>Proposition de complément à la série 01 d</w:t>
      </w:r>
      <w:r>
        <w:rPr>
          <w:bCs/>
          <w:lang w:val="fr-FR"/>
        </w:rPr>
        <w:t>’</w:t>
      </w:r>
      <w:r w:rsidRPr="00EA2FE2">
        <w:rPr>
          <w:bCs/>
          <w:lang w:val="fr-FR"/>
        </w:rPr>
        <w:t xml:space="preserve">amendements au Règlement ONU </w:t>
      </w:r>
      <w:r w:rsidRPr="001F6C53">
        <w:rPr>
          <w:rFonts w:eastAsia="MS Mincho"/>
          <w:bCs/>
          <w:szCs w:val="22"/>
          <w:lang w:val="fr-FR"/>
        </w:rPr>
        <w:t>n</w:t>
      </w:r>
      <w:r w:rsidRPr="001F6C53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EA2FE2">
        <w:rPr>
          <w:bCs/>
          <w:lang w:val="fr-FR"/>
        </w:rPr>
        <w:t>131</w:t>
      </w:r>
      <w:r w:rsidRPr="00941E95">
        <w:rPr>
          <w:bCs/>
          <w:i/>
          <w:iCs/>
          <w:lang w:val="fr-FR"/>
        </w:rPr>
        <w:t xml:space="preserve"> </w:t>
      </w:r>
      <w:r w:rsidRPr="00941E95">
        <w:rPr>
          <w:bCs/>
          <w:lang w:val="fr-FR"/>
        </w:rPr>
        <w:t>(Système actif de freinage d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urgence)</w:t>
      </w:r>
    </w:p>
    <w:p w14:paraId="21F7E0F6" w14:textId="01B63191" w:rsidR="001F6C53" w:rsidRPr="00941E95" w:rsidRDefault="001F6C53" w:rsidP="001F6C53">
      <w:pPr>
        <w:pStyle w:val="H1G"/>
        <w:rPr>
          <w:szCs w:val="24"/>
          <w:lang w:val="fr-FR"/>
        </w:rPr>
      </w:pPr>
      <w:r w:rsidRPr="00941E95">
        <w:rPr>
          <w:lang w:val="fr-FR"/>
        </w:rPr>
        <w:tab/>
      </w:r>
      <w:r w:rsidRPr="00941E95">
        <w:rPr>
          <w:lang w:val="fr-FR"/>
        </w:rPr>
        <w:tab/>
      </w:r>
      <w:r w:rsidRPr="001F6C53">
        <w:rPr>
          <w:bCs/>
          <w:spacing w:val="3"/>
          <w:lang w:val="fr-FR"/>
        </w:rPr>
        <w:t xml:space="preserve">Communication de la présidence du groupe de travail informel </w:t>
      </w:r>
      <w:r w:rsidRPr="001F6C53">
        <w:rPr>
          <w:bCs/>
          <w:spacing w:val="3"/>
          <w:lang w:val="fr-FR"/>
        </w:rPr>
        <w:br/>
      </w:r>
      <w:r w:rsidRPr="001F6C53">
        <w:rPr>
          <w:bCs/>
          <w:spacing w:val="-2"/>
          <w:lang w:val="fr-FR"/>
        </w:rPr>
        <w:t>des systèmes actifs de freinage d</w:t>
      </w:r>
      <w:r>
        <w:rPr>
          <w:bCs/>
          <w:spacing w:val="-2"/>
          <w:lang w:val="fr-FR"/>
        </w:rPr>
        <w:t>’</w:t>
      </w:r>
      <w:r w:rsidRPr="001F6C53">
        <w:rPr>
          <w:bCs/>
          <w:spacing w:val="-2"/>
          <w:lang w:val="fr-FR"/>
        </w:rPr>
        <w:t>urgence pour les véhicules lourds</w:t>
      </w:r>
      <w:r w:rsidRPr="001F6C53">
        <w:rPr>
          <w:b w:val="0"/>
          <w:bCs/>
          <w:spacing w:val="-2"/>
          <w:sz w:val="20"/>
          <w:lang w:val="fr-FR"/>
        </w:rPr>
        <w:footnoteReference w:customMarkFollows="1" w:id="2"/>
        <w:t>*</w:t>
      </w:r>
    </w:p>
    <w:p w14:paraId="4F6FA79C" w14:textId="07E83F51" w:rsidR="001F6C53" w:rsidRDefault="001F6C53" w:rsidP="001F6C53">
      <w:pPr>
        <w:pStyle w:val="SingleTxtG"/>
        <w:ind w:firstLine="567"/>
        <w:rPr>
          <w:lang w:val="fr-FR"/>
        </w:rPr>
      </w:pPr>
      <w:r w:rsidRPr="00941E95">
        <w:rPr>
          <w:lang w:val="fr-FR"/>
        </w:rPr>
        <w:t>Le texte ci-après, établi par les experts du groupe de travail informel des systèmes actifs de freinage d</w:t>
      </w:r>
      <w:r>
        <w:rPr>
          <w:lang w:val="fr-FR"/>
        </w:rPr>
        <w:t>’</w:t>
      </w:r>
      <w:r w:rsidRPr="00941E95">
        <w:rPr>
          <w:lang w:val="fr-FR"/>
        </w:rPr>
        <w:t>urgence pour les véhicules lourds, vise à permettre une plus forte diminution de la vitesse pendant la phase d</w:t>
      </w:r>
      <w:r>
        <w:rPr>
          <w:lang w:val="fr-FR"/>
        </w:rPr>
        <w:t>’</w:t>
      </w:r>
      <w:r w:rsidRPr="00941E95">
        <w:rPr>
          <w:lang w:val="fr-FR"/>
        </w:rPr>
        <w:t>avertissement. Les modifications qu</w:t>
      </w:r>
      <w:r>
        <w:rPr>
          <w:lang w:val="fr-FR"/>
        </w:rPr>
        <w:t>’</w:t>
      </w:r>
      <w:r w:rsidRPr="00941E95">
        <w:rPr>
          <w:lang w:val="fr-FR"/>
        </w:rPr>
        <w:t>il est proposé d</w:t>
      </w:r>
      <w:r>
        <w:rPr>
          <w:lang w:val="fr-FR"/>
        </w:rPr>
        <w:t>’</w:t>
      </w:r>
      <w:r w:rsidRPr="00941E95">
        <w:rPr>
          <w:lang w:val="fr-FR"/>
        </w:rPr>
        <w:t>apporter au texte actuel du Règlement figurent en caractères gras pour les ajouts et biffés pour les suppressions.</w:t>
      </w:r>
    </w:p>
    <w:p w14:paraId="4207DDE2" w14:textId="77777777" w:rsidR="001F6C53" w:rsidRDefault="001F6C5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431A6DB3" w14:textId="77777777" w:rsidR="001F6C53" w:rsidRPr="00941E95" w:rsidRDefault="001F6C53" w:rsidP="001F6C53">
      <w:pPr>
        <w:pStyle w:val="HChG"/>
        <w:ind w:right="567"/>
        <w:rPr>
          <w:rFonts w:asciiTheme="majorBidi" w:hAnsiTheme="majorBidi" w:cstheme="majorBidi"/>
          <w:lang w:val="fr-FR"/>
        </w:rPr>
      </w:pPr>
      <w:r w:rsidRPr="00941E95">
        <w:rPr>
          <w:bCs/>
          <w:lang w:val="fr-FR"/>
        </w:rPr>
        <w:lastRenderedPageBreak/>
        <w:tab/>
        <w:t>I.</w:t>
      </w:r>
      <w:r w:rsidRPr="00941E95">
        <w:rPr>
          <w:lang w:val="fr-FR"/>
        </w:rPr>
        <w:tab/>
      </w:r>
      <w:r w:rsidRPr="00941E95">
        <w:rPr>
          <w:bCs/>
          <w:lang w:val="fr-FR"/>
        </w:rPr>
        <w:t>Proposition</w:t>
      </w:r>
    </w:p>
    <w:p w14:paraId="67EF4E8E" w14:textId="1C1B1137" w:rsidR="001F6C53" w:rsidRPr="00941E95" w:rsidRDefault="001F6C53" w:rsidP="001F6C53">
      <w:pPr>
        <w:spacing w:after="120"/>
        <w:ind w:left="1134" w:right="1133"/>
        <w:jc w:val="both"/>
        <w:rPr>
          <w:rFonts w:asciiTheme="majorBidi" w:hAnsiTheme="majorBidi"/>
          <w:i/>
          <w:iCs/>
          <w:lang w:val="fr-FR"/>
        </w:rPr>
      </w:pPr>
      <w:r w:rsidRPr="00941E95">
        <w:rPr>
          <w:i/>
          <w:iCs/>
          <w:lang w:val="fr-FR"/>
        </w:rPr>
        <w:t>Paragraphe 6.4</w:t>
      </w:r>
      <w:r w:rsidRPr="00941E95">
        <w:rPr>
          <w:lang w:val="fr-FR"/>
        </w:rPr>
        <w:t>, lire</w:t>
      </w:r>
      <w:r>
        <w:rPr>
          <w:lang w:val="fr-FR"/>
        </w:rPr>
        <w:t> :</w:t>
      </w:r>
    </w:p>
    <w:p w14:paraId="62A59851" w14:textId="1594BDED" w:rsidR="001F6C53" w:rsidRPr="00941E95" w:rsidRDefault="001F6C53" w:rsidP="001F6C53">
      <w:pPr>
        <w:spacing w:after="120"/>
        <w:ind w:left="2268" w:right="1133" w:hanging="1134"/>
        <w:rPr>
          <w:rFonts w:asciiTheme="majorBidi" w:hAnsiTheme="majorBidi"/>
          <w:lang w:val="fr-FR"/>
        </w:rPr>
      </w:pPr>
      <w:r>
        <w:rPr>
          <w:lang w:val="fr-FR"/>
        </w:rPr>
        <w:t>« </w:t>
      </w:r>
      <w:r w:rsidRPr="00941E95">
        <w:rPr>
          <w:lang w:val="fr-FR"/>
        </w:rPr>
        <w:t>6.4</w:t>
      </w:r>
      <w:r w:rsidRPr="00941E95">
        <w:rPr>
          <w:lang w:val="fr-FR"/>
        </w:rPr>
        <w:tab/>
        <w:t>Essai d</w:t>
      </w:r>
      <w:r>
        <w:rPr>
          <w:lang w:val="fr-FR"/>
        </w:rPr>
        <w:t>’</w:t>
      </w:r>
      <w:r w:rsidRPr="00941E95">
        <w:rPr>
          <w:lang w:val="fr-FR"/>
        </w:rPr>
        <w:t>avertissement et d</w:t>
      </w:r>
      <w:r>
        <w:rPr>
          <w:lang w:val="fr-FR"/>
        </w:rPr>
        <w:t>’</w:t>
      </w:r>
      <w:r w:rsidRPr="00941E95">
        <w:rPr>
          <w:lang w:val="fr-FR"/>
        </w:rPr>
        <w:t>activation du système avec une cible fixe</w:t>
      </w:r>
    </w:p>
    <w:p w14:paraId="05D14980" w14:textId="5DF10ECD" w:rsidR="001F6C53" w:rsidRPr="00941E95" w:rsidRDefault="001F6C53" w:rsidP="001F6C53">
      <w:pPr>
        <w:spacing w:after="120"/>
        <w:ind w:left="2268" w:right="1133" w:hanging="1134"/>
        <w:jc w:val="both"/>
        <w:rPr>
          <w:rFonts w:asciiTheme="majorBidi" w:hAnsiTheme="majorBidi"/>
          <w:lang w:val="fr-FR"/>
        </w:rPr>
      </w:pPr>
      <w:r w:rsidRPr="00941E95">
        <w:rPr>
          <w:lang w:val="fr-FR"/>
        </w:rPr>
        <w:t>6.4.2</w:t>
      </w:r>
      <w:r w:rsidRPr="00941E95">
        <w:rPr>
          <w:lang w:val="fr-FR"/>
        </w:rPr>
        <w:tab/>
        <w:t>Le délai d</w:t>
      </w:r>
      <w:r>
        <w:rPr>
          <w:lang w:val="fr-FR"/>
        </w:rPr>
        <w:t>’</w:t>
      </w:r>
      <w:r w:rsidRPr="00941E95">
        <w:rPr>
          <w:lang w:val="fr-FR"/>
        </w:rPr>
        <w:t>activation des modes d</w:t>
      </w:r>
      <w:r>
        <w:rPr>
          <w:lang w:val="fr-FR"/>
        </w:rPr>
        <w:t>’</w:t>
      </w:r>
      <w:r w:rsidRPr="00941E95">
        <w:rPr>
          <w:lang w:val="fr-FR"/>
        </w:rPr>
        <w:t>avertissement de risque de choc décrit au paragraphe 5.5.1 ci-dessus doit satisfaire aux conditions suivantes :</w:t>
      </w:r>
    </w:p>
    <w:p w14:paraId="48FD6075" w14:textId="40E7053D" w:rsidR="001F6C53" w:rsidRPr="00941E95" w:rsidRDefault="001F6C53" w:rsidP="001F6C53">
      <w:pPr>
        <w:spacing w:after="120"/>
        <w:ind w:left="2268" w:right="1133" w:hanging="1134"/>
        <w:jc w:val="both"/>
        <w:rPr>
          <w:rFonts w:asciiTheme="majorBidi" w:hAnsiTheme="majorBidi"/>
          <w:lang w:val="fr-FR"/>
        </w:rPr>
      </w:pPr>
      <w:r w:rsidRPr="00941E95">
        <w:rPr>
          <w:lang w:val="fr-FR"/>
        </w:rPr>
        <w:t>6.4.2.1</w:t>
      </w:r>
      <w:r w:rsidRPr="00941E95">
        <w:rPr>
          <w:lang w:val="fr-FR"/>
        </w:rPr>
        <w:tab/>
        <w:t>Au moins un signal d</w:t>
      </w:r>
      <w:r>
        <w:rPr>
          <w:lang w:val="fr-FR"/>
        </w:rPr>
        <w:t>’</w:t>
      </w:r>
      <w:r w:rsidRPr="00941E95">
        <w:rPr>
          <w:lang w:val="fr-FR"/>
        </w:rPr>
        <w:t>avertissement doit être émis dans le délai indiqué dans la colonne B du tableau I de l</w:t>
      </w:r>
      <w:r>
        <w:rPr>
          <w:lang w:val="fr-FR"/>
        </w:rPr>
        <w:t>’</w:t>
      </w:r>
      <w:r w:rsidRPr="00941E95">
        <w:rPr>
          <w:lang w:val="fr-FR"/>
        </w:rPr>
        <w:t>annexe 3. […]</w:t>
      </w:r>
    </w:p>
    <w:p w14:paraId="3B6A41BE" w14:textId="7C72DF7B" w:rsidR="001F6C53" w:rsidRPr="00941E95" w:rsidRDefault="001F6C53" w:rsidP="001F6C5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6.4.2.2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deux signaux d</w:t>
      </w:r>
      <w:r>
        <w:rPr>
          <w:lang w:val="fr-FR"/>
        </w:rPr>
        <w:t>’</w:t>
      </w:r>
      <w:r w:rsidRPr="00941E95">
        <w:rPr>
          <w:lang w:val="fr-FR"/>
        </w:rPr>
        <w:t>avertissement doivent être émis</w:t>
      </w:r>
      <w:r w:rsidRPr="00941E95">
        <w:rPr>
          <w:bCs/>
          <w:lang w:val="fr-FR"/>
        </w:rPr>
        <w:t xml:space="preserve"> dans le délai indiqué dans la colonne C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7668FCAC" w14:textId="31848686" w:rsidR="001F6C53" w:rsidRPr="00941E95" w:rsidRDefault="001F6C53" w:rsidP="001F6C53">
      <w:pPr>
        <w:pStyle w:val="SingleTxtG"/>
        <w:ind w:left="2268" w:hanging="1134"/>
        <w:rPr>
          <w:bCs/>
          <w:strike/>
          <w:lang w:val="fr-FR"/>
        </w:rPr>
      </w:pPr>
      <w:r w:rsidRPr="00941E95">
        <w:rPr>
          <w:bCs/>
          <w:strike/>
          <w:lang w:val="fr-FR"/>
        </w:rPr>
        <w:t>6.4.2.3</w:t>
      </w:r>
      <w:r w:rsidRPr="00941E95">
        <w:rPr>
          <w:bCs/>
          <w:strike/>
          <w:lang w:val="fr-FR"/>
        </w:rPr>
        <w:tab/>
        <w:t>Toute réduction de vitesse durant la phase d</w:t>
      </w:r>
      <w:r>
        <w:rPr>
          <w:bCs/>
          <w:strike/>
          <w:lang w:val="fr-FR"/>
        </w:rPr>
        <w:t>’</w:t>
      </w:r>
      <w:r w:rsidRPr="00941E95">
        <w:rPr>
          <w:bCs/>
          <w:strike/>
          <w:lang w:val="fr-FR"/>
        </w:rPr>
        <w:t>avertissement ne doit pas être supérieure à 15 km/h ou à 30 % de la réduction de vitesse globale du véhicule mis à l</w:t>
      </w:r>
      <w:r>
        <w:rPr>
          <w:bCs/>
          <w:strike/>
          <w:lang w:val="fr-FR"/>
        </w:rPr>
        <w:t>’</w:t>
      </w:r>
      <w:r w:rsidRPr="00941E95">
        <w:rPr>
          <w:bCs/>
          <w:strike/>
          <w:lang w:val="fr-FR"/>
        </w:rPr>
        <w:t>essai, la valeur la plus élevée étant retenue.</w:t>
      </w:r>
    </w:p>
    <w:p w14:paraId="34B24CD8" w14:textId="17A46FC2" w:rsidR="001F6C53" w:rsidRPr="00941E95" w:rsidRDefault="001F6C53" w:rsidP="001F6C5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6.4.3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</w:t>
      </w:r>
      <w:r>
        <w:rPr>
          <w:lang w:val="fr-FR"/>
        </w:rPr>
        <w:t>’</w:t>
      </w:r>
      <w:r w:rsidRPr="00941E95">
        <w:rPr>
          <w:lang w:val="fr-FR"/>
        </w:rPr>
        <w:t>avertissement de risque de choc doit être suivie de la phase de freinage d</w:t>
      </w:r>
      <w:r>
        <w:rPr>
          <w:lang w:val="fr-FR"/>
        </w:rPr>
        <w:t>’</w:t>
      </w:r>
      <w:r w:rsidRPr="00941E95">
        <w:rPr>
          <w:lang w:val="fr-FR"/>
        </w:rPr>
        <w:t>urgence</w:t>
      </w:r>
      <w:r w:rsidRPr="00941E95">
        <w:rPr>
          <w:bCs/>
          <w:lang w:val="fr-FR"/>
        </w:rPr>
        <w:t>.</w:t>
      </w:r>
    </w:p>
    <w:p w14:paraId="373AC5C6" w14:textId="744A4F89" w:rsidR="001F6C53" w:rsidRPr="00941E95" w:rsidRDefault="001F6C53" w:rsidP="001F6C5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6.4.4</w:t>
      </w:r>
      <w:r w:rsidRPr="00941E95">
        <w:rPr>
          <w:bCs/>
          <w:lang w:val="fr-FR"/>
        </w:rPr>
        <w:tab/>
        <w:t>La réduction de vitesse globale du véhicule mis à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essai au moment de la collision avec la cible fixe ne doit pas être inférieure à la valeur indiquée dans la colonne D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64C20575" w14:textId="55FC7012" w:rsidR="001F6C53" w:rsidRPr="00941E95" w:rsidRDefault="001F6C53" w:rsidP="001F6C53">
      <w:pPr>
        <w:pStyle w:val="SingleTxtG"/>
        <w:ind w:left="2268" w:hanging="1134"/>
        <w:rPr>
          <w:rFonts w:asciiTheme="majorBidi" w:hAnsiTheme="majorBidi"/>
          <w:lang w:val="fr-FR"/>
        </w:rPr>
      </w:pPr>
      <w:r w:rsidRPr="00941E95">
        <w:rPr>
          <w:bCs/>
          <w:lang w:val="fr-FR"/>
        </w:rPr>
        <w:t>6.4.5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ne doit pas commencer avant que la valeur TTC soit égale</w:t>
      </w:r>
      <w:r w:rsidRPr="001F6C53">
        <w:rPr>
          <w:strike/>
          <w:lang w:val="fr-FR"/>
        </w:rPr>
        <w:t xml:space="preserve"> </w:t>
      </w:r>
      <w:r w:rsidRPr="00941E95">
        <w:rPr>
          <w:strike/>
          <w:lang w:val="fr-FR"/>
        </w:rPr>
        <w:t>ou inférieure</w:t>
      </w:r>
      <w:r w:rsidRPr="001F6C53">
        <w:rPr>
          <w:lang w:val="fr-FR"/>
        </w:rPr>
        <w:t xml:space="preserve"> </w:t>
      </w:r>
      <w:r w:rsidRPr="00941E95">
        <w:rPr>
          <w:lang w:val="fr-FR"/>
        </w:rPr>
        <w:t>à 3,0 s. »</w:t>
      </w:r>
      <w:r>
        <w:rPr>
          <w:lang w:val="fr-FR"/>
        </w:rPr>
        <w:t>.</w:t>
      </w:r>
    </w:p>
    <w:p w14:paraId="0258531E" w14:textId="77777777" w:rsidR="001F6C53" w:rsidRPr="00941E95" w:rsidRDefault="001F6C53" w:rsidP="001F6C53">
      <w:pPr>
        <w:spacing w:after="120"/>
        <w:ind w:left="1134" w:right="1133"/>
        <w:jc w:val="both"/>
        <w:rPr>
          <w:rFonts w:asciiTheme="majorBidi" w:hAnsiTheme="majorBidi"/>
          <w:lang w:val="fr-FR"/>
        </w:rPr>
      </w:pPr>
      <w:r w:rsidRPr="00941E95">
        <w:rPr>
          <w:rFonts w:asciiTheme="majorBidi" w:hAnsiTheme="majorBidi"/>
          <w:i/>
          <w:iCs/>
          <w:lang w:val="fr-FR"/>
        </w:rPr>
        <w:t>Paragraphe 6.5</w:t>
      </w:r>
      <w:r w:rsidRPr="00941E95">
        <w:rPr>
          <w:rFonts w:asciiTheme="majorBidi" w:hAnsiTheme="majorBidi"/>
          <w:lang w:val="fr-FR"/>
        </w:rPr>
        <w:t>, lire :</w:t>
      </w:r>
    </w:p>
    <w:p w14:paraId="117951CF" w14:textId="1F5F6EDD" w:rsidR="001F6C53" w:rsidRPr="00941E95" w:rsidRDefault="001F6C53" w:rsidP="001F6C53">
      <w:pPr>
        <w:spacing w:after="120"/>
        <w:ind w:left="2268" w:right="1133" w:hanging="1134"/>
        <w:jc w:val="both"/>
        <w:rPr>
          <w:lang w:val="fr-FR"/>
        </w:rPr>
      </w:pPr>
      <w:r w:rsidRPr="00941E95">
        <w:rPr>
          <w:lang w:val="fr-FR"/>
        </w:rPr>
        <w:t>« 6.5</w:t>
      </w:r>
      <w:r w:rsidRPr="00941E95">
        <w:rPr>
          <w:lang w:val="fr-FR"/>
        </w:rPr>
        <w:tab/>
        <w:t>Essai d</w:t>
      </w:r>
      <w:r>
        <w:rPr>
          <w:lang w:val="fr-FR"/>
        </w:rPr>
        <w:t>’</w:t>
      </w:r>
      <w:r w:rsidRPr="00941E95">
        <w:rPr>
          <w:lang w:val="fr-FR"/>
        </w:rPr>
        <w:t>avertissement et d</w:t>
      </w:r>
      <w:r>
        <w:rPr>
          <w:lang w:val="fr-FR"/>
        </w:rPr>
        <w:t>’</w:t>
      </w:r>
      <w:r w:rsidRPr="00941E95">
        <w:rPr>
          <w:lang w:val="fr-FR"/>
        </w:rPr>
        <w:t>activation du système avec une cible en mouvement</w:t>
      </w:r>
    </w:p>
    <w:p w14:paraId="7644369C" w14:textId="2B2CD5A0" w:rsidR="001F6C53" w:rsidRPr="00941E95" w:rsidRDefault="001F6C53" w:rsidP="001F6C53">
      <w:pPr>
        <w:pStyle w:val="SingleTxtG"/>
        <w:keepNext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Le délai d</w:t>
      </w:r>
      <w:r>
        <w:rPr>
          <w:lang w:val="fr-FR"/>
        </w:rPr>
        <w:t>’</w:t>
      </w:r>
      <w:r w:rsidRPr="00941E95">
        <w:rPr>
          <w:lang w:val="fr-FR"/>
        </w:rPr>
        <w:t>activation des modes d</w:t>
      </w:r>
      <w:r>
        <w:rPr>
          <w:lang w:val="fr-FR"/>
        </w:rPr>
        <w:t>’</w:t>
      </w:r>
      <w:r w:rsidRPr="00941E95">
        <w:rPr>
          <w:lang w:val="fr-FR"/>
        </w:rPr>
        <w:t>avertissement de risque de choc décrit au paragraphe 5.5.1 ci-dessus doit satisfaire aux conditions suivantes</w:t>
      </w:r>
      <w:r>
        <w:rPr>
          <w:lang w:val="fr-FR"/>
        </w:rPr>
        <w:t xml:space="preserve"> </w:t>
      </w:r>
      <w:r w:rsidRPr="00941E95">
        <w:rPr>
          <w:lang w:val="fr-FR"/>
        </w:rPr>
        <w:t>:</w:t>
      </w:r>
    </w:p>
    <w:p w14:paraId="31EFE94C" w14:textId="19B70274" w:rsidR="001F6C53" w:rsidRPr="00941E95" w:rsidRDefault="001F6C53" w:rsidP="001F6C5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6.5.2.1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un signal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haptique ou acoustique doit être émis </w:t>
      </w:r>
      <w:r w:rsidRPr="00941E95">
        <w:rPr>
          <w:bCs/>
          <w:lang w:val="fr-FR"/>
        </w:rPr>
        <w:t>dans le délai indiqué dans la colonne E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5BD5CE5E" w14:textId="57BCCF91" w:rsidR="001F6C53" w:rsidRPr="00941E95" w:rsidRDefault="001F6C53" w:rsidP="001F6C5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deux signaux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doivent être émis </w:t>
      </w:r>
      <w:r w:rsidRPr="00941E95">
        <w:rPr>
          <w:bCs/>
          <w:lang w:val="fr-FR"/>
        </w:rPr>
        <w:t>dans le délai indiqué dans la colonne F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345ACA1C" w14:textId="720C1D95" w:rsidR="001F6C53" w:rsidRPr="00941E95" w:rsidRDefault="001F6C53" w:rsidP="001F6C53">
      <w:pPr>
        <w:pStyle w:val="SingleTxtG"/>
        <w:ind w:left="2268" w:hanging="1134"/>
        <w:rPr>
          <w:bCs/>
          <w:strike/>
          <w:lang w:val="fr-FR"/>
        </w:rPr>
      </w:pPr>
      <w:r w:rsidRPr="00941E95">
        <w:rPr>
          <w:bCs/>
          <w:strike/>
          <w:lang w:val="fr-FR"/>
        </w:rPr>
        <w:t>6.5.2.3</w:t>
      </w:r>
      <w:r w:rsidRPr="00941E95">
        <w:rPr>
          <w:bCs/>
          <w:strike/>
          <w:lang w:val="fr-FR"/>
        </w:rPr>
        <w:tab/>
        <w:t>Toute réduction de vitesse durant la phase d</w:t>
      </w:r>
      <w:r>
        <w:rPr>
          <w:bCs/>
          <w:strike/>
          <w:lang w:val="fr-FR"/>
        </w:rPr>
        <w:t>’</w:t>
      </w:r>
      <w:r w:rsidRPr="00941E95">
        <w:rPr>
          <w:bCs/>
          <w:strike/>
          <w:lang w:val="fr-FR"/>
        </w:rPr>
        <w:t>avertissement ne doit pas être supérieure à 15 km/h ou à 30 % de la réduction de vitesse globale du véhicule mis à l</w:t>
      </w:r>
      <w:r>
        <w:rPr>
          <w:bCs/>
          <w:strike/>
          <w:lang w:val="fr-FR"/>
        </w:rPr>
        <w:t>’</w:t>
      </w:r>
      <w:r w:rsidRPr="00941E95">
        <w:rPr>
          <w:bCs/>
          <w:strike/>
          <w:lang w:val="fr-FR"/>
        </w:rPr>
        <w:t>essai, la valeur la plus élevée étant retenue.</w:t>
      </w:r>
    </w:p>
    <w:p w14:paraId="1A086579" w14:textId="421B8271" w:rsidR="001F6C53" w:rsidRPr="00941E95" w:rsidRDefault="001F6C53" w:rsidP="001F6C5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6.5.3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doit avoir pour effet d</w:t>
      </w:r>
      <w:r>
        <w:rPr>
          <w:lang w:val="fr-FR"/>
        </w:rPr>
        <w:t>’</w:t>
      </w:r>
      <w:r w:rsidRPr="00941E95">
        <w:rPr>
          <w:lang w:val="fr-FR"/>
        </w:rPr>
        <w:t>éviter une collision entre le véhicule mis à l</w:t>
      </w:r>
      <w:r>
        <w:rPr>
          <w:lang w:val="fr-FR"/>
        </w:rPr>
        <w:t>’</w:t>
      </w:r>
      <w:r w:rsidRPr="00941E95">
        <w:rPr>
          <w:lang w:val="fr-FR"/>
        </w:rPr>
        <w:t>essai et la cible en mouvement.</w:t>
      </w:r>
    </w:p>
    <w:p w14:paraId="4F298981" w14:textId="50643CE7" w:rsidR="001F6C53" w:rsidRPr="00941E95" w:rsidRDefault="001F6C53" w:rsidP="001F6C53">
      <w:pPr>
        <w:pStyle w:val="SingleTxtG"/>
        <w:ind w:left="2268" w:hanging="1134"/>
        <w:rPr>
          <w:rFonts w:asciiTheme="majorBidi" w:hAnsiTheme="majorBidi"/>
          <w:lang w:val="fr-FR"/>
        </w:rPr>
      </w:pPr>
      <w:r w:rsidRPr="00941E95">
        <w:rPr>
          <w:bCs/>
          <w:lang w:val="fr-FR"/>
        </w:rPr>
        <w:t>6.5.4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ne doit pas commencer avant que le TTC ne soit</w:t>
      </w:r>
      <w:r w:rsidRPr="00941E95">
        <w:rPr>
          <w:strike/>
          <w:lang w:val="fr-FR"/>
        </w:rPr>
        <w:t xml:space="preserve"> inférieur ou</w:t>
      </w:r>
      <w:r w:rsidRPr="00941E95">
        <w:rPr>
          <w:lang w:val="fr-FR"/>
        </w:rPr>
        <w:t xml:space="preserve"> égal à 3,0 s. »</w:t>
      </w:r>
      <w:r>
        <w:rPr>
          <w:lang w:val="fr-FR"/>
        </w:rPr>
        <w:t>.</w:t>
      </w:r>
    </w:p>
    <w:p w14:paraId="078CFCB3" w14:textId="77777777" w:rsidR="001F6C53" w:rsidRPr="00941E95" w:rsidRDefault="001F6C53" w:rsidP="001F6C53">
      <w:pPr>
        <w:pStyle w:val="HChG"/>
        <w:ind w:right="567"/>
        <w:rPr>
          <w:lang w:val="fr-FR"/>
        </w:rPr>
      </w:pPr>
      <w:r w:rsidRPr="00941E95">
        <w:rPr>
          <w:bCs/>
          <w:lang w:val="fr-FR"/>
        </w:rPr>
        <w:tab/>
        <w:t>II.</w:t>
      </w:r>
      <w:r w:rsidRPr="00941E95">
        <w:rPr>
          <w:lang w:val="fr-FR"/>
        </w:rPr>
        <w:tab/>
        <w:t>Justification</w:t>
      </w:r>
    </w:p>
    <w:p w14:paraId="46C7028B" w14:textId="2C4251AD" w:rsidR="001F6C53" w:rsidRPr="00941E95" w:rsidRDefault="001F6C53" w:rsidP="001F6C53">
      <w:pPr>
        <w:pStyle w:val="Paragraphedeliste"/>
        <w:spacing w:after="120"/>
        <w:ind w:left="1134" w:right="1134"/>
        <w:contextualSpacing w:val="0"/>
        <w:jc w:val="both"/>
        <w:rPr>
          <w:rFonts w:eastAsia="Times New Roman"/>
          <w:lang w:val="fr-FR"/>
        </w:rPr>
      </w:pPr>
      <w:r w:rsidRPr="00941E95">
        <w:rPr>
          <w:rFonts w:eastAsia="Times New Roman"/>
          <w:lang w:val="fr-FR"/>
        </w:rPr>
        <w:t>1.</w:t>
      </w:r>
      <w:r w:rsidRPr="00941E95">
        <w:rPr>
          <w:rFonts w:eastAsia="Times New Roman"/>
          <w:lang w:val="fr-FR"/>
        </w:rPr>
        <w:tab/>
      </w:r>
      <w:r w:rsidRPr="00941E95">
        <w:rPr>
          <w:lang w:val="fr-FR"/>
        </w:rPr>
        <w:t>La suppression des paragraphes 6.4.2.3 et 6.5.2.3 permet une plus forte diminution de la vitesse pendant la phase d</w:t>
      </w:r>
      <w:r>
        <w:rPr>
          <w:lang w:val="fr-FR"/>
        </w:rPr>
        <w:t>’</w:t>
      </w:r>
      <w:r w:rsidRPr="00941E95">
        <w:rPr>
          <w:lang w:val="fr-FR"/>
        </w:rPr>
        <w:t>avertissement, ce qui en accroît l</w:t>
      </w:r>
      <w:r>
        <w:rPr>
          <w:lang w:val="fr-FR"/>
        </w:rPr>
        <w:t>’</w:t>
      </w:r>
      <w:r w:rsidRPr="00941E95">
        <w:rPr>
          <w:lang w:val="fr-FR"/>
        </w:rPr>
        <w:t>efficacité.</w:t>
      </w:r>
    </w:p>
    <w:p w14:paraId="5BB96C15" w14:textId="27A41F38" w:rsidR="001F6C53" w:rsidRPr="00941E95" w:rsidRDefault="001F6C53" w:rsidP="001F6C53">
      <w:pPr>
        <w:pStyle w:val="Paragraphedeliste"/>
        <w:spacing w:after="120"/>
        <w:ind w:left="1134" w:right="1134"/>
        <w:contextualSpacing w:val="0"/>
        <w:jc w:val="both"/>
        <w:rPr>
          <w:rFonts w:eastAsia="Times New Roman"/>
          <w:lang w:val="fr-FR"/>
        </w:rPr>
      </w:pPr>
      <w:r w:rsidRPr="00941E95">
        <w:rPr>
          <w:rFonts w:eastAsia="Times New Roman"/>
          <w:lang w:val="fr-FR"/>
        </w:rPr>
        <w:t>2.</w:t>
      </w:r>
      <w:r w:rsidRPr="00941E95">
        <w:rPr>
          <w:rFonts w:eastAsia="Times New Roman"/>
          <w:lang w:val="fr-FR"/>
        </w:rPr>
        <w:tab/>
      </w:r>
      <w:r w:rsidRPr="00941E95">
        <w:rPr>
          <w:lang w:val="fr-FR"/>
        </w:rPr>
        <w:t>La suppression de ces paragraphes est aussi le moyen le plus simple d</w:t>
      </w:r>
      <w:r>
        <w:rPr>
          <w:lang w:val="fr-FR"/>
        </w:rPr>
        <w:t>’</w:t>
      </w:r>
      <w:r w:rsidRPr="00941E95">
        <w:rPr>
          <w:lang w:val="fr-FR"/>
        </w:rPr>
        <w:t>obtenir ce résultat positif, tout en évitant les effets secondaires qui pourraient avoir une incidence sur la teneur du Règlement (par exemple, les stratégies relatives à l</w:t>
      </w:r>
      <w:r>
        <w:rPr>
          <w:lang w:val="fr-FR"/>
        </w:rPr>
        <w:t>’</w:t>
      </w:r>
      <w:r w:rsidRPr="00941E95">
        <w:rPr>
          <w:lang w:val="fr-FR"/>
        </w:rPr>
        <w:t>avertissement et au freinage).</w:t>
      </w:r>
    </w:p>
    <w:p w14:paraId="52870F36" w14:textId="025D552B" w:rsidR="00F9573C" w:rsidRDefault="001F6C53" w:rsidP="001F6C53">
      <w:pPr>
        <w:pStyle w:val="SingleTxtG"/>
        <w:rPr>
          <w:lang w:val="fr-FR"/>
        </w:rPr>
      </w:pPr>
      <w:r w:rsidRPr="00941E95">
        <w:rPr>
          <w:rFonts w:eastAsia="Times New Roman"/>
          <w:lang w:val="fr-FR"/>
        </w:rPr>
        <w:t>3.</w:t>
      </w:r>
      <w:r w:rsidRPr="00941E95">
        <w:rPr>
          <w:rFonts w:eastAsia="Times New Roman"/>
          <w:lang w:val="fr-FR"/>
        </w:rPr>
        <w:tab/>
      </w:r>
      <w:r w:rsidRPr="00941E95">
        <w:rPr>
          <w:lang w:val="fr-FR"/>
        </w:rPr>
        <w:t>Les modifications apportées aux paragraphes 6.4.5 et 6.5.4 sont d</w:t>
      </w:r>
      <w:r>
        <w:rPr>
          <w:lang w:val="fr-FR"/>
        </w:rPr>
        <w:t>’</w:t>
      </w:r>
      <w:r w:rsidRPr="00941E95">
        <w:rPr>
          <w:lang w:val="fr-FR"/>
        </w:rPr>
        <w:t>ordre rédactionnel.</w:t>
      </w:r>
    </w:p>
    <w:p w14:paraId="0948AF19" w14:textId="752D0E88" w:rsidR="001F6C53" w:rsidRPr="001F6C53" w:rsidRDefault="001F6C53" w:rsidP="001F6C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6C53" w:rsidRPr="001F6C53" w:rsidSect="001F6C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E662" w14:textId="77777777" w:rsidR="00153FF2" w:rsidRDefault="00153FF2" w:rsidP="00F95C08">
      <w:pPr>
        <w:spacing w:line="240" w:lineRule="auto"/>
      </w:pPr>
    </w:p>
  </w:endnote>
  <w:endnote w:type="continuationSeparator" w:id="0">
    <w:p w14:paraId="5A231355" w14:textId="77777777" w:rsidR="00153FF2" w:rsidRPr="00AC3823" w:rsidRDefault="00153FF2" w:rsidP="00AC3823">
      <w:pPr>
        <w:pStyle w:val="Pieddepage"/>
      </w:pPr>
    </w:p>
  </w:endnote>
  <w:endnote w:type="continuationNotice" w:id="1">
    <w:p w14:paraId="1851419F" w14:textId="77777777" w:rsidR="00153FF2" w:rsidRDefault="00153F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0E2" w14:textId="471AB45F" w:rsidR="001F6C53" w:rsidRPr="001F6C53" w:rsidRDefault="001F6C53" w:rsidP="001F6C53">
    <w:pPr>
      <w:pStyle w:val="Pieddepage"/>
      <w:tabs>
        <w:tab w:val="right" w:pos="9638"/>
      </w:tabs>
    </w:pPr>
    <w:r w:rsidRPr="001F6C53">
      <w:rPr>
        <w:b/>
        <w:sz w:val="18"/>
      </w:rPr>
      <w:fldChar w:fldCharType="begin"/>
    </w:r>
    <w:r w:rsidRPr="001F6C53">
      <w:rPr>
        <w:b/>
        <w:sz w:val="18"/>
      </w:rPr>
      <w:instrText xml:space="preserve"> PAGE  \* MERGEFORMAT </w:instrText>
    </w:r>
    <w:r w:rsidRPr="001F6C53">
      <w:rPr>
        <w:b/>
        <w:sz w:val="18"/>
      </w:rPr>
      <w:fldChar w:fldCharType="separate"/>
    </w:r>
    <w:r w:rsidRPr="001F6C53">
      <w:rPr>
        <w:b/>
        <w:noProof/>
        <w:sz w:val="18"/>
      </w:rPr>
      <w:t>2</w:t>
    </w:r>
    <w:r w:rsidRPr="001F6C53">
      <w:rPr>
        <w:b/>
        <w:sz w:val="18"/>
      </w:rPr>
      <w:fldChar w:fldCharType="end"/>
    </w:r>
    <w:r>
      <w:rPr>
        <w:b/>
        <w:sz w:val="18"/>
      </w:rPr>
      <w:tab/>
    </w:r>
    <w:r>
      <w:t>GE.22-11012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9628" w14:textId="5FAF02F3" w:rsidR="001F6C53" w:rsidRPr="001F6C53" w:rsidRDefault="001F6C53" w:rsidP="001F6C53">
    <w:pPr>
      <w:pStyle w:val="Pieddepage"/>
      <w:tabs>
        <w:tab w:val="right" w:pos="9638"/>
      </w:tabs>
      <w:rPr>
        <w:b/>
        <w:sz w:val="18"/>
      </w:rPr>
    </w:pPr>
    <w:r>
      <w:t>GE.22-11012</w:t>
    </w:r>
    <w:r>
      <w:tab/>
    </w:r>
    <w:r w:rsidRPr="001F6C53">
      <w:rPr>
        <w:b/>
        <w:sz w:val="18"/>
      </w:rPr>
      <w:fldChar w:fldCharType="begin"/>
    </w:r>
    <w:r w:rsidRPr="001F6C53">
      <w:rPr>
        <w:b/>
        <w:sz w:val="18"/>
      </w:rPr>
      <w:instrText xml:space="preserve"> PAGE  \* MERGEFORMAT </w:instrText>
    </w:r>
    <w:r w:rsidRPr="001F6C53">
      <w:rPr>
        <w:b/>
        <w:sz w:val="18"/>
      </w:rPr>
      <w:fldChar w:fldCharType="separate"/>
    </w:r>
    <w:r w:rsidRPr="001F6C53">
      <w:rPr>
        <w:b/>
        <w:noProof/>
        <w:sz w:val="18"/>
      </w:rPr>
      <w:t>3</w:t>
    </w:r>
    <w:r w:rsidRPr="001F6C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2D8" w14:textId="383C3997" w:rsidR="007F20FA" w:rsidRPr="001F6C53" w:rsidRDefault="001F6C53" w:rsidP="001F6C5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BDA489" wp14:editId="73C194E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22-11012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03DCE9" wp14:editId="4FAFB4A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220722    220722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050E" w14:textId="77777777" w:rsidR="00153FF2" w:rsidRPr="00AC3823" w:rsidRDefault="00153F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97CF7D" w14:textId="77777777" w:rsidR="00153FF2" w:rsidRPr="00AC3823" w:rsidRDefault="00153F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59A2F9" w14:textId="77777777" w:rsidR="00153FF2" w:rsidRPr="00AC3823" w:rsidRDefault="00153FF2">
      <w:pPr>
        <w:spacing w:line="240" w:lineRule="auto"/>
        <w:rPr>
          <w:sz w:val="2"/>
          <w:szCs w:val="2"/>
        </w:rPr>
      </w:pPr>
    </w:p>
  </w:footnote>
  <w:footnote w:id="2">
    <w:p w14:paraId="27EE6DB5" w14:textId="2B7E94BC" w:rsidR="001F6C53" w:rsidRPr="004B01B5" w:rsidRDefault="001F6C53" w:rsidP="001F6C53">
      <w:pPr>
        <w:pStyle w:val="Notedebasdepage"/>
      </w:pPr>
      <w:r>
        <w:rPr>
          <w:lang w:val="fr-FR"/>
        </w:rPr>
        <w:tab/>
      </w:r>
      <w:r w:rsidRPr="001F6C53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488D" w14:textId="6DA1CB71" w:rsidR="001F6C53" w:rsidRPr="001F6C53" w:rsidRDefault="001F6C53">
    <w:pPr>
      <w:pStyle w:val="En-tte"/>
    </w:pPr>
    <w:fldSimple w:instr=" TITLE  \* MERGEFORMAT ">
      <w:r w:rsidR="00193D04">
        <w:t>ECE/TRANS/WP.29/GRVA/2022/23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6401" w14:textId="61B6CC9A" w:rsidR="001F6C53" w:rsidRPr="001F6C53" w:rsidRDefault="001F6C53" w:rsidP="001F6C53">
    <w:pPr>
      <w:pStyle w:val="En-tte"/>
      <w:jc w:val="right"/>
    </w:pPr>
    <w:fldSimple w:instr=" TITLE  \* MERGEFORMAT ">
      <w:r w:rsidR="00193D04">
        <w:t>ECE/TRANS/WP.29/GRVA/2022/23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F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3FF2"/>
    <w:rsid w:val="00176178"/>
    <w:rsid w:val="00193D04"/>
    <w:rsid w:val="001F525A"/>
    <w:rsid w:val="001F6C53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867D9"/>
    <w:rsid w:val="004E2EED"/>
    <w:rsid w:val="004E468C"/>
    <w:rsid w:val="005505B7"/>
    <w:rsid w:val="0055797E"/>
    <w:rsid w:val="0057197A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FFE16C"/>
  <w15:docId w15:val="{579D1829-8674-4985-9B6E-374D5D1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1F6C5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1F6C5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1F6C5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1F6C53"/>
    <w:pPr>
      <w:kinsoku/>
      <w:overflowPunct/>
      <w:autoSpaceDE/>
      <w:autoSpaceDN/>
      <w:adjustRightInd/>
      <w:snapToGrid/>
      <w:ind w:left="720"/>
      <w:contextualSpacing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480</Words>
  <Characters>3365</Characters>
  <Application>Microsoft Office Word</Application>
  <DocSecurity>0</DocSecurity>
  <Lines>280</Lines>
  <Paragraphs>153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ECE/TRANS/WP.29/GRVA/2022/23</dc:title>
  <dc:subject/>
  <dc:creator>Corinne ROBERT</dc:creator>
  <cp:keywords/>
  <cp:lastModifiedBy>Corinne Robert</cp:lastModifiedBy>
  <cp:revision>2</cp:revision>
  <cp:lastPrinted>2022-07-22T10:24:00Z</cp:lastPrinted>
  <dcterms:created xsi:type="dcterms:W3CDTF">2022-07-22T10:24:00Z</dcterms:created>
  <dcterms:modified xsi:type="dcterms:W3CDTF">2022-07-22T10:24:00Z</dcterms:modified>
</cp:coreProperties>
</file>