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5F596BD2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5A00FF">
              <w:rPr>
                <w:b/>
                <w:sz w:val="40"/>
                <w:szCs w:val="40"/>
              </w:rPr>
              <w:t>60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E057D7">
              <w:rPr>
                <w:b/>
                <w:sz w:val="40"/>
                <w:szCs w:val="40"/>
              </w:rPr>
              <w:t>3</w:t>
            </w:r>
            <w:r w:rsidR="00607224">
              <w:rPr>
                <w:b/>
                <w:sz w:val="40"/>
                <w:szCs w:val="40"/>
              </w:rPr>
              <w:t>5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FC59B5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48A7EA25" w:rsidR="00645A0B" w:rsidRPr="00FC59B5" w:rsidRDefault="00645A0B" w:rsidP="00EE2966">
            <w:pPr>
              <w:tabs>
                <w:tab w:val="right" w:pos="9214"/>
              </w:tabs>
            </w:pPr>
            <w:r w:rsidRPr="00FC59B5">
              <w:rPr>
                <w:b/>
                <w:sz w:val="24"/>
                <w:szCs w:val="24"/>
              </w:rPr>
              <w:t>Committee of Experts on the Transport of Dangerous Goods</w:t>
            </w:r>
            <w:r w:rsidRPr="00FC59B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FC59B5">
              <w:rPr>
                <w:b/>
                <w:sz w:val="24"/>
                <w:szCs w:val="24"/>
              </w:rPr>
              <w:br/>
              <w:t>and Labelling of Chemicals</w:t>
            </w:r>
            <w:r w:rsidRPr="00FC59B5">
              <w:rPr>
                <w:b/>
              </w:rPr>
              <w:tab/>
            </w:r>
            <w:r w:rsidR="00B3482E" w:rsidRPr="00FC59B5">
              <w:rPr>
                <w:b/>
              </w:rPr>
              <w:t>2</w:t>
            </w:r>
            <w:r w:rsidR="0085762E">
              <w:rPr>
                <w:b/>
              </w:rPr>
              <w:t>4</w:t>
            </w:r>
            <w:r w:rsidR="005E0E04" w:rsidRPr="00FC59B5">
              <w:rPr>
                <w:b/>
              </w:rPr>
              <w:t xml:space="preserve"> June</w:t>
            </w:r>
            <w:r w:rsidR="00AD7C5F" w:rsidRPr="00FC59B5">
              <w:rPr>
                <w:b/>
              </w:rPr>
              <w:t xml:space="preserve"> 202</w:t>
            </w:r>
            <w:r w:rsidR="00B3482E" w:rsidRPr="00FC59B5">
              <w:rPr>
                <w:b/>
              </w:rPr>
              <w:t>2</w:t>
            </w:r>
          </w:p>
        </w:tc>
      </w:tr>
      <w:tr w:rsidR="00006E29" w:rsidRPr="00FC59B5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58FF9663" w:rsidR="00006E29" w:rsidRPr="00FC59B5" w:rsidRDefault="00006E29" w:rsidP="00D73803">
            <w:pPr>
              <w:spacing w:before="40"/>
              <w:rPr>
                <w:b/>
              </w:rPr>
            </w:pPr>
            <w:r w:rsidRPr="00FC59B5">
              <w:rPr>
                <w:b/>
              </w:rPr>
              <w:t>Sub-Committee of Experts on the Transport of Dangerous Goods</w:t>
            </w:r>
          </w:p>
          <w:p w14:paraId="613C7C0F" w14:textId="0787D3DF" w:rsidR="00006E29" w:rsidRPr="00FC59B5" w:rsidRDefault="00B3482E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FC59B5">
              <w:rPr>
                <w:b/>
              </w:rPr>
              <w:t>Sixtieth</w:t>
            </w:r>
            <w:r w:rsidR="00006E29" w:rsidRPr="00FC59B5">
              <w:rPr>
                <w:b/>
              </w:rPr>
              <w:t xml:space="preserve"> session</w:t>
            </w:r>
          </w:p>
          <w:p w14:paraId="1D9F788D" w14:textId="47F134FC" w:rsidR="005E0E04" w:rsidRPr="00FC59B5" w:rsidRDefault="00006E29" w:rsidP="005E0E04">
            <w:r w:rsidRPr="00FC59B5">
              <w:t>Geneva, 2</w:t>
            </w:r>
            <w:r w:rsidR="005A00FF" w:rsidRPr="00FC59B5">
              <w:t>7</w:t>
            </w:r>
            <w:r w:rsidRPr="00FC59B5">
              <w:t xml:space="preserve"> June-</w:t>
            </w:r>
            <w:r w:rsidR="005A00FF" w:rsidRPr="00FC59B5">
              <w:t>6</w:t>
            </w:r>
            <w:r w:rsidRPr="00FC59B5">
              <w:t xml:space="preserve"> July 202</w:t>
            </w:r>
            <w:r w:rsidR="005A00FF" w:rsidRPr="00FC59B5">
              <w:t>2</w:t>
            </w:r>
            <w:r w:rsidRPr="00FC59B5">
              <w:br/>
            </w:r>
            <w:r w:rsidR="005E0E04" w:rsidRPr="00FC59B5">
              <w:t xml:space="preserve">Item </w:t>
            </w:r>
            <w:r w:rsidR="00607224">
              <w:t>3</w:t>
            </w:r>
            <w:r w:rsidR="005E0E04" w:rsidRPr="00FC59B5">
              <w:t xml:space="preserve"> of the provisional agenda</w:t>
            </w:r>
          </w:p>
          <w:p w14:paraId="3BDE97DE" w14:textId="184F188E" w:rsidR="00006E29" w:rsidRPr="00FC59B5" w:rsidRDefault="00607224" w:rsidP="005E0E04">
            <w:pPr>
              <w:rPr>
                <w:b/>
              </w:rPr>
            </w:pPr>
            <w:r>
              <w:rPr>
                <w:b/>
                <w:bCs/>
              </w:rPr>
              <w:t>Listing, classification and packing</w:t>
            </w:r>
          </w:p>
        </w:tc>
      </w:tr>
    </w:tbl>
    <w:p w14:paraId="5F4D4F78" w14:textId="6C680A5E" w:rsidR="004513A2" w:rsidRPr="006C7347" w:rsidRDefault="004513A2" w:rsidP="004513A2">
      <w:pPr>
        <w:pStyle w:val="HChG"/>
      </w:pPr>
      <w:r>
        <w:tab/>
      </w:r>
      <w:r w:rsidR="004038F2">
        <w:tab/>
      </w:r>
      <w:r>
        <w:t>Indicative list of Category A infectious substances</w:t>
      </w:r>
    </w:p>
    <w:p w14:paraId="33EE90E7" w14:textId="52D1A392" w:rsidR="004513A2" w:rsidRDefault="004513A2" w:rsidP="004513A2">
      <w:pPr>
        <w:pStyle w:val="H1G"/>
      </w:pPr>
      <w:r>
        <w:tab/>
      </w:r>
      <w:r>
        <w:tab/>
      </w:r>
      <w:r w:rsidRPr="006C7347">
        <w:t xml:space="preserve">Transmitted by the </w:t>
      </w:r>
      <w:r w:rsidRPr="00D01288">
        <w:t>expert from the United States of America</w:t>
      </w:r>
    </w:p>
    <w:p w14:paraId="59BD5CAB" w14:textId="77777777" w:rsidR="004513A2" w:rsidRPr="002B1088" w:rsidRDefault="004513A2" w:rsidP="004513A2">
      <w:pPr>
        <w:pStyle w:val="HChG"/>
      </w:pPr>
      <w:r>
        <w:tab/>
      </w:r>
      <w:r>
        <w:tab/>
      </w:r>
      <w:r w:rsidRPr="002B1088">
        <w:t>Introduction</w:t>
      </w:r>
    </w:p>
    <w:p w14:paraId="19556B05" w14:textId="4F7CE97C" w:rsidR="004513A2" w:rsidRDefault="004513A2" w:rsidP="004513A2">
      <w:pPr>
        <w:pStyle w:val="SingleTxtG"/>
        <w:rPr>
          <w:rFonts w:cs="Arial"/>
          <w:color w:val="000000"/>
        </w:rPr>
      </w:pPr>
      <w:r w:rsidRPr="00230FB5">
        <w:rPr>
          <w:rFonts w:cs="Arial"/>
          <w:color w:val="000000"/>
        </w:rPr>
        <w:t>1.</w:t>
      </w:r>
      <w:r w:rsidRPr="00230FB5">
        <w:rPr>
          <w:rFonts w:cs="Arial"/>
          <w:color w:val="000000"/>
        </w:rPr>
        <w:tab/>
      </w:r>
      <w:r w:rsidRPr="0053286E">
        <w:rPr>
          <w:rFonts w:cs="Arial"/>
          <w:color w:val="000000"/>
        </w:rPr>
        <w:t xml:space="preserve">During its </w:t>
      </w:r>
      <w:r>
        <w:rPr>
          <w:rFonts w:cs="Arial"/>
          <w:color w:val="000000"/>
        </w:rPr>
        <w:t xml:space="preserve">first </w:t>
      </w:r>
      <w:r w:rsidRPr="0053286E">
        <w:rPr>
          <w:rFonts w:cs="Arial"/>
          <w:color w:val="000000"/>
        </w:rPr>
        <w:t xml:space="preserve">session, the </w:t>
      </w:r>
      <w:r>
        <w:rPr>
          <w:rFonts w:cs="Arial"/>
          <w:color w:val="000000"/>
        </w:rPr>
        <w:t>Committee of Experts on the Transport of Dangerous Goods and on the Globally Harmonized System of Classification and Labelling of Chemicals</w:t>
      </w:r>
      <w:r w:rsidRPr="0053286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adopted </w:t>
      </w:r>
      <w:r w:rsidRPr="0053286E">
        <w:rPr>
          <w:rFonts w:cs="Arial"/>
          <w:color w:val="000000"/>
        </w:rPr>
        <w:t>amended provisions for the transport of infectious substances (see ST/SG/AC.10/29/Add.1). These amendments, developed in collaboration with global health experts, were intended to reduce complexity of the existing transport requirements while enhancing safety and compliance. The revised provisions introduced a new and simplified two-tier classification system (Categories A and B) and appropriate packaging and hazard communication requirements that were largely implemented in relevant modal, regional and national requirements from 1 January, 2007.</w:t>
      </w:r>
    </w:p>
    <w:p w14:paraId="7CF75031" w14:textId="77A5A648" w:rsidR="004513A2" w:rsidRDefault="004513A2" w:rsidP="004513A2">
      <w:pPr>
        <w:pStyle w:val="SingleTxtG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Pr="00A87BEB">
        <w:t>While use of the current classification system for many years has demonstrated its effectiveness, recent experience with global health challenges has indicated a potential need for clarification to facilitate a consistent and appropriate global response. For example, as a result of recent monkeypox outbreaks</w:t>
      </w:r>
      <w:r>
        <w:t>,</w:t>
      </w:r>
      <w:r w:rsidRPr="00A87BEB">
        <w:t xml:space="preserve"> an increase in patient samples for diagnostic testing has been observed. Several national</w:t>
      </w:r>
      <w:r>
        <w:t xml:space="preserve"> public</w:t>
      </w:r>
      <w:r w:rsidRPr="00A87BEB">
        <w:t xml:space="preserve"> health authorities have assessed that a specific monkey pox clade is most appropriately classified and transported as a Category B substance despite “monkey pox virus” being included in the Category A indicative list.</w:t>
      </w:r>
    </w:p>
    <w:p w14:paraId="36CC5C8A" w14:textId="676B37B4" w:rsidR="004513A2" w:rsidRPr="00230FB5" w:rsidRDefault="004038F2" w:rsidP="004038F2">
      <w:pPr>
        <w:pStyle w:val="HChG"/>
        <w:rPr>
          <w:rFonts w:cs="Arial"/>
          <w:color w:val="000000"/>
        </w:rPr>
      </w:pPr>
      <w:r>
        <w:tab/>
      </w:r>
      <w:r>
        <w:tab/>
      </w:r>
      <w:r w:rsidR="004513A2" w:rsidRPr="002B1088">
        <w:t>Discussion</w:t>
      </w:r>
    </w:p>
    <w:p w14:paraId="5906F3F8" w14:textId="5C0F1722" w:rsidR="004513A2" w:rsidRPr="00230FB5" w:rsidRDefault="004513A2" w:rsidP="004513A2">
      <w:pPr>
        <w:pStyle w:val="SingleTxtG"/>
        <w:keepNext/>
        <w:widowControl w:val="0"/>
        <w:ind w:left="1138" w:right="1138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  <w:t>Section</w:t>
      </w:r>
      <w:r w:rsidRPr="00230FB5">
        <w:rPr>
          <w:rFonts w:cs="Arial"/>
          <w:color w:val="000000"/>
        </w:rPr>
        <w:t xml:space="preserve"> 2.6</w:t>
      </w:r>
      <w:r>
        <w:rPr>
          <w:rFonts w:cs="Arial"/>
          <w:color w:val="000000"/>
        </w:rPr>
        <w:t>.3.2</w:t>
      </w:r>
      <w:r w:rsidRPr="00230FB5">
        <w:rPr>
          <w:rFonts w:cs="Arial"/>
          <w:color w:val="000000"/>
        </w:rPr>
        <w:t xml:space="preserve"> contains the defining criteria for Category A and Category B infectious substances</w:t>
      </w:r>
      <w:r>
        <w:rPr>
          <w:rFonts w:cs="Arial"/>
          <w:color w:val="000000"/>
        </w:rPr>
        <w:t xml:space="preserve"> in Division 6.2</w:t>
      </w:r>
      <w:r w:rsidRPr="00230FB5">
        <w:rPr>
          <w:rFonts w:cs="Arial"/>
          <w:color w:val="000000"/>
        </w:rPr>
        <w:t xml:space="preserve">. To </w:t>
      </w:r>
      <w:r>
        <w:rPr>
          <w:rFonts w:cs="Arial"/>
          <w:color w:val="000000"/>
        </w:rPr>
        <w:t>illustrate</w:t>
      </w:r>
      <w:r w:rsidRPr="00230FB5">
        <w:rPr>
          <w:rFonts w:cs="Arial"/>
          <w:color w:val="000000"/>
        </w:rPr>
        <w:t xml:space="preserve">, an indicative list of Category A substances is provided in 2.6.3.2.2.1 as guidance. The Sub-Committee framed the list as indicative to convey </w:t>
      </w:r>
      <w:r>
        <w:rPr>
          <w:rFonts w:cs="Arial"/>
          <w:color w:val="000000"/>
        </w:rPr>
        <w:t xml:space="preserve">that </w:t>
      </w:r>
      <w:r w:rsidRPr="00230FB5">
        <w:rPr>
          <w:rFonts w:cs="Arial"/>
          <w:color w:val="000000"/>
        </w:rPr>
        <w:t>the list is intended as guidance and not intended to preclude expert assessment in line with the defining criteria</w:t>
      </w:r>
      <w:r>
        <w:rPr>
          <w:rFonts w:cs="Arial"/>
          <w:color w:val="000000"/>
        </w:rPr>
        <w:t xml:space="preserve"> found in the same section</w:t>
      </w:r>
      <w:r w:rsidRPr="00230FB5">
        <w:rPr>
          <w:rFonts w:cs="Arial"/>
          <w:color w:val="000000"/>
        </w:rPr>
        <w:t xml:space="preserve">. The list was initially developed by </w:t>
      </w:r>
      <w:r>
        <w:rPr>
          <w:rFonts w:cs="Arial"/>
          <w:color w:val="000000"/>
        </w:rPr>
        <w:t>public</w:t>
      </w:r>
      <w:r w:rsidRPr="00230FB5">
        <w:rPr>
          <w:rFonts w:cs="Arial"/>
          <w:color w:val="000000"/>
        </w:rPr>
        <w:t xml:space="preserve"> health authority experts</w:t>
      </w:r>
      <w:r>
        <w:rPr>
          <w:rFonts w:cs="Arial"/>
          <w:color w:val="000000"/>
        </w:rPr>
        <w:t>;</w:t>
      </w:r>
      <w:r w:rsidRPr="00230FB5">
        <w:rPr>
          <w:rFonts w:cs="Arial"/>
          <w:color w:val="000000"/>
        </w:rPr>
        <w:t xml:space="preserve"> to the extent that such experts determine a specific </w:t>
      </w:r>
      <w:r>
        <w:rPr>
          <w:rFonts w:cs="Arial"/>
          <w:color w:val="000000"/>
        </w:rPr>
        <w:t xml:space="preserve">infectious agent or subclassification of that agent </w:t>
      </w:r>
      <w:r w:rsidRPr="00230FB5">
        <w:rPr>
          <w:rFonts w:cs="Arial"/>
          <w:color w:val="000000"/>
        </w:rPr>
        <w:t>is most appropriately classed within Category B, such assessment is considered to be consistent with the intent of both the criteria and the indicative list.</w:t>
      </w:r>
    </w:p>
    <w:p w14:paraId="7ACA6920" w14:textId="49F7689D" w:rsidR="004513A2" w:rsidRDefault="004513A2" w:rsidP="004513A2">
      <w:pPr>
        <w:pStyle w:val="SingleTxtG"/>
        <w:rPr>
          <w:rFonts w:cs="Arial"/>
          <w:color w:val="000000"/>
        </w:rPr>
      </w:pPr>
      <w:r>
        <w:rPr>
          <w:rFonts w:cs="Arial"/>
          <w:color w:val="000000"/>
        </w:rPr>
        <w:t>4.</w:t>
      </w:r>
      <w:r>
        <w:rPr>
          <w:rFonts w:cs="Arial"/>
          <w:color w:val="000000"/>
        </w:rPr>
        <w:tab/>
        <w:t>Assigning a specific infectious substance to the appropriate Category - based on its properties and an assessment using the relevant criteria - is in line with the intent of the Sub-Committee to provide an indicative list (or guidance). Recognizing that additional clarity of this intent may facilitate transport, it is proposed that a new note be added to 2.6.3.2.2.1 to clarify that when an appropriate public health authority determines a particular infectious substance is more appropriately classified as Category B, the substance may be transported as such.</w:t>
      </w:r>
    </w:p>
    <w:p w14:paraId="422FF061" w14:textId="77777777" w:rsidR="004513A2" w:rsidRDefault="004513A2" w:rsidP="004038F2">
      <w:pPr>
        <w:pStyle w:val="HChG"/>
      </w:pPr>
      <w:r>
        <w:lastRenderedPageBreak/>
        <w:tab/>
      </w:r>
      <w:r>
        <w:tab/>
      </w:r>
      <w:r w:rsidRPr="004038F2">
        <w:t>Proposal</w:t>
      </w:r>
    </w:p>
    <w:p w14:paraId="4425878A" w14:textId="77777777" w:rsidR="004513A2" w:rsidRDefault="004513A2" w:rsidP="004513A2">
      <w:pPr>
        <w:pStyle w:val="SingleTxtG"/>
      </w:pPr>
      <w:r>
        <w:t>5.</w:t>
      </w:r>
      <w:r>
        <w:tab/>
        <w:t xml:space="preserve">Add </w:t>
      </w:r>
      <w:bookmarkStart w:id="0" w:name="_Hlk105495788"/>
      <w:r>
        <w:t xml:space="preserve">note 4 to 2.6.3.2.2.1 </w:t>
      </w:r>
      <w:bookmarkEnd w:id="0"/>
      <w:r>
        <w:t>to read as follows:</w:t>
      </w:r>
    </w:p>
    <w:p w14:paraId="6ECD8BDA" w14:textId="0FB0B1F4" w:rsidR="004513A2" w:rsidRDefault="000C0D3B" w:rsidP="004513A2">
      <w:pPr>
        <w:pStyle w:val="SingleTxtG"/>
      </w:pPr>
      <w:r w:rsidRPr="00A87BEB">
        <w:t>“</w:t>
      </w:r>
      <w:r w:rsidR="004513A2" w:rsidRPr="004038F2">
        <w:rPr>
          <w:b/>
          <w:bCs/>
          <w:i/>
          <w:iCs/>
        </w:rPr>
        <w:t>NOTE 4:</w:t>
      </w:r>
      <w:r w:rsidR="004513A2">
        <w:tab/>
      </w:r>
      <w:r w:rsidR="004513A2" w:rsidRPr="00230FB5">
        <w:t xml:space="preserve">The following table is an indicative list. </w:t>
      </w:r>
      <w:bookmarkStart w:id="1" w:name="_Hlk105495829"/>
      <w:r w:rsidR="004513A2" w:rsidRPr="00230FB5">
        <w:t xml:space="preserve">When specific information is available on an infectious substance listed in the table, that substance may be classified and transported </w:t>
      </w:r>
      <w:r w:rsidR="004513A2">
        <w:t>under the appropriate Category B entry</w:t>
      </w:r>
      <w:r w:rsidR="004513A2" w:rsidRPr="00230FB5">
        <w:t xml:space="preserve"> based on </w:t>
      </w:r>
      <w:r w:rsidR="004513A2">
        <w:t>the</w:t>
      </w:r>
      <w:r w:rsidR="004513A2" w:rsidRPr="00230FB5">
        <w:t xml:space="preserve"> determination </w:t>
      </w:r>
      <w:r w:rsidR="004513A2">
        <w:t>of</w:t>
      </w:r>
      <w:r w:rsidR="004513A2" w:rsidRPr="00230FB5">
        <w:t xml:space="preserve"> an appropriate public health authority that such classification is appropriate.</w:t>
      </w:r>
      <w:r w:rsidRPr="00A87BEB">
        <w:t>”</w:t>
      </w:r>
    </w:p>
    <w:bookmarkEnd w:id="1"/>
    <w:p w14:paraId="5F2FF598" w14:textId="49A21153" w:rsidR="00607224" w:rsidRPr="004038F2" w:rsidRDefault="004038F2" w:rsidP="004038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7224" w:rsidRPr="004038F2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452F" w14:textId="77777777" w:rsidR="00A67C3F" w:rsidRDefault="00A67C3F"/>
  </w:endnote>
  <w:endnote w:type="continuationSeparator" w:id="0">
    <w:p w14:paraId="38817914" w14:textId="77777777" w:rsidR="00A67C3F" w:rsidRDefault="00A67C3F"/>
  </w:endnote>
  <w:endnote w:type="continuationNotice" w:id="1">
    <w:p w14:paraId="036D85D9" w14:textId="77777777" w:rsidR="00A67C3F" w:rsidRDefault="00A67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4288" w14:textId="77777777" w:rsidR="004038F2" w:rsidRDefault="0040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3EE5" w14:textId="77777777" w:rsidR="00A67C3F" w:rsidRPr="000B175B" w:rsidRDefault="00A67C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1D24FA" w14:textId="77777777" w:rsidR="00A67C3F" w:rsidRPr="00FC68B7" w:rsidRDefault="00A67C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57F258" w14:textId="77777777" w:rsidR="00A67C3F" w:rsidRDefault="00A67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893" w14:textId="3404BA82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08672B">
      <w:rPr>
        <w:lang w:val="nl-NL"/>
      </w:rPr>
      <w:t>60</w:t>
    </w:r>
    <w:r w:rsidRPr="00340E2C">
      <w:rPr>
        <w:lang w:val="nl-NL"/>
      </w:rPr>
      <w:t>/INF.</w:t>
    </w:r>
    <w:r w:rsidR="00B66951">
      <w:rPr>
        <w:lang w:val="nl-NL"/>
      </w:rPr>
      <w:t>3</w:t>
    </w:r>
    <w:r w:rsidR="004038F2">
      <w:rPr>
        <w:lang w:val="nl-NL"/>
      </w:rPr>
      <w:t>5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C36" w14:textId="31D962A3" w:rsidR="00090CBF" w:rsidRPr="000216CC" w:rsidRDefault="00090CBF" w:rsidP="00090CBF">
    <w:pPr>
      <w:pStyle w:val="Header"/>
      <w:jc w:val="right"/>
    </w:pPr>
    <w:r w:rsidRPr="00090CBF">
      <w:t>UN/SCETDG/</w:t>
    </w:r>
    <w:r w:rsidR="005E672E">
      <w:t>60</w:t>
    </w:r>
    <w:r w:rsidRPr="00090CBF">
      <w:t>/INF.</w:t>
    </w:r>
    <w:r w:rsidR="005E672E">
      <w:t>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33E3"/>
    <w:multiLevelType w:val="hybridMultilevel"/>
    <w:tmpl w:val="8E442FD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9D7EAD"/>
    <w:multiLevelType w:val="hybridMultilevel"/>
    <w:tmpl w:val="D1763050"/>
    <w:lvl w:ilvl="0" w:tplc="3F7CFD74">
      <w:start w:val="6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BC5C34"/>
    <w:multiLevelType w:val="multilevel"/>
    <w:tmpl w:val="F1B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6A0720"/>
    <w:multiLevelType w:val="multilevel"/>
    <w:tmpl w:val="0B6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9075CE"/>
    <w:multiLevelType w:val="multilevel"/>
    <w:tmpl w:val="5D0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3147D44"/>
    <w:multiLevelType w:val="multilevel"/>
    <w:tmpl w:val="DF4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27854783"/>
    <w:multiLevelType w:val="hybridMultilevel"/>
    <w:tmpl w:val="C2BA05A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283B2CDD"/>
    <w:multiLevelType w:val="hybridMultilevel"/>
    <w:tmpl w:val="AAA27E76"/>
    <w:lvl w:ilvl="0" w:tplc="B650CACC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B5B3E4E"/>
    <w:multiLevelType w:val="hybridMultilevel"/>
    <w:tmpl w:val="F25408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7"/>
  </w:num>
  <w:num w:numId="13">
    <w:abstractNumId w:val="13"/>
  </w:num>
  <w:num w:numId="14">
    <w:abstractNumId w:val="34"/>
  </w:num>
  <w:num w:numId="15">
    <w:abstractNumId w:val="39"/>
  </w:num>
  <w:num w:numId="16">
    <w:abstractNumId w:val="20"/>
  </w:num>
  <w:num w:numId="17">
    <w:abstractNumId w:val="11"/>
  </w:num>
  <w:num w:numId="18">
    <w:abstractNumId w:val="40"/>
  </w:num>
  <w:num w:numId="19">
    <w:abstractNumId w:val="37"/>
  </w:num>
  <w:num w:numId="20">
    <w:abstractNumId w:val="12"/>
  </w:num>
  <w:num w:numId="21">
    <w:abstractNumId w:val="35"/>
  </w:num>
  <w:num w:numId="22">
    <w:abstractNumId w:val="16"/>
  </w:num>
  <w:num w:numId="23">
    <w:abstractNumId w:val="36"/>
  </w:num>
  <w:num w:numId="24">
    <w:abstractNumId w:val="32"/>
  </w:num>
  <w:num w:numId="25">
    <w:abstractNumId w:val="21"/>
  </w:num>
  <w:num w:numId="26">
    <w:abstractNumId w:val="22"/>
  </w:num>
  <w:num w:numId="27">
    <w:abstractNumId w:val="28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19"/>
  </w:num>
  <w:num w:numId="34">
    <w:abstractNumId w:val="31"/>
  </w:num>
  <w:num w:numId="35">
    <w:abstractNumId w:val="15"/>
  </w:num>
  <w:num w:numId="36">
    <w:abstractNumId w:val="26"/>
  </w:num>
  <w:num w:numId="37">
    <w:abstractNumId w:val="24"/>
  </w:num>
  <w:num w:numId="38">
    <w:abstractNumId w:val="18"/>
  </w:num>
  <w:num w:numId="39">
    <w:abstractNumId w:val="38"/>
  </w:num>
  <w:num w:numId="40">
    <w:abstractNumId w:val="14"/>
  </w:num>
  <w:num w:numId="41">
    <w:abstractNumId w:val="29"/>
  </w:num>
  <w:num w:numId="42">
    <w:abstractNumId w:val="30"/>
  </w:num>
  <w:num w:numId="4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77B93"/>
    <w:rsid w:val="00082CE1"/>
    <w:rsid w:val="00083598"/>
    <w:rsid w:val="00083C31"/>
    <w:rsid w:val="000840E5"/>
    <w:rsid w:val="00084632"/>
    <w:rsid w:val="0008672B"/>
    <w:rsid w:val="00087152"/>
    <w:rsid w:val="00090CBF"/>
    <w:rsid w:val="00091046"/>
    <w:rsid w:val="00091419"/>
    <w:rsid w:val="00091CB3"/>
    <w:rsid w:val="000930C7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0D3B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52AA6"/>
    <w:rsid w:val="001633FB"/>
    <w:rsid w:val="00163A1B"/>
    <w:rsid w:val="00165735"/>
    <w:rsid w:val="00167786"/>
    <w:rsid w:val="00170AD4"/>
    <w:rsid w:val="00180633"/>
    <w:rsid w:val="00181019"/>
    <w:rsid w:val="0018162F"/>
    <w:rsid w:val="0018168F"/>
    <w:rsid w:val="001835BF"/>
    <w:rsid w:val="00184120"/>
    <w:rsid w:val="00184B86"/>
    <w:rsid w:val="00187513"/>
    <w:rsid w:val="00195229"/>
    <w:rsid w:val="001A02A4"/>
    <w:rsid w:val="001A7113"/>
    <w:rsid w:val="001B35EE"/>
    <w:rsid w:val="001B4B04"/>
    <w:rsid w:val="001B63F1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468F"/>
    <w:rsid w:val="001E797C"/>
    <w:rsid w:val="001F2707"/>
    <w:rsid w:val="002062DE"/>
    <w:rsid w:val="00207C67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31D4"/>
    <w:rsid w:val="002440E7"/>
    <w:rsid w:val="00244C52"/>
    <w:rsid w:val="00247570"/>
    <w:rsid w:val="00250078"/>
    <w:rsid w:val="00252890"/>
    <w:rsid w:val="00257C1E"/>
    <w:rsid w:val="00261B71"/>
    <w:rsid w:val="002621F5"/>
    <w:rsid w:val="002622A9"/>
    <w:rsid w:val="002708B5"/>
    <w:rsid w:val="002710F0"/>
    <w:rsid w:val="002725CA"/>
    <w:rsid w:val="00273A92"/>
    <w:rsid w:val="00277896"/>
    <w:rsid w:val="00280EB7"/>
    <w:rsid w:val="00286488"/>
    <w:rsid w:val="002871BD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4C2D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5AA6"/>
    <w:rsid w:val="00372F06"/>
    <w:rsid w:val="00386B55"/>
    <w:rsid w:val="00391647"/>
    <w:rsid w:val="00391A13"/>
    <w:rsid w:val="0039260F"/>
    <w:rsid w:val="0039277A"/>
    <w:rsid w:val="00393693"/>
    <w:rsid w:val="00393B99"/>
    <w:rsid w:val="00396F6A"/>
    <w:rsid w:val="003972E0"/>
    <w:rsid w:val="003A1EC2"/>
    <w:rsid w:val="003A52D7"/>
    <w:rsid w:val="003A5A16"/>
    <w:rsid w:val="003B0C98"/>
    <w:rsid w:val="003B4B39"/>
    <w:rsid w:val="003C0657"/>
    <w:rsid w:val="003C18C9"/>
    <w:rsid w:val="003C2CC4"/>
    <w:rsid w:val="003C655D"/>
    <w:rsid w:val="003D23B5"/>
    <w:rsid w:val="003D293B"/>
    <w:rsid w:val="003D4B23"/>
    <w:rsid w:val="003F23A4"/>
    <w:rsid w:val="003F54D8"/>
    <w:rsid w:val="003F5B52"/>
    <w:rsid w:val="00400408"/>
    <w:rsid w:val="004021B7"/>
    <w:rsid w:val="004038F2"/>
    <w:rsid w:val="00403EC6"/>
    <w:rsid w:val="00406A80"/>
    <w:rsid w:val="00406CD4"/>
    <w:rsid w:val="004078DB"/>
    <w:rsid w:val="004105C1"/>
    <w:rsid w:val="004108CE"/>
    <w:rsid w:val="00415483"/>
    <w:rsid w:val="0041669F"/>
    <w:rsid w:val="00420F4B"/>
    <w:rsid w:val="004248D6"/>
    <w:rsid w:val="00430086"/>
    <w:rsid w:val="00430918"/>
    <w:rsid w:val="004317D1"/>
    <w:rsid w:val="004325CB"/>
    <w:rsid w:val="00437F3F"/>
    <w:rsid w:val="00445B83"/>
    <w:rsid w:val="00446DE4"/>
    <w:rsid w:val="004513A2"/>
    <w:rsid w:val="004526E8"/>
    <w:rsid w:val="00452D10"/>
    <w:rsid w:val="00454036"/>
    <w:rsid w:val="004562AA"/>
    <w:rsid w:val="00456644"/>
    <w:rsid w:val="00460B22"/>
    <w:rsid w:val="0046443A"/>
    <w:rsid w:val="004653B3"/>
    <w:rsid w:val="004654C4"/>
    <w:rsid w:val="004656A9"/>
    <w:rsid w:val="0046668F"/>
    <w:rsid w:val="0046773D"/>
    <w:rsid w:val="0046788D"/>
    <w:rsid w:val="00474687"/>
    <w:rsid w:val="004814C2"/>
    <w:rsid w:val="004822C0"/>
    <w:rsid w:val="0048304D"/>
    <w:rsid w:val="00484A9B"/>
    <w:rsid w:val="00487E77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73D6"/>
    <w:rsid w:val="004C39D0"/>
    <w:rsid w:val="004C4F1A"/>
    <w:rsid w:val="004C6D6D"/>
    <w:rsid w:val="004D284C"/>
    <w:rsid w:val="004E0C5D"/>
    <w:rsid w:val="004E2CEA"/>
    <w:rsid w:val="004F4240"/>
    <w:rsid w:val="004F6D33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36A63"/>
    <w:rsid w:val="005420F2"/>
    <w:rsid w:val="00542505"/>
    <w:rsid w:val="005434D7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86F47"/>
    <w:rsid w:val="00590144"/>
    <w:rsid w:val="0059131E"/>
    <w:rsid w:val="00593401"/>
    <w:rsid w:val="0059682C"/>
    <w:rsid w:val="005A00FF"/>
    <w:rsid w:val="005A3F48"/>
    <w:rsid w:val="005A566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0E04"/>
    <w:rsid w:val="005E28E0"/>
    <w:rsid w:val="005E3563"/>
    <w:rsid w:val="005E3AAD"/>
    <w:rsid w:val="005E5946"/>
    <w:rsid w:val="005E64CA"/>
    <w:rsid w:val="005E66B7"/>
    <w:rsid w:val="005E672E"/>
    <w:rsid w:val="005E75CA"/>
    <w:rsid w:val="005F3A39"/>
    <w:rsid w:val="005F5C2F"/>
    <w:rsid w:val="005F7BB1"/>
    <w:rsid w:val="00602490"/>
    <w:rsid w:val="00603E3C"/>
    <w:rsid w:val="0060673A"/>
    <w:rsid w:val="00607224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3C8B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958DA"/>
    <w:rsid w:val="006A05E5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4690"/>
    <w:rsid w:val="00707F04"/>
    <w:rsid w:val="00711637"/>
    <w:rsid w:val="00714F4F"/>
    <w:rsid w:val="0071611E"/>
    <w:rsid w:val="007246F8"/>
    <w:rsid w:val="0072632A"/>
    <w:rsid w:val="00734F20"/>
    <w:rsid w:val="00736E6A"/>
    <w:rsid w:val="00741F59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6F36"/>
    <w:rsid w:val="007A2CDB"/>
    <w:rsid w:val="007A334C"/>
    <w:rsid w:val="007A44D6"/>
    <w:rsid w:val="007A62EC"/>
    <w:rsid w:val="007B06F2"/>
    <w:rsid w:val="007B1A7E"/>
    <w:rsid w:val="007B2BA8"/>
    <w:rsid w:val="007B369E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06B3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62E"/>
    <w:rsid w:val="00857789"/>
    <w:rsid w:val="0086107D"/>
    <w:rsid w:val="00864251"/>
    <w:rsid w:val="00871FD5"/>
    <w:rsid w:val="00881213"/>
    <w:rsid w:val="008830CC"/>
    <w:rsid w:val="00892591"/>
    <w:rsid w:val="00892C28"/>
    <w:rsid w:val="008979B1"/>
    <w:rsid w:val="008A0B75"/>
    <w:rsid w:val="008A1542"/>
    <w:rsid w:val="008A490A"/>
    <w:rsid w:val="008A5D38"/>
    <w:rsid w:val="008A6B25"/>
    <w:rsid w:val="008A6C4F"/>
    <w:rsid w:val="008A7679"/>
    <w:rsid w:val="008A7AB3"/>
    <w:rsid w:val="008A7E0F"/>
    <w:rsid w:val="008B533F"/>
    <w:rsid w:val="008B65FB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12044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652E8"/>
    <w:rsid w:val="009663E2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5690"/>
    <w:rsid w:val="009C6394"/>
    <w:rsid w:val="009D0E2A"/>
    <w:rsid w:val="009D0F0E"/>
    <w:rsid w:val="009D1AAE"/>
    <w:rsid w:val="009D634E"/>
    <w:rsid w:val="009E1560"/>
    <w:rsid w:val="009E6E7C"/>
    <w:rsid w:val="009F0F06"/>
    <w:rsid w:val="009F1220"/>
    <w:rsid w:val="009F28BC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44455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67C3F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3482E"/>
    <w:rsid w:val="00B349BE"/>
    <w:rsid w:val="00B41384"/>
    <w:rsid w:val="00B4398E"/>
    <w:rsid w:val="00B45BCD"/>
    <w:rsid w:val="00B46383"/>
    <w:rsid w:val="00B5392B"/>
    <w:rsid w:val="00B569AB"/>
    <w:rsid w:val="00B63370"/>
    <w:rsid w:val="00B665DC"/>
    <w:rsid w:val="00B666B2"/>
    <w:rsid w:val="00B66951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954AD"/>
    <w:rsid w:val="00BB176D"/>
    <w:rsid w:val="00BB3B28"/>
    <w:rsid w:val="00BC74E9"/>
    <w:rsid w:val="00BD2077"/>
    <w:rsid w:val="00BE1FF8"/>
    <w:rsid w:val="00BE382C"/>
    <w:rsid w:val="00BE50CA"/>
    <w:rsid w:val="00BE618E"/>
    <w:rsid w:val="00BF0A87"/>
    <w:rsid w:val="00BF16FB"/>
    <w:rsid w:val="00C000DD"/>
    <w:rsid w:val="00C0263F"/>
    <w:rsid w:val="00C03B44"/>
    <w:rsid w:val="00C05987"/>
    <w:rsid w:val="00C13A85"/>
    <w:rsid w:val="00C17563"/>
    <w:rsid w:val="00C218A4"/>
    <w:rsid w:val="00C2254D"/>
    <w:rsid w:val="00C3001A"/>
    <w:rsid w:val="00C31519"/>
    <w:rsid w:val="00C36D37"/>
    <w:rsid w:val="00C415CF"/>
    <w:rsid w:val="00C463DD"/>
    <w:rsid w:val="00C46D5B"/>
    <w:rsid w:val="00C537D5"/>
    <w:rsid w:val="00C62F76"/>
    <w:rsid w:val="00C64FE2"/>
    <w:rsid w:val="00C66D78"/>
    <w:rsid w:val="00C675B2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6F32"/>
    <w:rsid w:val="00CF778D"/>
    <w:rsid w:val="00D0631B"/>
    <w:rsid w:val="00D06C3A"/>
    <w:rsid w:val="00D121F0"/>
    <w:rsid w:val="00D164BA"/>
    <w:rsid w:val="00D16C2F"/>
    <w:rsid w:val="00D2031B"/>
    <w:rsid w:val="00D259AF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0F07"/>
    <w:rsid w:val="00D52471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2BE0"/>
    <w:rsid w:val="00D943DE"/>
    <w:rsid w:val="00D96248"/>
    <w:rsid w:val="00D96CC5"/>
    <w:rsid w:val="00D978C6"/>
    <w:rsid w:val="00D97B77"/>
    <w:rsid w:val="00DA6620"/>
    <w:rsid w:val="00DA67AD"/>
    <w:rsid w:val="00DA7D8F"/>
    <w:rsid w:val="00DB39FA"/>
    <w:rsid w:val="00DD1E65"/>
    <w:rsid w:val="00DD42A0"/>
    <w:rsid w:val="00DD6E9E"/>
    <w:rsid w:val="00DD725C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057D7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810"/>
    <w:rsid w:val="00E63DE8"/>
    <w:rsid w:val="00E6606F"/>
    <w:rsid w:val="00E6613A"/>
    <w:rsid w:val="00E7260F"/>
    <w:rsid w:val="00E730D8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0BFB"/>
    <w:rsid w:val="00EC14E9"/>
    <w:rsid w:val="00EC1F27"/>
    <w:rsid w:val="00EC271A"/>
    <w:rsid w:val="00EC4F93"/>
    <w:rsid w:val="00EC526C"/>
    <w:rsid w:val="00EC6BFD"/>
    <w:rsid w:val="00EC755A"/>
    <w:rsid w:val="00ED3508"/>
    <w:rsid w:val="00ED3F6F"/>
    <w:rsid w:val="00ED5040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6703C"/>
    <w:rsid w:val="00F719B9"/>
    <w:rsid w:val="00F75E96"/>
    <w:rsid w:val="00F87B50"/>
    <w:rsid w:val="00F97B3C"/>
    <w:rsid w:val="00FA00A0"/>
    <w:rsid w:val="00FA032F"/>
    <w:rsid w:val="00FA3FB7"/>
    <w:rsid w:val="00FA65E8"/>
    <w:rsid w:val="00FB2CDB"/>
    <w:rsid w:val="00FB5A37"/>
    <w:rsid w:val="00FB7793"/>
    <w:rsid w:val="00FC18AA"/>
    <w:rsid w:val="00FC215C"/>
    <w:rsid w:val="00FC59B5"/>
    <w:rsid w:val="00FC68B7"/>
    <w:rsid w:val="00FC6E4D"/>
    <w:rsid w:val="00FD3A8A"/>
    <w:rsid w:val="00FD3C5D"/>
    <w:rsid w:val="00FD3E70"/>
    <w:rsid w:val="00FD6B2B"/>
    <w:rsid w:val="00FE3EEA"/>
    <w:rsid w:val="00FF03BB"/>
    <w:rsid w:val="00FF071A"/>
    <w:rsid w:val="00FF1269"/>
    <w:rsid w:val="00FF2D01"/>
    <w:rsid w:val="00FF51FB"/>
    <w:rsid w:val="00FF5B8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character" w:customStyle="1" w:styleId="apple-converted-space">
    <w:name w:val="apple-converted-space"/>
    <w:basedOn w:val="DefaultParagraphFont"/>
    <w:rsid w:val="005E0E04"/>
  </w:style>
  <w:style w:type="character" w:styleId="UnresolvedMention">
    <w:name w:val="Unresolved Mention"/>
    <w:basedOn w:val="DefaultParagraphFont"/>
    <w:uiPriority w:val="99"/>
    <w:semiHidden/>
    <w:unhideWhenUsed/>
    <w:rsid w:val="006A05E5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2528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7AB3C-20B8-446C-B4FF-1F056797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288DB9E-E857-AF45-9297-B1663A4C8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10</cp:revision>
  <cp:lastPrinted>2022-06-24T07:12:00Z</cp:lastPrinted>
  <dcterms:created xsi:type="dcterms:W3CDTF">2022-06-24T07:25:00Z</dcterms:created>
  <dcterms:modified xsi:type="dcterms:W3CDTF">2022-06-24T15:18:00Z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</Properties>
</file>