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99" w:type="dxa"/>
        <w:tblLayout w:type="fixed"/>
        <w:tblCellMar>
          <w:left w:w="0" w:type="dxa"/>
          <w:right w:w="0" w:type="dxa"/>
        </w:tblCellMar>
        <w:tblLook w:val="04A0" w:firstRow="1" w:lastRow="0" w:firstColumn="1" w:lastColumn="0" w:noHBand="0" w:noVBand="1"/>
      </w:tblPr>
      <w:tblGrid>
        <w:gridCol w:w="9699"/>
      </w:tblGrid>
      <w:tr w:rsidR="00127A81" w14:paraId="30D492E3" w14:textId="77777777" w:rsidTr="00F121BF">
        <w:trPr>
          <w:cantSplit/>
          <w:trHeight w:hRule="exact" w:val="719"/>
        </w:trPr>
        <w:tc>
          <w:tcPr>
            <w:tcW w:w="9699" w:type="dxa"/>
            <w:tcBorders>
              <w:bottom w:val="single" w:sz="4" w:space="0" w:color="auto"/>
            </w:tcBorders>
            <w:vAlign w:val="bottom"/>
          </w:tcPr>
          <w:p w14:paraId="44D4BFF2" w14:textId="5759C08C" w:rsidR="00127A81" w:rsidRDefault="00871E72">
            <w:pPr>
              <w:jc w:val="right"/>
              <w:rPr>
                <w:b/>
                <w:sz w:val="40"/>
                <w:szCs w:val="40"/>
              </w:rPr>
            </w:pPr>
            <w:r>
              <w:rPr>
                <w:b/>
                <w:sz w:val="40"/>
                <w:szCs w:val="40"/>
              </w:rPr>
              <w:t>UN/SCETDG/60/INF.</w:t>
            </w:r>
            <w:r w:rsidR="000679F4">
              <w:rPr>
                <w:b/>
                <w:sz w:val="40"/>
                <w:szCs w:val="40"/>
              </w:rPr>
              <w:t>30</w:t>
            </w:r>
          </w:p>
        </w:tc>
      </w:tr>
      <w:tr w:rsidR="00127A81" w14:paraId="1A3CD0E1" w14:textId="77777777" w:rsidTr="00F121BF">
        <w:trPr>
          <w:cantSplit/>
          <w:trHeight w:hRule="exact" w:val="2519"/>
        </w:trPr>
        <w:tc>
          <w:tcPr>
            <w:tcW w:w="9699" w:type="dxa"/>
            <w:tcBorders>
              <w:top w:val="single" w:sz="4" w:space="0" w:color="auto"/>
            </w:tcBorders>
          </w:tcPr>
          <w:p w14:paraId="6613DE7C" w14:textId="77777777" w:rsidR="00127A81" w:rsidRDefault="00871E72">
            <w:pPr>
              <w:spacing w:before="120"/>
              <w:rPr>
                <w:b/>
                <w:sz w:val="24"/>
                <w:szCs w:val="24"/>
                <w:lang w:val="en-US"/>
              </w:rPr>
            </w:pPr>
            <w:r>
              <w:rPr>
                <w:b/>
                <w:sz w:val="24"/>
                <w:szCs w:val="24"/>
                <w:lang w:val="en-US"/>
              </w:rPr>
              <w:t>Committee of Experts on the Transport of Dangerous Goods</w:t>
            </w:r>
            <w:r>
              <w:rPr>
                <w:b/>
                <w:sz w:val="24"/>
                <w:szCs w:val="24"/>
                <w:lang w:val="en-US"/>
              </w:rPr>
              <w:br/>
              <w:t>and on the Globally Harmonized System of Classification</w:t>
            </w:r>
            <w:r>
              <w:rPr>
                <w:b/>
                <w:sz w:val="24"/>
                <w:szCs w:val="24"/>
                <w:lang w:val="en-US"/>
              </w:rPr>
              <w:br/>
              <w:t>and Labelling of Chemicals</w:t>
            </w:r>
          </w:p>
          <w:p w14:paraId="234B3AF4" w14:textId="6F3768F0" w:rsidR="00127A81" w:rsidRDefault="00871E72">
            <w:pPr>
              <w:tabs>
                <w:tab w:val="right" w:pos="9000"/>
              </w:tabs>
              <w:spacing w:before="120"/>
              <w:outlineLvl w:val="0"/>
              <w:rPr>
                <w:rFonts w:asciiTheme="majorBidi" w:hAnsiTheme="majorBidi" w:cstheme="majorBidi"/>
                <w:b/>
                <w:color w:val="000000"/>
              </w:rPr>
            </w:pPr>
            <w:r>
              <w:rPr>
                <w:b/>
              </w:rPr>
              <w:t>Sub-Committee of Experts on the Transport of Dangerous Goods</w:t>
            </w:r>
            <w:r>
              <w:rPr>
                <w:rFonts w:asciiTheme="majorBidi" w:hAnsiTheme="majorBidi" w:cstheme="majorBidi"/>
                <w:b/>
                <w:color w:val="000000"/>
              </w:rPr>
              <w:tab/>
            </w:r>
            <w:r>
              <w:rPr>
                <w:rFonts w:asciiTheme="majorBidi" w:hAnsiTheme="majorBidi" w:cstheme="majorBidi" w:hint="eastAsia"/>
                <w:b/>
                <w:color w:val="000000"/>
                <w:lang w:val="en-US"/>
              </w:rPr>
              <w:t>2</w:t>
            </w:r>
            <w:r w:rsidR="00BC3D46">
              <w:rPr>
                <w:rFonts w:asciiTheme="majorBidi" w:hAnsiTheme="majorBidi" w:cstheme="majorBidi"/>
                <w:b/>
                <w:color w:val="000000"/>
                <w:lang w:val="en-US"/>
              </w:rPr>
              <w:t>1</w:t>
            </w:r>
            <w:r>
              <w:rPr>
                <w:rFonts w:asciiTheme="majorBidi" w:hAnsiTheme="majorBidi" w:cstheme="majorBidi"/>
                <w:b/>
                <w:color w:val="000000"/>
              </w:rPr>
              <w:t xml:space="preserve"> </w:t>
            </w:r>
            <w:r w:rsidR="00BC3D46">
              <w:rPr>
                <w:rFonts w:asciiTheme="majorBidi" w:hAnsiTheme="majorBidi" w:cstheme="majorBidi"/>
                <w:b/>
                <w:color w:val="000000"/>
              </w:rPr>
              <w:t>June</w:t>
            </w:r>
            <w:r>
              <w:rPr>
                <w:rFonts w:asciiTheme="majorBidi" w:hAnsiTheme="majorBidi" w:cstheme="majorBidi"/>
                <w:b/>
                <w:color w:val="000000"/>
              </w:rPr>
              <w:t xml:space="preserve"> 2022</w:t>
            </w:r>
          </w:p>
          <w:p w14:paraId="18215871" w14:textId="3790DE9F" w:rsidR="00127A81" w:rsidRDefault="00871E72">
            <w:pPr>
              <w:tabs>
                <w:tab w:val="left" w:pos="6513"/>
              </w:tabs>
              <w:spacing w:before="120"/>
              <w:rPr>
                <w:b/>
              </w:rPr>
            </w:pPr>
            <w:r>
              <w:rPr>
                <w:b/>
              </w:rPr>
              <w:t>Sixtieth session</w:t>
            </w:r>
          </w:p>
          <w:p w14:paraId="524AAA8F" w14:textId="4BB946CA" w:rsidR="00127A81" w:rsidRDefault="00871E72">
            <w:r>
              <w:t>Geneva, 27 June-6 July 2022</w:t>
            </w:r>
          </w:p>
          <w:p w14:paraId="157E230B" w14:textId="77777777" w:rsidR="00127A81" w:rsidRDefault="00871E72">
            <w:r>
              <w:t>Item 4 (c) of the provisional agenda</w:t>
            </w:r>
          </w:p>
          <w:p w14:paraId="2D6BC3A1" w14:textId="6E7522F6" w:rsidR="00127A81" w:rsidRDefault="00871E72" w:rsidP="00F121BF">
            <w:pPr>
              <w:rPr>
                <w:highlight w:val="yellow"/>
              </w:rPr>
            </w:pPr>
            <w:r>
              <w:rPr>
                <w:b/>
                <w:bCs/>
              </w:rPr>
              <w:t>Electric storage systems: transport provisions</w:t>
            </w:r>
          </w:p>
        </w:tc>
      </w:tr>
    </w:tbl>
    <w:p w14:paraId="2A2615F7" w14:textId="77777777" w:rsidR="00127A81" w:rsidRDefault="00871E72">
      <w:pPr>
        <w:pStyle w:val="HChG"/>
      </w:pPr>
      <w:r>
        <w:tab/>
      </w:r>
      <w:r>
        <w:tab/>
        <w:t>Proposed Amendments to Packing Instruction LP903</w:t>
      </w:r>
    </w:p>
    <w:p w14:paraId="1225707C" w14:textId="03AC7E5E" w:rsidR="00127A81" w:rsidRDefault="00871E72">
      <w:pPr>
        <w:pStyle w:val="H1G"/>
      </w:pPr>
      <w:r>
        <w:tab/>
      </w:r>
      <w:r>
        <w:tab/>
      </w:r>
      <w:r w:rsidR="00E53EC6">
        <w:rPr>
          <w:lang w:val="en-US"/>
        </w:rPr>
        <w:t xml:space="preserve">Transmitted by </w:t>
      </w:r>
      <w:r w:rsidR="00E53EC6">
        <w:t>the expert from China</w:t>
      </w:r>
      <w:r>
        <w:rPr>
          <w:rFonts w:hint="eastAsia"/>
          <w:lang w:val="en-US"/>
        </w:rPr>
        <w:t xml:space="preserve">   </w:t>
      </w:r>
    </w:p>
    <w:p w14:paraId="41591106" w14:textId="77777777" w:rsidR="00127A81" w:rsidRDefault="00871E72">
      <w:pPr>
        <w:pStyle w:val="HChG"/>
      </w:pPr>
      <w:r>
        <w:tab/>
      </w:r>
      <w:r>
        <w:tab/>
        <w:t>Introduction</w:t>
      </w:r>
    </w:p>
    <w:p w14:paraId="10EEF411" w14:textId="7BC76DB3" w:rsidR="00127A81" w:rsidRPr="001C04D5" w:rsidRDefault="00871E72" w:rsidP="001C04D5">
      <w:pPr>
        <w:pStyle w:val="SingleTxtG"/>
      </w:pPr>
      <w:r w:rsidRPr="001C04D5">
        <w:t>1.</w:t>
      </w:r>
      <w:r w:rsidR="001C04D5">
        <w:tab/>
      </w:r>
      <w:r w:rsidRPr="001C04D5">
        <w:t xml:space="preserve">With the development of electric vehicles and lithium battery energy storage industries in recent years, the transport volume of </w:t>
      </w:r>
      <w:r w:rsidRPr="001C04D5">
        <w:rPr>
          <w:rFonts w:hint="eastAsia"/>
        </w:rPr>
        <w:t xml:space="preserve">large </w:t>
      </w:r>
      <w:r w:rsidRPr="001C04D5">
        <w:t xml:space="preserve">lithium cells and </w:t>
      </w:r>
      <w:r w:rsidRPr="001C04D5">
        <w:rPr>
          <w:rFonts w:hint="eastAsia"/>
        </w:rPr>
        <w:t xml:space="preserve">large </w:t>
      </w:r>
      <w:r w:rsidRPr="001C04D5">
        <w:t xml:space="preserve">lithium batteries has increased rapidly. How to optimize the technical requirements of lithium battery transport packagings, especially large packagings, on the premise of ensuring safety in transport, is very important for improving transport efficiency and effectively supporting the development of relevant industries. In the past two years, several proposals have been discussed by the TDG Sub-Committee, about revising Packing Instruction LP903 concerning the use of large packagings to allow the transport of more than one cells or batteries in a single large packaging. PRBA and RECHARGE have submitted </w:t>
      </w:r>
      <w:r w:rsidR="00C34751">
        <w:t>document</w:t>
      </w:r>
      <w:r w:rsidRPr="001C04D5">
        <w:t xml:space="preserve"> </w:t>
      </w:r>
      <w:r w:rsidR="00C34751" w:rsidRPr="00C34751">
        <w:t>ST/SG/AC.10/C.3/2022/37</w:t>
      </w:r>
      <w:r w:rsidR="00C34751">
        <w:t xml:space="preserve"> </w:t>
      </w:r>
      <w:r w:rsidRPr="001C04D5">
        <w:rPr>
          <w:rFonts w:hint="eastAsia"/>
        </w:rPr>
        <w:t>t</w:t>
      </w:r>
      <w:r w:rsidRPr="001C04D5">
        <w:t xml:space="preserve">o the sixtieth session of the Sub-Committee, proposing to revise the text in LP903. Experts from China generally agree with the intention of </w:t>
      </w:r>
      <w:r w:rsidR="00A9104F" w:rsidRPr="00C34751">
        <w:t>ST/SG/AC.10/C.3/2022/37</w:t>
      </w:r>
      <w:r w:rsidR="00A9104F">
        <w:t xml:space="preserve"> </w:t>
      </w:r>
      <w:r w:rsidRPr="001C04D5">
        <w:t xml:space="preserve">and would like </w:t>
      </w:r>
      <w:r w:rsidR="00211416">
        <w:t xml:space="preserve">to </w:t>
      </w:r>
      <w:r w:rsidRPr="001C04D5">
        <w:t>thank to PRBA and RECHARGE for their efforts.</w:t>
      </w:r>
    </w:p>
    <w:p w14:paraId="3A15DE55" w14:textId="36AF3EDE" w:rsidR="00127A81" w:rsidRPr="001C04D5" w:rsidRDefault="00871E72" w:rsidP="001C04D5">
      <w:pPr>
        <w:pStyle w:val="SingleTxtG"/>
      </w:pPr>
      <w:r w:rsidRPr="001C04D5">
        <w:rPr>
          <w:rFonts w:hint="eastAsia"/>
        </w:rPr>
        <w:t>2.</w:t>
      </w:r>
      <w:r w:rsidR="001C04D5">
        <w:tab/>
      </w:r>
      <w:r w:rsidRPr="001C04D5">
        <w:rPr>
          <w:rFonts w:hint="eastAsia"/>
        </w:rPr>
        <w:t>H</w:t>
      </w:r>
      <w:r w:rsidRPr="001C04D5">
        <w:t xml:space="preserve">owever, </w:t>
      </w:r>
      <w:r w:rsidR="00FB5C38">
        <w:t>e</w:t>
      </w:r>
      <w:r w:rsidR="00FB5C38" w:rsidRPr="001C04D5">
        <w:t xml:space="preserve">xperts from China </w:t>
      </w:r>
      <w:r w:rsidRPr="001C04D5">
        <w:t>do have some small comments. We suggest to further clarify the fixation and separation measures required for cells and batteries to prevent potential danger caused by the movement or contact with each other during transport.</w:t>
      </w:r>
    </w:p>
    <w:p w14:paraId="73FF3885" w14:textId="7E99C3CD" w:rsidR="00127A81" w:rsidRPr="001C04D5" w:rsidRDefault="00871E72" w:rsidP="00762249">
      <w:pPr>
        <w:pStyle w:val="SingleTxtG"/>
      </w:pPr>
      <w:r w:rsidRPr="001C04D5">
        <w:rPr>
          <w:rFonts w:hint="eastAsia"/>
        </w:rPr>
        <w:t>3</w:t>
      </w:r>
      <w:r w:rsidRPr="001C04D5">
        <w:t>.</w:t>
      </w:r>
      <w:r w:rsidR="001C04D5">
        <w:tab/>
      </w:r>
      <w:r w:rsidRPr="001C04D5">
        <w:t xml:space="preserve">According to our experience, common ways to fix and separate multiple batteries including the application of trays, dividers, positioning blocks, </w:t>
      </w:r>
      <w:bookmarkStart w:id="0" w:name="_Hlk103786900"/>
      <w:r w:rsidRPr="001C04D5">
        <w:t>locating clamp</w:t>
      </w:r>
      <w:bookmarkEnd w:id="0"/>
      <w:r w:rsidRPr="001C04D5">
        <w:t>s, bolts and so on. Examples are shown as follows:</w:t>
      </w:r>
    </w:p>
    <w:p w14:paraId="1EEFE79E" w14:textId="1501239C" w:rsidR="00127A81" w:rsidRDefault="00244280">
      <w:pPr>
        <w:pStyle w:val="SingleTxtG"/>
        <w:spacing w:line="360" w:lineRule="auto"/>
        <w:ind w:firstLine="567"/>
        <w:rPr>
          <w:lang w:val="en-US"/>
        </w:rPr>
      </w:pPr>
      <w:r>
        <w:rPr>
          <w:rFonts w:hint="eastAsia"/>
          <w:lang w:val="en-US"/>
        </w:rPr>
        <w:t>(</w:t>
      </w:r>
      <w:r w:rsidR="00871E72">
        <w:rPr>
          <w:rFonts w:hint="eastAsia"/>
          <w:lang w:val="en-US"/>
        </w:rPr>
        <w:t>1</w:t>
      </w:r>
      <w:r>
        <w:rPr>
          <w:lang w:val="en-US"/>
        </w:rPr>
        <w:t>)</w:t>
      </w:r>
      <w:r w:rsidR="004B47B4">
        <w:rPr>
          <w:lang w:val="en-US"/>
        </w:rPr>
        <w:t xml:space="preserve"> </w:t>
      </w:r>
      <w:r w:rsidR="00871E72">
        <w:rPr>
          <w:lang w:val="en-US"/>
        </w:rPr>
        <w:t>T</w:t>
      </w:r>
      <w:r w:rsidR="00871E72">
        <w:rPr>
          <w:rFonts w:hint="eastAsia"/>
          <w:lang w:val="en-US"/>
        </w:rPr>
        <w:t>ray</w:t>
      </w:r>
      <w:r w:rsidR="004B47B4">
        <w:rPr>
          <w:lang w:val="en-US"/>
        </w:rPr>
        <w:t xml:space="preserve"> </w:t>
      </w:r>
      <w:r w:rsidR="004B47B4">
        <w:rPr>
          <w:lang w:val="en-US"/>
        </w:rPr>
        <w:noBreakHyphen/>
      </w:r>
      <w:r w:rsidR="00871E72">
        <w:rPr>
          <w:lang w:val="en-US"/>
        </w:rPr>
        <w:t xml:space="preserve"> suitable for </w:t>
      </w:r>
      <w:r w:rsidR="00871E72">
        <w:rPr>
          <w:rFonts w:hint="eastAsia"/>
          <w:lang w:val="en-US"/>
        </w:rPr>
        <w:t>Large Cell</w:t>
      </w:r>
      <w:r w:rsidR="00871E72">
        <w:rPr>
          <w:lang w:val="en-U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541"/>
        <w:gridCol w:w="5098"/>
      </w:tblGrid>
      <w:tr w:rsidR="00127A81" w14:paraId="5E884911" w14:textId="77777777">
        <w:tc>
          <w:tcPr>
            <w:tcW w:w="4927" w:type="dxa"/>
            <w:tcBorders>
              <w:tl2br w:val="nil"/>
              <w:tr2bl w:val="nil"/>
            </w:tcBorders>
          </w:tcPr>
          <w:p w14:paraId="74955F94" w14:textId="77777777" w:rsidR="00127A81" w:rsidRDefault="00871E72">
            <w:pPr>
              <w:pStyle w:val="SingleTxtG"/>
              <w:spacing w:line="360" w:lineRule="auto"/>
              <w:ind w:leftChars="267" w:left="534" w:firstLineChars="33" w:firstLine="66"/>
              <w:rPr>
                <w:lang w:val="en-US"/>
              </w:rPr>
            </w:pPr>
            <w:r>
              <w:rPr>
                <w:noProof/>
                <w:lang w:val="en-US"/>
              </w:rPr>
              <w:drawing>
                <wp:inline distT="0" distB="0" distL="114300" distR="114300" wp14:anchorId="5A4690DB" wp14:editId="602FFF85">
                  <wp:extent cx="2258695" cy="2077720"/>
                  <wp:effectExtent l="0" t="0" r="8255"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2258695" cy="2077720"/>
                          </a:xfrm>
                          <a:prstGeom prst="rect">
                            <a:avLst/>
                          </a:prstGeom>
                        </pic:spPr>
                      </pic:pic>
                    </a:graphicData>
                  </a:graphic>
                </wp:inline>
              </w:drawing>
            </w:r>
          </w:p>
        </w:tc>
        <w:tc>
          <w:tcPr>
            <w:tcW w:w="4928" w:type="dxa"/>
            <w:tcBorders>
              <w:tl2br w:val="nil"/>
              <w:tr2bl w:val="nil"/>
            </w:tcBorders>
          </w:tcPr>
          <w:p w14:paraId="2180A009" w14:textId="77777777" w:rsidR="00127A81" w:rsidRDefault="00871E72">
            <w:pPr>
              <w:pStyle w:val="SingleTxtG"/>
              <w:spacing w:line="360" w:lineRule="auto"/>
              <w:rPr>
                <w:lang w:val="en-US"/>
              </w:rPr>
            </w:pPr>
            <w:r>
              <w:rPr>
                <w:noProof/>
                <w:lang w:val="en-US"/>
              </w:rPr>
              <w:drawing>
                <wp:inline distT="0" distB="0" distL="114300" distR="114300" wp14:anchorId="2C6A799E" wp14:editId="0BC8763F">
                  <wp:extent cx="2349500" cy="2132330"/>
                  <wp:effectExtent l="0" t="0" r="12700"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2349500" cy="2132330"/>
                          </a:xfrm>
                          <a:prstGeom prst="rect">
                            <a:avLst/>
                          </a:prstGeom>
                        </pic:spPr>
                      </pic:pic>
                    </a:graphicData>
                  </a:graphic>
                </wp:inline>
              </w:drawing>
            </w:r>
          </w:p>
        </w:tc>
      </w:tr>
      <w:tr w:rsidR="00127A81" w14:paraId="45E6BFFA" w14:textId="77777777">
        <w:tc>
          <w:tcPr>
            <w:tcW w:w="4927" w:type="dxa"/>
            <w:tcBorders>
              <w:tl2br w:val="nil"/>
              <w:tr2bl w:val="nil"/>
            </w:tcBorders>
          </w:tcPr>
          <w:p w14:paraId="2D67FC2D" w14:textId="77777777" w:rsidR="00127A81" w:rsidRDefault="00871E72">
            <w:pPr>
              <w:pStyle w:val="SingleTxtG"/>
              <w:spacing w:line="360" w:lineRule="auto"/>
              <w:rPr>
                <w:lang w:val="en-US"/>
              </w:rPr>
            </w:pPr>
            <w:r>
              <w:rPr>
                <w:rFonts w:hint="eastAsia"/>
                <w:lang w:val="en-US"/>
              </w:rPr>
              <w:t>A</w:t>
            </w:r>
            <w:r>
              <w:rPr>
                <w:lang w:val="en-US"/>
              </w:rPr>
              <w:t>n unoccupied tray</w:t>
            </w:r>
          </w:p>
        </w:tc>
        <w:tc>
          <w:tcPr>
            <w:tcW w:w="4928" w:type="dxa"/>
            <w:tcBorders>
              <w:tl2br w:val="nil"/>
              <w:tr2bl w:val="nil"/>
            </w:tcBorders>
          </w:tcPr>
          <w:p w14:paraId="09420C83" w14:textId="77777777" w:rsidR="00127A81" w:rsidRDefault="00871E72">
            <w:pPr>
              <w:pStyle w:val="SingleTxtG"/>
              <w:spacing w:line="360" w:lineRule="auto"/>
              <w:rPr>
                <w:lang w:val="en-US"/>
              </w:rPr>
            </w:pPr>
            <w:r>
              <w:rPr>
                <w:rFonts w:hint="eastAsia"/>
                <w:lang w:val="en-US"/>
              </w:rPr>
              <w:t>A</w:t>
            </w:r>
            <w:r>
              <w:rPr>
                <w:lang w:val="en-US"/>
              </w:rPr>
              <w:t xml:space="preserve"> tray loading with cells</w:t>
            </w:r>
          </w:p>
        </w:tc>
      </w:tr>
    </w:tbl>
    <w:p w14:paraId="405FB11D" w14:textId="77777777" w:rsidR="00127A81" w:rsidRDefault="00127A81">
      <w:pPr>
        <w:pStyle w:val="SingleTxtG"/>
        <w:spacing w:line="360" w:lineRule="auto"/>
        <w:ind w:firstLine="567"/>
        <w:rPr>
          <w:lang w:val="en-US"/>
        </w:rPr>
      </w:pPr>
    </w:p>
    <w:p w14:paraId="321A7077" w14:textId="3B813869" w:rsidR="00127A81" w:rsidRDefault="004B47B4">
      <w:pPr>
        <w:pStyle w:val="SingleTxtG"/>
        <w:spacing w:line="360" w:lineRule="auto"/>
        <w:ind w:firstLine="567"/>
        <w:rPr>
          <w:lang w:val="en-US"/>
        </w:rPr>
      </w:pPr>
      <w:r>
        <w:rPr>
          <w:rFonts w:hint="eastAsia"/>
          <w:lang w:val="en-US"/>
        </w:rPr>
        <w:lastRenderedPageBreak/>
        <w:t>(</w:t>
      </w:r>
      <w:r w:rsidR="00871E72">
        <w:rPr>
          <w:rFonts w:hint="eastAsia"/>
          <w:lang w:val="en-US"/>
        </w:rPr>
        <w:t>2</w:t>
      </w:r>
      <w:r>
        <w:rPr>
          <w:rFonts w:hint="eastAsia"/>
          <w:lang w:val="en-US"/>
        </w:rPr>
        <w:t>)</w:t>
      </w:r>
      <w:r>
        <w:rPr>
          <w:lang w:val="en-US"/>
        </w:rPr>
        <w:t xml:space="preserve"> </w:t>
      </w:r>
      <w:r w:rsidR="00871E72">
        <w:rPr>
          <w:lang w:val="en-US"/>
        </w:rPr>
        <w:t>T</w:t>
      </w:r>
      <w:r w:rsidR="00871E72">
        <w:rPr>
          <w:rFonts w:hint="eastAsia"/>
          <w:lang w:val="en-US"/>
        </w:rPr>
        <w:t>ray</w:t>
      </w:r>
      <w:r w:rsidR="00965B3A">
        <w:rPr>
          <w:lang w:val="en-US"/>
        </w:rPr>
        <w:t xml:space="preserve"> </w:t>
      </w:r>
      <w:r w:rsidR="00965B3A">
        <w:rPr>
          <w:lang w:val="en-US"/>
        </w:rPr>
        <w:noBreakHyphen/>
      </w:r>
      <w:r w:rsidR="00871E72">
        <w:rPr>
          <w:rFonts w:hint="eastAsia"/>
          <w:lang w:val="en-US"/>
        </w:rPr>
        <w:t xml:space="preserve"> </w:t>
      </w:r>
      <w:r w:rsidR="00871E72">
        <w:rPr>
          <w:lang w:val="en-US"/>
        </w:rPr>
        <w:t xml:space="preserve">suitable for </w:t>
      </w:r>
      <w:proofErr w:type="gramStart"/>
      <w:r w:rsidR="00871E72">
        <w:rPr>
          <w:rFonts w:hint="eastAsia"/>
          <w:lang w:val="en-US"/>
        </w:rPr>
        <w:t>Large</w:t>
      </w:r>
      <w:proofErr w:type="gramEnd"/>
      <w:r w:rsidR="00871E72">
        <w:rPr>
          <w:rFonts w:hint="eastAsia"/>
          <w:lang w:val="en-US"/>
        </w:rPr>
        <w:t xml:space="preserve"> batter</w:t>
      </w:r>
      <w:r w:rsidR="00871E72">
        <w:rPr>
          <w:lang w:val="en-US"/>
        </w:rPr>
        <w: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831"/>
        <w:gridCol w:w="4808"/>
      </w:tblGrid>
      <w:tr w:rsidR="00127A81" w14:paraId="7002601F" w14:textId="77777777">
        <w:tc>
          <w:tcPr>
            <w:tcW w:w="4927" w:type="dxa"/>
            <w:tcBorders>
              <w:tl2br w:val="nil"/>
              <w:tr2bl w:val="nil"/>
            </w:tcBorders>
          </w:tcPr>
          <w:p w14:paraId="3B595149" w14:textId="77777777" w:rsidR="00127A81" w:rsidRDefault="00871E72">
            <w:pPr>
              <w:pStyle w:val="SingleTxtG"/>
              <w:spacing w:line="360" w:lineRule="auto"/>
              <w:ind w:leftChars="267" w:left="534" w:firstLineChars="33" w:firstLine="66"/>
              <w:rPr>
                <w:lang w:val="en-US"/>
              </w:rPr>
            </w:pPr>
            <w:r>
              <w:rPr>
                <w:noProof/>
                <w:lang w:val="en-US"/>
              </w:rPr>
              <w:drawing>
                <wp:inline distT="0" distB="0" distL="114300" distR="114300" wp14:anchorId="246D0C2E" wp14:editId="06790A85">
                  <wp:extent cx="2715260" cy="1878330"/>
                  <wp:effectExtent l="0" t="0" r="8890"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4"/>
                          <a:stretch>
                            <a:fillRect/>
                          </a:stretch>
                        </pic:blipFill>
                        <pic:spPr>
                          <a:xfrm>
                            <a:off x="0" y="0"/>
                            <a:ext cx="2715260" cy="1878330"/>
                          </a:xfrm>
                          <a:prstGeom prst="rect">
                            <a:avLst/>
                          </a:prstGeom>
                          <a:noFill/>
                          <a:ln>
                            <a:noFill/>
                          </a:ln>
                        </pic:spPr>
                      </pic:pic>
                    </a:graphicData>
                  </a:graphic>
                </wp:inline>
              </w:drawing>
            </w:r>
          </w:p>
        </w:tc>
        <w:tc>
          <w:tcPr>
            <w:tcW w:w="4928" w:type="dxa"/>
            <w:tcBorders>
              <w:tl2br w:val="nil"/>
              <w:tr2bl w:val="nil"/>
            </w:tcBorders>
          </w:tcPr>
          <w:p w14:paraId="6C901F01" w14:textId="77777777" w:rsidR="00127A81" w:rsidRDefault="00871E72">
            <w:pPr>
              <w:pStyle w:val="SingleTxtG"/>
              <w:spacing w:line="360" w:lineRule="auto"/>
              <w:ind w:left="534" w:hangingChars="267" w:hanging="534"/>
              <w:rPr>
                <w:lang w:val="en-US"/>
              </w:rPr>
            </w:pPr>
            <w:r>
              <w:rPr>
                <w:noProof/>
                <w:lang w:val="en-US"/>
              </w:rPr>
              <w:drawing>
                <wp:inline distT="0" distB="0" distL="114300" distR="114300" wp14:anchorId="6C954091" wp14:editId="34DAF9FB">
                  <wp:extent cx="3077210" cy="1916430"/>
                  <wp:effectExtent l="0" t="0" r="889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3077210" cy="1916430"/>
                          </a:xfrm>
                          <a:prstGeom prst="rect">
                            <a:avLst/>
                          </a:prstGeom>
                          <a:noFill/>
                          <a:ln>
                            <a:noFill/>
                          </a:ln>
                        </pic:spPr>
                      </pic:pic>
                    </a:graphicData>
                  </a:graphic>
                </wp:inline>
              </w:drawing>
            </w:r>
          </w:p>
        </w:tc>
      </w:tr>
      <w:tr w:rsidR="00127A81" w14:paraId="05EF63A6" w14:textId="77777777">
        <w:tc>
          <w:tcPr>
            <w:tcW w:w="4927" w:type="dxa"/>
            <w:tcBorders>
              <w:tl2br w:val="nil"/>
              <w:tr2bl w:val="nil"/>
            </w:tcBorders>
          </w:tcPr>
          <w:p w14:paraId="262E81B8" w14:textId="77777777" w:rsidR="00127A81" w:rsidRDefault="00871E72">
            <w:pPr>
              <w:pStyle w:val="SingleTxtG"/>
              <w:spacing w:line="360" w:lineRule="auto"/>
              <w:rPr>
                <w:lang w:val="en-US"/>
              </w:rPr>
            </w:pPr>
            <w:r>
              <w:rPr>
                <w:rFonts w:hint="eastAsia"/>
                <w:lang w:val="en-US"/>
              </w:rPr>
              <w:t>A</w:t>
            </w:r>
            <w:r>
              <w:rPr>
                <w:lang w:val="en-US"/>
              </w:rPr>
              <w:t>n unoccupied tray</w:t>
            </w:r>
          </w:p>
        </w:tc>
        <w:tc>
          <w:tcPr>
            <w:tcW w:w="4928" w:type="dxa"/>
            <w:tcBorders>
              <w:tl2br w:val="nil"/>
              <w:tr2bl w:val="nil"/>
            </w:tcBorders>
          </w:tcPr>
          <w:p w14:paraId="61333E71" w14:textId="77777777" w:rsidR="00127A81" w:rsidRDefault="00871E72">
            <w:pPr>
              <w:pStyle w:val="SingleTxtG"/>
              <w:spacing w:line="360" w:lineRule="auto"/>
              <w:ind w:left="0" w:firstLineChars="450" w:firstLine="900"/>
              <w:rPr>
                <w:lang w:val="en-US"/>
              </w:rPr>
            </w:pPr>
            <w:r>
              <w:rPr>
                <w:rFonts w:hint="eastAsia"/>
                <w:lang w:val="en-US"/>
              </w:rPr>
              <w:t>A</w:t>
            </w:r>
            <w:r>
              <w:rPr>
                <w:lang w:val="en-US"/>
              </w:rPr>
              <w:t xml:space="preserve"> tray loading with batteries</w:t>
            </w:r>
          </w:p>
        </w:tc>
      </w:tr>
    </w:tbl>
    <w:p w14:paraId="12B60AF6" w14:textId="77777777" w:rsidR="0094324D" w:rsidRDefault="0094324D">
      <w:pPr>
        <w:pStyle w:val="SingleTxtG"/>
        <w:spacing w:line="360" w:lineRule="auto"/>
        <w:ind w:firstLine="567"/>
        <w:rPr>
          <w:lang w:val="en-US"/>
        </w:rPr>
      </w:pPr>
    </w:p>
    <w:p w14:paraId="4BCE8EAD" w14:textId="65B603A0" w:rsidR="00127A81" w:rsidRDefault="004B47B4">
      <w:pPr>
        <w:pStyle w:val="SingleTxtG"/>
        <w:spacing w:line="360" w:lineRule="auto"/>
        <w:ind w:firstLine="567"/>
        <w:rPr>
          <w:lang w:val="en-US"/>
        </w:rPr>
      </w:pPr>
      <w:r>
        <w:rPr>
          <w:rFonts w:hint="eastAsia"/>
          <w:lang w:val="en-US"/>
        </w:rPr>
        <w:t>(</w:t>
      </w:r>
      <w:r w:rsidR="00871E72">
        <w:rPr>
          <w:rFonts w:hint="eastAsia"/>
          <w:lang w:val="en-US"/>
        </w:rPr>
        <w:t>3</w:t>
      </w:r>
      <w:bookmarkStart w:id="1" w:name="_Hlk103786446"/>
      <w:r>
        <w:rPr>
          <w:lang w:val="en-US"/>
        </w:rPr>
        <w:t xml:space="preserve">) </w:t>
      </w:r>
      <w:r w:rsidR="00965B3A">
        <w:rPr>
          <w:lang w:val="en-US"/>
        </w:rPr>
        <w:t>D</w:t>
      </w:r>
      <w:r w:rsidR="00871E72">
        <w:rPr>
          <w:rFonts w:hint="eastAsia"/>
          <w:lang w:val="en-US"/>
        </w:rPr>
        <w:t>ivider</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894"/>
        <w:gridCol w:w="4745"/>
      </w:tblGrid>
      <w:tr w:rsidR="00127A81" w14:paraId="1BFA7C0E" w14:textId="77777777">
        <w:tc>
          <w:tcPr>
            <w:tcW w:w="4927" w:type="dxa"/>
            <w:tcBorders>
              <w:tl2br w:val="nil"/>
              <w:tr2bl w:val="nil"/>
            </w:tcBorders>
          </w:tcPr>
          <w:p w14:paraId="4E44659A" w14:textId="77777777" w:rsidR="00127A81" w:rsidRDefault="00871E72">
            <w:pPr>
              <w:pStyle w:val="SingleTxtG"/>
              <w:spacing w:line="360" w:lineRule="auto"/>
              <w:ind w:leftChars="267" w:left="534" w:firstLineChars="33" w:firstLine="66"/>
              <w:rPr>
                <w:lang w:val="en-US"/>
              </w:rPr>
            </w:pPr>
            <w:r>
              <w:rPr>
                <w:noProof/>
                <w:lang w:val="en-US"/>
              </w:rPr>
              <w:drawing>
                <wp:inline distT="0" distB="0" distL="114300" distR="114300" wp14:anchorId="4FB4DD09" wp14:editId="68908DB7">
                  <wp:extent cx="2489200" cy="1910080"/>
                  <wp:effectExtent l="0" t="0" r="635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489200" cy="1910080"/>
                          </a:xfrm>
                          <a:prstGeom prst="rect">
                            <a:avLst/>
                          </a:prstGeom>
                        </pic:spPr>
                      </pic:pic>
                    </a:graphicData>
                  </a:graphic>
                </wp:inline>
              </w:drawing>
            </w:r>
          </w:p>
        </w:tc>
        <w:tc>
          <w:tcPr>
            <w:tcW w:w="4928" w:type="dxa"/>
            <w:tcBorders>
              <w:tl2br w:val="nil"/>
              <w:tr2bl w:val="nil"/>
            </w:tcBorders>
          </w:tcPr>
          <w:p w14:paraId="30FAAE39" w14:textId="77777777" w:rsidR="00127A81" w:rsidRDefault="00871E72">
            <w:pPr>
              <w:pStyle w:val="SingleTxtG"/>
              <w:spacing w:line="360" w:lineRule="auto"/>
              <w:ind w:left="534" w:hangingChars="267" w:hanging="534"/>
              <w:rPr>
                <w:lang w:val="en-US"/>
              </w:rPr>
            </w:pPr>
            <w:r>
              <w:rPr>
                <w:noProof/>
                <w:lang w:val="en-US"/>
              </w:rPr>
              <w:drawing>
                <wp:inline distT="0" distB="0" distL="114300" distR="114300" wp14:anchorId="0C999175" wp14:editId="7A6DDF29">
                  <wp:extent cx="2743835" cy="2117090"/>
                  <wp:effectExtent l="0" t="0" r="18415"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743835" cy="2117090"/>
                          </a:xfrm>
                          <a:prstGeom prst="rect">
                            <a:avLst/>
                          </a:prstGeom>
                        </pic:spPr>
                      </pic:pic>
                    </a:graphicData>
                  </a:graphic>
                </wp:inline>
              </w:drawing>
            </w:r>
          </w:p>
        </w:tc>
      </w:tr>
      <w:tr w:rsidR="00127A81" w14:paraId="5DE01DF5" w14:textId="77777777">
        <w:tc>
          <w:tcPr>
            <w:tcW w:w="4927" w:type="dxa"/>
            <w:tcBorders>
              <w:tl2br w:val="nil"/>
              <w:tr2bl w:val="nil"/>
            </w:tcBorders>
          </w:tcPr>
          <w:p w14:paraId="7375D32A" w14:textId="77777777" w:rsidR="00127A81" w:rsidRDefault="00871E72">
            <w:pPr>
              <w:pStyle w:val="SingleTxtG"/>
              <w:spacing w:line="360" w:lineRule="auto"/>
              <w:rPr>
                <w:lang w:val="en-US"/>
              </w:rPr>
            </w:pPr>
            <w:r>
              <w:rPr>
                <w:rFonts w:hint="eastAsia"/>
                <w:lang w:val="en-US"/>
              </w:rPr>
              <w:t>A</w:t>
            </w:r>
            <w:r>
              <w:rPr>
                <w:lang w:val="en-US"/>
              </w:rPr>
              <w:t>n unoccupied divider</w:t>
            </w:r>
          </w:p>
        </w:tc>
        <w:tc>
          <w:tcPr>
            <w:tcW w:w="4928" w:type="dxa"/>
            <w:tcBorders>
              <w:tl2br w:val="nil"/>
              <w:tr2bl w:val="nil"/>
            </w:tcBorders>
          </w:tcPr>
          <w:p w14:paraId="0A32E74D" w14:textId="77777777" w:rsidR="00127A81" w:rsidRDefault="00871E72">
            <w:pPr>
              <w:pStyle w:val="SingleTxtG"/>
              <w:spacing w:line="360" w:lineRule="auto"/>
              <w:ind w:left="0" w:right="0" w:firstLineChars="450" w:firstLine="900"/>
              <w:rPr>
                <w:lang w:val="en-US"/>
              </w:rPr>
            </w:pPr>
            <w:r>
              <w:rPr>
                <w:lang w:val="en-US"/>
              </w:rPr>
              <w:t>A divider separat</w:t>
            </w:r>
            <w:r>
              <w:rPr>
                <w:rFonts w:hint="eastAsia"/>
                <w:lang w:val="en-US"/>
              </w:rPr>
              <w:t>i</w:t>
            </w:r>
            <w:r>
              <w:rPr>
                <w:lang w:val="en-US"/>
              </w:rPr>
              <w:t>ng and fixing batteries</w:t>
            </w:r>
          </w:p>
        </w:tc>
      </w:tr>
    </w:tbl>
    <w:p w14:paraId="79EA278D" w14:textId="77777777" w:rsidR="00127A81" w:rsidRDefault="00127A81">
      <w:pPr>
        <w:pStyle w:val="SingleTxtG"/>
        <w:spacing w:line="360" w:lineRule="auto"/>
        <w:ind w:firstLine="567"/>
        <w:rPr>
          <w:lang w:val="en-US"/>
        </w:rPr>
      </w:pPr>
    </w:p>
    <w:p w14:paraId="26FC4D7A" w14:textId="1BCDA67C" w:rsidR="00127A81" w:rsidRDefault="00965B3A">
      <w:pPr>
        <w:pStyle w:val="SingleTxtG"/>
        <w:spacing w:line="360" w:lineRule="auto"/>
        <w:ind w:firstLine="567"/>
        <w:rPr>
          <w:lang w:val="en-US"/>
        </w:rPr>
      </w:pPr>
      <w:r>
        <w:rPr>
          <w:rFonts w:hint="eastAsia"/>
          <w:lang w:val="en-US"/>
        </w:rPr>
        <w:t>(</w:t>
      </w:r>
      <w:r w:rsidR="00871E72">
        <w:rPr>
          <w:rFonts w:hint="eastAsia"/>
          <w:lang w:val="en-US"/>
        </w:rPr>
        <w:t>4</w:t>
      </w:r>
      <w:r>
        <w:rPr>
          <w:lang w:val="en-US"/>
        </w:rPr>
        <w:t xml:space="preserve">) </w:t>
      </w:r>
      <w:r w:rsidR="0094324D">
        <w:rPr>
          <w:lang w:val="en-US"/>
        </w:rPr>
        <w:t>P</w:t>
      </w:r>
      <w:r w:rsidR="00871E72">
        <w:rPr>
          <w:lang w:val="en-US"/>
        </w:rPr>
        <w:t>ositioning block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4888"/>
        <w:gridCol w:w="4751"/>
      </w:tblGrid>
      <w:tr w:rsidR="00127A81" w14:paraId="6B19AE75" w14:textId="77777777">
        <w:tc>
          <w:tcPr>
            <w:tcW w:w="4927" w:type="dxa"/>
            <w:tcBorders>
              <w:tl2br w:val="nil"/>
              <w:tr2bl w:val="nil"/>
            </w:tcBorders>
          </w:tcPr>
          <w:p w14:paraId="38350189" w14:textId="77777777" w:rsidR="00127A81" w:rsidRDefault="00871E72">
            <w:pPr>
              <w:pStyle w:val="SingleTxtG"/>
              <w:spacing w:line="360" w:lineRule="auto"/>
              <w:ind w:leftChars="267" w:left="534" w:firstLineChars="33" w:firstLine="66"/>
              <w:rPr>
                <w:lang w:val="en-US"/>
              </w:rPr>
            </w:pPr>
            <w:r>
              <w:rPr>
                <w:noProof/>
                <w:lang w:val="en-US"/>
              </w:rPr>
              <w:drawing>
                <wp:inline distT="0" distB="0" distL="114300" distR="114300" wp14:anchorId="641727CC" wp14:editId="675E9958">
                  <wp:extent cx="2783205" cy="1471295"/>
                  <wp:effectExtent l="0" t="0" r="17145" b="146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2783205" cy="1471295"/>
                          </a:xfrm>
                          <a:prstGeom prst="rect">
                            <a:avLst/>
                          </a:prstGeom>
                        </pic:spPr>
                      </pic:pic>
                    </a:graphicData>
                  </a:graphic>
                </wp:inline>
              </w:drawing>
            </w:r>
          </w:p>
        </w:tc>
        <w:tc>
          <w:tcPr>
            <w:tcW w:w="4928" w:type="dxa"/>
            <w:tcBorders>
              <w:tl2br w:val="nil"/>
              <w:tr2bl w:val="nil"/>
            </w:tcBorders>
          </w:tcPr>
          <w:p w14:paraId="6488B1CB" w14:textId="77777777" w:rsidR="00127A81" w:rsidRDefault="00871E72">
            <w:pPr>
              <w:pStyle w:val="SingleTxtG"/>
              <w:spacing w:line="360" w:lineRule="auto"/>
              <w:ind w:left="534" w:hangingChars="267" w:hanging="534"/>
              <w:rPr>
                <w:lang w:val="en-US"/>
              </w:rPr>
            </w:pPr>
            <w:r>
              <w:rPr>
                <w:noProof/>
                <w:lang w:val="en-US"/>
              </w:rPr>
              <w:drawing>
                <wp:inline distT="0" distB="0" distL="114300" distR="114300" wp14:anchorId="332DB5D0" wp14:editId="7BA4B52A">
                  <wp:extent cx="3054985" cy="1685290"/>
                  <wp:effectExtent l="0" t="0" r="12065"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3054985" cy="1685290"/>
                          </a:xfrm>
                          <a:prstGeom prst="rect">
                            <a:avLst/>
                          </a:prstGeom>
                        </pic:spPr>
                      </pic:pic>
                    </a:graphicData>
                  </a:graphic>
                </wp:inline>
              </w:drawing>
            </w:r>
          </w:p>
        </w:tc>
      </w:tr>
      <w:tr w:rsidR="00127A81" w14:paraId="0CBE93B4" w14:textId="77777777">
        <w:tc>
          <w:tcPr>
            <w:tcW w:w="4927" w:type="dxa"/>
            <w:tcBorders>
              <w:tl2br w:val="nil"/>
              <w:tr2bl w:val="nil"/>
            </w:tcBorders>
          </w:tcPr>
          <w:p w14:paraId="5346A60E" w14:textId="77777777" w:rsidR="00127A81" w:rsidRDefault="00871E72">
            <w:pPr>
              <w:pStyle w:val="SingleTxtG"/>
              <w:spacing w:line="360" w:lineRule="auto"/>
              <w:ind w:left="0" w:firstLineChars="400" w:firstLine="800"/>
              <w:rPr>
                <w:lang w:val="en-US"/>
              </w:rPr>
            </w:pPr>
            <w:r>
              <w:rPr>
                <w:lang w:val="en-US"/>
              </w:rPr>
              <w:t>Unoccupied positioning blocks</w:t>
            </w:r>
          </w:p>
        </w:tc>
        <w:tc>
          <w:tcPr>
            <w:tcW w:w="4928" w:type="dxa"/>
            <w:tcBorders>
              <w:tl2br w:val="nil"/>
              <w:tr2bl w:val="nil"/>
            </w:tcBorders>
          </w:tcPr>
          <w:p w14:paraId="585D421F" w14:textId="77777777" w:rsidR="00127A81" w:rsidRDefault="00871E72">
            <w:pPr>
              <w:pStyle w:val="SingleTxtG"/>
              <w:spacing w:line="360" w:lineRule="auto"/>
              <w:ind w:left="0" w:right="0" w:firstLineChars="100" w:firstLine="200"/>
              <w:rPr>
                <w:lang w:val="en-US"/>
              </w:rPr>
            </w:pPr>
            <w:r>
              <w:rPr>
                <w:lang w:val="en-US"/>
              </w:rPr>
              <w:t>Positioning blocks separating and fixing batteries</w:t>
            </w:r>
          </w:p>
        </w:tc>
      </w:tr>
    </w:tbl>
    <w:p w14:paraId="06351E36" w14:textId="77777777" w:rsidR="00127A81" w:rsidRDefault="00127A81">
      <w:pPr>
        <w:pStyle w:val="SingleTxtG"/>
        <w:spacing w:line="360" w:lineRule="auto"/>
        <w:ind w:firstLine="567"/>
        <w:rPr>
          <w:lang w:val="en-US"/>
        </w:rPr>
      </w:pPr>
    </w:p>
    <w:p w14:paraId="3ED4AB79" w14:textId="65007542" w:rsidR="00127A81" w:rsidRDefault="0094324D" w:rsidP="0094324D">
      <w:pPr>
        <w:pStyle w:val="SingleTxtG"/>
        <w:keepNext/>
        <w:keepLines/>
        <w:spacing w:line="360" w:lineRule="auto"/>
        <w:ind w:firstLine="567"/>
        <w:rPr>
          <w:lang w:val="en-US"/>
        </w:rPr>
      </w:pPr>
      <w:r>
        <w:rPr>
          <w:rFonts w:hint="eastAsia"/>
          <w:lang w:val="en-US"/>
        </w:rPr>
        <w:lastRenderedPageBreak/>
        <w:t>(</w:t>
      </w:r>
      <w:r w:rsidR="00871E72">
        <w:rPr>
          <w:rFonts w:hint="eastAsia"/>
          <w:lang w:val="en-US"/>
        </w:rPr>
        <w:t>5</w:t>
      </w:r>
      <w:r>
        <w:rPr>
          <w:rFonts w:hint="eastAsia"/>
          <w:lang w:val="en-US"/>
        </w:rPr>
        <w:t>)</w:t>
      </w:r>
      <w:r>
        <w:rPr>
          <w:lang w:val="en-US"/>
        </w:rPr>
        <w:t xml:space="preserve"> L</w:t>
      </w:r>
      <w:r w:rsidR="00871E72">
        <w:rPr>
          <w:lang w:val="en-US"/>
        </w:rPr>
        <w:t>ocating clamp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5584"/>
        <w:gridCol w:w="4271"/>
      </w:tblGrid>
      <w:tr w:rsidR="00127A81" w14:paraId="5A1BF203" w14:textId="77777777">
        <w:tc>
          <w:tcPr>
            <w:tcW w:w="5584" w:type="dxa"/>
            <w:tcBorders>
              <w:tl2br w:val="nil"/>
              <w:tr2bl w:val="nil"/>
            </w:tcBorders>
          </w:tcPr>
          <w:p w14:paraId="7FC32116" w14:textId="77777777" w:rsidR="00127A81" w:rsidRDefault="00871E72" w:rsidP="0094324D">
            <w:pPr>
              <w:pStyle w:val="SingleTxtG"/>
              <w:keepNext/>
              <w:keepLines/>
              <w:spacing w:line="360" w:lineRule="auto"/>
              <w:ind w:leftChars="267" w:left="534" w:firstLineChars="33" w:firstLine="66"/>
              <w:rPr>
                <w:lang w:val="en-US"/>
              </w:rPr>
            </w:pPr>
            <w:r>
              <w:rPr>
                <w:noProof/>
                <w:lang w:val="en-US"/>
              </w:rPr>
              <w:drawing>
                <wp:inline distT="0" distB="0" distL="114300" distR="114300" wp14:anchorId="78C70CD5" wp14:editId="07443BE5">
                  <wp:extent cx="2578735" cy="2016760"/>
                  <wp:effectExtent l="0" t="0" r="12065" b="25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0"/>
                          <a:stretch>
                            <a:fillRect/>
                          </a:stretch>
                        </pic:blipFill>
                        <pic:spPr>
                          <a:xfrm>
                            <a:off x="0" y="0"/>
                            <a:ext cx="2578735" cy="2016760"/>
                          </a:xfrm>
                          <a:prstGeom prst="rect">
                            <a:avLst/>
                          </a:prstGeom>
                          <a:noFill/>
                          <a:ln>
                            <a:noFill/>
                          </a:ln>
                        </pic:spPr>
                      </pic:pic>
                    </a:graphicData>
                  </a:graphic>
                </wp:inline>
              </w:drawing>
            </w:r>
          </w:p>
        </w:tc>
        <w:tc>
          <w:tcPr>
            <w:tcW w:w="4271" w:type="dxa"/>
            <w:tcBorders>
              <w:tl2br w:val="nil"/>
              <w:tr2bl w:val="nil"/>
            </w:tcBorders>
          </w:tcPr>
          <w:p w14:paraId="7BD94AEA" w14:textId="77777777" w:rsidR="00127A81" w:rsidRDefault="00871E72" w:rsidP="0094324D">
            <w:pPr>
              <w:pStyle w:val="SingleTxtG"/>
              <w:keepNext/>
              <w:keepLines/>
              <w:spacing w:line="360" w:lineRule="auto"/>
              <w:ind w:left="534" w:hangingChars="267" w:hanging="534"/>
              <w:rPr>
                <w:lang w:val="en-US"/>
              </w:rPr>
            </w:pPr>
            <w:r>
              <w:rPr>
                <w:noProof/>
                <w:lang w:val="en-US"/>
              </w:rPr>
              <w:drawing>
                <wp:inline distT="0" distB="0" distL="114300" distR="114300" wp14:anchorId="5FBA850D" wp14:editId="118F1ACB">
                  <wp:extent cx="2574290" cy="2023745"/>
                  <wp:effectExtent l="0" t="0" r="165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2574290" cy="2023745"/>
                          </a:xfrm>
                          <a:prstGeom prst="rect">
                            <a:avLst/>
                          </a:prstGeom>
                          <a:noFill/>
                          <a:ln>
                            <a:noFill/>
                          </a:ln>
                        </pic:spPr>
                      </pic:pic>
                    </a:graphicData>
                  </a:graphic>
                </wp:inline>
              </w:drawing>
            </w:r>
          </w:p>
        </w:tc>
      </w:tr>
      <w:tr w:rsidR="00127A81" w14:paraId="25BE9274" w14:textId="77777777">
        <w:tc>
          <w:tcPr>
            <w:tcW w:w="5584" w:type="dxa"/>
            <w:tcBorders>
              <w:tl2br w:val="nil"/>
              <w:tr2bl w:val="nil"/>
            </w:tcBorders>
          </w:tcPr>
          <w:p w14:paraId="7D20326E" w14:textId="77777777" w:rsidR="00127A81" w:rsidRDefault="00871E72" w:rsidP="0094324D">
            <w:pPr>
              <w:pStyle w:val="SingleTxtG"/>
              <w:keepNext/>
              <w:keepLines/>
              <w:spacing w:line="360" w:lineRule="auto"/>
              <w:rPr>
                <w:lang w:val="en-US"/>
              </w:rPr>
            </w:pPr>
            <w:r>
              <w:rPr>
                <w:lang w:val="en-US"/>
              </w:rPr>
              <w:t>Unoccupied locating clamps</w:t>
            </w:r>
          </w:p>
        </w:tc>
        <w:tc>
          <w:tcPr>
            <w:tcW w:w="4271" w:type="dxa"/>
            <w:tcBorders>
              <w:tl2br w:val="nil"/>
              <w:tr2bl w:val="nil"/>
            </w:tcBorders>
          </w:tcPr>
          <w:p w14:paraId="573BA1E4" w14:textId="77777777" w:rsidR="00127A81" w:rsidRDefault="00871E72" w:rsidP="0094324D">
            <w:pPr>
              <w:pStyle w:val="SingleTxtG"/>
              <w:keepNext/>
              <w:keepLines/>
              <w:spacing w:line="360" w:lineRule="auto"/>
              <w:ind w:left="0" w:firstLineChars="100" w:firstLine="200"/>
              <w:rPr>
                <w:lang w:val="en-US"/>
              </w:rPr>
            </w:pPr>
            <w:r>
              <w:rPr>
                <w:lang w:val="en-US"/>
              </w:rPr>
              <w:t>Locating clamps fixing a battery</w:t>
            </w:r>
          </w:p>
        </w:tc>
      </w:tr>
    </w:tbl>
    <w:p w14:paraId="1B0531D4" w14:textId="77777777" w:rsidR="00127A81" w:rsidRDefault="00127A81">
      <w:pPr>
        <w:pStyle w:val="SingleTxtG"/>
        <w:spacing w:line="360" w:lineRule="auto"/>
        <w:ind w:firstLine="567"/>
        <w:rPr>
          <w:lang w:val="en-US"/>
        </w:rPr>
      </w:pPr>
    </w:p>
    <w:p w14:paraId="315542A5" w14:textId="0170F6BB" w:rsidR="00127A81" w:rsidRDefault="0094324D">
      <w:pPr>
        <w:pStyle w:val="SingleTxtG"/>
        <w:spacing w:line="360" w:lineRule="auto"/>
        <w:ind w:firstLine="567"/>
        <w:rPr>
          <w:lang w:val="en-US"/>
        </w:rPr>
      </w:pPr>
      <w:r>
        <w:rPr>
          <w:rFonts w:hint="eastAsia"/>
          <w:lang w:val="en-US"/>
        </w:rPr>
        <w:t>(</w:t>
      </w:r>
      <w:r w:rsidR="00871E72">
        <w:rPr>
          <w:rFonts w:hint="eastAsia"/>
          <w:lang w:val="en-US"/>
        </w:rPr>
        <w:t>6</w:t>
      </w:r>
      <w:r>
        <w:rPr>
          <w:lang w:val="en-US"/>
        </w:rPr>
        <w:t xml:space="preserve">) </w:t>
      </w:r>
      <w:r w:rsidR="00871E72">
        <w:rPr>
          <w:rFonts w:hint="eastAsia"/>
          <w:lang w:val="en-US"/>
        </w:rPr>
        <w:t>B</w:t>
      </w:r>
      <w:r w:rsidR="00871E72">
        <w:rPr>
          <w:lang w:val="en-US"/>
        </w:rPr>
        <w:t>olt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Look w:val="04A0" w:firstRow="1" w:lastRow="0" w:firstColumn="1" w:lastColumn="0" w:noHBand="0" w:noVBand="1"/>
      </w:tblPr>
      <w:tblGrid>
        <w:gridCol w:w="5584"/>
        <w:gridCol w:w="4271"/>
      </w:tblGrid>
      <w:tr w:rsidR="00127A81" w14:paraId="1CA81F5C" w14:textId="77777777">
        <w:tc>
          <w:tcPr>
            <w:tcW w:w="5584" w:type="dxa"/>
            <w:tcBorders>
              <w:tl2br w:val="nil"/>
              <w:tr2bl w:val="nil"/>
            </w:tcBorders>
          </w:tcPr>
          <w:p w14:paraId="2EEA895C" w14:textId="77777777" w:rsidR="00127A81" w:rsidRDefault="00871E72">
            <w:pPr>
              <w:pStyle w:val="SingleTxtG"/>
              <w:spacing w:line="360" w:lineRule="auto"/>
              <w:ind w:leftChars="267" w:left="534" w:firstLineChars="33" w:firstLine="66"/>
              <w:rPr>
                <w:lang w:val="en-US"/>
              </w:rPr>
            </w:pPr>
            <w:r>
              <w:rPr>
                <w:noProof/>
                <w:lang w:val="en-US"/>
              </w:rPr>
              <w:drawing>
                <wp:inline distT="0" distB="0" distL="114300" distR="114300" wp14:anchorId="3A0393C5" wp14:editId="3648C4FC">
                  <wp:extent cx="2959735" cy="2066290"/>
                  <wp:effectExtent l="0" t="0" r="1206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2959735" cy="2066290"/>
                          </a:xfrm>
                          <a:prstGeom prst="rect">
                            <a:avLst/>
                          </a:prstGeom>
                          <a:noFill/>
                          <a:ln>
                            <a:noFill/>
                          </a:ln>
                        </pic:spPr>
                      </pic:pic>
                    </a:graphicData>
                  </a:graphic>
                </wp:inline>
              </w:drawing>
            </w:r>
          </w:p>
        </w:tc>
        <w:tc>
          <w:tcPr>
            <w:tcW w:w="4271" w:type="dxa"/>
            <w:tcBorders>
              <w:tl2br w:val="nil"/>
              <w:tr2bl w:val="nil"/>
            </w:tcBorders>
          </w:tcPr>
          <w:p w14:paraId="76A46AF5" w14:textId="77777777" w:rsidR="00127A81" w:rsidRDefault="00871E72">
            <w:pPr>
              <w:pStyle w:val="SingleTxtG"/>
              <w:spacing w:line="360" w:lineRule="auto"/>
              <w:ind w:left="534" w:hangingChars="267" w:hanging="534"/>
              <w:rPr>
                <w:lang w:val="en-US"/>
              </w:rPr>
            </w:pPr>
            <w:r>
              <w:rPr>
                <w:noProof/>
                <w:lang w:val="en-US"/>
              </w:rPr>
              <w:drawing>
                <wp:inline distT="0" distB="0" distL="114300" distR="114300" wp14:anchorId="20B9B7EA" wp14:editId="0FD1409C">
                  <wp:extent cx="2574290" cy="1766570"/>
                  <wp:effectExtent l="0" t="0" r="16510" b="50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3"/>
                          <a:stretch>
                            <a:fillRect/>
                          </a:stretch>
                        </pic:blipFill>
                        <pic:spPr>
                          <a:xfrm>
                            <a:off x="0" y="0"/>
                            <a:ext cx="2574290" cy="1766570"/>
                          </a:xfrm>
                          <a:prstGeom prst="rect">
                            <a:avLst/>
                          </a:prstGeom>
                          <a:noFill/>
                          <a:ln>
                            <a:noFill/>
                          </a:ln>
                        </pic:spPr>
                      </pic:pic>
                    </a:graphicData>
                  </a:graphic>
                </wp:inline>
              </w:drawing>
            </w:r>
          </w:p>
        </w:tc>
      </w:tr>
      <w:tr w:rsidR="00127A81" w14:paraId="5F8B7F9C" w14:textId="77777777">
        <w:tc>
          <w:tcPr>
            <w:tcW w:w="5584" w:type="dxa"/>
            <w:tcBorders>
              <w:tl2br w:val="nil"/>
              <w:tr2bl w:val="nil"/>
            </w:tcBorders>
          </w:tcPr>
          <w:p w14:paraId="78C7C4B1" w14:textId="77777777" w:rsidR="00127A81" w:rsidRDefault="00871E72">
            <w:pPr>
              <w:pStyle w:val="SingleTxtG"/>
              <w:spacing w:line="360" w:lineRule="auto"/>
              <w:rPr>
                <w:lang w:val="en-US"/>
              </w:rPr>
            </w:pPr>
            <w:r>
              <w:rPr>
                <w:rFonts w:hint="eastAsia"/>
                <w:lang w:val="en-US"/>
              </w:rPr>
              <w:t>U</w:t>
            </w:r>
            <w:r>
              <w:rPr>
                <w:lang w:val="en-US"/>
              </w:rPr>
              <w:t>noccupied bolts</w:t>
            </w:r>
          </w:p>
        </w:tc>
        <w:tc>
          <w:tcPr>
            <w:tcW w:w="4271" w:type="dxa"/>
            <w:tcBorders>
              <w:tl2br w:val="nil"/>
              <w:tr2bl w:val="nil"/>
            </w:tcBorders>
          </w:tcPr>
          <w:p w14:paraId="22D1A3F4" w14:textId="77777777" w:rsidR="00127A81" w:rsidRDefault="00871E72">
            <w:pPr>
              <w:pStyle w:val="SingleTxtG"/>
              <w:spacing w:line="360" w:lineRule="auto"/>
              <w:ind w:left="0" w:firstLineChars="350" w:firstLine="700"/>
              <w:rPr>
                <w:lang w:val="en-US"/>
              </w:rPr>
            </w:pPr>
            <w:r>
              <w:rPr>
                <w:rFonts w:hint="eastAsia"/>
                <w:lang w:val="en-US"/>
              </w:rPr>
              <w:t>B</w:t>
            </w:r>
            <w:r>
              <w:rPr>
                <w:lang w:val="en-US"/>
              </w:rPr>
              <w:t>olts fixing a battery</w:t>
            </w:r>
          </w:p>
        </w:tc>
      </w:tr>
    </w:tbl>
    <w:p w14:paraId="6915AFCE" w14:textId="77777777" w:rsidR="00D350DF" w:rsidRDefault="00D350DF" w:rsidP="00762249">
      <w:pPr>
        <w:pStyle w:val="SingleTxtG"/>
        <w:rPr>
          <w:lang w:val="en-US"/>
        </w:rPr>
      </w:pPr>
    </w:p>
    <w:p w14:paraId="05AB77D1" w14:textId="43568413" w:rsidR="00127A81" w:rsidRDefault="00871E72" w:rsidP="00762249">
      <w:pPr>
        <w:pStyle w:val="SingleTxtG"/>
        <w:rPr>
          <w:lang w:val="en-US"/>
        </w:rPr>
      </w:pPr>
      <w:r>
        <w:rPr>
          <w:lang w:val="en-US"/>
        </w:rPr>
        <w:t>4</w:t>
      </w:r>
      <w:r>
        <w:rPr>
          <w:rFonts w:hint="eastAsia"/>
          <w:lang w:val="en-US"/>
        </w:rPr>
        <w:t>.</w:t>
      </w:r>
      <w:r w:rsidR="00762249">
        <w:rPr>
          <w:lang w:val="en-US"/>
        </w:rPr>
        <w:tab/>
      </w:r>
      <w:r w:rsidR="0094324D" w:rsidRPr="001C04D5">
        <w:t xml:space="preserve">Experts from China </w:t>
      </w:r>
      <w:r>
        <w:rPr>
          <w:lang w:val="en-US"/>
        </w:rPr>
        <w:t xml:space="preserve">believe the </w:t>
      </w:r>
      <w:r w:rsidRPr="00762249">
        <w:t>required</w:t>
      </w:r>
      <w:r>
        <w:rPr>
          <w:lang w:val="en-US"/>
        </w:rPr>
        <w:t xml:space="preserve"> measures should be able to protect cells, batteries and equipment from damage that may be caused under normal conditions of transport by all three following factors:</w:t>
      </w:r>
    </w:p>
    <w:p w14:paraId="1E202EDF" w14:textId="3DF8B66E" w:rsidR="00127A81" w:rsidRPr="009D6F92" w:rsidRDefault="00871E72" w:rsidP="00762249">
      <w:pPr>
        <w:pStyle w:val="SingleTxtG"/>
        <w:ind w:left="1701"/>
        <w:rPr>
          <w:lang w:val="en-US" w:eastAsia="en-US"/>
        </w:rPr>
      </w:pPr>
      <w:r w:rsidRPr="009D6F92">
        <w:rPr>
          <w:lang w:val="en-US" w:eastAsia="en-US"/>
        </w:rPr>
        <w:t>(</w:t>
      </w:r>
      <w:r w:rsidR="007A45D9">
        <w:rPr>
          <w:lang w:val="en-US" w:eastAsia="en-US"/>
        </w:rPr>
        <w:t>a</w:t>
      </w:r>
      <w:r w:rsidRPr="009D6F92">
        <w:rPr>
          <w:lang w:val="en-US" w:eastAsia="en-US"/>
        </w:rPr>
        <w:t>)</w:t>
      </w:r>
      <w:r w:rsidRPr="009D6F92">
        <w:rPr>
          <w:lang w:val="en-US" w:eastAsia="en-US"/>
        </w:rPr>
        <w:tab/>
        <w:t xml:space="preserve">movement or placement within the large </w:t>
      </w:r>
      <w:proofErr w:type="gramStart"/>
      <w:r w:rsidRPr="009D6F92">
        <w:rPr>
          <w:lang w:val="en-US" w:eastAsia="en-US"/>
        </w:rPr>
        <w:t>packaging;</w:t>
      </w:r>
      <w:proofErr w:type="gramEnd"/>
    </w:p>
    <w:p w14:paraId="53B2DF5A" w14:textId="1B0BBDCC" w:rsidR="00127A81" w:rsidRPr="009D6F92" w:rsidRDefault="00871E72" w:rsidP="00762249">
      <w:pPr>
        <w:pStyle w:val="SingleTxtG"/>
        <w:ind w:left="1701"/>
        <w:rPr>
          <w:lang w:val="en-US"/>
        </w:rPr>
      </w:pPr>
      <w:r w:rsidRPr="009D6F92">
        <w:rPr>
          <w:lang w:val="en-US" w:eastAsia="en-US"/>
        </w:rPr>
        <w:t>(</w:t>
      </w:r>
      <w:r w:rsidR="007A45D9">
        <w:rPr>
          <w:lang w:val="en-US" w:eastAsia="en-US"/>
        </w:rPr>
        <w:t>b</w:t>
      </w:r>
      <w:r w:rsidRPr="009D6F92">
        <w:rPr>
          <w:lang w:val="en-US" w:eastAsia="en-US"/>
        </w:rPr>
        <w:t>)</w:t>
      </w:r>
      <w:r w:rsidRPr="009D6F92">
        <w:rPr>
          <w:lang w:val="en-US" w:eastAsia="en-US"/>
        </w:rPr>
        <w:tab/>
        <w:t xml:space="preserve">contact with other cells, </w:t>
      </w:r>
      <w:proofErr w:type="gramStart"/>
      <w:r w:rsidRPr="009D6F92">
        <w:rPr>
          <w:lang w:val="en-US" w:eastAsia="en-US"/>
        </w:rPr>
        <w:t>batteries</w:t>
      </w:r>
      <w:proofErr w:type="gramEnd"/>
      <w:r w:rsidRPr="009D6F92">
        <w:rPr>
          <w:lang w:val="en-US" w:eastAsia="en-US"/>
        </w:rPr>
        <w:t xml:space="preserve"> or equipment within the large packaging; </w:t>
      </w:r>
      <w:r w:rsidRPr="009D6F92">
        <w:rPr>
          <w:lang w:val="en-US"/>
        </w:rPr>
        <w:t>and</w:t>
      </w:r>
    </w:p>
    <w:p w14:paraId="102F5E55" w14:textId="525DA532" w:rsidR="00127A81" w:rsidRPr="009D6F92" w:rsidRDefault="00871E72" w:rsidP="00762249">
      <w:pPr>
        <w:pStyle w:val="SingleTxtG"/>
        <w:ind w:left="1701"/>
        <w:rPr>
          <w:lang w:val="en-US" w:eastAsia="en-US"/>
        </w:rPr>
      </w:pPr>
      <w:r w:rsidRPr="009D6F92">
        <w:rPr>
          <w:lang w:val="en-US" w:eastAsia="en-US"/>
        </w:rPr>
        <w:t>(</w:t>
      </w:r>
      <w:r w:rsidR="007A45D9">
        <w:rPr>
          <w:lang w:val="en-US" w:eastAsia="en-US"/>
        </w:rPr>
        <w:t>c</w:t>
      </w:r>
      <w:r w:rsidRPr="009D6F92">
        <w:rPr>
          <w:lang w:val="en-US" w:eastAsia="en-US"/>
        </w:rPr>
        <w:t>)</w:t>
      </w:r>
      <w:r w:rsidRPr="009D6F92">
        <w:rPr>
          <w:lang w:val="en-US" w:eastAsia="en-US"/>
        </w:rPr>
        <w:tab/>
        <w:t xml:space="preserve">from any loads arising from the superimposed weight of cells, batteries, equipment and packaging components above the cell, </w:t>
      </w:r>
      <w:proofErr w:type="gramStart"/>
      <w:r w:rsidRPr="009D6F92">
        <w:rPr>
          <w:lang w:val="en-US" w:eastAsia="en-US"/>
        </w:rPr>
        <w:t>battery</w:t>
      </w:r>
      <w:proofErr w:type="gramEnd"/>
      <w:r w:rsidRPr="009D6F92">
        <w:rPr>
          <w:lang w:val="en-US" w:eastAsia="en-US"/>
        </w:rPr>
        <w:t xml:space="preserve"> or equipment within the large packaging.</w:t>
      </w:r>
    </w:p>
    <w:p w14:paraId="0442A62B" w14:textId="489B4582" w:rsidR="00127A81" w:rsidRPr="009D6F92" w:rsidRDefault="00871E72" w:rsidP="007A45D9">
      <w:pPr>
        <w:pStyle w:val="SingleTxtG"/>
        <w:rPr>
          <w:lang w:val="en-US"/>
        </w:rPr>
      </w:pPr>
      <w:r w:rsidRPr="009D6F92">
        <w:rPr>
          <w:rFonts w:hint="eastAsia"/>
          <w:lang w:val="en-US"/>
        </w:rPr>
        <w:t>T</w:t>
      </w:r>
      <w:r w:rsidRPr="009D6F92">
        <w:rPr>
          <w:lang w:val="en-US"/>
        </w:rPr>
        <w:t>hus</w:t>
      </w:r>
      <w:r w:rsidR="00BC3D46" w:rsidRPr="009D6F92">
        <w:rPr>
          <w:rFonts w:hint="eastAsia"/>
          <w:lang w:val="en-US"/>
        </w:rPr>
        <w:t>,</w:t>
      </w:r>
      <w:r w:rsidR="00BC3D46" w:rsidRPr="009D6F92">
        <w:rPr>
          <w:lang w:val="en-US"/>
        </w:rPr>
        <w:t xml:space="preserve"> </w:t>
      </w:r>
      <w:r w:rsidRPr="009D6F92">
        <w:rPr>
          <w:rFonts w:hint="eastAsia"/>
          <w:lang w:val="en-US"/>
        </w:rPr>
        <w:t>w</w:t>
      </w:r>
      <w:r w:rsidRPr="009D6F92">
        <w:rPr>
          <w:lang w:val="en-US"/>
        </w:rPr>
        <w:t xml:space="preserve">e </w:t>
      </w:r>
      <w:r w:rsidRPr="007A45D9">
        <w:t>suggest</w:t>
      </w:r>
      <w:r w:rsidRPr="009D6F92">
        <w:rPr>
          <w:lang w:val="en-US"/>
        </w:rPr>
        <w:t xml:space="preserve"> </w:t>
      </w:r>
      <w:proofErr w:type="gramStart"/>
      <w:r w:rsidRPr="009D6F92">
        <w:rPr>
          <w:lang w:val="en-US"/>
        </w:rPr>
        <w:t>to replace</w:t>
      </w:r>
      <w:proofErr w:type="gramEnd"/>
      <w:r w:rsidR="008A3855" w:rsidRPr="008A3855">
        <w:rPr>
          <w:rFonts w:hint="eastAsia"/>
          <w:lang w:val="en-US"/>
        </w:rPr>
        <w:t xml:space="preserve"> </w:t>
      </w:r>
      <w:r w:rsidR="008A3855" w:rsidRPr="009D6F92">
        <w:rPr>
          <w:rFonts w:hint="eastAsia"/>
          <w:lang w:val="en-US"/>
        </w:rPr>
        <w:t xml:space="preserve">in </w:t>
      </w:r>
      <w:r w:rsidR="008A3855">
        <w:rPr>
          <w:lang w:val="en-US"/>
        </w:rPr>
        <w:t xml:space="preserve">document </w:t>
      </w:r>
      <w:r w:rsidR="008A3855" w:rsidRPr="00C34751">
        <w:t>ST/SG/AC.10/C.3/2022/37</w:t>
      </w:r>
      <w:r w:rsidRPr="009D6F92">
        <w:rPr>
          <w:lang w:val="en-US"/>
        </w:rPr>
        <w:t xml:space="preserve"> </w:t>
      </w:r>
      <w:r w:rsidR="006E160B">
        <w:rPr>
          <w:lang w:val="en-US"/>
        </w:rPr>
        <w:t xml:space="preserve">the word </w:t>
      </w:r>
      <w:r w:rsidRPr="009D6F92">
        <w:rPr>
          <w:lang w:val="en-US"/>
        </w:rPr>
        <w:t>“or” in the proposed indent</w:t>
      </w:r>
      <w:r w:rsidR="00BC3D46" w:rsidRPr="009D6F92">
        <w:rPr>
          <w:lang w:val="en-US"/>
        </w:rPr>
        <w:t xml:space="preserve"> </w:t>
      </w:r>
      <w:r w:rsidRPr="009D6F92">
        <w:rPr>
          <w:lang w:val="en-US"/>
        </w:rPr>
        <w:t>(2) of LP903 with the word “and”.</w:t>
      </w:r>
    </w:p>
    <w:p w14:paraId="0BED7772" w14:textId="625769BC" w:rsidR="00127A81" w:rsidRPr="009D6F92" w:rsidRDefault="00871E72" w:rsidP="007A45D9">
      <w:pPr>
        <w:pStyle w:val="SingleTxtG"/>
        <w:rPr>
          <w:lang w:val="en-US"/>
        </w:rPr>
      </w:pPr>
      <w:r w:rsidRPr="009D6F92">
        <w:rPr>
          <w:lang w:val="en-US"/>
        </w:rPr>
        <w:t>5.</w:t>
      </w:r>
      <w:r w:rsidR="007A45D9">
        <w:rPr>
          <w:lang w:val="en-US"/>
        </w:rPr>
        <w:tab/>
      </w:r>
      <w:r w:rsidRPr="009D6F92">
        <w:rPr>
          <w:rFonts w:hint="eastAsia"/>
          <w:lang w:val="en-US"/>
        </w:rPr>
        <w:t>I</w:t>
      </w:r>
      <w:r w:rsidRPr="009D6F92">
        <w:rPr>
          <w:lang w:val="en-US"/>
        </w:rPr>
        <w:t xml:space="preserve">n </w:t>
      </w:r>
      <w:r w:rsidRPr="007A45D9">
        <w:t>conclusion</w:t>
      </w:r>
      <w:r w:rsidRPr="009D6F92">
        <w:rPr>
          <w:lang w:val="en-US"/>
        </w:rPr>
        <w:t>, we invite the Sub-Committee to consider the following amendments to LP903.</w:t>
      </w:r>
    </w:p>
    <w:p w14:paraId="300C1041" w14:textId="77777777" w:rsidR="00127A81" w:rsidRPr="009D6F92" w:rsidRDefault="00871E72">
      <w:pPr>
        <w:pStyle w:val="HChG"/>
      </w:pPr>
      <w:r w:rsidRPr="009D6F92">
        <w:lastRenderedPageBreak/>
        <w:tab/>
      </w:r>
      <w:r w:rsidRPr="009D6F92">
        <w:tab/>
        <w:t>Proposal</w:t>
      </w:r>
    </w:p>
    <w:p w14:paraId="59D85E29" w14:textId="77777777" w:rsidR="00127A81" w:rsidRPr="009D6F92" w:rsidRDefault="00871E72">
      <w:pPr>
        <w:pStyle w:val="SingleTxtG"/>
        <w:keepNext/>
        <w:keepLines/>
        <w:spacing w:after="240"/>
      </w:pPr>
      <w:r w:rsidRPr="009D6F92">
        <w:tab/>
      </w:r>
      <w:r w:rsidRPr="009D6F92">
        <w:rPr>
          <w:lang w:val="en-US"/>
        </w:rPr>
        <w:t>6</w:t>
      </w:r>
      <w:r w:rsidRPr="009D6F92">
        <w:t>.</w:t>
      </w:r>
      <w:r w:rsidRPr="009D6F92">
        <w:tab/>
        <w:t xml:space="preserve">Experts from China propose to amend LP903 as follows (new text is </w:t>
      </w:r>
      <w:r w:rsidRPr="009D6F92">
        <w:rPr>
          <w:u w:val="single"/>
        </w:rPr>
        <w:t>underlined</w:t>
      </w:r>
      <w:r w:rsidRPr="009D6F92">
        <w:t xml:space="preserve">, deleted text in </w:t>
      </w:r>
      <w:r w:rsidRPr="009D6F92">
        <w:rPr>
          <w:strike/>
        </w:rPr>
        <w:t>strikethrough</w:t>
      </w:r>
      <w:r w:rsidRPr="009D6F92">
        <w:t>):</w:t>
      </w:r>
    </w:p>
    <w:tbl>
      <w:tblPr>
        <w:tblStyle w:val="TableGrid1"/>
        <w:tblW w:w="0" w:type="auto"/>
        <w:jc w:val="center"/>
        <w:tblLook w:val="04A0" w:firstRow="1" w:lastRow="0" w:firstColumn="1" w:lastColumn="0" w:noHBand="0" w:noVBand="1"/>
      </w:tblPr>
      <w:tblGrid>
        <w:gridCol w:w="1101"/>
        <w:gridCol w:w="7891"/>
      </w:tblGrid>
      <w:tr w:rsidR="009D6F92" w:rsidRPr="009D6F92" w14:paraId="2E8F2083" w14:textId="77777777">
        <w:trPr>
          <w:jc w:val="center"/>
        </w:trPr>
        <w:tc>
          <w:tcPr>
            <w:tcW w:w="8992" w:type="dxa"/>
            <w:gridSpan w:val="2"/>
            <w:tcBorders>
              <w:top w:val="single" w:sz="4" w:space="0" w:color="auto"/>
              <w:left w:val="single" w:sz="4" w:space="0" w:color="auto"/>
              <w:bottom w:val="single" w:sz="4" w:space="0" w:color="auto"/>
              <w:right w:val="single" w:sz="4" w:space="0" w:color="auto"/>
            </w:tcBorders>
          </w:tcPr>
          <w:p w14:paraId="5CA12ED9" w14:textId="77777777" w:rsidR="00127A81" w:rsidRPr="009D6F92" w:rsidRDefault="00871E72">
            <w:pPr>
              <w:keepNext/>
              <w:keepLines/>
              <w:kinsoku/>
              <w:overflowPunct/>
              <w:autoSpaceDE/>
              <w:autoSpaceDN/>
              <w:adjustRightInd/>
              <w:snapToGrid/>
              <w:spacing w:after="120"/>
              <w:ind w:left="82" w:right="345"/>
              <w:jc w:val="both"/>
              <w:rPr>
                <w:b/>
                <w:lang w:val="zh-CN"/>
              </w:rPr>
            </w:pPr>
            <w:r w:rsidRPr="009D6F92">
              <w:rPr>
                <w:b/>
                <w:lang w:val="zh-CN"/>
              </w:rPr>
              <w:t xml:space="preserve">LP903       </w:t>
            </w:r>
            <w:r w:rsidRPr="009D6F92">
              <w:rPr>
                <w:b/>
                <w:lang w:val="en-US"/>
              </w:rPr>
              <w:t xml:space="preserve">        </w:t>
            </w:r>
            <w:r w:rsidRPr="009D6F92">
              <w:rPr>
                <w:b/>
                <w:lang w:val="zh-CN"/>
              </w:rPr>
              <w:t xml:space="preserve">                   </w:t>
            </w:r>
            <w:r w:rsidRPr="009D6F92">
              <w:rPr>
                <w:b/>
                <w:lang w:val="en-US"/>
              </w:rPr>
              <w:t xml:space="preserve">          </w:t>
            </w:r>
            <w:r w:rsidRPr="009D6F92">
              <w:rPr>
                <w:b/>
                <w:lang w:val="zh-CN"/>
              </w:rPr>
              <w:t xml:space="preserve">            PACKING INSTRUCTION                                              LP903</w:t>
            </w:r>
          </w:p>
        </w:tc>
      </w:tr>
      <w:tr w:rsidR="009D6F92" w:rsidRPr="009D6F92" w14:paraId="5E381EA5" w14:textId="77777777">
        <w:trPr>
          <w:jc w:val="center"/>
        </w:trPr>
        <w:tc>
          <w:tcPr>
            <w:tcW w:w="8992" w:type="dxa"/>
            <w:gridSpan w:val="2"/>
            <w:tcBorders>
              <w:top w:val="single" w:sz="4" w:space="0" w:color="auto"/>
              <w:left w:val="single" w:sz="4" w:space="0" w:color="auto"/>
              <w:bottom w:val="single" w:sz="4" w:space="0" w:color="auto"/>
              <w:right w:val="single" w:sz="4" w:space="0" w:color="auto"/>
            </w:tcBorders>
          </w:tcPr>
          <w:p w14:paraId="43DF07B9" w14:textId="77777777" w:rsidR="00127A81" w:rsidRPr="009D6F92" w:rsidRDefault="00871E72">
            <w:pPr>
              <w:keepNext/>
              <w:keepLines/>
              <w:kinsoku/>
              <w:overflowPunct/>
              <w:autoSpaceDE/>
              <w:autoSpaceDN/>
              <w:adjustRightInd/>
              <w:snapToGrid/>
              <w:spacing w:after="120"/>
              <w:ind w:left="262" w:right="1134"/>
              <w:jc w:val="both"/>
              <w:rPr>
                <w:lang w:val="en-US"/>
              </w:rPr>
            </w:pPr>
            <w:r w:rsidRPr="009D6F92">
              <w:rPr>
                <w:lang w:val="en-US"/>
              </w:rPr>
              <w:t>This instruction applies to UN Nos. 3090, 3091, 3480 and 3481</w:t>
            </w:r>
          </w:p>
        </w:tc>
      </w:tr>
      <w:tr w:rsidR="009D6F92" w:rsidRPr="009D6F92" w14:paraId="7305B374" w14:textId="77777777">
        <w:trPr>
          <w:jc w:val="center"/>
        </w:trPr>
        <w:tc>
          <w:tcPr>
            <w:tcW w:w="8992" w:type="dxa"/>
            <w:gridSpan w:val="2"/>
            <w:tcBorders>
              <w:top w:val="single" w:sz="4" w:space="0" w:color="auto"/>
              <w:left w:val="single" w:sz="4" w:space="0" w:color="auto"/>
              <w:bottom w:val="nil"/>
              <w:right w:val="single" w:sz="4" w:space="0" w:color="auto"/>
            </w:tcBorders>
          </w:tcPr>
          <w:p w14:paraId="29FC8300" w14:textId="77777777" w:rsidR="00127A81" w:rsidRPr="009D6F92" w:rsidRDefault="00871E72">
            <w:pPr>
              <w:keepNext/>
              <w:keepLines/>
              <w:kinsoku/>
              <w:overflowPunct/>
              <w:autoSpaceDE/>
              <w:autoSpaceDN/>
              <w:adjustRightInd/>
              <w:snapToGrid/>
              <w:spacing w:after="120"/>
              <w:ind w:left="262" w:right="354"/>
              <w:jc w:val="both"/>
              <w:rPr>
                <w:lang w:val="en-US"/>
              </w:rPr>
            </w:pPr>
            <w:r w:rsidRPr="009D6F92">
              <w:rPr>
                <w:lang w:val="en-US"/>
              </w:rPr>
              <w:t xml:space="preserve">The following large packagings are authorized for </w:t>
            </w:r>
            <w:r w:rsidRPr="009D6F92">
              <w:rPr>
                <w:u w:val="single"/>
                <w:lang w:val="en-US"/>
              </w:rPr>
              <w:t>cells,</w:t>
            </w:r>
            <w:r w:rsidRPr="009D6F92">
              <w:rPr>
                <w:lang w:val="en-US"/>
              </w:rPr>
              <w:t xml:space="preserve"> </w:t>
            </w:r>
            <w:r w:rsidRPr="009D6F92">
              <w:rPr>
                <w:strike/>
                <w:lang w:val="en-US"/>
              </w:rPr>
              <w:t>a single</w:t>
            </w:r>
            <w:r w:rsidRPr="009D6F92">
              <w:rPr>
                <w:lang w:val="en-US"/>
              </w:rPr>
              <w:t xml:space="preserve"> </w:t>
            </w:r>
            <w:proofErr w:type="spellStart"/>
            <w:r w:rsidRPr="009D6F92">
              <w:rPr>
                <w:lang w:val="en-US"/>
              </w:rPr>
              <w:t>batter</w:t>
            </w:r>
            <w:r w:rsidRPr="009D6F92">
              <w:rPr>
                <w:strike/>
                <w:lang w:val="en-US"/>
              </w:rPr>
              <w:t>y</w:t>
            </w:r>
            <w:r w:rsidRPr="009D6F92">
              <w:rPr>
                <w:u w:val="single"/>
                <w:lang w:val="en-US"/>
              </w:rPr>
              <w:t>ies</w:t>
            </w:r>
            <w:proofErr w:type="spellEnd"/>
            <w:r w:rsidRPr="009D6F92">
              <w:rPr>
                <w:lang w:val="en-US"/>
              </w:rPr>
              <w:t xml:space="preserve"> and for </w:t>
            </w:r>
            <w:r w:rsidRPr="009D6F92">
              <w:rPr>
                <w:strike/>
                <w:lang w:val="en-US"/>
              </w:rPr>
              <w:t>a single item of</w:t>
            </w:r>
            <w:r w:rsidRPr="009D6F92">
              <w:rPr>
                <w:lang w:val="en-US"/>
              </w:rPr>
              <w:t xml:space="preserve"> equipment containing batteries, provided that the general provisions of </w:t>
            </w:r>
            <w:r w:rsidRPr="009D6F92">
              <w:rPr>
                <w:b/>
                <w:lang w:val="en-US"/>
              </w:rPr>
              <w:t>4.1.1</w:t>
            </w:r>
            <w:r w:rsidRPr="009D6F92">
              <w:rPr>
                <w:lang w:val="en-US"/>
              </w:rPr>
              <w:t xml:space="preserve"> and </w:t>
            </w:r>
            <w:r w:rsidRPr="009D6F92">
              <w:rPr>
                <w:b/>
                <w:lang w:val="en-US"/>
              </w:rPr>
              <w:t>4.1.3</w:t>
            </w:r>
            <w:r w:rsidRPr="009D6F92">
              <w:rPr>
                <w:lang w:val="en-US"/>
              </w:rPr>
              <w:t xml:space="preserve"> are met:</w:t>
            </w:r>
          </w:p>
          <w:p w14:paraId="573A4F6B" w14:textId="77777777" w:rsidR="00127A81" w:rsidRPr="009D6F92" w:rsidRDefault="00871E72">
            <w:pPr>
              <w:keepNext/>
              <w:keepLines/>
              <w:kinsoku/>
              <w:overflowPunct/>
              <w:autoSpaceDE/>
              <w:autoSpaceDN/>
              <w:adjustRightInd/>
              <w:snapToGrid/>
              <w:spacing w:after="120"/>
              <w:ind w:left="262" w:right="1134"/>
              <w:jc w:val="both"/>
              <w:rPr>
                <w:lang w:val="en-US"/>
              </w:rPr>
            </w:pPr>
            <w:r w:rsidRPr="009D6F92">
              <w:rPr>
                <w:lang w:val="en-US"/>
              </w:rPr>
              <w:t>Rigid large packagings conforming to the packing group II performance level, made of:</w:t>
            </w:r>
          </w:p>
        </w:tc>
      </w:tr>
      <w:tr w:rsidR="009D6F92" w:rsidRPr="009D6F92" w14:paraId="007DA4A2" w14:textId="77777777">
        <w:trPr>
          <w:jc w:val="center"/>
        </w:trPr>
        <w:tc>
          <w:tcPr>
            <w:tcW w:w="1101" w:type="dxa"/>
            <w:tcBorders>
              <w:top w:val="nil"/>
              <w:left w:val="single" w:sz="4" w:space="0" w:color="auto"/>
              <w:bottom w:val="nil"/>
              <w:right w:val="nil"/>
            </w:tcBorders>
          </w:tcPr>
          <w:p w14:paraId="3CC26572" w14:textId="77777777" w:rsidR="00127A81" w:rsidRPr="009D6F92" w:rsidRDefault="00127A81">
            <w:pPr>
              <w:keepNext/>
              <w:keepLines/>
              <w:kinsoku/>
              <w:overflowPunct/>
              <w:autoSpaceDE/>
              <w:autoSpaceDN/>
              <w:adjustRightInd/>
              <w:snapToGrid/>
              <w:spacing w:after="120"/>
              <w:ind w:left="1134" w:right="1134"/>
              <w:jc w:val="both"/>
              <w:rPr>
                <w:lang w:val="en-US"/>
              </w:rPr>
            </w:pPr>
          </w:p>
        </w:tc>
        <w:tc>
          <w:tcPr>
            <w:tcW w:w="7891" w:type="dxa"/>
            <w:tcBorders>
              <w:top w:val="nil"/>
              <w:left w:val="nil"/>
              <w:bottom w:val="nil"/>
              <w:right w:val="single" w:sz="4" w:space="0" w:color="auto"/>
            </w:tcBorders>
          </w:tcPr>
          <w:p w14:paraId="08BAAD72"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steel (50A</w:t>
            </w:r>
            <w:proofErr w:type="gramStart"/>
            <w:r w:rsidRPr="009D6F92">
              <w:rPr>
                <w:lang w:val="en-US"/>
              </w:rPr>
              <w:t>);</w:t>
            </w:r>
            <w:proofErr w:type="gramEnd"/>
          </w:p>
          <w:p w14:paraId="7C9C9885" w14:textId="77777777" w:rsidR="00127A81" w:rsidRPr="009D6F92" w:rsidRDefault="00871E72">
            <w:pPr>
              <w:keepNext/>
              <w:keepLines/>
              <w:kinsoku/>
              <w:overflowPunct/>
              <w:autoSpaceDE/>
              <w:autoSpaceDN/>
              <w:adjustRightInd/>
              <w:snapToGrid/>
              <w:spacing w:after="120"/>
              <w:ind w:left="331" w:right="1134"/>
              <w:jc w:val="both"/>
              <w:rPr>
                <w:lang w:val="en-US"/>
              </w:rPr>
            </w:pPr>
            <w:proofErr w:type="spellStart"/>
            <w:r w:rsidRPr="009D6F92">
              <w:rPr>
                <w:lang w:val="en-US"/>
              </w:rPr>
              <w:t>aluminium</w:t>
            </w:r>
            <w:proofErr w:type="spellEnd"/>
            <w:r w:rsidRPr="009D6F92">
              <w:rPr>
                <w:lang w:val="en-US"/>
              </w:rPr>
              <w:t xml:space="preserve"> (50B</w:t>
            </w:r>
            <w:proofErr w:type="gramStart"/>
            <w:r w:rsidRPr="009D6F92">
              <w:rPr>
                <w:lang w:val="en-US"/>
              </w:rPr>
              <w:t>);</w:t>
            </w:r>
            <w:proofErr w:type="gramEnd"/>
          </w:p>
          <w:p w14:paraId="1E9429AB"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 xml:space="preserve">metal other than steel or </w:t>
            </w:r>
            <w:proofErr w:type="spellStart"/>
            <w:r w:rsidRPr="009D6F92">
              <w:rPr>
                <w:lang w:val="en-US"/>
              </w:rPr>
              <w:t>aluminium</w:t>
            </w:r>
            <w:proofErr w:type="spellEnd"/>
            <w:r w:rsidRPr="009D6F92">
              <w:rPr>
                <w:lang w:val="en-US"/>
              </w:rPr>
              <w:t xml:space="preserve"> (50N</w:t>
            </w:r>
            <w:proofErr w:type="gramStart"/>
            <w:r w:rsidRPr="009D6F92">
              <w:rPr>
                <w:lang w:val="en-US"/>
              </w:rPr>
              <w:t>);</w:t>
            </w:r>
            <w:proofErr w:type="gramEnd"/>
          </w:p>
          <w:p w14:paraId="350F48A2"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rigid plastics (50H</w:t>
            </w:r>
            <w:proofErr w:type="gramStart"/>
            <w:r w:rsidRPr="009D6F92">
              <w:rPr>
                <w:lang w:val="en-US"/>
              </w:rPr>
              <w:t>);</w:t>
            </w:r>
            <w:proofErr w:type="gramEnd"/>
          </w:p>
          <w:p w14:paraId="26623B94"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natural wood (50C</w:t>
            </w:r>
            <w:proofErr w:type="gramStart"/>
            <w:r w:rsidRPr="009D6F92">
              <w:rPr>
                <w:lang w:val="en-US"/>
              </w:rPr>
              <w:t>);</w:t>
            </w:r>
            <w:proofErr w:type="gramEnd"/>
          </w:p>
          <w:p w14:paraId="2194769B"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plywood (50D</w:t>
            </w:r>
            <w:proofErr w:type="gramStart"/>
            <w:r w:rsidRPr="009D6F92">
              <w:rPr>
                <w:lang w:val="en-US"/>
              </w:rPr>
              <w:t>);</w:t>
            </w:r>
            <w:proofErr w:type="gramEnd"/>
          </w:p>
          <w:p w14:paraId="5796E9FB" w14:textId="77777777" w:rsidR="00127A81" w:rsidRPr="009D6F92" w:rsidRDefault="00871E72">
            <w:pPr>
              <w:keepNext/>
              <w:keepLines/>
              <w:kinsoku/>
              <w:overflowPunct/>
              <w:autoSpaceDE/>
              <w:autoSpaceDN/>
              <w:adjustRightInd/>
              <w:snapToGrid/>
              <w:spacing w:after="120"/>
              <w:ind w:left="331" w:right="1134"/>
              <w:jc w:val="both"/>
              <w:rPr>
                <w:lang w:val="en-US"/>
              </w:rPr>
            </w:pPr>
            <w:r w:rsidRPr="009D6F92">
              <w:rPr>
                <w:lang w:val="en-US"/>
              </w:rPr>
              <w:t>reconstituted wood (50F</w:t>
            </w:r>
            <w:proofErr w:type="gramStart"/>
            <w:r w:rsidRPr="009D6F92">
              <w:rPr>
                <w:lang w:val="en-US"/>
              </w:rPr>
              <w:t>);</w:t>
            </w:r>
            <w:proofErr w:type="gramEnd"/>
          </w:p>
          <w:p w14:paraId="539B1B92" w14:textId="77777777" w:rsidR="00127A81" w:rsidRPr="009D6F92" w:rsidRDefault="00871E72">
            <w:pPr>
              <w:keepNext/>
              <w:keepLines/>
              <w:kinsoku/>
              <w:overflowPunct/>
              <w:autoSpaceDE/>
              <w:autoSpaceDN/>
              <w:adjustRightInd/>
              <w:snapToGrid/>
              <w:spacing w:after="120"/>
              <w:ind w:left="331" w:right="1134"/>
              <w:jc w:val="both"/>
              <w:rPr>
                <w:lang w:val="zh-CN"/>
              </w:rPr>
            </w:pPr>
            <w:r w:rsidRPr="009D6F92">
              <w:rPr>
                <w:lang w:val="zh-CN"/>
              </w:rPr>
              <w:t>rigid fibreboard (50G).</w:t>
            </w:r>
          </w:p>
        </w:tc>
      </w:tr>
      <w:tr w:rsidR="009D6F92" w:rsidRPr="009D6F92" w14:paraId="341FEF7A" w14:textId="77777777">
        <w:trPr>
          <w:jc w:val="center"/>
        </w:trPr>
        <w:tc>
          <w:tcPr>
            <w:tcW w:w="8992" w:type="dxa"/>
            <w:gridSpan w:val="2"/>
            <w:tcBorders>
              <w:top w:val="nil"/>
              <w:left w:val="single" w:sz="4" w:space="0" w:color="auto"/>
              <w:bottom w:val="single" w:sz="4" w:space="0" w:color="auto"/>
              <w:right w:val="single" w:sz="4" w:space="0" w:color="auto"/>
            </w:tcBorders>
          </w:tcPr>
          <w:p w14:paraId="6F21803D" w14:textId="5C9DE285" w:rsidR="00127A81" w:rsidRPr="009D6F92" w:rsidRDefault="00871E72">
            <w:pPr>
              <w:keepNext/>
              <w:keepLines/>
              <w:kinsoku/>
              <w:overflowPunct/>
              <w:autoSpaceDE/>
              <w:autoSpaceDN/>
              <w:adjustRightInd/>
              <w:snapToGrid/>
              <w:spacing w:after="120"/>
              <w:ind w:left="262" w:right="354"/>
              <w:jc w:val="both"/>
              <w:rPr>
                <w:lang w:val="en-US"/>
              </w:rPr>
            </w:pPr>
            <w:r w:rsidRPr="009D6F92">
              <w:rPr>
                <w:strike/>
              </w:rPr>
              <w:t>The</w:t>
            </w:r>
            <w:r w:rsidRPr="009D6F92">
              <w:t xml:space="preserve"> </w:t>
            </w:r>
            <w:r w:rsidRPr="009D6F92">
              <w:rPr>
                <w:u w:val="single"/>
                <w:lang w:val="en-US"/>
              </w:rPr>
              <w:t xml:space="preserve">Cells, </w:t>
            </w:r>
            <w:r w:rsidRPr="009D6F92">
              <w:t>batter</w:t>
            </w:r>
            <w:r w:rsidRPr="009D6F92">
              <w:rPr>
                <w:strike/>
              </w:rPr>
              <w:t>y</w:t>
            </w:r>
            <w:r w:rsidRPr="002F48D9">
              <w:rPr>
                <w:u w:val="single"/>
                <w:lang w:val="en-US"/>
              </w:rPr>
              <w:t>ies</w:t>
            </w:r>
            <w:r w:rsidRPr="009D6F92">
              <w:t xml:space="preserve"> or </w:t>
            </w:r>
            <w:r w:rsidRPr="009D6F92">
              <w:rPr>
                <w:strike/>
              </w:rPr>
              <w:t xml:space="preserve">the </w:t>
            </w:r>
            <w:r w:rsidRPr="009D6F92">
              <w:t xml:space="preserve">equipment shall be </w:t>
            </w:r>
            <w:r w:rsidRPr="009D6F92">
              <w:rPr>
                <w:u w:val="single"/>
                <w:lang w:val="en-US"/>
              </w:rPr>
              <w:t>placed</w:t>
            </w:r>
            <w:r w:rsidRPr="009D6F92">
              <w:rPr>
                <w:u w:val="single"/>
              </w:rPr>
              <w:t xml:space="preserve"> in inner packaging</w:t>
            </w:r>
            <w:r w:rsidRPr="009D6F92">
              <w:rPr>
                <w:u w:val="single"/>
                <w:lang w:val="en-US"/>
              </w:rPr>
              <w:t>s</w:t>
            </w:r>
            <w:r w:rsidRPr="009D6F92">
              <w:rPr>
                <w:rFonts w:hint="eastAsia"/>
                <w:u w:val="single"/>
                <w:lang w:val="en-US"/>
              </w:rPr>
              <w:t>,</w:t>
            </w:r>
            <w:r w:rsidRPr="009D6F92">
              <w:rPr>
                <w:u w:val="single"/>
                <w:lang w:val="en-US"/>
              </w:rPr>
              <w:t xml:space="preserve"> or separated by </w:t>
            </w:r>
            <w:r w:rsidRPr="009D6F92">
              <w:rPr>
                <w:rFonts w:hint="eastAsia"/>
                <w:u w:val="single"/>
                <w:lang w:val="en-US"/>
              </w:rPr>
              <w:t>suitable means</w:t>
            </w:r>
            <w:r w:rsidRPr="009D6F92">
              <w:rPr>
                <w:u w:val="single"/>
                <w:lang w:val="en-US"/>
              </w:rPr>
              <w:t xml:space="preserve"> </w:t>
            </w:r>
            <w:r w:rsidR="00BE59B8" w:rsidRPr="009D6F92">
              <w:rPr>
                <w:u w:val="single"/>
                <w:lang w:val="en-US"/>
              </w:rPr>
              <w:t xml:space="preserve">(e.g., </w:t>
            </w:r>
            <w:r w:rsidRPr="009D6F92">
              <w:rPr>
                <w:u w:val="single"/>
                <w:lang w:val="en-US"/>
              </w:rPr>
              <w:t>trays</w:t>
            </w:r>
            <w:r w:rsidRPr="009D6F92">
              <w:rPr>
                <w:rFonts w:hint="eastAsia"/>
                <w:u w:val="single"/>
                <w:lang w:val="en-US"/>
              </w:rPr>
              <w:t>,</w:t>
            </w:r>
            <w:r w:rsidRPr="009D6F92">
              <w:rPr>
                <w:u w:val="single"/>
                <w:lang w:val="en-US"/>
              </w:rPr>
              <w:t xml:space="preserve"> dividers</w:t>
            </w:r>
            <w:r w:rsidRPr="009D6F92">
              <w:rPr>
                <w:rFonts w:hint="eastAsia"/>
                <w:u w:val="single"/>
                <w:lang w:val="en-US"/>
              </w:rPr>
              <w:t>,</w:t>
            </w:r>
            <w:r w:rsidRPr="009D6F92">
              <w:rPr>
                <w:u w:val="single"/>
                <w:lang w:val="en-US"/>
              </w:rPr>
              <w:t xml:space="preserve"> clamps</w:t>
            </w:r>
            <w:r w:rsidR="00BC3D46" w:rsidRPr="009D6F92">
              <w:rPr>
                <w:u w:val="single"/>
                <w:lang w:val="en-US"/>
              </w:rPr>
              <w:t xml:space="preserve">, </w:t>
            </w:r>
            <w:r w:rsidR="00BC3D46" w:rsidRPr="009D6F92">
              <w:rPr>
                <w:rFonts w:hint="eastAsia"/>
                <w:u w:val="single"/>
                <w:lang w:val="en-US"/>
              </w:rPr>
              <w:t>positioning blocks</w:t>
            </w:r>
            <w:r w:rsidR="00F764FA">
              <w:rPr>
                <w:u w:val="single"/>
                <w:lang w:val="en-US"/>
              </w:rPr>
              <w:t xml:space="preserve">, </w:t>
            </w:r>
            <w:r w:rsidR="00BC3D46" w:rsidRPr="009D6F92">
              <w:rPr>
                <w:u w:val="single"/>
                <w:lang w:val="en-US"/>
              </w:rPr>
              <w:t>b</w:t>
            </w:r>
            <w:r w:rsidR="00BC3D46" w:rsidRPr="009D6F92">
              <w:rPr>
                <w:rFonts w:hint="eastAsia"/>
                <w:u w:val="single"/>
                <w:lang w:val="en-US"/>
              </w:rPr>
              <w:t>olt</w:t>
            </w:r>
            <w:r w:rsidR="00F764FA">
              <w:rPr>
                <w:u w:val="single"/>
                <w:lang w:val="en-US"/>
              </w:rPr>
              <w:t>s</w:t>
            </w:r>
            <w:r w:rsidR="00BE59B8" w:rsidRPr="009D6F92">
              <w:rPr>
                <w:u w:val="single"/>
                <w:lang w:val="en-US"/>
              </w:rPr>
              <w:t>)</w:t>
            </w:r>
            <w:r w:rsidRPr="009D6F92">
              <w:rPr>
                <w:rFonts w:hint="eastAsia"/>
                <w:u w:val="single"/>
                <w:lang w:val="en-US"/>
              </w:rPr>
              <w:t xml:space="preserve"> </w:t>
            </w:r>
            <w:r w:rsidRPr="009D6F92">
              <w:rPr>
                <w:u w:val="single"/>
              </w:rPr>
              <w:t xml:space="preserve">to ensure </w:t>
            </w:r>
            <w:r w:rsidRPr="009D6F92">
              <w:rPr>
                <w:strike/>
              </w:rPr>
              <w:t>packed so that the</w:t>
            </w:r>
            <w:r w:rsidRPr="009D6F92">
              <w:rPr>
                <w:u w:val="single"/>
                <w:lang w:val="en-US"/>
              </w:rPr>
              <w:t xml:space="preserve"> </w:t>
            </w:r>
            <w:r w:rsidRPr="009D6F92">
              <w:rPr>
                <w:strike/>
              </w:rPr>
              <w:t>battery or the equipment is</w:t>
            </w:r>
            <w:r w:rsidRPr="009D6F92">
              <w:t xml:space="preserve"> </w:t>
            </w:r>
            <w:r w:rsidRPr="009D6F92">
              <w:rPr>
                <w:u w:val="single"/>
              </w:rPr>
              <w:t>protect</w:t>
            </w:r>
            <w:r w:rsidRPr="009D6F92">
              <w:rPr>
                <w:strike/>
                <w:u w:val="single"/>
              </w:rPr>
              <w:t>ed</w:t>
            </w:r>
            <w:r w:rsidRPr="009D6F92">
              <w:rPr>
                <w:u w:val="single"/>
                <w:lang w:val="en-US"/>
              </w:rPr>
              <w:t>ion</w:t>
            </w:r>
            <w:r w:rsidRPr="009D6F92">
              <w:t xml:space="preserve"> against </w:t>
            </w:r>
            <w:bookmarkStart w:id="2" w:name="_Hlk103787673"/>
            <w:r w:rsidRPr="009D6F92">
              <w:t xml:space="preserve">damage that may be caused </w:t>
            </w:r>
            <w:r w:rsidRPr="009D6F92">
              <w:rPr>
                <w:lang w:val="en-US"/>
              </w:rPr>
              <w:t xml:space="preserve">under normal conditions of transport </w:t>
            </w:r>
            <w:r w:rsidRPr="009D6F92">
              <w:t>by</w:t>
            </w:r>
            <w:bookmarkEnd w:id="2"/>
            <w:r w:rsidRPr="009D6F92">
              <w:rPr>
                <w:lang w:val="en-US"/>
              </w:rPr>
              <w:t>:</w:t>
            </w:r>
          </w:p>
          <w:p w14:paraId="73419680" w14:textId="77777777" w:rsidR="00127A81" w:rsidRPr="009D6F92" w:rsidRDefault="00871E72">
            <w:pPr>
              <w:keepNext/>
              <w:keepLines/>
              <w:kinsoku/>
              <w:overflowPunct/>
              <w:autoSpaceDE/>
              <w:autoSpaceDN/>
              <w:adjustRightInd/>
              <w:snapToGrid/>
              <w:spacing w:after="120"/>
              <w:ind w:left="567" w:right="354"/>
              <w:jc w:val="both"/>
              <w:rPr>
                <w:u w:val="single"/>
                <w:lang w:val="en-US"/>
              </w:rPr>
            </w:pPr>
            <w:r w:rsidRPr="009D6F92">
              <w:rPr>
                <w:lang w:val="en-US"/>
              </w:rPr>
              <w:t>(1)</w:t>
            </w:r>
            <w:r w:rsidRPr="009D6F92">
              <w:rPr>
                <w:lang w:val="en-US"/>
              </w:rPr>
              <w:tab/>
            </w:r>
            <w:r w:rsidRPr="009D6F92">
              <w:rPr>
                <w:strike/>
                <w:lang w:val="en-US"/>
              </w:rPr>
              <w:t>its</w:t>
            </w:r>
            <w:r w:rsidRPr="009D6F92">
              <w:rPr>
                <w:lang w:val="en-US"/>
              </w:rPr>
              <w:t xml:space="preserve"> movement or placement within the large </w:t>
            </w:r>
            <w:proofErr w:type="gramStart"/>
            <w:r w:rsidRPr="009D6F92">
              <w:rPr>
                <w:lang w:val="en-US"/>
              </w:rPr>
              <w:t>packaging</w:t>
            </w:r>
            <w:r w:rsidRPr="009D6F92">
              <w:rPr>
                <w:u w:val="single"/>
                <w:lang w:val="en-US"/>
              </w:rPr>
              <w:t>;</w:t>
            </w:r>
            <w:proofErr w:type="gramEnd"/>
          </w:p>
          <w:p w14:paraId="363798EC" w14:textId="77777777" w:rsidR="00127A81" w:rsidRPr="009D6F92" w:rsidRDefault="00871E72">
            <w:pPr>
              <w:keepNext/>
              <w:keepLines/>
              <w:kinsoku/>
              <w:overflowPunct/>
              <w:autoSpaceDE/>
              <w:autoSpaceDN/>
              <w:adjustRightInd/>
              <w:snapToGrid/>
              <w:spacing w:after="120"/>
              <w:ind w:left="567" w:right="354"/>
              <w:jc w:val="both"/>
              <w:rPr>
                <w:strike/>
                <w:u w:val="single"/>
                <w:lang w:val="en-US"/>
              </w:rPr>
            </w:pPr>
            <w:r w:rsidRPr="009D6F92">
              <w:rPr>
                <w:u w:val="single"/>
                <w:lang w:val="en-US"/>
              </w:rPr>
              <w:t>(2)</w:t>
            </w:r>
            <w:r w:rsidRPr="009D6F92">
              <w:rPr>
                <w:u w:val="single"/>
                <w:lang w:val="en-US"/>
              </w:rPr>
              <w:tab/>
              <w:t xml:space="preserve">contact with other cells, </w:t>
            </w:r>
            <w:proofErr w:type="gramStart"/>
            <w:r w:rsidRPr="009D6F92">
              <w:rPr>
                <w:u w:val="single"/>
                <w:lang w:val="en-US"/>
              </w:rPr>
              <w:t>batteries</w:t>
            </w:r>
            <w:proofErr w:type="gramEnd"/>
            <w:r w:rsidRPr="009D6F92">
              <w:rPr>
                <w:u w:val="single"/>
                <w:lang w:val="en-US"/>
              </w:rPr>
              <w:t xml:space="preserve"> or equipment within the large packaging; </w:t>
            </w:r>
            <w:r w:rsidRPr="00CA2E0B">
              <w:rPr>
                <w:strike/>
                <w:highlight w:val="yellow"/>
                <w:u w:val="single"/>
                <w:lang w:val="en-US"/>
              </w:rPr>
              <w:t xml:space="preserve">or </w:t>
            </w:r>
            <w:r w:rsidRPr="00CA2E0B">
              <w:rPr>
                <w:highlight w:val="yellow"/>
                <w:u w:val="single"/>
                <w:lang w:val="en-US"/>
              </w:rPr>
              <w:t>and</w:t>
            </w:r>
          </w:p>
          <w:p w14:paraId="0DF26948" w14:textId="77777777" w:rsidR="00127A81" w:rsidRPr="009D6F92" w:rsidRDefault="00871E72">
            <w:pPr>
              <w:keepNext/>
              <w:keepLines/>
              <w:kinsoku/>
              <w:overflowPunct/>
              <w:autoSpaceDE/>
              <w:autoSpaceDN/>
              <w:adjustRightInd/>
              <w:snapToGrid/>
              <w:spacing w:after="120"/>
              <w:ind w:left="567" w:right="354"/>
              <w:jc w:val="both"/>
              <w:rPr>
                <w:u w:val="single"/>
                <w:lang w:val="en-US"/>
              </w:rPr>
            </w:pPr>
            <w:r w:rsidRPr="009D6F92">
              <w:rPr>
                <w:u w:val="single"/>
                <w:lang w:val="en-US"/>
              </w:rPr>
              <w:t>(3)</w:t>
            </w:r>
            <w:r w:rsidRPr="009D6F92">
              <w:rPr>
                <w:u w:val="single"/>
                <w:lang w:val="en-US"/>
              </w:rPr>
              <w:tab/>
              <w:t xml:space="preserve">from any </w:t>
            </w:r>
            <w:bookmarkStart w:id="3" w:name="_Hlk103787614"/>
            <w:r w:rsidRPr="009D6F92">
              <w:rPr>
                <w:u w:val="single"/>
                <w:lang w:val="en-US"/>
              </w:rPr>
              <w:t>loads arising from the superimposed weight</w:t>
            </w:r>
            <w:bookmarkEnd w:id="3"/>
            <w:r w:rsidRPr="009D6F92">
              <w:rPr>
                <w:u w:val="single"/>
                <w:lang w:val="en-US"/>
              </w:rPr>
              <w:t xml:space="preserve"> of cells, batteries, equipment and packaging components above the cell, </w:t>
            </w:r>
            <w:proofErr w:type="gramStart"/>
            <w:r w:rsidRPr="009D6F92">
              <w:rPr>
                <w:u w:val="single"/>
                <w:lang w:val="en-US"/>
              </w:rPr>
              <w:t>battery</w:t>
            </w:r>
            <w:proofErr w:type="gramEnd"/>
            <w:r w:rsidRPr="009D6F92">
              <w:rPr>
                <w:u w:val="single"/>
                <w:lang w:val="en-US"/>
              </w:rPr>
              <w:t xml:space="preserve"> or equipment within the large packaging</w:t>
            </w:r>
            <w:r w:rsidRPr="009D6F92">
              <w:rPr>
                <w:lang w:val="en-US"/>
              </w:rPr>
              <w:t>.</w:t>
            </w:r>
          </w:p>
          <w:p w14:paraId="27BDB6F0" w14:textId="77777777" w:rsidR="00127A81" w:rsidRPr="009D6F92" w:rsidRDefault="00871E72">
            <w:pPr>
              <w:keepNext/>
              <w:keepLines/>
              <w:kinsoku/>
              <w:overflowPunct/>
              <w:autoSpaceDE/>
              <w:autoSpaceDN/>
              <w:adjustRightInd/>
              <w:snapToGrid/>
              <w:spacing w:after="120"/>
              <w:ind w:left="262" w:right="354"/>
              <w:jc w:val="both"/>
              <w:rPr>
                <w:lang w:val="en-US"/>
              </w:rPr>
            </w:pPr>
            <w:r w:rsidRPr="009D6F92">
              <w:rPr>
                <w:u w:val="single"/>
                <w:lang w:val="en-US"/>
              </w:rPr>
              <w:t>When cells, or multiple batteries or items of equipment, are packed in the large packaging, plastics bags alone shall not be used to satisfy these requirements.</w:t>
            </w:r>
          </w:p>
        </w:tc>
      </w:tr>
      <w:tr w:rsidR="00127A81" w14:paraId="3BB750A1" w14:textId="77777777">
        <w:trPr>
          <w:jc w:val="center"/>
        </w:trPr>
        <w:tc>
          <w:tcPr>
            <w:tcW w:w="8992" w:type="dxa"/>
            <w:gridSpan w:val="2"/>
            <w:tcBorders>
              <w:top w:val="single" w:sz="4" w:space="0" w:color="auto"/>
              <w:left w:val="single" w:sz="4" w:space="0" w:color="auto"/>
              <w:bottom w:val="single" w:sz="4" w:space="0" w:color="auto"/>
              <w:right w:val="single" w:sz="4" w:space="0" w:color="auto"/>
            </w:tcBorders>
          </w:tcPr>
          <w:p w14:paraId="4832F070" w14:textId="77777777" w:rsidR="00127A81" w:rsidRDefault="00871E72">
            <w:pPr>
              <w:keepNext/>
              <w:keepLines/>
              <w:kinsoku/>
              <w:overflowPunct/>
              <w:autoSpaceDE/>
              <w:autoSpaceDN/>
              <w:adjustRightInd/>
              <w:snapToGrid/>
              <w:spacing w:after="120"/>
              <w:ind w:left="262" w:right="1134"/>
              <w:jc w:val="both"/>
              <w:rPr>
                <w:b/>
                <w:lang w:val="en-US"/>
              </w:rPr>
            </w:pPr>
            <w:r>
              <w:rPr>
                <w:b/>
                <w:lang w:val="en-US"/>
              </w:rPr>
              <w:t>Additional requirements:</w:t>
            </w:r>
          </w:p>
          <w:p w14:paraId="653EDFB6" w14:textId="77777777" w:rsidR="00127A81" w:rsidRDefault="00871E72">
            <w:pPr>
              <w:keepNext/>
              <w:keepLines/>
              <w:kinsoku/>
              <w:overflowPunct/>
              <w:autoSpaceDE/>
              <w:autoSpaceDN/>
              <w:adjustRightInd/>
              <w:snapToGrid/>
              <w:spacing w:after="120"/>
              <w:ind w:left="262" w:right="1134"/>
              <w:jc w:val="both"/>
              <w:rPr>
                <w:lang w:val="en-US"/>
              </w:rPr>
            </w:pPr>
            <w:r>
              <w:rPr>
                <w:u w:val="single"/>
                <w:lang w:val="en-US"/>
              </w:rPr>
              <w:t xml:space="preserve">Cells and </w:t>
            </w:r>
            <w:r>
              <w:rPr>
                <w:lang w:val="en-US"/>
              </w:rPr>
              <w:t>batteries shall be protected against short circuit.</w:t>
            </w:r>
          </w:p>
          <w:p w14:paraId="38193FF4" w14:textId="77777777" w:rsidR="00127A81" w:rsidRDefault="00871E72">
            <w:pPr>
              <w:keepNext/>
              <w:keepLines/>
              <w:kinsoku/>
              <w:overflowPunct/>
              <w:autoSpaceDE/>
              <w:autoSpaceDN/>
              <w:adjustRightInd/>
              <w:snapToGrid/>
              <w:spacing w:after="120"/>
              <w:ind w:left="262" w:right="1134"/>
              <w:jc w:val="both"/>
              <w:rPr>
                <w:u w:val="single"/>
                <w:lang w:val="en-US"/>
              </w:rPr>
            </w:pPr>
            <w:r>
              <w:rPr>
                <w:u w:val="single"/>
                <w:lang w:val="en-US"/>
              </w:rPr>
              <w:t xml:space="preserve">Only large cells and batteries, as defined in 38.3.2.3 of the </w:t>
            </w:r>
            <w:r>
              <w:rPr>
                <w:i/>
                <w:u w:val="single"/>
                <w:lang w:val="en-US"/>
              </w:rPr>
              <w:t xml:space="preserve">Manual of Tests and Criteria </w:t>
            </w:r>
            <w:r>
              <w:rPr>
                <w:u w:val="single"/>
                <w:lang w:val="en-US"/>
              </w:rPr>
              <w:t>shall be transported under this packing instruction.</w:t>
            </w:r>
          </w:p>
        </w:tc>
      </w:tr>
    </w:tbl>
    <w:p w14:paraId="029CF3EE" w14:textId="77777777" w:rsidR="00127A81" w:rsidRDefault="00871E72">
      <w:pPr>
        <w:spacing w:before="240"/>
        <w:jc w:val="center"/>
        <w:rPr>
          <w:u w:val="single"/>
        </w:rPr>
      </w:pPr>
      <w:r>
        <w:rPr>
          <w:u w:val="single"/>
        </w:rPr>
        <w:tab/>
      </w:r>
      <w:r>
        <w:rPr>
          <w:u w:val="single"/>
        </w:rPr>
        <w:tab/>
      </w:r>
      <w:r>
        <w:rPr>
          <w:u w:val="single"/>
        </w:rPr>
        <w:tab/>
      </w:r>
    </w:p>
    <w:sectPr w:rsidR="00127A81">
      <w:headerReference w:type="even" r:id="rId24"/>
      <w:headerReference w:type="default" r:id="rId25"/>
      <w:footerReference w:type="even" r:id="rId26"/>
      <w:footerReference w:type="default" r:id="rId27"/>
      <w:headerReference w:type="first" r:id="rId28"/>
      <w:footerReference w:type="first" r:id="rId29"/>
      <w:footnotePr>
        <w:numFmt w:val="chicago"/>
      </w:footnotePr>
      <w:endnotePr>
        <w:numFmt w:val="decimal"/>
      </w:endnotePr>
      <w:pgSz w:w="11907" w:h="16840"/>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40193" w14:textId="77777777" w:rsidR="007B381F" w:rsidRDefault="007B381F">
      <w:pPr>
        <w:spacing w:line="240" w:lineRule="auto"/>
      </w:pPr>
    </w:p>
  </w:endnote>
  <w:endnote w:type="continuationSeparator" w:id="0">
    <w:p w14:paraId="004241D0" w14:textId="77777777" w:rsidR="007B381F" w:rsidRDefault="007B38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731407"/>
      <w:docPartObj>
        <w:docPartGallery w:val="Page Numbers (Bottom of Page)"/>
        <w:docPartUnique/>
      </w:docPartObj>
    </w:sdtPr>
    <w:sdtEndPr>
      <w:rPr>
        <w:noProof/>
      </w:rPr>
    </w:sdtEndPr>
    <w:sdtContent>
      <w:p w14:paraId="51593D04" w14:textId="356B3549" w:rsidR="006B33F9" w:rsidRDefault="006B33F9">
        <w:pPr>
          <w:pStyle w:val="Footer"/>
        </w:pPr>
        <w:r>
          <w:fldChar w:fldCharType="begin"/>
        </w:r>
        <w:r>
          <w:instrText xml:space="preserve"> PAGE   \* MERGEFORMAT </w:instrText>
        </w:r>
        <w:r>
          <w:fldChar w:fldCharType="separate"/>
        </w:r>
        <w:r>
          <w:rPr>
            <w:noProof/>
          </w:rPr>
          <w:t>2</w:t>
        </w:r>
        <w:r>
          <w:rPr>
            <w:noProof/>
          </w:rPr>
          <w:fldChar w:fldCharType="end"/>
        </w:r>
      </w:p>
    </w:sdtContent>
  </w:sdt>
  <w:p w14:paraId="4D7B7AD8" w14:textId="1BCE3879" w:rsidR="00127A81" w:rsidRPr="000B3D20" w:rsidRDefault="00127A81">
    <w:pPr>
      <w:pStyle w:val="Footer"/>
      <w:tabs>
        <w:tab w:val="right" w:pos="9598"/>
        <w:tab w:val="right" w:pos="9638"/>
      </w:tabs>
      <w:rPr>
        <w:sz w:val="18"/>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3E6B" w14:textId="2579200A" w:rsidR="00127A81" w:rsidRPr="000B3D20" w:rsidRDefault="000B3D20" w:rsidP="000B3D20">
    <w:pPr>
      <w:pStyle w:val="Footer"/>
      <w:tabs>
        <w:tab w:val="left" w:pos="5775"/>
        <w:tab w:val="right" w:pos="9598"/>
        <w:tab w:val="right" w:pos="9638"/>
      </w:tabs>
      <w:jc w:val="right"/>
      <w:rPr>
        <w:sz w:val="18"/>
        <w:lang w:val="fr-CH"/>
      </w:rPr>
    </w:pPr>
    <w:r>
      <w:rPr>
        <w:sz w:val="18"/>
        <w:lang w:val="fr-CH"/>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17B6" w14:textId="77777777" w:rsidR="00127A81" w:rsidRDefault="00871E72">
    <w:pPr>
      <w:pStyle w:val="Footer"/>
      <w:rPr>
        <w:rFonts w:asciiTheme="majorBidi" w:hAnsiTheme="majorBidi" w:cstheme="majorBidi"/>
        <w:sz w:val="20"/>
      </w:rPr>
    </w:pPr>
    <w:r>
      <w:rPr>
        <w:noProof/>
        <w:lang w:val="en-US"/>
      </w:rPr>
      <mc:AlternateContent>
        <mc:Choice Requires="wps">
          <w:drawing>
            <wp:anchor distT="0" distB="0" distL="114300" distR="114300" simplePos="0" relativeHeight="251662336" behindDoc="0" locked="0" layoutInCell="1" allowOverlap="1" wp14:anchorId="02703EEE" wp14:editId="272AF386">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A6007" w14:textId="047827C6" w:rsidR="00127A81" w:rsidRDefault="00871E72">
                          <w:pPr>
                            <w:pStyle w:val="Footer"/>
                          </w:pPr>
                          <w:r>
                            <w:fldChar w:fldCharType="begin"/>
                          </w:r>
                          <w:r>
                            <w:instrText xml:space="preserve"> PAGE  \* MERGEFORMAT </w:instrText>
                          </w:r>
                          <w:r>
                            <w:fldChar w:fldCharType="separate"/>
                          </w:r>
                          <w:r w:rsidR="00F764FA">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2703EEE" id="_x0000_t202" coordsize="21600,21600" o:spt="202" path="m,l,21600r21600,l21600,xe">
              <v:stroke joinstyle="miter"/>
              <v:path gradientshapeok="t" o:connecttype="rect"/>
            </v:shapetype>
            <v:shape id="文本框 20" o:spid="_x0000_s102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NQ9JWMCAAAMBQAADgAAAAAAAAAAAAAAAAAuAgAAZHJzL2Uyb0RvYy54&#10;bWxQSwECLQAUAAYACAAAACEAcarRudcAAAAFAQAADwAAAAAAAAAAAAAAAAC9BAAAZHJzL2Rvd25y&#10;ZXYueG1sUEsFBgAAAAAEAAQA8wAAAMEFAAAAAA==&#10;" filled="f" stroked="f" strokeweight=".5pt">
              <v:textbox style="mso-fit-shape-to-text:t" inset="0,0,0,0">
                <w:txbxContent>
                  <w:p w14:paraId="60BA6007" w14:textId="047827C6" w:rsidR="00127A81" w:rsidRDefault="00871E72">
                    <w:pPr>
                      <w:pStyle w:val="Footer"/>
                    </w:pPr>
                    <w:r>
                      <w:fldChar w:fldCharType="begin"/>
                    </w:r>
                    <w:r>
                      <w:instrText xml:space="preserve"> PAGE  \* MERGEFORMAT </w:instrText>
                    </w:r>
                    <w:r>
                      <w:fldChar w:fldCharType="separate"/>
                    </w:r>
                    <w:r w:rsidR="00F764FA">
                      <w:rPr>
                        <w:noProof/>
                      </w:rPr>
                      <w:t>1</w:t>
                    </w:r>
                    <w:r>
                      <w:fldChar w:fldCharType="end"/>
                    </w:r>
                  </w:p>
                </w:txbxContent>
              </v:textbox>
              <w10:wrap anchorx="margin"/>
            </v:shape>
          </w:pict>
        </mc:Fallback>
      </mc:AlternateContent>
    </w:r>
    <w:r>
      <w:rPr>
        <w:noProof/>
        <w:lang w:val="en-US"/>
      </w:rPr>
      <w:drawing>
        <wp:anchor distT="0" distB="0" distL="114300" distR="114300" simplePos="0" relativeHeight="251659264" behindDoc="0" locked="1" layoutInCell="1" allowOverlap="1" wp14:anchorId="35CD24F6" wp14:editId="1A0FD493">
          <wp:simplePos x="0" y="0"/>
          <wp:positionH relativeFrom="margin">
            <wp:posOffset>5003800</wp:posOffset>
          </wp:positionH>
          <wp:positionV relativeFrom="margin">
            <wp:posOffset>9323705</wp:posOffset>
          </wp:positionV>
          <wp:extent cx="923925" cy="228600"/>
          <wp:effectExtent l="0" t="0" r="9525" b="0"/>
          <wp:wrapNone/>
          <wp:docPr id="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23925" cy="2286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954B0" w14:textId="77777777" w:rsidR="007B381F" w:rsidRDefault="007B381F">
      <w:pPr>
        <w:spacing w:line="240" w:lineRule="auto"/>
      </w:pPr>
    </w:p>
  </w:footnote>
  <w:footnote w:type="continuationSeparator" w:id="0">
    <w:p w14:paraId="0AD27B95" w14:textId="77777777" w:rsidR="007B381F" w:rsidRDefault="007B38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904" w14:textId="240C9717" w:rsidR="007A45D9" w:rsidRDefault="007A45D9">
    <w:pPr>
      <w:pStyle w:val="Header"/>
    </w:pPr>
    <w:r>
      <w:rPr>
        <w:lang w:val="fr-CH"/>
      </w:rPr>
      <w:t>UN/SCETDG/60/INF.30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1A37" w14:textId="6E8E796F" w:rsidR="00127A81" w:rsidRPr="007A45D9" w:rsidRDefault="007A45D9">
    <w:pPr>
      <w:pStyle w:val="Header"/>
      <w:jc w:val="right"/>
      <w:rPr>
        <w:lang w:val="fr-CH"/>
      </w:rPr>
    </w:pPr>
    <w:r>
      <w:rPr>
        <w:lang w:val="fr-CH"/>
      </w:rPr>
      <w:t>UN/SCETDG/60/INF.30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DAB1" w14:textId="77777777" w:rsidR="002575C1" w:rsidRDefault="002575C1" w:rsidP="005F07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multilevel"/>
    <w:tmpl w:val="03F2036B"/>
    <w:lvl w:ilvl="0">
      <w:start w:val="1"/>
      <w:numFmt w:val="bullet"/>
      <w:pStyle w:val="Bullet1G"/>
      <w:lvlText w:val="•"/>
      <w:lvlJc w:val="left"/>
      <w:pPr>
        <w:tabs>
          <w:tab w:val="left" w:pos="1701"/>
        </w:tabs>
        <w:ind w:left="1701" w:hanging="170"/>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D954887"/>
    <w:multiLevelType w:val="multilevel"/>
    <w:tmpl w:val="0D954887"/>
    <w:lvl w:ilvl="0">
      <w:start w:val="1"/>
      <w:numFmt w:val="decimal"/>
      <w:pStyle w:val="ParNoG"/>
      <w:lvlText w:val="%1."/>
      <w:lvlJc w:val="left"/>
      <w:pPr>
        <w:tabs>
          <w:tab w:val="left" w:pos="1701"/>
        </w:tabs>
        <w:ind w:left="1134" w:firstLine="0"/>
      </w:pPr>
      <w:rPr>
        <w:rFonts w:ascii="Times New Roman" w:hAnsi="Times New Roman" w:hint="default"/>
        <w:b w:val="0"/>
        <w:i w:val="0"/>
        <w:sz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68862366"/>
    <w:multiLevelType w:val="multilevel"/>
    <w:tmpl w:val="68862366"/>
    <w:lvl w:ilvl="0">
      <w:start w:val="1"/>
      <w:numFmt w:val="bullet"/>
      <w:pStyle w:val="Bullet2G"/>
      <w:lvlText w:val="•"/>
      <w:lvlJc w:val="left"/>
      <w:pPr>
        <w:tabs>
          <w:tab w:val="left" w:pos="2268"/>
        </w:tabs>
        <w:ind w:left="2268" w:hanging="170"/>
      </w:pPr>
      <w:rPr>
        <w:rFonts w:ascii="Times New Roman" w:hAnsi="Times New Roman" w:cs="Times New Roman" w:hint="default"/>
        <w:b w:val="0"/>
        <w:i w:val="0"/>
        <w:sz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567"/>
  <w:hyphenationZone w:val="425"/>
  <w:evenAndOddHeaders/>
  <w:characterSpacingControl w:val="doNotCompress"/>
  <w:hdrShapeDefaults>
    <o:shapedefaults v:ext="edit" spidmax="2049"/>
  </w:hdrShapeDefaults>
  <w:footnotePr>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M1ODIyNjM1NWEwYzQ5NGQ1YmJlMjVmYmFkMzMzODQifQ=="/>
  </w:docVars>
  <w:rsids>
    <w:rsidRoot w:val="00260F99"/>
    <w:rsid w:val="00046E92"/>
    <w:rsid w:val="000625EC"/>
    <w:rsid w:val="00063C90"/>
    <w:rsid w:val="000679F4"/>
    <w:rsid w:val="00075271"/>
    <w:rsid w:val="0008458D"/>
    <w:rsid w:val="000930CC"/>
    <w:rsid w:val="000B3D20"/>
    <w:rsid w:val="000D301A"/>
    <w:rsid w:val="000E656F"/>
    <w:rsid w:val="000F21DE"/>
    <w:rsid w:val="00100B00"/>
    <w:rsid w:val="00101B98"/>
    <w:rsid w:val="00105C88"/>
    <w:rsid w:val="00112CC0"/>
    <w:rsid w:val="001233AE"/>
    <w:rsid w:val="00127A81"/>
    <w:rsid w:val="001514D1"/>
    <w:rsid w:val="001677BC"/>
    <w:rsid w:val="001C04D5"/>
    <w:rsid w:val="00211416"/>
    <w:rsid w:val="0022555C"/>
    <w:rsid w:val="00244280"/>
    <w:rsid w:val="00247E2C"/>
    <w:rsid w:val="002575C1"/>
    <w:rsid w:val="00260F99"/>
    <w:rsid w:val="00265D67"/>
    <w:rsid w:val="002A32CB"/>
    <w:rsid w:val="002C7CC6"/>
    <w:rsid w:val="002D5B2C"/>
    <w:rsid w:val="002D6C53"/>
    <w:rsid w:val="002D75CA"/>
    <w:rsid w:val="002F48D9"/>
    <w:rsid w:val="002F5595"/>
    <w:rsid w:val="00301ED0"/>
    <w:rsid w:val="00334F6A"/>
    <w:rsid w:val="00342AC8"/>
    <w:rsid w:val="00342D7F"/>
    <w:rsid w:val="00343302"/>
    <w:rsid w:val="003510EC"/>
    <w:rsid w:val="003979DE"/>
    <w:rsid w:val="003A49EA"/>
    <w:rsid w:val="003B4550"/>
    <w:rsid w:val="003C43FA"/>
    <w:rsid w:val="003D2A18"/>
    <w:rsid w:val="003E5C13"/>
    <w:rsid w:val="004050D9"/>
    <w:rsid w:val="00413386"/>
    <w:rsid w:val="00461253"/>
    <w:rsid w:val="0047445D"/>
    <w:rsid w:val="004814B1"/>
    <w:rsid w:val="004858F5"/>
    <w:rsid w:val="004A2814"/>
    <w:rsid w:val="004B47B4"/>
    <w:rsid w:val="004C0622"/>
    <w:rsid w:val="004E714A"/>
    <w:rsid w:val="004F2A57"/>
    <w:rsid w:val="005042C2"/>
    <w:rsid w:val="0050608B"/>
    <w:rsid w:val="00566B51"/>
    <w:rsid w:val="005779FE"/>
    <w:rsid w:val="005E716E"/>
    <w:rsid w:val="005F0729"/>
    <w:rsid w:val="006476E1"/>
    <w:rsid w:val="006604DF"/>
    <w:rsid w:val="00671529"/>
    <w:rsid w:val="006A4A22"/>
    <w:rsid w:val="006B33F9"/>
    <w:rsid w:val="006E160B"/>
    <w:rsid w:val="006F158B"/>
    <w:rsid w:val="0070489D"/>
    <w:rsid w:val="007268F9"/>
    <w:rsid w:val="00726EFA"/>
    <w:rsid w:val="00750282"/>
    <w:rsid w:val="00756CEA"/>
    <w:rsid w:val="00762249"/>
    <w:rsid w:val="00764440"/>
    <w:rsid w:val="0077101B"/>
    <w:rsid w:val="007A45D9"/>
    <w:rsid w:val="007A537A"/>
    <w:rsid w:val="007B381F"/>
    <w:rsid w:val="007C346D"/>
    <w:rsid w:val="007C52B0"/>
    <w:rsid w:val="007C6033"/>
    <w:rsid w:val="007D0D72"/>
    <w:rsid w:val="007F68E1"/>
    <w:rsid w:val="008147C8"/>
    <w:rsid w:val="0081753A"/>
    <w:rsid w:val="00857D23"/>
    <w:rsid w:val="00871E72"/>
    <w:rsid w:val="0089176B"/>
    <w:rsid w:val="008A1D83"/>
    <w:rsid w:val="008A3855"/>
    <w:rsid w:val="008D1C51"/>
    <w:rsid w:val="008D2906"/>
    <w:rsid w:val="008F367A"/>
    <w:rsid w:val="008F496E"/>
    <w:rsid w:val="009162DD"/>
    <w:rsid w:val="009411B4"/>
    <w:rsid w:val="0094324D"/>
    <w:rsid w:val="00946F1D"/>
    <w:rsid w:val="00965B3A"/>
    <w:rsid w:val="0096702B"/>
    <w:rsid w:val="00977152"/>
    <w:rsid w:val="00987CD7"/>
    <w:rsid w:val="00993D0A"/>
    <w:rsid w:val="009D0139"/>
    <w:rsid w:val="009D5FA0"/>
    <w:rsid w:val="009D6F92"/>
    <w:rsid w:val="009D717D"/>
    <w:rsid w:val="009F5CDC"/>
    <w:rsid w:val="00A06B6B"/>
    <w:rsid w:val="00A072D7"/>
    <w:rsid w:val="00A0746A"/>
    <w:rsid w:val="00A13A3F"/>
    <w:rsid w:val="00A3107C"/>
    <w:rsid w:val="00A40F2E"/>
    <w:rsid w:val="00A75D2E"/>
    <w:rsid w:val="00A775CF"/>
    <w:rsid w:val="00A9104F"/>
    <w:rsid w:val="00AD1A9C"/>
    <w:rsid w:val="00AF5DE1"/>
    <w:rsid w:val="00B06045"/>
    <w:rsid w:val="00B206DD"/>
    <w:rsid w:val="00B44B28"/>
    <w:rsid w:val="00B52EF4"/>
    <w:rsid w:val="00B777AD"/>
    <w:rsid w:val="00BC04C8"/>
    <w:rsid w:val="00BC3D46"/>
    <w:rsid w:val="00BE59B8"/>
    <w:rsid w:val="00C03015"/>
    <w:rsid w:val="00C0358D"/>
    <w:rsid w:val="00C23975"/>
    <w:rsid w:val="00C34751"/>
    <w:rsid w:val="00C35A27"/>
    <w:rsid w:val="00C41E24"/>
    <w:rsid w:val="00C45874"/>
    <w:rsid w:val="00C45DBE"/>
    <w:rsid w:val="00C47B2E"/>
    <w:rsid w:val="00C71D22"/>
    <w:rsid w:val="00CA2E0B"/>
    <w:rsid w:val="00CC6CD6"/>
    <w:rsid w:val="00CD0CFE"/>
    <w:rsid w:val="00CD150A"/>
    <w:rsid w:val="00D17966"/>
    <w:rsid w:val="00D350DF"/>
    <w:rsid w:val="00D503B7"/>
    <w:rsid w:val="00D608F3"/>
    <w:rsid w:val="00D63CD2"/>
    <w:rsid w:val="00D7639A"/>
    <w:rsid w:val="00D87DC2"/>
    <w:rsid w:val="00D94B05"/>
    <w:rsid w:val="00DD1048"/>
    <w:rsid w:val="00DE555D"/>
    <w:rsid w:val="00DF0CA9"/>
    <w:rsid w:val="00E02C2B"/>
    <w:rsid w:val="00E106CD"/>
    <w:rsid w:val="00E11965"/>
    <w:rsid w:val="00E21C27"/>
    <w:rsid w:val="00E2225E"/>
    <w:rsid w:val="00E26BCF"/>
    <w:rsid w:val="00E30DB5"/>
    <w:rsid w:val="00E52109"/>
    <w:rsid w:val="00E53EC6"/>
    <w:rsid w:val="00E75317"/>
    <w:rsid w:val="00E91090"/>
    <w:rsid w:val="00EA07FA"/>
    <w:rsid w:val="00EC0CE6"/>
    <w:rsid w:val="00EC333E"/>
    <w:rsid w:val="00EC7C1D"/>
    <w:rsid w:val="00ED6C48"/>
    <w:rsid w:val="00EE3045"/>
    <w:rsid w:val="00F04347"/>
    <w:rsid w:val="00F121BF"/>
    <w:rsid w:val="00F40F32"/>
    <w:rsid w:val="00F54301"/>
    <w:rsid w:val="00F65F5D"/>
    <w:rsid w:val="00F6637E"/>
    <w:rsid w:val="00F764FA"/>
    <w:rsid w:val="00F826BF"/>
    <w:rsid w:val="00F86A3A"/>
    <w:rsid w:val="00FA2BDB"/>
    <w:rsid w:val="00FB1B8F"/>
    <w:rsid w:val="00FB3691"/>
    <w:rsid w:val="00FB5C38"/>
    <w:rsid w:val="00FC1A15"/>
    <w:rsid w:val="00FF7340"/>
    <w:rsid w:val="046F7C92"/>
    <w:rsid w:val="06A76FE1"/>
    <w:rsid w:val="07644509"/>
    <w:rsid w:val="09743953"/>
    <w:rsid w:val="0A8D5930"/>
    <w:rsid w:val="0AB737C0"/>
    <w:rsid w:val="0C9C59E3"/>
    <w:rsid w:val="0CA152FE"/>
    <w:rsid w:val="10E834F0"/>
    <w:rsid w:val="13D1612E"/>
    <w:rsid w:val="182D3CDB"/>
    <w:rsid w:val="19BF51E7"/>
    <w:rsid w:val="19EC07C2"/>
    <w:rsid w:val="1B302F77"/>
    <w:rsid w:val="1BD91532"/>
    <w:rsid w:val="1BE53628"/>
    <w:rsid w:val="1CC050EB"/>
    <w:rsid w:val="1E5B10B4"/>
    <w:rsid w:val="249026C3"/>
    <w:rsid w:val="285B33F7"/>
    <w:rsid w:val="2B3C7645"/>
    <w:rsid w:val="2B850F86"/>
    <w:rsid w:val="2BEB34B4"/>
    <w:rsid w:val="2D8A6252"/>
    <w:rsid w:val="2E3E5680"/>
    <w:rsid w:val="324A7178"/>
    <w:rsid w:val="328D1179"/>
    <w:rsid w:val="335F6616"/>
    <w:rsid w:val="35F400A9"/>
    <w:rsid w:val="364C4FB2"/>
    <w:rsid w:val="39B67967"/>
    <w:rsid w:val="3ACE44FA"/>
    <w:rsid w:val="3CDE22F2"/>
    <w:rsid w:val="40344944"/>
    <w:rsid w:val="407326DB"/>
    <w:rsid w:val="43043D8C"/>
    <w:rsid w:val="45E508CF"/>
    <w:rsid w:val="48E45A13"/>
    <w:rsid w:val="4ACA6F7E"/>
    <w:rsid w:val="4ADB4324"/>
    <w:rsid w:val="4DD1148C"/>
    <w:rsid w:val="50226C17"/>
    <w:rsid w:val="53D801B1"/>
    <w:rsid w:val="548B3F4E"/>
    <w:rsid w:val="56CF7387"/>
    <w:rsid w:val="5A9C3758"/>
    <w:rsid w:val="5BD93FA5"/>
    <w:rsid w:val="5E2B3175"/>
    <w:rsid w:val="67051569"/>
    <w:rsid w:val="68201BAA"/>
    <w:rsid w:val="690110B7"/>
    <w:rsid w:val="6A2E70FA"/>
    <w:rsid w:val="6B5D6420"/>
    <w:rsid w:val="6B8D7DAC"/>
    <w:rsid w:val="6D627806"/>
    <w:rsid w:val="6DFF2905"/>
    <w:rsid w:val="6E8201DA"/>
    <w:rsid w:val="709527C6"/>
    <w:rsid w:val="70AB6828"/>
    <w:rsid w:val="7374626B"/>
    <w:rsid w:val="73BF57FA"/>
    <w:rsid w:val="76B945E3"/>
    <w:rsid w:val="79247E5D"/>
    <w:rsid w:val="7BF251C2"/>
    <w:rsid w:val="7CEE397D"/>
    <w:rsid w:val="7E062B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E4099"/>
  <w15:docId w15:val="{4AB63AAC-4A21-4953-A1EE-52C8508B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kinsoku w:val="0"/>
      <w:overflowPunct w:val="0"/>
      <w:autoSpaceDE w:val="0"/>
      <w:autoSpaceDN w:val="0"/>
      <w:adjustRightInd w:val="0"/>
      <w:snapToGrid w:val="0"/>
      <w:spacing w:line="240" w:lineRule="atLeast"/>
    </w:pPr>
    <w:rPr>
      <w:lang w:val="en-GB"/>
    </w:rPr>
  </w:style>
  <w:style w:type="paragraph" w:styleId="Heading1">
    <w:name w:val="heading 1"/>
    <w:basedOn w:val="SingleTxtG"/>
    <w:next w:val="SingleTxtG"/>
    <w:link w:val="Heading1Char"/>
    <w:qFormat/>
    <w:pPr>
      <w:spacing w:after="0" w:line="240" w:lineRule="auto"/>
      <w:ind w:right="0"/>
      <w:jc w:val="left"/>
      <w:outlineLvl w:val="0"/>
    </w:pPr>
  </w:style>
  <w:style w:type="paragraph" w:styleId="Heading2">
    <w:name w:val="heading 2"/>
    <w:basedOn w:val="Normal"/>
    <w:next w:val="Normal"/>
    <w:link w:val="Heading2Char"/>
    <w:semiHidden/>
    <w:qFormat/>
    <w:pPr>
      <w:spacing w:line="240" w:lineRule="auto"/>
      <w:outlineLvl w:val="1"/>
    </w:pPr>
  </w:style>
  <w:style w:type="paragraph" w:styleId="Heading3">
    <w:name w:val="heading 3"/>
    <w:basedOn w:val="Normal"/>
    <w:next w:val="Normal"/>
    <w:link w:val="Heading3Char"/>
    <w:semiHidden/>
    <w:qFormat/>
    <w:pPr>
      <w:spacing w:line="240" w:lineRule="auto"/>
      <w:outlineLvl w:val="2"/>
    </w:pPr>
  </w:style>
  <w:style w:type="paragraph" w:styleId="Heading4">
    <w:name w:val="heading 4"/>
    <w:basedOn w:val="Normal"/>
    <w:next w:val="Normal"/>
    <w:link w:val="Heading4Char"/>
    <w:semiHidden/>
    <w:qFormat/>
    <w:pPr>
      <w:spacing w:line="240" w:lineRule="auto"/>
      <w:outlineLvl w:val="3"/>
    </w:pPr>
  </w:style>
  <w:style w:type="paragraph" w:styleId="Heading5">
    <w:name w:val="heading 5"/>
    <w:basedOn w:val="Normal"/>
    <w:next w:val="Normal"/>
    <w:link w:val="Heading5Char"/>
    <w:semiHidden/>
    <w:qFormat/>
    <w:pPr>
      <w:spacing w:line="240" w:lineRule="auto"/>
      <w:outlineLvl w:val="4"/>
    </w:pPr>
  </w:style>
  <w:style w:type="paragraph" w:styleId="Heading6">
    <w:name w:val="heading 6"/>
    <w:basedOn w:val="Normal"/>
    <w:next w:val="Normal"/>
    <w:link w:val="Heading6Char"/>
    <w:semiHidden/>
    <w:qFormat/>
    <w:pPr>
      <w:spacing w:line="240" w:lineRule="auto"/>
      <w:outlineLvl w:val="5"/>
    </w:pPr>
  </w:style>
  <w:style w:type="paragraph" w:styleId="Heading7">
    <w:name w:val="heading 7"/>
    <w:basedOn w:val="Normal"/>
    <w:next w:val="Normal"/>
    <w:link w:val="Heading7Char"/>
    <w:semiHidden/>
    <w:qFormat/>
    <w:pPr>
      <w:spacing w:line="240" w:lineRule="auto"/>
      <w:outlineLvl w:val="6"/>
    </w:pPr>
  </w:style>
  <w:style w:type="paragraph" w:styleId="Heading8">
    <w:name w:val="heading 8"/>
    <w:basedOn w:val="Normal"/>
    <w:next w:val="Normal"/>
    <w:link w:val="Heading8Char"/>
    <w:semiHidden/>
    <w:qFormat/>
    <w:pPr>
      <w:spacing w:line="240" w:lineRule="auto"/>
      <w:outlineLvl w:val="7"/>
    </w:pPr>
  </w:style>
  <w:style w:type="paragraph" w:styleId="Heading9">
    <w:name w:val="heading 9"/>
    <w:basedOn w:val="Normal"/>
    <w:next w:val="Normal"/>
    <w:link w:val="Heading9Char"/>
    <w:semiHidden/>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styleId="EndnoteText">
    <w:name w:val="endnote text"/>
    <w:basedOn w:val="FootnoteText"/>
    <w:link w:val="EndnoteTextChar"/>
    <w:qFormat/>
  </w:style>
  <w:style w:type="paragraph" w:styleId="FootnoteText">
    <w:name w:val="footnote text"/>
    <w:basedOn w:val="Normal"/>
    <w:link w:val="FootnoteTextChar"/>
    <w:uiPriority w:val="99"/>
    <w:qFormat/>
    <w:pPr>
      <w:tabs>
        <w:tab w:val="right" w:pos="1021"/>
      </w:tabs>
      <w:spacing w:line="220" w:lineRule="exact"/>
      <w:ind w:left="1134" w:right="1134" w:hanging="1134"/>
    </w:pPr>
    <w:rPr>
      <w:sz w:val="18"/>
    </w:rPr>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Footer">
    <w:name w:val="footer"/>
    <w:basedOn w:val="Normal"/>
    <w:link w:val="FooterChar"/>
    <w:uiPriority w:val="99"/>
    <w:qFormat/>
    <w:pPr>
      <w:spacing w:line="240" w:lineRule="auto"/>
    </w:pPr>
    <w:rPr>
      <w:sz w:val="16"/>
    </w:rPr>
  </w:style>
  <w:style w:type="paragraph" w:styleId="Header">
    <w:name w:val="header"/>
    <w:basedOn w:val="Normal"/>
    <w:link w:val="HeaderChar"/>
    <w:qFormat/>
    <w:pPr>
      <w:pBdr>
        <w:bottom w:val="single" w:sz="4" w:space="4" w:color="auto"/>
      </w:pBdr>
      <w:spacing w:line="240" w:lineRule="auto"/>
    </w:pPr>
    <w:rPr>
      <w:b/>
      <w:sz w:val="18"/>
    </w:rPr>
  </w:style>
  <w:style w:type="table" w:styleId="TableGrid">
    <w:name w:val="Table Grid"/>
    <w:basedOn w:val="TableNormal"/>
    <w:qFormat/>
    <w:pPr>
      <w:suppressAutoHyphens/>
      <w:spacing w:line="240" w:lineRule="atLeast"/>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EndnoteReference">
    <w:name w:val="endnote reference"/>
    <w:qFormat/>
    <w:rPr>
      <w:rFonts w:ascii="Times New Roman" w:hAnsi="Times New Roman"/>
      <w:sz w:val="18"/>
      <w:vertAlign w:val="superscript"/>
    </w:rPr>
  </w:style>
  <w:style w:type="character" w:styleId="PageNumber">
    <w:name w:val="page number"/>
    <w:qFormat/>
    <w:rPr>
      <w:rFonts w:ascii="Times New Roman" w:hAnsi="Times New Roman"/>
      <w:b/>
      <w:sz w:val="18"/>
    </w:rPr>
  </w:style>
  <w:style w:type="character" w:styleId="FollowedHyperlink">
    <w:name w:val="FollowedHyperlink"/>
    <w:basedOn w:val="DefaultParagraphFont"/>
    <w:qFormat/>
    <w:rPr>
      <w:color w:val="0000FF"/>
      <w:u w:val="none"/>
    </w:rPr>
  </w:style>
  <w:style w:type="character" w:styleId="Hyperlink">
    <w:name w:val="Hyperlink"/>
    <w:basedOn w:val="DefaultParagraphFont"/>
    <w:qFormat/>
    <w:rPr>
      <w:color w:val="0000FF"/>
      <w:u w:val="none"/>
    </w:rPr>
  </w:style>
  <w:style w:type="character" w:styleId="FootnoteReference">
    <w:name w:val="footnote reference"/>
    <w:uiPriority w:val="99"/>
    <w:qFormat/>
    <w:rPr>
      <w:rFonts w:ascii="Times New Roman" w:hAnsi="Times New Roman"/>
      <w:sz w:val="18"/>
      <w:vertAlign w:val="superscript"/>
    </w:rPr>
  </w:style>
  <w:style w:type="character" w:customStyle="1" w:styleId="HeaderChar">
    <w:name w:val="Header Char"/>
    <w:basedOn w:val="DefaultParagraphFont"/>
    <w:link w:val="Header"/>
    <w:qFormat/>
    <w:rPr>
      <w:rFonts w:ascii="Times New Roman" w:eastAsiaTheme="minorHAnsi" w:hAnsi="Times New Roman" w:cs="Times New Roman"/>
      <w:b/>
      <w:sz w:val="18"/>
      <w:szCs w:val="20"/>
      <w:lang w:eastAsia="en-US"/>
    </w:rPr>
  </w:style>
  <w:style w:type="character" w:customStyle="1" w:styleId="FooterChar">
    <w:name w:val="Footer Char"/>
    <w:basedOn w:val="DefaultParagraphFont"/>
    <w:link w:val="Footer"/>
    <w:uiPriority w:val="99"/>
    <w:qFormat/>
    <w:rPr>
      <w:rFonts w:ascii="Times New Roman" w:eastAsiaTheme="minorHAnsi" w:hAnsi="Times New Roman" w:cs="Times New Roman"/>
      <w:sz w:val="16"/>
      <w:szCs w:val="20"/>
      <w:lang w:eastAsia="en-US"/>
    </w:r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pPr>
      <w:keepNext/>
      <w:keepLines/>
      <w:tabs>
        <w:tab w:val="right" w:pos="851"/>
      </w:tabs>
      <w:spacing w:before="240" w:after="120" w:line="240" w:lineRule="exact"/>
      <w:ind w:left="1134" w:right="1134" w:hanging="1134"/>
    </w:pPr>
  </w:style>
  <w:style w:type="paragraph" w:customStyle="1" w:styleId="SLG">
    <w:name w:val="__S_L_G"/>
    <w:basedOn w:val="Normal"/>
    <w:next w:val="Normal"/>
    <w:qFormat/>
    <w:pPr>
      <w:keepNext/>
      <w:keepLines/>
      <w:spacing w:before="240" w:after="240" w:line="580" w:lineRule="exact"/>
      <w:ind w:left="1134" w:right="1134"/>
    </w:pPr>
    <w:rPr>
      <w:b/>
      <w:sz w:val="56"/>
    </w:rPr>
  </w:style>
  <w:style w:type="paragraph" w:customStyle="1" w:styleId="SMG">
    <w:name w:val="__S_M_G"/>
    <w:basedOn w:val="Normal"/>
    <w:next w:val="Normal"/>
    <w:qFormat/>
    <w:pPr>
      <w:keepNext/>
      <w:keepLines/>
      <w:spacing w:before="240" w:after="240" w:line="420" w:lineRule="exact"/>
      <w:ind w:left="1134" w:right="1134"/>
    </w:pPr>
    <w:rPr>
      <w:b/>
      <w:sz w:val="40"/>
    </w:rPr>
  </w:style>
  <w:style w:type="paragraph" w:customStyle="1" w:styleId="SSG">
    <w:name w:val="__S_S_G"/>
    <w:basedOn w:val="Normal"/>
    <w:next w:val="Normal"/>
    <w:qFormat/>
    <w:pPr>
      <w:keepNext/>
      <w:keepLines/>
      <w:spacing w:before="240" w:after="240" w:line="300" w:lineRule="exact"/>
      <w:ind w:left="1134" w:right="1134"/>
    </w:pPr>
    <w:rPr>
      <w:b/>
      <w:sz w:val="28"/>
    </w:rPr>
  </w:style>
  <w:style w:type="paragraph" w:customStyle="1" w:styleId="XLargeG">
    <w:name w:val="__XLarge_G"/>
    <w:basedOn w:val="Normal"/>
    <w:next w:val="Normal"/>
    <w:qFormat/>
    <w:pPr>
      <w:keepNext/>
      <w:keepLines/>
      <w:spacing w:before="240" w:after="240" w:line="420" w:lineRule="exact"/>
      <w:ind w:left="1134" w:right="1134"/>
    </w:pPr>
    <w:rPr>
      <w:b/>
      <w:sz w:val="40"/>
    </w:rPr>
  </w:style>
  <w:style w:type="paragraph" w:customStyle="1" w:styleId="Bullet1G">
    <w:name w:val="_Bullet 1_G"/>
    <w:basedOn w:val="Normal"/>
    <w:qFormat/>
    <w:pPr>
      <w:numPr>
        <w:numId w:val="1"/>
      </w:numPr>
      <w:spacing w:after="120"/>
      <w:ind w:right="1134"/>
      <w:jc w:val="both"/>
    </w:pPr>
  </w:style>
  <w:style w:type="paragraph" w:customStyle="1" w:styleId="Bullet2G">
    <w:name w:val="_Bullet 2_G"/>
    <w:basedOn w:val="Normal"/>
    <w:qFormat/>
    <w:pPr>
      <w:numPr>
        <w:numId w:val="2"/>
      </w:numPr>
      <w:spacing w:after="120"/>
      <w:ind w:right="1134"/>
      <w:jc w:val="both"/>
    </w:pPr>
  </w:style>
  <w:style w:type="paragraph" w:customStyle="1" w:styleId="ParNoG">
    <w:name w:val="_ParNo_G"/>
    <w:basedOn w:val="SingleTxtG"/>
    <w:qFormat/>
    <w:pPr>
      <w:numPr>
        <w:numId w:val="3"/>
      </w:numPr>
      <w:suppressAutoHyphens w:val="0"/>
      <w:kinsoku/>
      <w:overflowPunct/>
      <w:autoSpaceDE/>
      <w:autoSpaceDN/>
      <w:adjustRightInd/>
      <w:snapToGrid/>
    </w:pPr>
    <w:rPr>
      <w:rFonts w:eastAsia="Times New Roman"/>
    </w:rPr>
  </w:style>
  <w:style w:type="character" w:customStyle="1" w:styleId="FootnoteTextChar">
    <w:name w:val="Footnote Text Char"/>
    <w:basedOn w:val="DefaultParagraphFont"/>
    <w:link w:val="FootnoteText"/>
    <w:uiPriority w:val="99"/>
    <w:qFormat/>
    <w:rPr>
      <w:rFonts w:ascii="Times New Roman" w:eastAsiaTheme="minorHAnsi" w:hAnsi="Times New Roman" w:cs="Times New Roman"/>
      <w:sz w:val="18"/>
      <w:szCs w:val="20"/>
      <w:lang w:eastAsia="en-US"/>
    </w:rPr>
  </w:style>
  <w:style w:type="character" w:customStyle="1" w:styleId="EndnoteTextChar">
    <w:name w:val="Endnote Text Char"/>
    <w:basedOn w:val="DefaultParagraphFont"/>
    <w:link w:val="EndnoteText"/>
    <w:qFormat/>
    <w:rPr>
      <w:rFonts w:ascii="Times New Roman" w:eastAsiaTheme="minorHAnsi" w:hAnsi="Times New Roman" w:cs="Times New Roman"/>
      <w:sz w:val="18"/>
      <w:szCs w:val="20"/>
      <w:lang w:eastAsia="en-US"/>
    </w:rPr>
  </w:style>
  <w:style w:type="character" w:customStyle="1" w:styleId="Heading1Char">
    <w:name w:val="Heading 1 Char"/>
    <w:basedOn w:val="DefaultParagraphFont"/>
    <w:link w:val="Heading1"/>
    <w:qFormat/>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qFormat/>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qFormat/>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qFormat/>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qFormat/>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qFormat/>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qFormat/>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qFormat/>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qFormat/>
    <w:rPr>
      <w:rFonts w:ascii="Times New Roman" w:eastAsiaTheme="minorHAnsi" w:hAnsi="Times New Roman" w:cs="Times New Roman"/>
      <w:sz w:val="20"/>
      <w:szCs w:val="20"/>
      <w:lang w:eastAsia="en-US"/>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eastAsia="en-US"/>
    </w:rPr>
  </w:style>
  <w:style w:type="character" w:customStyle="1" w:styleId="HChGChar">
    <w:name w:val="_ H _Ch_G Char"/>
    <w:link w:val="HChG"/>
    <w:qFormat/>
    <w:rPr>
      <w:b/>
      <w:sz w:val="28"/>
    </w:rPr>
  </w:style>
  <w:style w:type="character" w:customStyle="1" w:styleId="SingleTxtGChar">
    <w:name w:val="_ Single Txt_G Char"/>
    <w:link w:val="SingleTxtG"/>
    <w:qFormat/>
    <w:locked/>
  </w:style>
  <w:style w:type="character" w:customStyle="1" w:styleId="H1GChar">
    <w:name w:val="_ H_1_G Char"/>
    <w:link w:val="H1G"/>
    <w:qFormat/>
    <w:rPr>
      <w:b/>
      <w:sz w:val="24"/>
    </w:rPr>
  </w:style>
  <w:style w:type="table" w:customStyle="1" w:styleId="TableGrid1">
    <w:name w:val="Table Grid1"/>
    <w:basedOn w:val="TableNormal"/>
    <w:uiPriority w:val="59"/>
    <w:qFormat/>
    <w:pPr>
      <w:suppressAutoHyphens/>
      <w:spacing w:line="240" w:lineRule="atLeast"/>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8F496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12F4D-67E2-497C-B286-9C412E80909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96D94973-B033-4369-84AE-059471A5F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A4FF0-74EE-46B3-93C4-52E3C7EB9374}">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EB461E5-F240-483B-BEAD-70F354C2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ST/SG/AC.10/C.3/2022/37</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ST/SG/AC.10/C.3/2022/37</dc:title>
  <dc:creator>Laurence BERTHET</dc:creator>
  <cp:lastModifiedBy>Romain Hubert</cp:lastModifiedBy>
  <cp:revision>28</cp:revision>
  <cp:lastPrinted>2022-06-21T08:52:00Z</cp:lastPrinted>
  <dcterms:created xsi:type="dcterms:W3CDTF">2022-06-21T08:54:00Z</dcterms:created>
  <dcterms:modified xsi:type="dcterms:W3CDTF">2022-06-21T09:59:00Z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KSOProductBuildVer">
    <vt:lpwstr>2052-11.1.0.11744</vt:lpwstr>
  </property>
  <property fmtid="{D5CDD505-2E9C-101B-9397-08002B2CF9AE}" pid="4" name="ICV">
    <vt:lpwstr>9F21DC24D2214708919A7D4BCD6F0F57</vt:lpwstr>
  </property>
  <property fmtid="{D5CDD505-2E9C-101B-9397-08002B2CF9AE}" pid="5" name="MediaServiceImageTags">
    <vt:lpwstr/>
  </property>
</Properties>
</file>