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7264613" w14:textId="77777777" w:rsidTr="00F01738">
        <w:trPr>
          <w:trHeight w:hRule="exact" w:val="851"/>
        </w:trPr>
        <w:tc>
          <w:tcPr>
            <w:tcW w:w="1276" w:type="dxa"/>
            <w:tcBorders>
              <w:bottom w:val="single" w:sz="4" w:space="0" w:color="auto"/>
            </w:tcBorders>
          </w:tcPr>
          <w:p w14:paraId="77CBF295" w14:textId="77777777" w:rsidR="00132EA9" w:rsidRPr="00DB58B5" w:rsidRDefault="00132EA9" w:rsidP="00D05AE5"/>
        </w:tc>
        <w:tc>
          <w:tcPr>
            <w:tcW w:w="2268" w:type="dxa"/>
            <w:tcBorders>
              <w:bottom w:val="single" w:sz="4" w:space="0" w:color="auto"/>
            </w:tcBorders>
            <w:vAlign w:val="bottom"/>
          </w:tcPr>
          <w:p w14:paraId="6626366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016255" w14:textId="5DA41C17" w:rsidR="00132EA9" w:rsidRPr="00DB58B5" w:rsidRDefault="00D05AE5" w:rsidP="00D05AE5">
            <w:pPr>
              <w:jc w:val="right"/>
            </w:pPr>
            <w:r w:rsidRPr="00D05AE5">
              <w:rPr>
                <w:sz w:val="40"/>
              </w:rPr>
              <w:t>ST</w:t>
            </w:r>
            <w:r>
              <w:t>/SG/AC.10/C.4/82</w:t>
            </w:r>
          </w:p>
        </w:tc>
      </w:tr>
      <w:tr w:rsidR="00132EA9" w:rsidRPr="00DB58B5" w14:paraId="282BE115" w14:textId="77777777" w:rsidTr="00F01738">
        <w:trPr>
          <w:trHeight w:hRule="exact" w:val="2835"/>
        </w:trPr>
        <w:tc>
          <w:tcPr>
            <w:tcW w:w="1276" w:type="dxa"/>
            <w:tcBorders>
              <w:top w:val="single" w:sz="4" w:space="0" w:color="auto"/>
              <w:bottom w:val="single" w:sz="12" w:space="0" w:color="auto"/>
            </w:tcBorders>
          </w:tcPr>
          <w:p w14:paraId="225B0FA9" w14:textId="77777777" w:rsidR="00132EA9" w:rsidRPr="00DB58B5" w:rsidRDefault="00132EA9" w:rsidP="00F01738">
            <w:pPr>
              <w:spacing w:before="120"/>
              <w:jc w:val="center"/>
            </w:pPr>
            <w:r>
              <w:rPr>
                <w:noProof/>
                <w:lang w:eastAsia="fr-CH"/>
              </w:rPr>
              <w:drawing>
                <wp:inline distT="0" distB="0" distL="0" distR="0" wp14:anchorId="1BD5363D" wp14:editId="5D8E77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74882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13388AC" w14:textId="77777777" w:rsidR="00132EA9" w:rsidRDefault="00D05AE5" w:rsidP="00F01738">
            <w:pPr>
              <w:spacing w:before="240"/>
            </w:pPr>
            <w:r>
              <w:t xml:space="preserve">Distr. </w:t>
            </w:r>
            <w:proofErr w:type="gramStart"/>
            <w:r>
              <w:t>générale</w:t>
            </w:r>
            <w:proofErr w:type="gramEnd"/>
          </w:p>
          <w:p w14:paraId="5FF80CCD" w14:textId="77777777" w:rsidR="00D05AE5" w:rsidRDefault="00D05AE5" w:rsidP="00D05AE5">
            <w:pPr>
              <w:spacing w:line="240" w:lineRule="exact"/>
            </w:pPr>
            <w:r>
              <w:t>21 janvier 2022</w:t>
            </w:r>
          </w:p>
          <w:p w14:paraId="3E64E4BC" w14:textId="77777777" w:rsidR="00D05AE5" w:rsidRDefault="00D05AE5" w:rsidP="00D05AE5">
            <w:pPr>
              <w:spacing w:line="240" w:lineRule="exact"/>
            </w:pPr>
            <w:r>
              <w:t>Français</w:t>
            </w:r>
          </w:p>
          <w:p w14:paraId="039938FD" w14:textId="252EC4FA" w:rsidR="00D05AE5" w:rsidRPr="00DB58B5" w:rsidRDefault="00D05AE5" w:rsidP="00D05AE5">
            <w:pPr>
              <w:spacing w:line="240" w:lineRule="exact"/>
            </w:pPr>
            <w:r>
              <w:t>Original : anglais</w:t>
            </w:r>
          </w:p>
        </w:tc>
      </w:tr>
    </w:tbl>
    <w:p w14:paraId="15CF8C77" w14:textId="23BE1A0C" w:rsidR="00D05AE5" w:rsidRPr="00CA0680" w:rsidRDefault="00D05AE5" w:rsidP="000305D3">
      <w:pPr>
        <w:spacing w:before="120"/>
        <w:rPr>
          <w:b/>
          <w:sz w:val="24"/>
          <w:szCs w:val="24"/>
        </w:rPr>
      </w:pPr>
      <w:r w:rsidRPr="00CA0680">
        <w:rPr>
          <w:b/>
          <w:sz w:val="24"/>
          <w:szCs w:val="24"/>
        </w:rPr>
        <w:t>Comité d</w:t>
      </w:r>
      <w:r w:rsidR="009657CE">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sidR="003C7010">
        <w:rPr>
          <w:b/>
          <w:sz w:val="24"/>
          <w:szCs w:val="24"/>
        </w:rPr>
        <w:t xml:space="preserve"> </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3C7010">
        <w:rPr>
          <w:b/>
          <w:sz w:val="24"/>
          <w:szCs w:val="24"/>
        </w:rPr>
        <w:t xml:space="preserve"> </w:t>
      </w:r>
      <w:r>
        <w:rPr>
          <w:b/>
          <w:sz w:val="24"/>
          <w:szCs w:val="24"/>
        </w:rPr>
        <w:br/>
      </w:r>
      <w:r w:rsidRPr="00CA0680">
        <w:rPr>
          <w:b/>
          <w:sz w:val="24"/>
          <w:szCs w:val="24"/>
        </w:rPr>
        <w:t>et d</w:t>
      </w:r>
      <w:r w:rsidR="009657CE">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64C6169" w14:textId="23C83205" w:rsidR="00D05AE5" w:rsidRPr="00CA0680" w:rsidRDefault="00D05AE5" w:rsidP="000305D3">
      <w:pPr>
        <w:spacing w:before="120"/>
        <w:rPr>
          <w:b/>
        </w:rPr>
      </w:pPr>
      <w:r w:rsidRPr="00CA0680">
        <w:rPr>
          <w:b/>
        </w:rPr>
        <w:t>Sous</w:t>
      </w:r>
      <w:r>
        <w:rPr>
          <w:b/>
        </w:rPr>
        <w:t>-</w:t>
      </w:r>
      <w:r w:rsidRPr="00CA0680">
        <w:rPr>
          <w:b/>
        </w:rPr>
        <w:t>Comité d</w:t>
      </w:r>
      <w:r w:rsidR="009657CE">
        <w:rPr>
          <w:b/>
        </w:rPr>
        <w:t>’</w:t>
      </w:r>
      <w:r w:rsidRPr="00CA0680">
        <w:rPr>
          <w:b/>
        </w:rPr>
        <w:t xml:space="preserve">experts </w:t>
      </w:r>
      <w:r>
        <w:rPr>
          <w:b/>
        </w:rPr>
        <w:t>du Système général harmonisé</w:t>
      </w:r>
      <w:r w:rsidR="003C7010">
        <w:rPr>
          <w:b/>
        </w:rPr>
        <w:t xml:space="preserve"> </w:t>
      </w:r>
      <w:r>
        <w:rPr>
          <w:b/>
        </w:rPr>
        <w:br/>
        <w:t>de classification et d</w:t>
      </w:r>
      <w:r w:rsidR="009657CE">
        <w:rPr>
          <w:b/>
        </w:rPr>
        <w:t>’</w:t>
      </w:r>
      <w:r>
        <w:rPr>
          <w:b/>
        </w:rPr>
        <w:t>étiquetage des produits chimiques</w:t>
      </w:r>
    </w:p>
    <w:p w14:paraId="307A9B60" w14:textId="01BD5524" w:rsidR="00D05AE5" w:rsidRDefault="008914BD" w:rsidP="008914BD">
      <w:pPr>
        <w:pStyle w:val="HChG"/>
        <w:rPr>
          <w:lang w:val="fr-FR"/>
        </w:rPr>
      </w:pPr>
      <w:r>
        <w:rPr>
          <w:lang w:val="fr-FR"/>
        </w:rPr>
        <w:tab/>
      </w:r>
      <w:r>
        <w:rPr>
          <w:lang w:val="fr-FR"/>
        </w:rPr>
        <w:tab/>
      </w:r>
      <w:r w:rsidR="00D05AE5">
        <w:rPr>
          <w:lang w:val="fr-FR"/>
        </w:rPr>
        <w:t xml:space="preserve">Rapport du </w:t>
      </w:r>
      <w:r w:rsidR="00D05AE5" w:rsidRPr="00296467">
        <w:rPr>
          <w:lang w:val="fr-FR"/>
        </w:rPr>
        <w:t>Sous-Comité d</w:t>
      </w:r>
      <w:r w:rsidR="009657CE">
        <w:rPr>
          <w:lang w:val="fr-FR"/>
        </w:rPr>
        <w:t>’</w:t>
      </w:r>
      <w:r w:rsidR="00D05AE5" w:rsidRPr="00296467">
        <w:rPr>
          <w:lang w:val="fr-FR"/>
        </w:rPr>
        <w:t>experts du Système général harmonisé de classification et d</w:t>
      </w:r>
      <w:r w:rsidR="009657CE">
        <w:rPr>
          <w:lang w:val="fr-FR"/>
        </w:rPr>
        <w:t>’</w:t>
      </w:r>
      <w:r w:rsidR="00D05AE5" w:rsidRPr="00296467">
        <w:rPr>
          <w:lang w:val="fr-FR"/>
        </w:rPr>
        <w:t>étiquetage des produits chimiques</w:t>
      </w:r>
      <w:r w:rsidR="00D05AE5">
        <w:rPr>
          <w:lang w:val="fr-FR"/>
        </w:rPr>
        <w:t xml:space="preserve"> sur sa </w:t>
      </w:r>
      <w:r w:rsidR="00D05AE5" w:rsidRPr="00296467">
        <w:rPr>
          <w:lang w:val="fr-FR"/>
        </w:rPr>
        <w:t>quarante et unième sessio</w:t>
      </w:r>
      <w:r w:rsidR="00D05AE5">
        <w:rPr>
          <w:lang w:val="fr-FR"/>
        </w:rPr>
        <w:t>n</w:t>
      </w:r>
    </w:p>
    <w:p w14:paraId="5B08C6CC" w14:textId="3B7FCA24" w:rsidR="00446FE5" w:rsidRDefault="00D05AE5" w:rsidP="008914BD">
      <w:pPr>
        <w:pStyle w:val="SingleTxtG"/>
        <w:rPr>
          <w:lang w:val="fr-FR"/>
        </w:rPr>
      </w:pPr>
      <w:proofErr w:type="gramStart"/>
      <w:r>
        <w:rPr>
          <w:lang w:val="fr-FR"/>
        </w:rPr>
        <w:t>tenue</w:t>
      </w:r>
      <w:proofErr w:type="gramEnd"/>
      <w:r>
        <w:rPr>
          <w:lang w:val="fr-FR"/>
        </w:rPr>
        <w:t xml:space="preserve"> à Genève </w:t>
      </w:r>
      <w:r w:rsidRPr="00C253AA">
        <w:rPr>
          <w:lang w:val="fr-FR"/>
        </w:rPr>
        <w:t>du 8 au 10 décembre 2021</w:t>
      </w:r>
    </w:p>
    <w:p w14:paraId="53CA44B3" w14:textId="34E4C87A" w:rsidR="00D05AE5" w:rsidRPr="00D05AE5" w:rsidRDefault="00D05AE5" w:rsidP="00D05AE5">
      <w:pPr>
        <w:spacing w:after="120"/>
        <w:rPr>
          <w:sz w:val="28"/>
        </w:rPr>
      </w:pPr>
      <w:r w:rsidRPr="00D05AE5">
        <w:rPr>
          <w:sz w:val="28"/>
        </w:rPr>
        <w:t>Table des matières</w:t>
      </w:r>
    </w:p>
    <w:p w14:paraId="47EBC92F" w14:textId="198F8D62" w:rsidR="00D05AE5" w:rsidRPr="00D05AE5" w:rsidRDefault="00D05AE5" w:rsidP="00D05AE5">
      <w:pPr>
        <w:tabs>
          <w:tab w:val="right" w:pos="8929"/>
          <w:tab w:val="right" w:pos="9638"/>
        </w:tabs>
        <w:spacing w:after="120"/>
        <w:ind w:left="283"/>
        <w:rPr>
          <w:i/>
          <w:sz w:val="18"/>
        </w:rPr>
      </w:pPr>
      <w:r w:rsidRPr="00D05AE5">
        <w:rPr>
          <w:i/>
          <w:sz w:val="18"/>
        </w:rPr>
        <w:tab/>
        <w:t>Paragraphes</w:t>
      </w:r>
      <w:r w:rsidRPr="00D05AE5">
        <w:rPr>
          <w:i/>
          <w:sz w:val="18"/>
        </w:rPr>
        <w:tab/>
        <w:t>Page</w:t>
      </w:r>
    </w:p>
    <w:p w14:paraId="54A323C4" w14:textId="4EF26A63" w:rsidR="00D05AE5" w:rsidRDefault="00D05AE5" w:rsidP="00D05AE5">
      <w:pPr>
        <w:tabs>
          <w:tab w:val="right" w:pos="850"/>
          <w:tab w:val="right" w:leader="dot" w:pos="7654"/>
          <w:tab w:val="right" w:pos="8929"/>
          <w:tab w:val="right" w:pos="9638"/>
        </w:tabs>
        <w:spacing w:after="120"/>
        <w:ind w:left="1134" w:hanging="1134"/>
      </w:pPr>
      <w:r>
        <w:tab/>
        <w:t>I.</w:t>
      </w:r>
      <w:r>
        <w:tab/>
      </w:r>
      <w:r w:rsidR="0095533C">
        <w:rPr>
          <w:lang w:val="fr-FR"/>
        </w:rPr>
        <w:t>Participation</w:t>
      </w:r>
      <w:r>
        <w:tab/>
      </w:r>
      <w:r>
        <w:tab/>
      </w:r>
      <w:r w:rsidR="0095533C">
        <w:t>1−6</w:t>
      </w:r>
      <w:r>
        <w:tab/>
      </w:r>
      <w:r w:rsidR="00E85218">
        <w:t>3</w:t>
      </w:r>
    </w:p>
    <w:p w14:paraId="2F91482B" w14:textId="5CE12813" w:rsidR="00D54306" w:rsidRDefault="00D54306" w:rsidP="00D05AE5">
      <w:pPr>
        <w:tabs>
          <w:tab w:val="right" w:pos="850"/>
          <w:tab w:val="right" w:leader="dot" w:pos="7654"/>
          <w:tab w:val="right" w:pos="8929"/>
          <w:tab w:val="right" w:pos="9638"/>
        </w:tabs>
        <w:spacing w:after="120"/>
        <w:ind w:left="1134" w:hanging="1134"/>
        <w:rPr>
          <w:lang w:val="fr-FR"/>
        </w:rPr>
      </w:pPr>
      <w:r>
        <w:tab/>
        <w:t>II.</w:t>
      </w:r>
      <w:r>
        <w:tab/>
      </w:r>
      <w:r>
        <w:rPr>
          <w:lang w:val="fr-FR"/>
        </w:rPr>
        <w:t>Adoption de l</w:t>
      </w:r>
      <w:r w:rsidR="009657CE">
        <w:rPr>
          <w:lang w:val="fr-FR"/>
        </w:rPr>
        <w:t>’</w:t>
      </w:r>
      <w:r>
        <w:rPr>
          <w:lang w:val="fr-FR"/>
        </w:rPr>
        <w:t>ordre du jour (point 1 de l</w:t>
      </w:r>
      <w:r w:rsidR="009657CE">
        <w:rPr>
          <w:lang w:val="fr-FR"/>
        </w:rPr>
        <w:t>’</w:t>
      </w:r>
      <w:r>
        <w:rPr>
          <w:lang w:val="fr-FR"/>
        </w:rPr>
        <w:t>ordre du jour)</w:t>
      </w:r>
      <w:r>
        <w:rPr>
          <w:lang w:val="fr-FR"/>
        </w:rPr>
        <w:tab/>
      </w:r>
      <w:r>
        <w:rPr>
          <w:lang w:val="fr-FR"/>
        </w:rPr>
        <w:tab/>
        <w:t>7−8</w:t>
      </w:r>
      <w:r>
        <w:rPr>
          <w:lang w:val="fr-FR"/>
        </w:rPr>
        <w:tab/>
      </w:r>
      <w:r w:rsidR="00E85218">
        <w:rPr>
          <w:lang w:val="fr-FR"/>
        </w:rPr>
        <w:t>3</w:t>
      </w:r>
    </w:p>
    <w:p w14:paraId="2F2A1F06" w14:textId="5A4279DD" w:rsidR="00D54306" w:rsidRDefault="00D54306" w:rsidP="00D05AE5">
      <w:pPr>
        <w:tabs>
          <w:tab w:val="right" w:pos="850"/>
          <w:tab w:val="right" w:leader="dot" w:pos="7654"/>
          <w:tab w:val="right" w:pos="8929"/>
          <w:tab w:val="right" w:pos="9638"/>
        </w:tabs>
        <w:spacing w:after="120"/>
        <w:ind w:left="1134" w:hanging="1134"/>
      </w:pPr>
      <w:r>
        <w:rPr>
          <w:lang w:val="fr-FR"/>
        </w:rPr>
        <w:tab/>
        <w:t>III.</w:t>
      </w:r>
      <w:r>
        <w:rPr>
          <w:lang w:val="fr-FR"/>
        </w:rPr>
        <w:tab/>
        <w:t>Travaux relatifs au Système général harmonisé de classification et d</w:t>
      </w:r>
      <w:r w:rsidR="009657CE">
        <w:rPr>
          <w:lang w:val="fr-FR"/>
        </w:rPr>
        <w:t>’</w:t>
      </w:r>
      <w:r>
        <w:rPr>
          <w:lang w:val="fr-FR"/>
        </w:rPr>
        <w:t xml:space="preserve">étiquetage </w:t>
      </w:r>
      <w:r>
        <w:rPr>
          <w:lang w:val="fr-FR"/>
        </w:rPr>
        <w:br/>
        <w:t>des produits chimiques (point 2 de l</w:t>
      </w:r>
      <w:r w:rsidR="009657CE">
        <w:rPr>
          <w:lang w:val="fr-FR"/>
        </w:rPr>
        <w:t>’</w:t>
      </w:r>
      <w:r>
        <w:rPr>
          <w:lang w:val="fr-FR"/>
        </w:rPr>
        <w:t>ordre du jour)</w:t>
      </w:r>
      <w:r>
        <w:rPr>
          <w:lang w:val="fr-FR"/>
        </w:rPr>
        <w:tab/>
      </w:r>
      <w:r>
        <w:rPr>
          <w:lang w:val="fr-FR"/>
        </w:rPr>
        <w:tab/>
        <w:t>9−32</w:t>
      </w:r>
      <w:r>
        <w:rPr>
          <w:lang w:val="fr-FR"/>
        </w:rPr>
        <w:tab/>
      </w:r>
      <w:r w:rsidR="00E85218">
        <w:rPr>
          <w:lang w:val="fr-FR"/>
        </w:rPr>
        <w:t>4</w:t>
      </w:r>
    </w:p>
    <w:p w14:paraId="395A543E" w14:textId="07AD2432" w:rsidR="00D05AE5" w:rsidRDefault="00D05AE5" w:rsidP="00D05AE5">
      <w:pPr>
        <w:tabs>
          <w:tab w:val="right" w:leader="dot" w:pos="7654"/>
          <w:tab w:val="right" w:pos="8929"/>
          <w:tab w:val="right" w:pos="9638"/>
        </w:tabs>
        <w:spacing w:after="120"/>
        <w:ind w:left="1559" w:hanging="425"/>
      </w:pPr>
      <w:r>
        <w:t>A.</w:t>
      </w:r>
      <w:r>
        <w:tab/>
      </w:r>
      <w:r w:rsidR="00D54306">
        <w:rPr>
          <w:lang w:val="fr-FR"/>
        </w:rPr>
        <w:t>Travaux du Sous-Comité d</w:t>
      </w:r>
      <w:r w:rsidR="009657CE">
        <w:rPr>
          <w:lang w:val="fr-FR"/>
        </w:rPr>
        <w:t>’</w:t>
      </w:r>
      <w:r w:rsidR="00D54306">
        <w:rPr>
          <w:lang w:val="fr-FR"/>
        </w:rPr>
        <w:t xml:space="preserve">experts du transport des marchandises </w:t>
      </w:r>
      <w:r w:rsidR="00D54306">
        <w:rPr>
          <w:lang w:val="fr-FR"/>
        </w:rPr>
        <w:br/>
        <w:t xml:space="preserve">dangereuses (Sous-Comité TMD) sur des questions </w:t>
      </w:r>
      <w:r w:rsidR="00D54306">
        <w:rPr>
          <w:lang w:val="fr-FR"/>
        </w:rPr>
        <w:br/>
        <w:t>intéressant le Sous-Comité SGH</w:t>
      </w:r>
      <w:r>
        <w:tab/>
      </w:r>
      <w:r>
        <w:tab/>
      </w:r>
      <w:r w:rsidR="00D54306">
        <w:t>9−10</w:t>
      </w:r>
      <w:r>
        <w:tab/>
      </w:r>
      <w:r w:rsidR="00E85218">
        <w:t>4</w:t>
      </w:r>
    </w:p>
    <w:p w14:paraId="76A37F00" w14:textId="4585F347" w:rsidR="00D54306" w:rsidRDefault="00D54306" w:rsidP="00D05AE5">
      <w:pPr>
        <w:tabs>
          <w:tab w:val="right" w:leader="dot" w:pos="7654"/>
          <w:tab w:val="right" w:pos="8929"/>
          <w:tab w:val="right" w:pos="9638"/>
        </w:tabs>
        <w:spacing w:after="120"/>
        <w:ind w:left="1559" w:hanging="425"/>
        <w:rPr>
          <w:lang w:val="fr-FR"/>
        </w:rPr>
      </w:pPr>
      <w:r>
        <w:t>B.</w:t>
      </w:r>
      <w:r>
        <w:tab/>
      </w:r>
      <w:r>
        <w:rPr>
          <w:lang w:val="fr-FR"/>
        </w:rPr>
        <w:t xml:space="preserve">Classification simultanée dans les classes de danger physique </w:t>
      </w:r>
      <w:r>
        <w:rPr>
          <w:lang w:val="fr-FR"/>
        </w:rPr>
        <w:br/>
        <w:t>et ordre de prépondérance des dangers</w:t>
      </w:r>
      <w:r>
        <w:rPr>
          <w:lang w:val="fr-FR"/>
        </w:rPr>
        <w:tab/>
      </w:r>
      <w:r>
        <w:rPr>
          <w:lang w:val="fr-FR"/>
        </w:rPr>
        <w:tab/>
        <w:t>11−13</w:t>
      </w:r>
      <w:r>
        <w:rPr>
          <w:lang w:val="fr-FR"/>
        </w:rPr>
        <w:tab/>
      </w:r>
      <w:r w:rsidR="00E85218">
        <w:rPr>
          <w:lang w:val="fr-FR"/>
        </w:rPr>
        <w:t>4</w:t>
      </w:r>
    </w:p>
    <w:p w14:paraId="5D3DD7FE" w14:textId="26FBB99D" w:rsidR="00D54306" w:rsidRDefault="00D54306" w:rsidP="00D05AE5">
      <w:pPr>
        <w:tabs>
          <w:tab w:val="right" w:leader="dot" w:pos="7654"/>
          <w:tab w:val="right" w:pos="8929"/>
          <w:tab w:val="right" w:pos="9638"/>
        </w:tabs>
        <w:spacing w:after="120"/>
        <w:ind w:left="1559" w:hanging="425"/>
        <w:rPr>
          <w:lang w:val="fr-FR"/>
        </w:rPr>
      </w:pPr>
      <w:r>
        <w:rPr>
          <w:lang w:val="fr-FR"/>
        </w:rPr>
        <w:t>C.</w:t>
      </w:r>
      <w:r>
        <w:rPr>
          <w:lang w:val="fr-FR"/>
        </w:rPr>
        <w:tab/>
        <w:t>Utilisation de méthodes d</w:t>
      </w:r>
      <w:r w:rsidR="009657CE">
        <w:rPr>
          <w:lang w:val="fr-FR"/>
        </w:rPr>
        <w:t>’</w:t>
      </w:r>
      <w:r>
        <w:rPr>
          <w:lang w:val="fr-FR"/>
        </w:rPr>
        <w:t xml:space="preserve">expérimentation non animales </w:t>
      </w:r>
      <w:r>
        <w:rPr>
          <w:lang w:val="fr-FR"/>
        </w:rPr>
        <w:br/>
        <w:t>pour le classement des dangers pour la santé</w:t>
      </w:r>
      <w:r>
        <w:rPr>
          <w:lang w:val="fr-FR"/>
        </w:rPr>
        <w:tab/>
      </w:r>
      <w:r>
        <w:rPr>
          <w:lang w:val="fr-FR"/>
        </w:rPr>
        <w:tab/>
        <w:t>14−16</w:t>
      </w:r>
      <w:r>
        <w:rPr>
          <w:lang w:val="fr-FR"/>
        </w:rPr>
        <w:tab/>
      </w:r>
      <w:r w:rsidR="00E85218">
        <w:rPr>
          <w:lang w:val="fr-FR"/>
        </w:rPr>
        <w:t>4</w:t>
      </w:r>
    </w:p>
    <w:p w14:paraId="395D2D42" w14:textId="3295EFEF" w:rsidR="00D54306" w:rsidRDefault="00D54306" w:rsidP="00D05AE5">
      <w:pPr>
        <w:tabs>
          <w:tab w:val="right" w:leader="dot" w:pos="7654"/>
          <w:tab w:val="right" w:pos="8929"/>
          <w:tab w:val="right" w:pos="9638"/>
        </w:tabs>
        <w:spacing w:after="120"/>
        <w:ind w:left="1559" w:hanging="425"/>
        <w:rPr>
          <w:lang w:val="fr-FR"/>
        </w:rPr>
      </w:pPr>
      <w:r>
        <w:rPr>
          <w:lang w:val="fr-FR"/>
        </w:rPr>
        <w:t>D.</w:t>
      </w:r>
      <w:r>
        <w:rPr>
          <w:lang w:val="fr-FR"/>
        </w:rPr>
        <w:tab/>
        <w:t>Classification des sensibilisants cutanés à l</w:t>
      </w:r>
      <w:r w:rsidR="009657CE">
        <w:rPr>
          <w:lang w:val="fr-FR"/>
        </w:rPr>
        <w:t>’</w:t>
      </w:r>
      <w:r>
        <w:rPr>
          <w:lang w:val="fr-FR"/>
        </w:rPr>
        <w:t xml:space="preserve">aide des résultats </w:t>
      </w:r>
      <w:r>
        <w:rPr>
          <w:lang w:val="fr-FR"/>
        </w:rPr>
        <w:br/>
        <w:t>des méthodes d</w:t>
      </w:r>
      <w:r w:rsidR="009657CE">
        <w:rPr>
          <w:lang w:val="fr-FR"/>
        </w:rPr>
        <w:t>’</w:t>
      </w:r>
      <w:r>
        <w:rPr>
          <w:lang w:val="fr-FR"/>
        </w:rPr>
        <w:t xml:space="preserve">essai des tests des ganglions lymphatiques </w:t>
      </w:r>
      <w:r>
        <w:rPr>
          <w:lang w:val="fr-FR"/>
        </w:rPr>
        <w:br/>
        <w:t>locaux conformément à la ligne directrice de l</w:t>
      </w:r>
      <w:r w:rsidR="009657CE">
        <w:rPr>
          <w:lang w:val="fr-FR"/>
        </w:rPr>
        <w:t>’</w:t>
      </w:r>
      <w:r>
        <w:rPr>
          <w:lang w:val="fr-FR"/>
        </w:rPr>
        <w:t>OCDE 442B</w:t>
      </w:r>
      <w:r>
        <w:rPr>
          <w:lang w:val="fr-FR"/>
        </w:rPr>
        <w:tab/>
      </w:r>
      <w:r>
        <w:rPr>
          <w:lang w:val="fr-FR"/>
        </w:rPr>
        <w:tab/>
        <w:t>17−18</w:t>
      </w:r>
      <w:r>
        <w:rPr>
          <w:lang w:val="fr-FR"/>
        </w:rPr>
        <w:tab/>
      </w:r>
      <w:r w:rsidR="00E85218">
        <w:rPr>
          <w:lang w:val="fr-FR"/>
        </w:rPr>
        <w:t>5</w:t>
      </w:r>
    </w:p>
    <w:p w14:paraId="2E1EDFC0" w14:textId="2C70B13A" w:rsidR="00D54306" w:rsidRDefault="00D54306" w:rsidP="00D05AE5">
      <w:pPr>
        <w:tabs>
          <w:tab w:val="right" w:leader="dot" w:pos="7654"/>
          <w:tab w:val="right" w:pos="8929"/>
          <w:tab w:val="right" w:pos="9638"/>
        </w:tabs>
        <w:spacing w:after="120"/>
        <w:ind w:left="1559" w:hanging="425"/>
        <w:rPr>
          <w:lang w:val="fr-FR"/>
        </w:rPr>
      </w:pPr>
      <w:r>
        <w:rPr>
          <w:lang w:val="fr-FR"/>
        </w:rPr>
        <w:t>E.</w:t>
      </w:r>
      <w:r>
        <w:rPr>
          <w:lang w:val="fr-FR"/>
        </w:rPr>
        <w:tab/>
      </w:r>
      <w:r w:rsidRPr="007335CE">
        <w:rPr>
          <w:lang w:val="fr-FR"/>
        </w:rPr>
        <w:t>Critères de classification de la mutagénicité sur les cellules germinales</w:t>
      </w:r>
      <w:r>
        <w:rPr>
          <w:lang w:val="fr-FR"/>
        </w:rPr>
        <w:tab/>
      </w:r>
      <w:r>
        <w:rPr>
          <w:lang w:val="fr-FR"/>
        </w:rPr>
        <w:tab/>
        <w:t>19</w:t>
      </w:r>
      <w:r>
        <w:rPr>
          <w:lang w:val="fr-FR"/>
        </w:rPr>
        <w:tab/>
      </w:r>
      <w:r w:rsidR="00E85218">
        <w:rPr>
          <w:lang w:val="fr-FR"/>
        </w:rPr>
        <w:t>6</w:t>
      </w:r>
    </w:p>
    <w:p w14:paraId="02C856A7" w14:textId="7A4BD728" w:rsidR="00D54306" w:rsidRDefault="00D54306" w:rsidP="00D05AE5">
      <w:pPr>
        <w:tabs>
          <w:tab w:val="right" w:leader="dot" w:pos="7654"/>
          <w:tab w:val="right" w:pos="8929"/>
          <w:tab w:val="right" w:pos="9638"/>
        </w:tabs>
        <w:spacing w:after="120"/>
        <w:ind w:left="1559" w:hanging="425"/>
        <w:rPr>
          <w:lang w:val="fr-FR"/>
        </w:rPr>
      </w:pPr>
      <w:r>
        <w:t>F.</w:t>
      </w:r>
      <w:r>
        <w:tab/>
      </w:r>
      <w:r w:rsidRPr="007335CE">
        <w:rPr>
          <w:lang w:val="fr-FR"/>
        </w:rPr>
        <w:t>Questions pratiques de classification (amendements proposés au SGH)</w:t>
      </w:r>
      <w:r>
        <w:rPr>
          <w:lang w:val="fr-FR"/>
        </w:rPr>
        <w:tab/>
      </w:r>
      <w:r>
        <w:rPr>
          <w:lang w:val="fr-FR"/>
        </w:rPr>
        <w:tab/>
        <w:t>20−21</w:t>
      </w:r>
      <w:r>
        <w:rPr>
          <w:lang w:val="fr-FR"/>
        </w:rPr>
        <w:tab/>
      </w:r>
      <w:r w:rsidR="00E85218">
        <w:rPr>
          <w:lang w:val="fr-FR"/>
        </w:rPr>
        <w:t>6</w:t>
      </w:r>
    </w:p>
    <w:p w14:paraId="72A77556" w14:textId="4A8A189C" w:rsidR="00D54306" w:rsidRDefault="00D54306" w:rsidP="00D05AE5">
      <w:pPr>
        <w:tabs>
          <w:tab w:val="right" w:leader="dot" w:pos="7654"/>
          <w:tab w:val="right" w:pos="8929"/>
          <w:tab w:val="right" w:pos="9638"/>
        </w:tabs>
        <w:spacing w:after="120"/>
        <w:ind w:left="1559" w:hanging="425"/>
        <w:rPr>
          <w:lang w:val="fr-FR"/>
        </w:rPr>
      </w:pPr>
      <w:r>
        <w:rPr>
          <w:lang w:val="fr-FR"/>
        </w:rPr>
        <w:t>G.</w:t>
      </w:r>
      <w:r>
        <w:rPr>
          <w:lang w:val="fr-FR"/>
        </w:rPr>
        <w:tab/>
      </w:r>
      <w:r w:rsidRPr="007335CE">
        <w:rPr>
          <w:lang w:val="fr-FR"/>
        </w:rPr>
        <w:t>Nanomatériaux</w:t>
      </w:r>
      <w:r>
        <w:rPr>
          <w:lang w:val="fr-FR"/>
        </w:rPr>
        <w:tab/>
      </w:r>
      <w:r>
        <w:rPr>
          <w:lang w:val="fr-FR"/>
        </w:rPr>
        <w:tab/>
        <w:t>22</w:t>
      </w:r>
      <w:r>
        <w:rPr>
          <w:lang w:val="fr-FR"/>
        </w:rPr>
        <w:tab/>
      </w:r>
      <w:r w:rsidR="00E85218">
        <w:rPr>
          <w:lang w:val="fr-FR"/>
        </w:rPr>
        <w:t>6</w:t>
      </w:r>
    </w:p>
    <w:p w14:paraId="3FBC4E26" w14:textId="2EDEF4E9" w:rsidR="00D54306" w:rsidRDefault="00D54306" w:rsidP="00D05AE5">
      <w:pPr>
        <w:tabs>
          <w:tab w:val="right" w:leader="dot" w:pos="7654"/>
          <w:tab w:val="right" w:pos="8929"/>
          <w:tab w:val="right" w:pos="9638"/>
        </w:tabs>
        <w:spacing w:after="120"/>
        <w:ind w:left="1559" w:hanging="425"/>
        <w:rPr>
          <w:lang w:val="fr-FR"/>
        </w:rPr>
      </w:pPr>
      <w:r>
        <w:rPr>
          <w:lang w:val="fr-FR"/>
        </w:rPr>
        <w:t>H.</w:t>
      </w:r>
      <w:r>
        <w:rPr>
          <w:lang w:val="fr-FR"/>
        </w:rPr>
        <w:tab/>
      </w:r>
      <w:r w:rsidRPr="00D54306">
        <w:rPr>
          <w:lang w:val="fr-FR"/>
        </w:rPr>
        <w:t xml:space="preserve">Amélioration des annexes 1 à 3 et poursuite de la rationalisation </w:t>
      </w:r>
      <w:r w:rsidRPr="00D54306">
        <w:rPr>
          <w:lang w:val="fr-FR"/>
        </w:rPr>
        <w:br/>
        <w:t>des conseils de prudence</w:t>
      </w:r>
      <w:r>
        <w:rPr>
          <w:lang w:val="fr-FR"/>
        </w:rPr>
        <w:tab/>
      </w:r>
      <w:r>
        <w:rPr>
          <w:lang w:val="fr-FR"/>
        </w:rPr>
        <w:tab/>
        <w:t>23−27</w:t>
      </w:r>
      <w:r>
        <w:rPr>
          <w:lang w:val="fr-FR"/>
        </w:rPr>
        <w:tab/>
      </w:r>
      <w:r w:rsidR="00E85218">
        <w:rPr>
          <w:lang w:val="fr-FR"/>
        </w:rPr>
        <w:t>6</w:t>
      </w:r>
    </w:p>
    <w:p w14:paraId="5A41D07B" w14:textId="3A665920" w:rsidR="00D54306" w:rsidRDefault="00A24296" w:rsidP="00D05AE5">
      <w:pPr>
        <w:tabs>
          <w:tab w:val="right" w:leader="dot" w:pos="7654"/>
          <w:tab w:val="right" w:pos="8929"/>
          <w:tab w:val="right" w:pos="9638"/>
        </w:tabs>
        <w:spacing w:after="120"/>
        <w:ind w:left="1559" w:hanging="425"/>
        <w:rPr>
          <w:lang w:val="fr-FR"/>
        </w:rPr>
      </w:pPr>
      <w:r>
        <w:rPr>
          <w:lang w:val="fr-FR"/>
        </w:rPr>
        <w:t>I.</w:t>
      </w:r>
      <w:r>
        <w:rPr>
          <w:lang w:val="fr-FR"/>
        </w:rPr>
        <w:tab/>
      </w:r>
      <w:r w:rsidRPr="007335CE">
        <w:rPr>
          <w:lang w:val="fr-FR"/>
        </w:rPr>
        <w:t>Autres questions</w:t>
      </w:r>
      <w:r>
        <w:rPr>
          <w:lang w:val="fr-FR"/>
        </w:rPr>
        <w:tab/>
      </w:r>
      <w:r>
        <w:rPr>
          <w:lang w:val="fr-FR"/>
        </w:rPr>
        <w:tab/>
        <w:t>28−32</w:t>
      </w:r>
      <w:r>
        <w:rPr>
          <w:lang w:val="fr-FR"/>
        </w:rPr>
        <w:tab/>
      </w:r>
      <w:r w:rsidR="00E85218">
        <w:rPr>
          <w:lang w:val="fr-FR"/>
        </w:rPr>
        <w:t>7</w:t>
      </w:r>
    </w:p>
    <w:p w14:paraId="69A20083" w14:textId="0375E93C" w:rsidR="00D05AE5" w:rsidRDefault="00D05AE5" w:rsidP="00D05AE5">
      <w:pPr>
        <w:tabs>
          <w:tab w:val="right" w:leader="dot" w:pos="7654"/>
          <w:tab w:val="right" w:pos="8929"/>
          <w:tab w:val="right" w:pos="9638"/>
        </w:tabs>
        <w:spacing w:after="120"/>
        <w:ind w:left="1984" w:hanging="425"/>
      </w:pPr>
      <w:r>
        <w:t>1.</w:t>
      </w:r>
      <w:r>
        <w:tab/>
      </w:r>
      <w:r w:rsidR="00A24296" w:rsidRPr="007335CE">
        <w:rPr>
          <w:lang w:val="fr-FR"/>
        </w:rPr>
        <w:t>Matières explosibles désensibilisées</w:t>
      </w:r>
      <w:r>
        <w:tab/>
      </w:r>
      <w:r>
        <w:tab/>
      </w:r>
      <w:r w:rsidR="00A24296">
        <w:t>28−31</w:t>
      </w:r>
      <w:r>
        <w:tab/>
      </w:r>
      <w:r w:rsidR="00E85218">
        <w:t>7</w:t>
      </w:r>
    </w:p>
    <w:p w14:paraId="196383EA" w14:textId="5D8156A5" w:rsidR="00A24296" w:rsidRDefault="00A24296" w:rsidP="00D05AE5">
      <w:pPr>
        <w:tabs>
          <w:tab w:val="right" w:leader="dot" w:pos="7654"/>
          <w:tab w:val="right" w:pos="8929"/>
          <w:tab w:val="right" w:pos="9638"/>
        </w:tabs>
        <w:spacing w:after="120"/>
        <w:ind w:left="1984" w:hanging="425"/>
        <w:rPr>
          <w:lang w:val="fr-FR"/>
        </w:rPr>
      </w:pPr>
      <w:r>
        <w:t>2.</w:t>
      </w:r>
      <w:r>
        <w:tab/>
      </w:r>
      <w:r>
        <w:rPr>
          <w:lang w:val="fr-FR"/>
        </w:rPr>
        <w:t>R</w:t>
      </w:r>
      <w:r w:rsidRPr="007335CE">
        <w:rPr>
          <w:lang w:val="fr-FR"/>
        </w:rPr>
        <w:t>ectificatif à la neuvième édition révisée du SGH</w:t>
      </w:r>
      <w:r>
        <w:rPr>
          <w:lang w:val="fr-FR"/>
        </w:rPr>
        <w:tab/>
      </w:r>
      <w:r>
        <w:rPr>
          <w:lang w:val="fr-FR"/>
        </w:rPr>
        <w:tab/>
        <w:t>32</w:t>
      </w:r>
      <w:r>
        <w:rPr>
          <w:lang w:val="fr-FR"/>
        </w:rPr>
        <w:tab/>
      </w:r>
      <w:r w:rsidR="00E85218">
        <w:rPr>
          <w:lang w:val="fr-FR"/>
        </w:rPr>
        <w:t>8</w:t>
      </w:r>
    </w:p>
    <w:p w14:paraId="10E0877C" w14:textId="6EA35B48" w:rsidR="00A24296" w:rsidRDefault="00644DF1" w:rsidP="007509B0">
      <w:pPr>
        <w:keepNext/>
        <w:tabs>
          <w:tab w:val="right" w:pos="850"/>
          <w:tab w:val="right" w:leader="dot" w:pos="7654"/>
          <w:tab w:val="right" w:pos="8929"/>
          <w:tab w:val="right" w:pos="9638"/>
        </w:tabs>
        <w:spacing w:after="120"/>
        <w:ind w:left="1134" w:hanging="1134"/>
        <w:rPr>
          <w:lang w:val="fr-FR"/>
        </w:rPr>
      </w:pPr>
      <w:r>
        <w:lastRenderedPageBreak/>
        <w:tab/>
        <w:t>IV.</w:t>
      </w:r>
      <w:r>
        <w:tab/>
      </w:r>
      <w:r>
        <w:rPr>
          <w:lang w:val="fr-FR"/>
        </w:rPr>
        <w:t>Application du SGH (point 3 de l</w:t>
      </w:r>
      <w:r w:rsidR="009657CE">
        <w:rPr>
          <w:lang w:val="fr-FR"/>
        </w:rPr>
        <w:t>’</w:t>
      </w:r>
      <w:r>
        <w:rPr>
          <w:lang w:val="fr-FR"/>
        </w:rPr>
        <w:t>ordre du jour)</w:t>
      </w:r>
      <w:r>
        <w:rPr>
          <w:lang w:val="fr-FR"/>
        </w:rPr>
        <w:tab/>
      </w:r>
      <w:r>
        <w:rPr>
          <w:lang w:val="fr-FR"/>
        </w:rPr>
        <w:tab/>
        <w:t>33−44</w:t>
      </w:r>
      <w:r>
        <w:rPr>
          <w:lang w:val="fr-FR"/>
        </w:rPr>
        <w:tab/>
      </w:r>
      <w:r w:rsidR="00E85218">
        <w:rPr>
          <w:lang w:val="fr-FR"/>
        </w:rPr>
        <w:t>8</w:t>
      </w:r>
    </w:p>
    <w:p w14:paraId="61A5BC41" w14:textId="5657E52C" w:rsidR="00644DF1" w:rsidRDefault="00644DF1" w:rsidP="007509B0">
      <w:pPr>
        <w:keepNext/>
        <w:tabs>
          <w:tab w:val="right" w:leader="dot" w:pos="7654"/>
          <w:tab w:val="right" w:pos="8929"/>
          <w:tab w:val="right" w:pos="9638"/>
        </w:tabs>
        <w:spacing w:after="120"/>
        <w:ind w:left="1559" w:hanging="425"/>
        <w:rPr>
          <w:lang w:val="fr-FR"/>
        </w:rPr>
      </w:pPr>
      <w:r>
        <w:t>A.</w:t>
      </w:r>
      <w:r>
        <w:tab/>
      </w:r>
      <w:r>
        <w:rPr>
          <w:lang w:val="fr-FR"/>
        </w:rPr>
        <w:t>Élaboration éventuelle d</w:t>
      </w:r>
      <w:r w:rsidR="009657CE">
        <w:rPr>
          <w:lang w:val="fr-FR"/>
        </w:rPr>
        <w:t>’</w:t>
      </w:r>
      <w:r>
        <w:rPr>
          <w:lang w:val="fr-FR"/>
        </w:rPr>
        <w:t xml:space="preserve">une liste de produits chimiques classés </w:t>
      </w:r>
      <w:r>
        <w:rPr>
          <w:lang w:val="fr-FR"/>
        </w:rPr>
        <w:br/>
        <w:t>conformément au SGH</w:t>
      </w:r>
      <w:r>
        <w:rPr>
          <w:lang w:val="fr-FR"/>
        </w:rPr>
        <w:tab/>
      </w:r>
      <w:r>
        <w:rPr>
          <w:lang w:val="fr-FR"/>
        </w:rPr>
        <w:tab/>
        <w:t>33−34</w:t>
      </w:r>
      <w:r>
        <w:rPr>
          <w:lang w:val="fr-FR"/>
        </w:rPr>
        <w:tab/>
      </w:r>
      <w:r w:rsidR="00E85218">
        <w:rPr>
          <w:lang w:val="fr-FR"/>
        </w:rPr>
        <w:t>8</w:t>
      </w:r>
    </w:p>
    <w:p w14:paraId="75B5FAD5" w14:textId="60F34958" w:rsidR="00644DF1" w:rsidRDefault="00644DF1" w:rsidP="00644DF1">
      <w:pPr>
        <w:tabs>
          <w:tab w:val="right" w:leader="dot" w:pos="7654"/>
          <w:tab w:val="right" w:pos="8929"/>
          <w:tab w:val="right" w:pos="9638"/>
        </w:tabs>
        <w:spacing w:after="120"/>
        <w:ind w:left="1559" w:hanging="425"/>
        <w:rPr>
          <w:lang w:val="fr-FR"/>
        </w:rPr>
      </w:pPr>
      <w:r>
        <w:rPr>
          <w:lang w:val="fr-FR"/>
        </w:rPr>
        <w:t>B.</w:t>
      </w:r>
      <w:r>
        <w:rPr>
          <w:lang w:val="fr-FR"/>
        </w:rPr>
        <w:tab/>
        <w:t>Rapports sur l</w:t>
      </w:r>
      <w:r w:rsidR="009657CE">
        <w:rPr>
          <w:lang w:val="fr-FR"/>
        </w:rPr>
        <w:t>’</w:t>
      </w:r>
      <w:r>
        <w:rPr>
          <w:lang w:val="fr-FR"/>
        </w:rPr>
        <w:t>application du SGH</w:t>
      </w:r>
      <w:r>
        <w:rPr>
          <w:lang w:val="fr-FR"/>
        </w:rPr>
        <w:tab/>
      </w:r>
      <w:r>
        <w:rPr>
          <w:lang w:val="fr-FR"/>
        </w:rPr>
        <w:tab/>
        <w:t>35−39</w:t>
      </w:r>
      <w:r>
        <w:rPr>
          <w:lang w:val="fr-FR"/>
        </w:rPr>
        <w:tab/>
      </w:r>
      <w:r w:rsidR="00E85218">
        <w:rPr>
          <w:lang w:val="fr-FR"/>
        </w:rPr>
        <w:t>8</w:t>
      </w:r>
    </w:p>
    <w:p w14:paraId="3FA4FE38" w14:textId="074D256E" w:rsidR="00644DF1" w:rsidRDefault="00644DF1" w:rsidP="00644DF1">
      <w:pPr>
        <w:tabs>
          <w:tab w:val="right" w:leader="dot" w:pos="7654"/>
          <w:tab w:val="right" w:pos="8929"/>
          <w:tab w:val="right" w:pos="9638"/>
        </w:tabs>
        <w:spacing w:after="120"/>
        <w:ind w:left="1984" w:hanging="425"/>
        <w:rPr>
          <w:lang w:val="fr-FR"/>
        </w:rPr>
      </w:pPr>
      <w:r>
        <w:rPr>
          <w:lang w:val="fr-FR"/>
        </w:rPr>
        <w:t>1.</w:t>
      </w:r>
      <w:r>
        <w:rPr>
          <w:lang w:val="fr-FR"/>
        </w:rPr>
        <w:tab/>
        <w:t>États-Unis d</w:t>
      </w:r>
      <w:r w:rsidR="009657CE">
        <w:rPr>
          <w:lang w:val="fr-FR"/>
        </w:rPr>
        <w:t>’</w:t>
      </w:r>
      <w:r>
        <w:rPr>
          <w:lang w:val="fr-FR"/>
        </w:rPr>
        <w:t>Amérique</w:t>
      </w:r>
      <w:r>
        <w:rPr>
          <w:lang w:val="fr-FR"/>
        </w:rPr>
        <w:tab/>
      </w:r>
      <w:r>
        <w:rPr>
          <w:lang w:val="fr-FR"/>
        </w:rPr>
        <w:tab/>
        <w:t>35</w:t>
      </w:r>
      <w:r>
        <w:rPr>
          <w:lang w:val="fr-FR"/>
        </w:rPr>
        <w:tab/>
      </w:r>
      <w:r w:rsidR="00E85218">
        <w:rPr>
          <w:lang w:val="fr-FR"/>
        </w:rPr>
        <w:t>8</w:t>
      </w:r>
    </w:p>
    <w:p w14:paraId="1E9EE87D" w14:textId="3D078A58" w:rsidR="00644DF1" w:rsidRDefault="00644DF1" w:rsidP="00644DF1">
      <w:pPr>
        <w:tabs>
          <w:tab w:val="right" w:leader="dot" w:pos="7654"/>
          <w:tab w:val="right" w:pos="8929"/>
          <w:tab w:val="right" w:pos="9638"/>
        </w:tabs>
        <w:spacing w:after="120"/>
        <w:ind w:left="1984" w:hanging="425"/>
        <w:rPr>
          <w:lang w:val="fr-FR"/>
        </w:rPr>
      </w:pPr>
      <w:r>
        <w:rPr>
          <w:lang w:val="fr-FR"/>
        </w:rPr>
        <w:t>2.</w:t>
      </w:r>
      <w:r>
        <w:rPr>
          <w:lang w:val="fr-FR"/>
        </w:rPr>
        <w:tab/>
        <w:t>Canada</w:t>
      </w:r>
      <w:r>
        <w:rPr>
          <w:lang w:val="fr-FR"/>
        </w:rPr>
        <w:tab/>
      </w:r>
      <w:r>
        <w:rPr>
          <w:lang w:val="fr-FR"/>
        </w:rPr>
        <w:tab/>
        <w:t>36</w:t>
      </w:r>
      <w:r>
        <w:rPr>
          <w:lang w:val="fr-FR"/>
        </w:rPr>
        <w:tab/>
      </w:r>
      <w:r w:rsidR="00E85218">
        <w:rPr>
          <w:lang w:val="fr-FR"/>
        </w:rPr>
        <w:t>9</w:t>
      </w:r>
    </w:p>
    <w:p w14:paraId="1FFDAFB2" w14:textId="655315DA" w:rsidR="00644DF1" w:rsidRDefault="00644DF1" w:rsidP="00644DF1">
      <w:pPr>
        <w:tabs>
          <w:tab w:val="right" w:leader="dot" w:pos="7654"/>
          <w:tab w:val="right" w:pos="8929"/>
          <w:tab w:val="right" w:pos="9638"/>
        </w:tabs>
        <w:spacing w:after="120"/>
        <w:ind w:left="1984" w:hanging="425"/>
        <w:rPr>
          <w:lang w:val="fr-FR"/>
        </w:rPr>
      </w:pPr>
      <w:r>
        <w:rPr>
          <w:lang w:val="fr-FR"/>
        </w:rPr>
        <w:t>3.</w:t>
      </w:r>
      <w:r>
        <w:rPr>
          <w:lang w:val="fr-FR"/>
        </w:rPr>
        <w:tab/>
        <w:t>Zambie</w:t>
      </w:r>
      <w:r>
        <w:rPr>
          <w:lang w:val="fr-FR"/>
        </w:rPr>
        <w:tab/>
      </w:r>
      <w:r>
        <w:rPr>
          <w:lang w:val="fr-FR"/>
        </w:rPr>
        <w:tab/>
        <w:t>37</w:t>
      </w:r>
      <w:r>
        <w:rPr>
          <w:lang w:val="fr-FR"/>
        </w:rPr>
        <w:tab/>
      </w:r>
      <w:r w:rsidR="00E85218">
        <w:rPr>
          <w:lang w:val="fr-FR"/>
        </w:rPr>
        <w:t>9</w:t>
      </w:r>
    </w:p>
    <w:p w14:paraId="63CFC98D" w14:textId="15E22B5C" w:rsidR="00644DF1" w:rsidRDefault="00644DF1" w:rsidP="00644DF1">
      <w:pPr>
        <w:tabs>
          <w:tab w:val="right" w:leader="dot" w:pos="7654"/>
          <w:tab w:val="right" w:pos="8929"/>
          <w:tab w:val="right" w:pos="9638"/>
        </w:tabs>
        <w:spacing w:after="120"/>
        <w:ind w:left="1984" w:hanging="425"/>
        <w:rPr>
          <w:lang w:val="fr-FR"/>
        </w:rPr>
      </w:pPr>
      <w:r>
        <w:rPr>
          <w:lang w:val="fr-FR"/>
        </w:rPr>
        <w:t>4.</w:t>
      </w:r>
      <w:r>
        <w:rPr>
          <w:lang w:val="fr-FR"/>
        </w:rPr>
        <w:tab/>
      </w:r>
      <w:r w:rsidRPr="005A7390">
        <w:rPr>
          <w:lang w:val="fr-FR"/>
        </w:rPr>
        <w:t>Stratégie de l</w:t>
      </w:r>
      <w:r w:rsidR="009657CE">
        <w:rPr>
          <w:lang w:val="fr-FR"/>
        </w:rPr>
        <w:t>’</w:t>
      </w:r>
      <w:r w:rsidRPr="005A7390">
        <w:rPr>
          <w:lang w:val="fr-FR"/>
        </w:rPr>
        <w:t>Union européenne en matière de produits chimiques</w:t>
      </w:r>
      <w:r>
        <w:rPr>
          <w:lang w:val="fr-FR"/>
        </w:rPr>
        <w:tab/>
      </w:r>
      <w:r>
        <w:rPr>
          <w:lang w:val="fr-FR"/>
        </w:rPr>
        <w:tab/>
        <w:t>38−39</w:t>
      </w:r>
      <w:r>
        <w:rPr>
          <w:lang w:val="fr-FR"/>
        </w:rPr>
        <w:tab/>
      </w:r>
      <w:r w:rsidR="00E85218">
        <w:rPr>
          <w:lang w:val="fr-FR"/>
        </w:rPr>
        <w:t>9</w:t>
      </w:r>
    </w:p>
    <w:p w14:paraId="40A20522" w14:textId="22913550" w:rsidR="00644DF1" w:rsidRDefault="00644DF1" w:rsidP="00644DF1">
      <w:pPr>
        <w:tabs>
          <w:tab w:val="right" w:leader="dot" w:pos="7654"/>
          <w:tab w:val="right" w:pos="8929"/>
          <w:tab w:val="right" w:pos="9638"/>
        </w:tabs>
        <w:spacing w:after="120"/>
        <w:ind w:left="1559" w:hanging="425"/>
        <w:rPr>
          <w:lang w:val="fr-FR"/>
        </w:rPr>
      </w:pPr>
      <w:r>
        <w:t>C.</w:t>
      </w:r>
      <w:r>
        <w:tab/>
      </w:r>
      <w:r>
        <w:rPr>
          <w:lang w:val="fr-FR"/>
        </w:rPr>
        <w:t>Coopération avec d</w:t>
      </w:r>
      <w:r w:rsidR="009657CE">
        <w:rPr>
          <w:lang w:val="fr-FR"/>
        </w:rPr>
        <w:t>’</w:t>
      </w:r>
      <w:r>
        <w:rPr>
          <w:lang w:val="fr-FR"/>
        </w:rPr>
        <w:t>autres organes ou organisations internationales</w:t>
      </w:r>
      <w:r>
        <w:rPr>
          <w:lang w:val="fr-FR"/>
        </w:rPr>
        <w:tab/>
      </w:r>
      <w:r>
        <w:rPr>
          <w:lang w:val="fr-FR"/>
        </w:rPr>
        <w:tab/>
        <w:t>40−41</w:t>
      </w:r>
      <w:r>
        <w:rPr>
          <w:lang w:val="fr-FR"/>
        </w:rPr>
        <w:tab/>
      </w:r>
      <w:r w:rsidR="00E85218">
        <w:rPr>
          <w:lang w:val="fr-FR"/>
        </w:rPr>
        <w:t>9</w:t>
      </w:r>
    </w:p>
    <w:p w14:paraId="7ADFB1E0" w14:textId="41666F4B" w:rsidR="00644DF1" w:rsidRDefault="005E6DE6" w:rsidP="00644DF1">
      <w:pPr>
        <w:tabs>
          <w:tab w:val="right" w:leader="dot" w:pos="7654"/>
          <w:tab w:val="right" w:pos="8929"/>
          <w:tab w:val="right" w:pos="9638"/>
        </w:tabs>
        <w:spacing w:after="120"/>
        <w:ind w:left="1559" w:hanging="425"/>
        <w:rPr>
          <w:lang w:val="fr-FR"/>
        </w:rPr>
      </w:pPr>
      <w:r>
        <w:rPr>
          <w:lang w:val="fr-FR"/>
        </w:rPr>
        <w:t>D.</w:t>
      </w:r>
      <w:r>
        <w:rPr>
          <w:lang w:val="fr-FR"/>
        </w:rPr>
        <w:tab/>
        <w:t>Autres questions</w:t>
      </w:r>
      <w:r>
        <w:rPr>
          <w:lang w:val="fr-FR"/>
        </w:rPr>
        <w:tab/>
      </w:r>
      <w:r>
        <w:rPr>
          <w:lang w:val="fr-FR"/>
        </w:rPr>
        <w:tab/>
        <w:t>42−44</w:t>
      </w:r>
      <w:r>
        <w:rPr>
          <w:lang w:val="fr-FR"/>
        </w:rPr>
        <w:tab/>
      </w:r>
      <w:r w:rsidR="00E85218">
        <w:rPr>
          <w:lang w:val="fr-FR"/>
        </w:rPr>
        <w:t>10</w:t>
      </w:r>
    </w:p>
    <w:p w14:paraId="3F69BB8D" w14:textId="4D8CC2D7" w:rsidR="005E6DE6" w:rsidRDefault="007509B0" w:rsidP="007509B0">
      <w:pPr>
        <w:keepNext/>
        <w:tabs>
          <w:tab w:val="right" w:pos="850"/>
          <w:tab w:val="right" w:leader="dot" w:pos="7654"/>
          <w:tab w:val="right" w:pos="8929"/>
          <w:tab w:val="right" w:pos="9638"/>
        </w:tabs>
        <w:spacing w:after="120"/>
        <w:ind w:left="1134" w:hanging="1134"/>
        <w:rPr>
          <w:lang w:val="fr-FR"/>
        </w:rPr>
      </w:pPr>
      <w:r>
        <w:tab/>
        <w:t>V.</w:t>
      </w:r>
      <w:r>
        <w:tab/>
      </w:r>
      <w:r>
        <w:rPr>
          <w:lang w:val="fr-FR"/>
        </w:rPr>
        <w:t>Autres questions</w:t>
      </w:r>
      <w:r>
        <w:rPr>
          <w:lang w:val="fr-FR"/>
        </w:rPr>
        <w:tab/>
      </w:r>
      <w:r>
        <w:rPr>
          <w:lang w:val="fr-FR"/>
        </w:rPr>
        <w:tab/>
        <w:t>45−50</w:t>
      </w:r>
      <w:r>
        <w:rPr>
          <w:lang w:val="fr-FR"/>
        </w:rPr>
        <w:tab/>
      </w:r>
      <w:r w:rsidR="00E85218">
        <w:rPr>
          <w:lang w:val="fr-FR"/>
        </w:rPr>
        <w:t>11</w:t>
      </w:r>
    </w:p>
    <w:p w14:paraId="3F718080" w14:textId="4BCF41AD" w:rsidR="007509B0" w:rsidRDefault="007509B0" w:rsidP="007509B0">
      <w:pPr>
        <w:tabs>
          <w:tab w:val="right" w:leader="dot" w:pos="7654"/>
          <w:tab w:val="right" w:pos="8929"/>
          <w:tab w:val="right" w:pos="9638"/>
        </w:tabs>
        <w:spacing w:after="120"/>
        <w:ind w:left="1559" w:hanging="425"/>
        <w:rPr>
          <w:lang w:val="fr-FR"/>
        </w:rPr>
      </w:pPr>
      <w:r>
        <w:t>A.</w:t>
      </w:r>
      <w:r>
        <w:tab/>
      </w:r>
      <w:r w:rsidRPr="007509B0">
        <w:rPr>
          <w:lang w:val="fr-FR"/>
        </w:rPr>
        <w:t>Alignement de l</w:t>
      </w:r>
      <w:r w:rsidR="009657CE">
        <w:rPr>
          <w:lang w:val="fr-FR"/>
        </w:rPr>
        <w:t>’</w:t>
      </w:r>
      <w:r w:rsidRPr="007509B0">
        <w:rPr>
          <w:lang w:val="fr-FR"/>
        </w:rPr>
        <w:t>annexe 9 (sect. A9.7) et de l</w:t>
      </w:r>
      <w:r w:rsidR="009657CE">
        <w:rPr>
          <w:lang w:val="fr-FR"/>
        </w:rPr>
        <w:t>’</w:t>
      </w:r>
      <w:r w:rsidRPr="007509B0">
        <w:rPr>
          <w:lang w:val="fr-FR"/>
        </w:rPr>
        <w:t xml:space="preserve">annexe 10 </w:t>
      </w:r>
      <w:r>
        <w:rPr>
          <w:lang w:val="fr-FR"/>
        </w:rPr>
        <w:br/>
      </w:r>
      <w:r w:rsidRPr="007509B0">
        <w:rPr>
          <w:lang w:val="fr-FR"/>
        </w:rPr>
        <w:t>sur les critères du chapitre 4.1</w:t>
      </w:r>
      <w:r>
        <w:rPr>
          <w:lang w:val="fr-FR"/>
        </w:rPr>
        <w:tab/>
      </w:r>
      <w:r>
        <w:rPr>
          <w:lang w:val="fr-FR"/>
        </w:rPr>
        <w:tab/>
        <w:t>45</w:t>
      </w:r>
      <w:r>
        <w:rPr>
          <w:lang w:val="fr-FR"/>
        </w:rPr>
        <w:tab/>
      </w:r>
      <w:r w:rsidR="00E85218">
        <w:rPr>
          <w:lang w:val="fr-FR"/>
        </w:rPr>
        <w:t>11</w:t>
      </w:r>
    </w:p>
    <w:p w14:paraId="4F7F0D5C" w14:textId="461B3CD2" w:rsidR="007509B0" w:rsidRDefault="007509B0" w:rsidP="007509B0">
      <w:pPr>
        <w:tabs>
          <w:tab w:val="right" w:leader="dot" w:pos="7654"/>
          <w:tab w:val="right" w:pos="8929"/>
          <w:tab w:val="right" w:pos="9638"/>
        </w:tabs>
        <w:spacing w:after="120"/>
        <w:ind w:left="1559" w:hanging="425"/>
        <w:rPr>
          <w:lang w:val="fr-FR"/>
        </w:rPr>
      </w:pPr>
      <w:r>
        <w:rPr>
          <w:lang w:val="fr-FR"/>
        </w:rPr>
        <w:t>B.</w:t>
      </w:r>
      <w:r>
        <w:rPr>
          <w:lang w:val="fr-FR"/>
        </w:rPr>
        <w:tab/>
      </w:r>
      <w:r w:rsidRPr="007509B0">
        <w:rPr>
          <w:lang w:val="fr-FR"/>
        </w:rPr>
        <w:t>Questions pratiques de classification</w:t>
      </w:r>
      <w:r>
        <w:rPr>
          <w:lang w:val="fr-FR"/>
        </w:rPr>
        <w:tab/>
      </w:r>
      <w:r>
        <w:rPr>
          <w:lang w:val="fr-FR"/>
        </w:rPr>
        <w:tab/>
        <w:t>46</w:t>
      </w:r>
      <w:r>
        <w:rPr>
          <w:lang w:val="fr-FR"/>
        </w:rPr>
        <w:tab/>
      </w:r>
      <w:r w:rsidR="00E85218">
        <w:rPr>
          <w:lang w:val="fr-FR"/>
        </w:rPr>
        <w:t>11</w:t>
      </w:r>
    </w:p>
    <w:p w14:paraId="21DBEE4F" w14:textId="3FDC01BB" w:rsidR="007509B0" w:rsidRDefault="007509B0" w:rsidP="007509B0">
      <w:pPr>
        <w:tabs>
          <w:tab w:val="right" w:leader="dot" w:pos="7654"/>
          <w:tab w:val="right" w:pos="8929"/>
          <w:tab w:val="right" w:pos="9638"/>
        </w:tabs>
        <w:spacing w:after="120"/>
        <w:ind w:left="1559" w:hanging="425"/>
        <w:rPr>
          <w:lang w:val="fr-FR"/>
        </w:rPr>
      </w:pPr>
      <w:r>
        <w:rPr>
          <w:lang w:val="fr-FR"/>
        </w:rPr>
        <w:t>C.</w:t>
      </w:r>
      <w:r>
        <w:rPr>
          <w:lang w:val="fr-FR"/>
        </w:rPr>
        <w:tab/>
      </w:r>
      <w:r w:rsidRPr="007509B0">
        <w:rPr>
          <w:lang w:val="fr-FR"/>
        </w:rPr>
        <w:t>Questions pratiques d</w:t>
      </w:r>
      <w:r w:rsidR="009657CE">
        <w:rPr>
          <w:lang w:val="fr-FR"/>
        </w:rPr>
        <w:t>’</w:t>
      </w:r>
      <w:r w:rsidRPr="007509B0">
        <w:rPr>
          <w:lang w:val="fr-FR"/>
        </w:rPr>
        <w:t>étiquetage</w:t>
      </w:r>
      <w:r w:rsidRPr="007509B0">
        <w:rPr>
          <w:lang w:val="fr-FR"/>
        </w:rPr>
        <w:tab/>
      </w:r>
      <w:r w:rsidRPr="007509B0">
        <w:rPr>
          <w:lang w:val="fr-FR"/>
        </w:rPr>
        <w:tab/>
        <w:t>47</w:t>
      </w:r>
      <w:r>
        <w:rPr>
          <w:lang w:val="fr-FR"/>
        </w:rPr>
        <w:t>−49</w:t>
      </w:r>
      <w:r w:rsidRPr="007509B0">
        <w:rPr>
          <w:lang w:val="fr-FR"/>
        </w:rPr>
        <w:tab/>
      </w:r>
      <w:r w:rsidR="00E85218">
        <w:rPr>
          <w:lang w:val="fr-FR"/>
        </w:rPr>
        <w:t>11</w:t>
      </w:r>
    </w:p>
    <w:p w14:paraId="22F4C78A" w14:textId="47DFF02E" w:rsidR="007509B0" w:rsidRDefault="007509B0" w:rsidP="007509B0">
      <w:pPr>
        <w:tabs>
          <w:tab w:val="right" w:leader="dot" w:pos="7654"/>
          <w:tab w:val="right" w:pos="8929"/>
          <w:tab w:val="right" w:pos="9638"/>
        </w:tabs>
        <w:spacing w:after="120"/>
        <w:ind w:left="1559" w:hanging="425"/>
        <w:rPr>
          <w:lang w:val="fr-FR"/>
        </w:rPr>
      </w:pPr>
      <w:r>
        <w:rPr>
          <w:lang w:val="fr-FR"/>
        </w:rPr>
        <w:t>D.</w:t>
      </w:r>
      <w:r>
        <w:rPr>
          <w:lang w:val="fr-FR"/>
        </w:rPr>
        <w:tab/>
      </w:r>
      <w:r w:rsidRPr="007509B0">
        <w:rPr>
          <w:lang w:val="fr-FR"/>
        </w:rPr>
        <w:t>Autres questions</w:t>
      </w:r>
      <w:r w:rsidRPr="007509B0">
        <w:rPr>
          <w:lang w:val="fr-FR"/>
        </w:rPr>
        <w:tab/>
      </w:r>
      <w:r w:rsidRPr="007509B0">
        <w:rPr>
          <w:lang w:val="fr-FR"/>
        </w:rPr>
        <w:tab/>
        <w:t>50</w:t>
      </w:r>
      <w:r>
        <w:rPr>
          <w:lang w:val="fr-FR"/>
        </w:rPr>
        <w:tab/>
      </w:r>
      <w:r w:rsidR="00E85218">
        <w:rPr>
          <w:lang w:val="fr-FR"/>
        </w:rPr>
        <w:t>11</w:t>
      </w:r>
    </w:p>
    <w:p w14:paraId="5C5B7A84" w14:textId="5AF8D9B1" w:rsidR="007509B0" w:rsidRDefault="007509B0" w:rsidP="007509B0">
      <w:pPr>
        <w:keepNext/>
        <w:tabs>
          <w:tab w:val="right" w:pos="850"/>
          <w:tab w:val="right" w:leader="dot" w:pos="7654"/>
          <w:tab w:val="right" w:pos="8929"/>
          <w:tab w:val="right" w:pos="9638"/>
        </w:tabs>
        <w:spacing w:after="120"/>
        <w:ind w:left="1134" w:hanging="1134"/>
        <w:rPr>
          <w:lang w:val="fr-FR" w:eastAsia="zh-CN"/>
        </w:rPr>
      </w:pPr>
      <w:r>
        <w:tab/>
        <w:t>VI.</w:t>
      </w:r>
      <w:r>
        <w:tab/>
      </w:r>
      <w:r w:rsidRPr="007509B0">
        <w:t>Renforcement</w:t>
      </w:r>
      <w:r w:rsidRPr="00D57EC3">
        <w:rPr>
          <w:lang w:val="fr-FR" w:eastAsia="zh-CN"/>
        </w:rPr>
        <w:t xml:space="preserve"> des capacités (point 5 de l</w:t>
      </w:r>
      <w:r w:rsidR="009657CE">
        <w:rPr>
          <w:lang w:val="fr-FR" w:eastAsia="zh-CN"/>
        </w:rPr>
        <w:t>’</w:t>
      </w:r>
      <w:r w:rsidRPr="00D57EC3">
        <w:rPr>
          <w:lang w:val="fr-FR" w:eastAsia="zh-CN"/>
        </w:rPr>
        <w:t>ordre du jour)</w:t>
      </w:r>
      <w:r>
        <w:rPr>
          <w:lang w:val="fr-FR" w:eastAsia="zh-CN"/>
        </w:rPr>
        <w:tab/>
      </w:r>
      <w:r>
        <w:rPr>
          <w:lang w:val="fr-FR" w:eastAsia="zh-CN"/>
        </w:rPr>
        <w:tab/>
        <w:t>51−54</w:t>
      </w:r>
      <w:r>
        <w:rPr>
          <w:lang w:val="fr-FR" w:eastAsia="zh-CN"/>
        </w:rPr>
        <w:tab/>
      </w:r>
      <w:r w:rsidR="00E85218">
        <w:rPr>
          <w:lang w:val="fr-FR" w:eastAsia="zh-CN"/>
        </w:rPr>
        <w:t>11</w:t>
      </w:r>
    </w:p>
    <w:p w14:paraId="3F54A040" w14:textId="61AF8447" w:rsidR="007509B0" w:rsidRDefault="007509B0" w:rsidP="007509B0">
      <w:pPr>
        <w:keepNext/>
        <w:tabs>
          <w:tab w:val="right" w:pos="850"/>
          <w:tab w:val="right" w:leader="dot" w:pos="7654"/>
          <w:tab w:val="right" w:pos="8929"/>
          <w:tab w:val="right" w:pos="9638"/>
        </w:tabs>
        <w:spacing w:after="120"/>
        <w:ind w:left="1134" w:hanging="1134"/>
      </w:pPr>
      <w:r>
        <w:rPr>
          <w:lang w:val="fr-FR" w:eastAsia="zh-CN"/>
        </w:rPr>
        <w:tab/>
        <w:t>VII.</w:t>
      </w:r>
      <w:r>
        <w:rPr>
          <w:lang w:val="fr-FR" w:eastAsia="zh-CN"/>
        </w:rPr>
        <w:tab/>
      </w:r>
      <w:r w:rsidRPr="007509B0">
        <w:t>Questions diverses (point 6 de l</w:t>
      </w:r>
      <w:r w:rsidR="009657CE">
        <w:t>’</w:t>
      </w:r>
      <w:r w:rsidRPr="007509B0">
        <w:t>ordre du jour)</w:t>
      </w:r>
      <w:r>
        <w:tab/>
      </w:r>
      <w:r>
        <w:tab/>
        <w:t>55−56</w:t>
      </w:r>
      <w:r>
        <w:tab/>
      </w:r>
      <w:r w:rsidR="00E85218">
        <w:t>12</w:t>
      </w:r>
    </w:p>
    <w:p w14:paraId="7DD76DE9" w14:textId="7543C35F" w:rsidR="007509B0" w:rsidRDefault="007509B0" w:rsidP="007509B0">
      <w:pPr>
        <w:tabs>
          <w:tab w:val="right" w:leader="dot" w:pos="7654"/>
          <w:tab w:val="right" w:pos="8929"/>
          <w:tab w:val="right" w:pos="9638"/>
        </w:tabs>
        <w:spacing w:after="120"/>
        <w:ind w:left="1559" w:hanging="425"/>
      </w:pPr>
      <w:r>
        <w:t>A.</w:t>
      </w:r>
      <w:r>
        <w:tab/>
      </w:r>
      <w:r w:rsidRPr="007509B0">
        <w:t xml:space="preserve">Examen des organes subsidiaires du Conseil économique et social </w:t>
      </w:r>
      <w:r w:rsidRPr="007509B0">
        <w:br/>
        <w:t>à sa session de 2022</w:t>
      </w:r>
      <w:r>
        <w:tab/>
      </w:r>
      <w:r>
        <w:tab/>
        <w:t>55</w:t>
      </w:r>
      <w:r>
        <w:tab/>
      </w:r>
      <w:r w:rsidR="00E85218">
        <w:t>12</w:t>
      </w:r>
    </w:p>
    <w:p w14:paraId="01842F9C" w14:textId="1645580A" w:rsidR="007509B0" w:rsidRDefault="007509B0" w:rsidP="007509B0">
      <w:pPr>
        <w:tabs>
          <w:tab w:val="right" w:leader="dot" w:pos="7654"/>
          <w:tab w:val="right" w:pos="8929"/>
          <w:tab w:val="right" w:pos="9638"/>
        </w:tabs>
        <w:spacing w:after="120"/>
        <w:ind w:left="1559" w:hanging="425"/>
      </w:pPr>
      <w:r>
        <w:t>B.</w:t>
      </w:r>
      <w:r>
        <w:tab/>
      </w:r>
      <w:r w:rsidR="00E85218" w:rsidRPr="00E85218">
        <w:t>Dates de la quarante-deuxième session et délais de soumission</w:t>
      </w:r>
      <w:r w:rsidR="00E85218">
        <w:tab/>
      </w:r>
      <w:r w:rsidR="00E85218">
        <w:tab/>
        <w:t>56</w:t>
      </w:r>
      <w:r w:rsidR="00E85218">
        <w:tab/>
        <w:t>12</w:t>
      </w:r>
    </w:p>
    <w:p w14:paraId="058347BC" w14:textId="33D71601" w:rsidR="00E85218" w:rsidRDefault="00E85218" w:rsidP="00E85218">
      <w:pPr>
        <w:keepNext/>
        <w:tabs>
          <w:tab w:val="right" w:pos="850"/>
          <w:tab w:val="right" w:leader="dot" w:pos="7654"/>
          <w:tab w:val="right" w:pos="8929"/>
          <w:tab w:val="right" w:pos="9638"/>
        </w:tabs>
        <w:spacing w:after="120"/>
        <w:ind w:left="1134" w:hanging="1134"/>
      </w:pPr>
      <w:r>
        <w:tab/>
        <w:t>VIII.</w:t>
      </w:r>
      <w:r>
        <w:tab/>
      </w:r>
      <w:r w:rsidRPr="00E85218">
        <w:t>Adoption du rapport (point 7 de l</w:t>
      </w:r>
      <w:r w:rsidR="009657CE">
        <w:t>’</w:t>
      </w:r>
      <w:r w:rsidRPr="00E85218">
        <w:t>ordre du jour)</w:t>
      </w:r>
      <w:r>
        <w:tab/>
      </w:r>
      <w:r>
        <w:tab/>
        <w:t>57</w:t>
      </w:r>
      <w:r>
        <w:tab/>
        <w:t>12</w:t>
      </w:r>
    </w:p>
    <w:p w14:paraId="46B11F56" w14:textId="6C0720B4" w:rsidR="00D05AE5" w:rsidRPr="00D05AE5" w:rsidRDefault="00D05AE5" w:rsidP="00D05AE5">
      <w:pPr>
        <w:tabs>
          <w:tab w:val="right" w:pos="850"/>
        </w:tabs>
        <w:spacing w:after="120"/>
      </w:pPr>
      <w:r>
        <w:tab/>
        <w:t>Annexes</w:t>
      </w:r>
    </w:p>
    <w:p w14:paraId="2AC53ECE" w14:textId="634A3CCB" w:rsidR="00D05AE5" w:rsidRDefault="00D05AE5" w:rsidP="00D05AE5">
      <w:pPr>
        <w:tabs>
          <w:tab w:val="right" w:pos="850"/>
          <w:tab w:val="right" w:leader="dot" w:pos="8929"/>
          <w:tab w:val="right" w:pos="9638"/>
        </w:tabs>
        <w:spacing w:after="120"/>
        <w:ind w:left="1134" w:hanging="1134"/>
      </w:pPr>
      <w:r>
        <w:tab/>
      </w:r>
      <w:r>
        <w:tab/>
      </w:r>
      <w:r w:rsidR="00E85218">
        <w:t>Corrections à la neuvième édition révisée du SGH (ST/SG/AC.10/30/Rev.9)</w:t>
      </w:r>
      <w:r>
        <w:tab/>
      </w:r>
      <w:r>
        <w:tab/>
      </w:r>
      <w:r w:rsidR="00E85218">
        <w:t>13</w:t>
      </w:r>
    </w:p>
    <w:p w14:paraId="38A80B9D" w14:textId="1F7E1CFF" w:rsidR="00D05AE5" w:rsidRDefault="00D05AE5" w:rsidP="00D05AE5">
      <w:r>
        <w:br w:type="page"/>
      </w:r>
    </w:p>
    <w:p w14:paraId="7A2FE916" w14:textId="332FB541" w:rsidR="00D05AE5" w:rsidRPr="000D3C8E" w:rsidRDefault="00D05AE5" w:rsidP="008914BD">
      <w:pPr>
        <w:pStyle w:val="HChG"/>
      </w:pPr>
      <w:r>
        <w:rPr>
          <w:lang w:val="fr-FR"/>
        </w:rPr>
        <w:tab/>
        <w:t>I.</w:t>
      </w:r>
      <w:r>
        <w:rPr>
          <w:lang w:val="fr-FR"/>
        </w:rPr>
        <w:tab/>
        <w:t>Participation</w:t>
      </w:r>
    </w:p>
    <w:p w14:paraId="1B0DD77F" w14:textId="2FBD8C78" w:rsidR="00D05AE5" w:rsidRPr="000D3C8E" w:rsidRDefault="00D05AE5" w:rsidP="008914BD">
      <w:pPr>
        <w:pStyle w:val="SingleTxtG"/>
      </w:pPr>
      <w:r>
        <w:rPr>
          <w:lang w:val="fr-FR"/>
        </w:rPr>
        <w:t>1.</w:t>
      </w:r>
      <w:r>
        <w:rPr>
          <w:lang w:val="fr-FR"/>
        </w:rPr>
        <w:tab/>
        <w:t>Le Sous-Comité d</w:t>
      </w:r>
      <w:r w:rsidR="009657CE">
        <w:rPr>
          <w:lang w:val="fr-FR"/>
        </w:rPr>
        <w:t>’</w:t>
      </w:r>
      <w:r>
        <w:rPr>
          <w:lang w:val="fr-FR"/>
        </w:rPr>
        <w:t>experts du Système général harmonisé de classification et d</w:t>
      </w:r>
      <w:r w:rsidR="009657CE">
        <w:rPr>
          <w:lang w:val="fr-FR"/>
        </w:rPr>
        <w:t>’</w:t>
      </w:r>
      <w:r>
        <w:rPr>
          <w:lang w:val="fr-FR"/>
        </w:rPr>
        <w:t>étiquetage des produits chimiques (Sous-Comité SGH) a tenu sa quarante et unième session du 8 au 10 décembre 2021, sous la présidence de Maureen Ruskin (États-Unis d</w:t>
      </w:r>
      <w:r w:rsidR="009657CE">
        <w:rPr>
          <w:lang w:val="fr-FR"/>
        </w:rPr>
        <w:t>’</w:t>
      </w:r>
      <w:r>
        <w:rPr>
          <w:lang w:val="fr-FR"/>
        </w:rPr>
        <w:t>Amérique) et la vice-présidence de Nina John (Autriche).</w:t>
      </w:r>
    </w:p>
    <w:p w14:paraId="7D10E931" w14:textId="269BE91C" w:rsidR="00D05AE5" w:rsidRPr="004B5A40" w:rsidRDefault="00D05AE5" w:rsidP="008914BD">
      <w:pPr>
        <w:pStyle w:val="SingleTxtG"/>
      </w:pPr>
      <w:r>
        <w:rPr>
          <w:lang w:val="fr-FR"/>
        </w:rPr>
        <w:t>2.</w:t>
      </w:r>
      <w:r>
        <w:rPr>
          <w:lang w:val="fr-FR"/>
        </w:rPr>
        <w:tab/>
        <w:t>Des experts des pays suivants ont participé à la session </w:t>
      </w:r>
      <w:r w:rsidRPr="00E23B77">
        <w:rPr>
          <w:lang w:val="fr-FR"/>
        </w:rPr>
        <w:t xml:space="preserve">: Afrique du Sud, Allemagne, Argentine, Australie, Autriche, Belgique, Brésil, Canada, Chine, </w:t>
      </w:r>
      <w:r>
        <w:rPr>
          <w:lang w:val="fr-FR"/>
        </w:rPr>
        <w:t xml:space="preserve">Espagne, </w:t>
      </w:r>
      <w:r w:rsidRPr="00E23B77">
        <w:rPr>
          <w:lang w:val="fr-FR"/>
        </w:rPr>
        <w:t>États-Unis d</w:t>
      </w:r>
      <w:r w:rsidR="009657CE">
        <w:rPr>
          <w:lang w:val="fr-FR"/>
        </w:rPr>
        <w:t>’</w:t>
      </w:r>
      <w:r w:rsidRPr="00E23B77">
        <w:rPr>
          <w:lang w:val="fr-FR"/>
        </w:rPr>
        <w:t>Amérique, Fédération de Russie, Finlande, France, Italie, Japon, Norvège, Nouvelle</w:t>
      </w:r>
      <w:r w:rsidRPr="00E23B77">
        <w:rPr>
          <w:lang w:val="fr-FR"/>
        </w:rPr>
        <w:noBreakHyphen/>
        <w:t xml:space="preserve">Zélande, Pays-Bas, Pologne, République de Corée, </w:t>
      </w:r>
      <w:r>
        <w:rPr>
          <w:lang w:val="fr-FR"/>
        </w:rPr>
        <w:t>Royaume-Uni de Grande-Bretagne et d</w:t>
      </w:r>
      <w:r w:rsidR="009657CE">
        <w:rPr>
          <w:lang w:val="fr-FR"/>
        </w:rPr>
        <w:t>’</w:t>
      </w:r>
      <w:r>
        <w:rPr>
          <w:lang w:val="fr-FR"/>
        </w:rPr>
        <w:t>Irlande du Nord</w:t>
      </w:r>
      <w:r w:rsidRPr="00E23B77">
        <w:rPr>
          <w:lang w:val="fr-FR"/>
        </w:rPr>
        <w:t>, Serbie</w:t>
      </w:r>
      <w:r>
        <w:rPr>
          <w:lang w:val="fr-FR"/>
        </w:rPr>
        <w:t>,</w:t>
      </w:r>
      <w:r w:rsidRPr="00E23B77">
        <w:rPr>
          <w:lang w:val="fr-FR"/>
        </w:rPr>
        <w:t xml:space="preserve"> Suède</w:t>
      </w:r>
      <w:r>
        <w:rPr>
          <w:lang w:val="fr-FR"/>
        </w:rPr>
        <w:t xml:space="preserve"> et Zambie</w:t>
      </w:r>
      <w:r w:rsidRPr="00E23B77">
        <w:rPr>
          <w:lang w:val="fr-FR"/>
        </w:rPr>
        <w:t>.</w:t>
      </w:r>
    </w:p>
    <w:p w14:paraId="0CCEF6A3" w14:textId="59180E74" w:rsidR="00D05AE5" w:rsidRPr="004B5A40" w:rsidRDefault="00D05AE5" w:rsidP="008914BD">
      <w:pPr>
        <w:pStyle w:val="SingleTxtG"/>
      </w:pPr>
      <w:r>
        <w:rPr>
          <w:lang w:val="fr-FR"/>
        </w:rPr>
        <w:t>3.</w:t>
      </w:r>
      <w:r>
        <w:rPr>
          <w:lang w:val="fr-FR"/>
        </w:rPr>
        <w:tab/>
        <w:t>Des observateurs du Chili, du Mexique, du Myanmar, des Philippines et de la Suisse y ont également participé en application de l</w:t>
      </w:r>
      <w:r w:rsidR="009657CE">
        <w:rPr>
          <w:lang w:val="fr-FR"/>
        </w:rPr>
        <w:t>’</w:t>
      </w:r>
      <w:r>
        <w:rPr>
          <w:lang w:val="fr-FR"/>
        </w:rPr>
        <w:t>article 72 du Règlement intérieur du Conseil économique et social.</w:t>
      </w:r>
    </w:p>
    <w:p w14:paraId="7AD88C2D" w14:textId="2E2CCABE" w:rsidR="00D05AE5" w:rsidRPr="004B5A40" w:rsidRDefault="00D05AE5" w:rsidP="008914BD">
      <w:pPr>
        <w:pStyle w:val="SingleTxtG"/>
      </w:pPr>
      <w:r>
        <w:rPr>
          <w:lang w:val="fr-FR"/>
        </w:rPr>
        <w:t>4.</w:t>
      </w:r>
      <w:r>
        <w:rPr>
          <w:lang w:val="fr-FR"/>
        </w:rPr>
        <w:tab/>
        <w:t>Des représentants de l</w:t>
      </w:r>
      <w:r w:rsidR="009657CE">
        <w:rPr>
          <w:lang w:val="fr-FR"/>
        </w:rPr>
        <w:t>’</w:t>
      </w:r>
      <w:r>
        <w:rPr>
          <w:lang w:val="fr-FR"/>
        </w:rPr>
        <w:t>Institut des Nations Unies pour la formation et la recherche (UNITAR) et des institutions spécialisées suivantes étaient également présents : Organisation des Nations Unies pour l</w:t>
      </w:r>
      <w:r w:rsidR="009657CE">
        <w:rPr>
          <w:lang w:val="fr-FR"/>
        </w:rPr>
        <w:t>’</w:t>
      </w:r>
      <w:r>
        <w:rPr>
          <w:lang w:val="fr-FR"/>
        </w:rPr>
        <w:t>alimentation et l</w:t>
      </w:r>
      <w:r w:rsidR="009657CE">
        <w:rPr>
          <w:lang w:val="fr-FR"/>
        </w:rPr>
        <w:t>’</w:t>
      </w:r>
      <w:r>
        <w:rPr>
          <w:lang w:val="fr-FR"/>
        </w:rPr>
        <w:t xml:space="preserve">agriculture (FAO) et Organisation mondiale de la Santé (OMS). </w:t>
      </w:r>
    </w:p>
    <w:p w14:paraId="608686B1" w14:textId="77777777" w:rsidR="00D05AE5" w:rsidRPr="004B5A40" w:rsidRDefault="00D05AE5" w:rsidP="008914BD">
      <w:pPr>
        <w:pStyle w:val="SingleTxtG"/>
      </w:pPr>
      <w:r>
        <w:rPr>
          <w:lang w:val="fr-FR"/>
        </w:rPr>
        <w:t>5.</w:t>
      </w:r>
      <w:r>
        <w:rPr>
          <w:lang w:val="fr-FR"/>
        </w:rPr>
        <w:tab/>
        <w:t>Les organisations intergouvernementales suivantes étaient également représentées : Organisation de coopération et de développement économiques (OCDE) et Union européenne (UE).</w:t>
      </w:r>
    </w:p>
    <w:p w14:paraId="23EA2751" w14:textId="5FD626F7" w:rsidR="00D05AE5" w:rsidRPr="00A37E73" w:rsidRDefault="00D05AE5" w:rsidP="008914BD">
      <w:pPr>
        <w:pStyle w:val="SingleTxtG"/>
      </w:pPr>
      <w:r>
        <w:rPr>
          <w:lang w:val="fr-FR"/>
        </w:rPr>
        <w:t>6.</w:t>
      </w:r>
      <w:r>
        <w:rPr>
          <w:lang w:val="fr-FR"/>
        </w:rPr>
        <w:tab/>
        <w:t xml:space="preserve">Des représentants des organisations non gouvernementales suivantes ont participé aux débats sur les points intéressant leur organisation : </w:t>
      </w:r>
      <w:r w:rsidRPr="00E23B77">
        <w:rPr>
          <w:lang w:val="fr-FR"/>
        </w:rPr>
        <w:t>Association européenne des gaz industriels (EIGA)</w:t>
      </w:r>
      <w:r>
        <w:rPr>
          <w:lang w:val="fr-FR"/>
        </w:rPr>
        <w:t> </w:t>
      </w:r>
      <w:r w:rsidRPr="00E23B77">
        <w:rPr>
          <w:lang w:val="fr-FR"/>
        </w:rPr>
        <w:t>; Association internationale de la savonnerie, de la détergence et des produits d</w:t>
      </w:r>
      <w:r w:rsidR="009657CE">
        <w:rPr>
          <w:lang w:val="fr-FR"/>
        </w:rPr>
        <w:t>’</w:t>
      </w:r>
      <w:r w:rsidRPr="00E23B77">
        <w:rPr>
          <w:lang w:val="fr-FR"/>
        </w:rPr>
        <w:t>entretien (AISE)</w:t>
      </w:r>
      <w:r>
        <w:rPr>
          <w:lang w:val="fr-FR"/>
        </w:rPr>
        <w:t> </w:t>
      </w:r>
      <w:r w:rsidRPr="00E23B77">
        <w:rPr>
          <w:lang w:val="fr-FR"/>
        </w:rPr>
        <w:t xml:space="preserve">; </w:t>
      </w:r>
      <w:r w:rsidRPr="004F336C">
        <w:rPr>
          <w:lang w:val="fr-FR"/>
        </w:rPr>
        <w:t>Association internationale de l</w:t>
      </w:r>
      <w:r w:rsidR="009657CE">
        <w:rPr>
          <w:lang w:val="fr-FR"/>
        </w:rPr>
        <w:t>’</w:t>
      </w:r>
      <w:r w:rsidRPr="004F336C">
        <w:rPr>
          <w:lang w:val="fr-FR"/>
        </w:rPr>
        <w:t>industrie pétrolière pour la conservation de l</w:t>
      </w:r>
      <w:r w:rsidR="009657CE">
        <w:rPr>
          <w:lang w:val="fr-FR"/>
        </w:rPr>
        <w:t>’</w:t>
      </w:r>
      <w:r w:rsidRPr="004F336C">
        <w:rPr>
          <w:lang w:val="fr-FR"/>
        </w:rPr>
        <w:t>environnement (IPIECA)</w:t>
      </w:r>
      <w:r>
        <w:rPr>
          <w:lang w:val="fr-FR"/>
        </w:rPr>
        <w:t> </w:t>
      </w:r>
      <w:r w:rsidRPr="004F336C">
        <w:rPr>
          <w:lang w:val="fr-FR"/>
        </w:rPr>
        <w:t>; Association internationale des marchandises dangereuses et des conteneurs (IDGCA)</w:t>
      </w:r>
      <w:r>
        <w:rPr>
          <w:lang w:val="fr-FR"/>
        </w:rPr>
        <w:t> </w:t>
      </w:r>
      <w:r w:rsidRPr="004F336C">
        <w:rPr>
          <w:lang w:val="fr-FR"/>
        </w:rPr>
        <w:t>;</w:t>
      </w:r>
      <w:r>
        <w:rPr>
          <w:lang w:val="fr-FR"/>
        </w:rPr>
        <w:t xml:space="preserve"> Australian Explosives Industry and Safety Group Incorporated (AEISG) ; Compressed Gas Association (CGA) ; </w:t>
      </w:r>
      <w:r w:rsidRPr="00E23B77">
        <w:rPr>
          <w:lang w:val="fr-FR"/>
        </w:rPr>
        <w:t>Conseil consultatif des marchandises dangereuses (DGAC)</w:t>
      </w:r>
      <w:r>
        <w:rPr>
          <w:lang w:val="fr-FR"/>
        </w:rPr>
        <w:t> </w:t>
      </w:r>
      <w:r w:rsidRPr="00E23B77">
        <w:rPr>
          <w:lang w:val="fr-FR"/>
        </w:rPr>
        <w:t>;</w:t>
      </w:r>
      <w:r>
        <w:rPr>
          <w:lang w:val="fr-FR"/>
        </w:rPr>
        <w:t xml:space="preserve"> </w:t>
      </w:r>
      <w:r w:rsidRPr="00E23B77">
        <w:rPr>
          <w:lang w:val="fr-FR"/>
        </w:rPr>
        <w:t>Conseil européen de l</w:t>
      </w:r>
      <w:r w:rsidR="009657CE">
        <w:rPr>
          <w:lang w:val="fr-FR"/>
        </w:rPr>
        <w:t>’</w:t>
      </w:r>
      <w:r w:rsidRPr="00E23B77">
        <w:rPr>
          <w:lang w:val="fr-FR"/>
        </w:rPr>
        <w:t xml:space="preserve">industrie </w:t>
      </w:r>
      <w:r w:rsidRPr="00357E7E">
        <w:rPr>
          <w:lang w:val="fr-FR"/>
        </w:rPr>
        <w:t>chimique (CEFIC)</w:t>
      </w:r>
      <w:r>
        <w:rPr>
          <w:lang w:val="fr-FR"/>
        </w:rPr>
        <w:t> </w:t>
      </w:r>
      <w:r w:rsidRPr="00E23B77">
        <w:rPr>
          <w:lang w:val="fr-FR"/>
        </w:rPr>
        <w:t>; Conseil international des mines et des métaux (CIMM)</w:t>
      </w:r>
      <w:r>
        <w:rPr>
          <w:lang w:val="fr-FR"/>
        </w:rPr>
        <w:t> </w:t>
      </w:r>
      <w:r w:rsidRPr="00E23B77">
        <w:rPr>
          <w:lang w:val="fr-FR"/>
        </w:rPr>
        <w:t xml:space="preserve">; </w:t>
      </w:r>
      <w:r>
        <w:rPr>
          <w:lang w:val="fr-FR"/>
        </w:rPr>
        <w:t xml:space="preserve">CropLife International ; Fédération européenne des aérosols (FEA) ; Fédération industrielle des peintures et revêtements du Marché commun du Sud (IFPCM) ; </w:t>
      </w:r>
      <w:r w:rsidRPr="00E23B77">
        <w:rPr>
          <w:lang w:val="fr-FR"/>
        </w:rPr>
        <w:t>Fertilizers Europe (FE)</w:t>
      </w:r>
      <w:r>
        <w:rPr>
          <w:lang w:val="fr-FR"/>
        </w:rPr>
        <w:t> </w:t>
      </w:r>
      <w:r w:rsidRPr="00E23B77">
        <w:rPr>
          <w:lang w:val="fr-FR"/>
        </w:rPr>
        <w:t xml:space="preserve">; </w:t>
      </w:r>
      <w:r w:rsidRPr="004F336C">
        <w:rPr>
          <w:lang w:val="fr-FR"/>
        </w:rPr>
        <w:t>Institute of Makers of Explosives (IME)</w:t>
      </w:r>
      <w:r>
        <w:rPr>
          <w:lang w:val="fr-FR"/>
        </w:rPr>
        <w:t> </w:t>
      </w:r>
      <w:r w:rsidRPr="004F336C">
        <w:rPr>
          <w:lang w:val="fr-FR"/>
        </w:rPr>
        <w:t xml:space="preserve">; </w:t>
      </w:r>
      <w:r>
        <w:rPr>
          <w:lang w:val="fr-FR"/>
        </w:rPr>
        <w:t>Organisation internationale des constructeurs d</w:t>
      </w:r>
      <w:r w:rsidR="009657CE">
        <w:rPr>
          <w:lang w:val="fr-FR"/>
        </w:rPr>
        <w:t>’</w:t>
      </w:r>
      <w:r>
        <w:rPr>
          <w:lang w:val="fr-FR"/>
        </w:rPr>
        <w:t>automobiles (OICA) ; Responsible Packaging Management Association of Southern Africa (RPMASA) ; Sporting Arms and Ammunition Manufacturers</w:t>
      </w:r>
      <w:r w:rsidR="009657CE">
        <w:rPr>
          <w:lang w:val="fr-FR"/>
        </w:rPr>
        <w:t>’</w:t>
      </w:r>
      <w:r>
        <w:rPr>
          <w:lang w:val="fr-FR"/>
        </w:rPr>
        <w:t xml:space="preserve"> Institute (SAAMI) et World Coatings Council.</w:t>
      </w:r>
    </w:p>
    <w:p w14:paraId="68F3214B" w14:textId="3E311206" w:rsidR="00D05AE5" w:rsidRDefault="00D05AE5" w:rsidP="003C737D">
      <w:pPr>
        <w:pStyle w:val="HChG"/>
      </w:pPr>
      <w:r>
        <w:rPr>
          <w:lang w:val="fr-FR"/>
        </w:rPr>
        <w:tab/>
        <w:t>II.</w:t>
      </w:r>
      <w:r>
        <w:rPr>
          <w:lang w:val="fr-FR"/>
        </w:rPr>
        <w:tab/>
        <w:t>Adoption de l</w:t>
      </w:r>
      <w:r w:rsidR="009657CE">
        <w:rPr>
          <w:lang w:val="fr-FR"/>
        </w:rPr>
        <w:t>’</w:t>
      </w:r>
      <w:r>
        <w:rPr>
          <w:lang w:val="fr-FR"/>
        </w:rPr>
        <w:t>ordre du jour (point 1 de l</w:t>
      </w:r>
      <w:r w:rsidR="009657CE">
        <w:rPr>
          <w:lang w:val="fr-FR"/>
        </w:rPr>
        <w:t>’</w:t>
      </w:r>
      <w:r>
        <w:rPr>
          <w:lang w:val="fr-FR"/>
        </w:rPr>
        <w:t>ordre du jour)</w:t>
      </w:r>
    </w:p>
    <w:p w14:paraId="52513667" w14:textId="47908D63" w:rsidR="00D05AE5" w:rsidRPr="005D50DD" w:rsidRDefault="00D05AE5" w:rsidP="003C737D">
      <w:pPr>
        <w:pStyle w:val="SingleTxtG"/>
        <w:tabs>
          <w:tab w:val="clear" w:pos="1701"/>
          <w:tab w:val="clear" w:pos="2268"/>
          <w:tab w:val="clear" w:pos="2835"/>
          <w:tab w:val="left" w:pos="3402"/>
        </w:tabs>
        <w:ind w:left="3402" w:hanging="2268"/>
      </w:pPr>
      <w:r>
        <w:rPr>
          <w:i/>
          <w:iCs/>
          <w:lang w:val="fr-FR"/>
        </w:rPr>
        <w:t>Document(s) </w:t>
      </w:r>
      <w:r w:rsidRPr="004F336C">
        <w:rPr>
          <w:lang w:val="fr-FR"/>
        </w:rPr>
        <w:t>:</w:t>
      </w:r>
      <w:r w:rsidR="003C737D">
        <w:rPr>
          <w:lang w:val="fr-FR"/>
        </w:rPr>
        <w:tab/>
      </w:r>
      <w:r>
        <w:rPr>
          <w:lang w:val="fr-FR"/>
        </w:rPr>
        <w:t xml:space="preserve">ST/SG/AC.10/C.4/81 </w:t>
      </w:r>
      <w:r w:rsidR="003C737D">
        <w:rPr>
          <w:lang w:val="fr-FR"/>
        </w:rPr>
        <w:br/>
      </w:r>
      <w:r>
        <w:rPr>
          <w:lang w:val="fr-FR"/>
        </w:rPr>
        <w:t>et ST/SG/AC.10/C.4/81/Add.1 (secrétariat)</w:t>
      </w:r>
    </w:p>
    <w:p w14:paraId="10A0E670" w14:textId="77777777" w:rsidR="00D05AE5" w:rsidRPr="005D50DD" w:rsidRDefault="00D05AE5" w:rsidP="003C737D">
      <w:pPr>
        <w:pStyle w:val="SingleTxtG"/>
        <w:tabs>
          <w:tab w:val="clear" w:pos="1701"/>
          <w:tab w:val="clear" w:pos="2268"/>
          <w:tab w:val="clear" w:pos="2835"/>
          <w:tab w:val="left" w:pos="3402"/>
        </w:tabs>
        <w:ind w:left="3402" w:hanging="2268"/>
      </w:pPr>
      <w:r>
        <w:rPr>
          <w:i/>
          <w:iCs/>
          <w:lang w:val="fr-FR"/>
        </w:rPr>
        <w:t>Document(s) informel(s) </w:t>
      </w:r>
      <w:r w:rsidRPr="004F336C">
        <w:rPr>
          <w:lang w:val="fr-FR"/>
        </w:rPr>
        <w:t>:</w:t>
      </w:r>
      <w:r>
        <w:rPr>
          <w:lang w:val="fr-FR"/>
        </w:rPr>
        <w:t xml:space="preserve"> </w:t>
      </w:r>
      <w:r>
        <w:rPr>
          <w:lang w:val="fr-FR"/>
        </w:rPr>
        <w:tab/>
        <w:t xml:space="preserve">INF.1, INF.2 et INF.7 </w:t>
      </w:r>
      <w:r w:rsidRPr="000C64C2">
        <w:rPr>
          <w:lang w:val="fr-FR"/>
        </w:rPr>
        <w:t>(secrétariat</w:t>
      </w:r>
      <w:r>
        <w:rPr>
          <w:lang w:val="fr-FR"/>
        </w:rPr>
        <w:t>)</w:t>
      </w:r>
    </w:p>
    <w:p w14:paraId="07B50213" w14:textId="7CF12FB0" w:rsidR="00D05AE5" w:rsidRPr="002E5E76" w:rsidRDefault="00D05AE5" w:rsidP="008914BD">
      <w:pPr>
        <w:pStyle w:val="SingleTxtG"/>
      </w:pPr>
      <w:r>
        <w:rPr>
          <w:lang w:val="fr-FR"/>
        </w:rPr>
        <w:t>7.</w:t>
      </w:r>
      <w:r>
        <w:rPr>
          <w:lang w:val="fr-FR"/>
        </w:rPr>
        <w:tab/>
        <w:t>Le Sous-Comité a adopté l</w:t>
      </w:r>
      <w:r w:rsidR="009657CE">
        <w:rPr>
          <w:lang w:val="fr-FR"/>
        </w:rPr>
        <w:t>’</w:t>
      </w:r>
      <w:r>
        <w:rPr>
          <w:lang w:val="fr-FR"/>
        </w:rPr>
        <w:t>ordre du jour provisoire établi par le secrétariat, après l</w:t>
      </w:r>
      <w:r w:rsidR="009657CE">
        <w:rPr>
          <w:lang w:val="fr-FR"/>
        </w:rPr>
        <w:t>’</w:t>
      </w:r>
      <w:r>
        <w:rPr>
          <w:lang w:val="fr-FR"/>
        </w:rPr>
        <w:t>avoir modifié afin de tenir compte des documents informels INF.1 à INF.19.</w:t>
      </w:r>
    </w:p>
    <w:p w14:paraId="461D4CE6" w14:textId="0999E9C0" w:rsidR="00D05AE5" w:rsidRPr="0001778C" w:rsidRDefault="00D05AE5" w:rsidP="008914BD">
      <w:pPr>
        <w:pStyle w:val="SingleTxtG"/>
      </w:pPr>
      <w:r>
        <w:rPr>
          <w:lang w:val="fr-FR"/>
        </w:rPr>
        <w:t>8.</w:t>
      </w:r>
      <w:r>
        <w:rPr>
          <w:lang w:val="fr-FR"/>
        </w:rPr>
        <w:tab/>
        <w:t>En ce qui concerne l</w:t>
      </w:r>
      <w:r w:rsidR="009657CE">
        <w:rPr>
          <w:lang w:val="fr-FR"/>
        </w:rPr>
        <w:t>’</w:t>
      </w:r>
      <w:r>
        <w:rPr>
          <w:lang w:val="fr-FR"/>
        </w:rPr>
        <w:t>état des publications, un membre du secrétariat a informé le Sous-Comité que les versions espagnole et chinoise de la neuvième édition révisée du Système harmonisé de désignation et de codification des marchandises (SGH) avaient été achevées et seraient disponibles sur le site Web d</w:t>
      </w:r>
      <w:r w:rsidR="009657CE">
        <w:rPr>
          <w:lang w:val="fr-FR"/>
        </w:rPr>
        <w:t>’</w:t>
      </w:r>
      <w:r>
        <w:rPr>
          <w:lang w:val="fr-FR"/>
        </w:rPr>
        <w:t>ici à la fin janvier 2022. Il a été noté que les versions russe et arabe étaient en cours d</w:t>
      </w:r>
      <w:r w:rsidR="009657CE">
        <w:rPr>
          <w:lang w:val="fr-FR"/>
        </w:rPr>
        <w:t>’</w:t>
      </w:r>
      <w:r>
        <w:rPr>
          <w:lang w:val="fr-FR"/>
        </w:rPr>
        <w:t xml:space="preserve">élaboration. </w:t>
      </w:r>
    </w:p>
    <w:p w14:paraId="6D1BDDA8" w14:textId="648013A7" w:rsidR="00D05AE5" w:rsidRDefault="00D05AE5" w:rsidP="003C737D">
      <w:pPr>
        <w:pStyle w:val="HChG"/>
      </w:pPr>
      <w:r>
        <w:rPr>
          <w:lang w:val="fr-FR"/>
        </w:rPr>
        <w:tab/>
        <w:t>III.</w:t>
      </w:r>
      <w:r>
        <w:rPr>
          <w:lang w:val="fr-FR"/>
        </w:rPr>
        <w:tab/>
        <w:t xml:space="preserve">Travaux relatifs au Système général harmonisé </w:t>
      </w:r>
      <w:r>
        <w:rPr>
          <w:lang w:val="fr-FR"/>
        </w:rPr>
        <w:br/>
        <w:t>de classification et d</w:t>
      </w:r>
      <w:r w:rsidR="009657CE">
        <w:rPr>
          <w:lang w:val="fr-FR"/>
        </w:rPr>
        <w:t>’</w:t>
      </w:r>
      <w:r>
        <w:rPr>
          <w:lang w:val="fr-FR"/>
        </w:rPr>
        <w:t xml:space="preserve">étiquetage des produits </w:t>
      </w:r>
      <w:r>
        <w:rPr>
          <w:lang w:val="fr-FR"/>
        </w:rPr>
        <w:br/>
        <w:t>chimiques (point 2 de l</w:t>
      </w:r>
      <w:r w:rsidR="009657CE">
        <w:rPr>
          <w:lang w:val="fr-FR"/>
        </w:rPr>
        <w:t>’</w:t>
      </w:r>
      <w:r>
        <w:rPr>
          <w:lang w:val="fr-FR"/>
        </w:rPr>
        <w:t>ordre du jour)</w:t>
      </w:r>
    </w:p>
    <w:p w14:paraId="61136885" w14:textId="3DF472A7" w:rsidR="00D05AE5" w:rsidRDefault="00D05AE5" w:rsidP="003C737D">
      <w:pPr>
        <w:pStyle w:val="H1G"/>
      </w:pPr>
      <w:r>
        <w:rPr>
          <w:lang w:val="fr-FR"/>
        </w:rPr>
        <w:tab/>
        <w:t>A.</w:t>
      </w:r>
      <w:r>
        <w:rPr>
          <w:lang w:val="fr-FR"/>
        </w:rPr>
        <w:tab/>
      </w:r>
      <w:r>
        <w:rPr>
          <w:lang w:val="fr-FR"/>
        </w:rPr>
        <w:tab/>
        <w:t>Travaux du Sous-Comité d</w:t>
      </w:r>
      <w:r w:rsidR="009657CE">
        <w:rPr>
          <w:lang w:val="fr-FR"/>
        </w:rPr>
        <w:t>’</w:t>
      </w:r>
      <w:r>
        <w:rPr>
          <w:lang w:val="fr-FR"/>
        </w:rPr>
        <w:t xml:space="preserve">experts du transport des marchandises dangereuses (Sous-Comité TMD) sur des questions intéressant </w:t>
      </w:r>
      <w:r>
        <w:rPr>
          <w:lang w:val="fr-FR"/>
        </w:rPr>
        <w:br/>
        <w:t>le Sous-Comité SGH</w:t>
      </w:r>
    </w:p>
    <w:p w14:paraId="409DA523" w14:textId="4284EB89" w:rsidR="00D05AE5" w:rsidRDefault="00D05AE5" w:rsidP="008914BD">
      <w:pPr>
        <w:pStyle w:val="SingleTxtG"/>
      </w:pPr>
      <w:r>
        <w:rPr>
          <w:lang w:val="fr-FR"/>
        </w:rPr>
        <w:t>9.</w:t>
      </w:r>
      <w:r>
        <w:rPr>
          <w:lang w:val="fr-FR"/>
        </w:rPr>
        <w:tab/>
        <w:t>Le Sous-Comité a examiné les résultats des délibérations du Sous-Comité TMD sur le document informel INF.10 et sur le document ST/SG/AC.10/C.4/2021/7 au titre des points 2 b) et 2 i) de l</w:t>
      </w:r>
      <w:r w:rsidR="009657CE">
        <w:rPr>
          <w:lang w:val="fr-FR"/>
        </w:rPr>
        <w:t>’</w:t>
      </w:r>
      <w:r>
        <w:rPr>
          <w:lang w:val="fr-FR"/>
        </w:rPr>
        <w:t>ordre du jour, respectivement.</w:t>
      </w:r>
    </w:p>
    <w:p w14:paraId="7AD4FBFD" w14:textId="2F14FE0C" w:rsidR="00D05AE5" w:rsidRPr="005E2686" w:rsidRDefault="00D05AE5" w:rsidP="008914BD">
      <w:pPr>
        <w:pStyle w:val="SingleTxtG"/>
      </w:pPr>
      <w:r>
        <w:rPr>
          <w:lang w:val="fr-FR"/>
        </w:rPr>
        <w:t>10.</w:t>
      </w:r>
      <w:r>
        <w:rPr>
          <w:lang w:val="fr-FR"/>
        </w:rPr>
        <w:tab/>
      </w:r>
      <w:r>
        <w:rPr>
          <w:shd w:val="clear" w:color="auto" w:fill="FFFFFF"/>
        </w:rPr>
        <w:t>Le Sous-Comité n</w:t>
      </w:r>
      <w:r w:rsidR="009657CE">
        <w:rPr>
          <w:shd w:val="clear" w:color="auto" w:fill="FFFFFF"/>
        </w:rPr>
        <w:t>’</w:t>
      </w:r>
      <w:r>
        <w:rPr>
          <w:shd w:val="clear" w:color="auto" w:fill="FFFFFF"/>
        </w:rPr>
        <w:t>ayant pas reçu d</w:t>
      </w:r>
      <w:r w:rsidR="009657CE">
        <w:rPr>
          <w:shd w:val="clear" w:color="auto" w:fill="FFFFFF"/>
        </w:rPr>
        <w:t>’</w:t>
      </w:r>
      <w:r>
        <w:rPr>
          <w:shd w:val="clear" w:color="auto" w:fill="FFFFFF"/>
        </w:rPr>
        <w:t>informations sur d</w:t>
      </w:r>
      <w:r w:rsidR="009657CE">
        <w:rPr>
          <w:shd w:val="clear" w:color="auto" w:fill="FFFFFF"/>
        </w:rPr>
        <w:t>’</w:t>
      </w:r>
      <w:r>
        <w:rPr>
          <w:shd w:val="clear" w:color="auto" w:fill="FFFFFF"/>
        </w:rPr>
        <w:t>autres questions traitées par le Sous-Comité TMD intéressant ses travaux, il n</w:t>
      </w:r>
      <w:r w:rsidR="009657CE">
        <w:rPr>
          <w:shd w:val="clear" w:color="auto" w:fill="FFFFFF"/>
        </w:rPr>
        <w:t>’</w:t>
      </w:r>
      <w:r>
        <w:rPr>
          <w:shd w:val="clear" w:color="auto" w:fill="FFFFFF"/>
        </w:rPr>
        <w:t>y a pas eu d</w:t>
      </w:r>
      <w:r w:rsidR="009657CE">
        <w:rPr>
          <w:shd w:val="clear" w:color="auto" w:fill="FFFFFF"/>
        </w:rPr>
        <w:t>’</w:t>
      </w:r>
      <w:r>
        <w:rPr>
          <w:shd w:val="clear" w:color="auto" w:fill="FFFFFF"/>
        </w:rPr>
        <w:t>autre discussion au titre de ce point.</w:t>
      </w:r>
    </w:p>
    <w:p w14:paraId="57D415AA" w14:textId="77777777" w:rsidR="00D05AE5" w:rsidRDefault="00D05AE5" w:rsidP="003C737D">
      <w:pPr>
        <w:pStyle w:val="H1G"/>
      </w:pPr>
      <w:r>
        <w:rPr>
          <w:lang w:val="fr-FR"/>
        </w:rPr>
        <w:tab/>
        <w:t>B.</w:t>
      </w:r>
      <w:r>
        <w:rPr>
          <w:lang w:val="fr-FR"/>
        </w:rPr>
        <w:tab/>
      </w:r>
      <w:r>
        <w:rPr>
          <w:lang w:val="fr-FR"/>
        </w:rPr>
        <w:tab/>
        <w:t xml:space="preserve">Classification simultanée dans les classes de danger physique </w:t>
      </w:r>
      <w:r>
        <w:rPr>
          <w:lang w:val="fr-FR"/>
        </w:rPr>
        <w:br/>
        <w:t>et ordre de prépondérance des dangers</w:t>
      </w:r>
    </w:p>
    <w:p w14:paraId="7E50053A" w14:textId="39C91986" w:rsidR="00D05AE5" w:rsidRDefault="00D05AE5" w:rsidP="003C737D">
      <w:pPr>
        <w:pStyle w:val="SingleTxtG"/>
        <w:tabs>
          <w:tab w:val="clear" w:pos="1701"/>
          <w:tab w:val="clear" w:pos="2268"/>
          <w:tab w:val="clear" w:pos="2835"/>
          <w:tab w:val="left" w:pos="3402"/>
        </w:tabs>
        <w:ind w:left="3402" w:hanging="2268"/>
      </w:pPr>
      <w:r>
        <w:rPr>
          <w:i/>
          <w:iCs/>
          <w:lang w:val="fr-FR"/>
        </w:rPr>
        <w:t>Document(s) informel(s)</w:t>
      </w:r>
      <w:r w:rsidR="009657CE">
        <w:rPr>
          <w:i/>
          <w:iCs/>
          <w:lang w:val="fr-FR"/>
        </w:rPr>
        <w:t> </w:t>
      </w:r>
      <w:r w:rsidRPr="004F336C">
        <w:rPr>
          <w:lang w:val="fr-FR"/>
        </w:rPr>
        <w:t>:</w:t>
      </w:r>
      <w:r>
        <w:rPr>
          <w:lang w:val="fr-FR"/>
        </w:rPr>
        <w:tab/>
        <w:t>INF.10 (Allemagne)</w:t>
      </w:r>
    </w:p>
    <w:p w14:paraId="5EE5868B" w14:textId="461250ED" w:rsidR="00D05AE5" w:rsidRDefault="00D05AE5" w:rsidP="008914BD">
      <w:pPr>
        <w:pStyle w:val="SingleTxtG"/>
      </w:pPr>
      <w:r>
        <w:rPr>
          <w:lang w:val="fr-FR"/>
        </w:rPr>
        <w:t>11.</w:t>
      </w:r>
      <w:r>
        <w:rPr>
          <w:lang w:val="fr-FR"/>
        </w:rPr>
        <w:tab/>
        <w:t xml:space="preserve">Le Sous-Comité a pris note de </w:t>
      </w:r>
      <w:r w:rsidRPr="001959ED">
        <w:rPr>
          <w:lang w:val="fr-FR"/>
        </w:rPr>
        <w:t>l</w:t>
      </w:r>
      <w:r w:rsidR="009657CE">
        <w:rPr>
          <w:lang w:val="fr-FR"/>
        </w:rPr>
        <w:t>’</w:t>
      </w:r>
      <w:r w:rsidRPr="001959ED">
        <w:rPr>
          <w:lang w:val="fr-FR"/>
        </w:rPr>
        <w:t>état d</w:t>
      </w:r>
      <w:r w:rsidR="009657CE">
        <w:rPr>
          <w:lang w:val="fr-FR"/>
        </w:rPr>
        <w:t>’</w:t>
      </w:r>
      <w:r w:rsidRPr="001959ED">
        <w:rPr>
          <w:lang w:val="fr-FR"/>
        </w:rPr>
        <w:t xml:space="preserve">avancement </w:t>
      </w:r>
      <w:r>
        <w:rPr>
          <w:lang w:val="fr-FR"/>
        </w:rPr>
        <w:t xml:space="preserve">des travaux du groupe de travail informel depuis la dernière session et a été informé que la prochaine réunion du groupe était prévue le 26 janvier 2022. </w:t>
      </w:r>
    </w:p>
    <w:p w14:paraId="266761BB" w14:textId="06CF417B" w:rsidR="00D05AE5" w:rsidRDefault="00D05AE5" w:rsidP="008914BD">
      <w:pPr>
        <w:pStyle w:val="SingleTxtG"/>
      </w:pPr>
      <w:r>
        <w:rPr>
          <w:lang w:val="fr-FR"/>
        </w:rPr>
        <w:t>12.</w:t>
      </w:r>
      <w:r>
        <w:rPr>
          <w:lang w:val="fr-FR"/>
        </w:rPr>
        <w:tab/>
        <w:t>En réponse à une question concernant la possibilité que les résultats de ces travaux aient une incidence sur les dispositions relatives au transport des marchandises dangereuses, l</w:t>
      </w:r>
      <w:r w:rsidR="009657CE">
        <w:rPr>
          <w:lang w:val="fr-FR"/>
        </w:rPr>
        <w:t>’</w:t>
      </w:r>
      <w:r>
        <w:rPr>
          <w:lang w:val="fr-FR"/>
        </w:rPr>
        <w:t>experte de l</w:t>
      </w:r>
      <w:r w:rsidR="009657CE">
        <w:rPr>
          <w:lang w:val="fr-FR"/>
        </w:rPr>
        <w:t>’</w:t>
      </w:r>
      <w:r>
        <w:rPr>
          <w:lang w:val="fr-FR"/>
        </w:rPr>
        <w:t xml:space="preserve">Allemagne a expliqué que cela semblait peu probable et </w:t>
      </w:r>
      <w:r w:rsidRPr="00EA7A20">
        <w:rPr>
          <w:lang w:val="fr-FR"/>
        </w:rPr>
        <w:t>qu</w:t>
      </w:r>
      <w:r w:rsidR="009657CE">
        <w:rPr>
          <w:lang w:val="fr-FR"/>
        </w:rPr>
        <w:t>’</w:t>
      </w:r>
      <w:r w:rsidRPr="00EA7A20">
        <w:rPr>
          <w:lang w:val="fr-FR"/>
        </w:rPr>
        <w:t>il appartiendrait au Sous-Comité TMD de déterminer si les résultats de ces travaux pourraient être utiles dans le cadre du transport de</w:t>
      </w:r>
      <w:r>
        <w:rPr>
          <w:lang w:val="fr-FR"/>
        </w:rPr>
        <w:t>s</w:t>
      </w:r>
      <w:r w:rsidRPr="00EA7A20">
        <w:rPr>
          <w:lang w:val="fr-FR"/>
        </w:rPr>
        <w:t xml:space="preserve"> marchandises dangereuses</w:t>
      </w:r>
      <w:r>
        <w:rPr>
          <w:lang w:val="fr-FR"/>
        </w:rPr>
        <w:t>. Il a été noté que des experts des transports participaient aux travaux et que le Sous-Comité TMD continuerait à être tenu informé de l</w:t>
      </w:r>
      <w:r w:rsidR="009657CE">
        <w:rPr>
          <w:lang w:val="fr-FR"/>
        </w:rPr>
        <w:t>’</w:t>
      </w:r>
      <w:r>
        <w:rPr>
          <w:lang w:val="fr-FR"/>
        </w:rPr>
        <w:t>état d</w:t>
      </w:r>
      <w:r w:rsidR="009657CE">
        <w:rPr>
          <w:lang w:val="fr-FR"/>
        </w:rPr>
        <w:t>’</w:t>
      </w:r>
      <w:r>
        <w:rPr>
          <w:lang w:val="fr-FR"/>
        </w:rPr>
        <w:t>avancement et des résultats des travaux du groupe.</w:t>
      </w:r>
    </w:p>
    <w:p w14:paraId="671D179A" w14:textId="5713FECB" w:rsidR="00D05AE5" w:rsidRDefault="00D05AE5" w:rsidP="008914BD">
      <w:pPr>
        <w:pStyle w:val="SingleTxtG"/>
      </w:pPr>
      <w:r>
        <w:rPr>
          <w:lang w:val="fr-FR"/>
        </w:rPr>
        <w:t>13.</w:t>
      </w:r>
      <w:r>
        <w:rPr>
          <w:lang w:val="fr-FR"/>
        </w:rPr>
        <w:tab/>
        <w:t>L</w:t>
      </w:r>
      <w:r w:rsidR="009657CE">
        <w:rPr>
          <w:lang w:val="fr-FR"/>
        </w:rPr>
        <w:t>’</w:t>
      </w:r>
      <w:r>
        <w:rPr>
          <w:lang w:val="fr-FR"/>
        </w:rPr>
        <w:t>experte de l</w:t>
      </w:r>
      <w:r w:rsidR="009657CE">
        <w:rPr>
          <w:lang w:val="fr-FR"/>
        </w:rPr>
        <w:t>’</w:t>
      </w:r>
      <w:r>
        <w:rPr>
          <w:lang w:val="fr-FR"/>
        </w:rPr>
        <w:t>Allemagne (Cordula Wilrich) a invité tous les experts souhaitant participer aux travaux du groupe de travail informel à la contacter.</w:t>
      </w:r>
    </w:p>
    <w:p w14:paraId="621F5286" w14:textId="0CCFC2F2" w:rsidR="00D05AE5" w:rsidRPr="001E3E78" w:rsidRDefault="00D05AE5" w:rsidP="003C737D">
      <w:pPr>
        <w:pStyle w:val="H1G"/>
      </w:pPr>
      <w:r>
        <w:rPr>
          <w:lang w:val="fr-FR"/>
        </w:rPr>
        <w:tab/>
        <w:t>C.</w:t>
      </w:r>
      <w:r>
        <w:rPr>
          <w:lang w:val="fr-FR"/>
        </w:rPr>
        <w:tab/>
        <w:t>Utilisation de méthodes d</w:t>
      </w:r>
      <w:r w:rsidR="009657CE">
        <w:rPr>
          <w:lang w:val="fr-FR"/>
        </w:rPr>
        <w:t>’</w:t>
      </w:r>
      <w:r>
        <w:rPr>
          <w:lang w:val="fr-FR"/>
        </w:rPr>
        <w:t xml:space="preserve">expérimentation non animales </w:t>
      </w:r>
      <w:r>
        <w:rPr>
          <w:lang w:val="fr-FR"/>
        </w:rPr>
        <w:br/>
        <w:t>pour le classement des dangers pour la santé</w:t>
      </w:r>
    </w:p>
    <w:p w14:paraId="66ADC7E1" w14:textId="53833C7E" w:rsidR="00D05AE5" w:rsidRDefault="00D05AE5" w:rsidP="003C737D">
      <w:pPr>
        <w:pStyle w:val="SingleTxtG"/>
        <w:tabs>
          <w:tab w:val="clear" w:pos="1701"/>
          <w:tab w:val="clear" w:pos="2268"/>
          <w:tab w:val="clear" w:pos="2835"/>
          <w:tab w:val="left" w:pos="3402"/>
        </w:tabs>
        <w:ind w:left="3402" w:hanging="2268"/>
      </w:pPr>
      <w:r>
        <w:rPr>
          <w:i/>
          <w:iCs/>
          <w:lang w:val="fr-FR"/>
        </w:rPr>
        <w:t>Document(s) informel(s)</w:t>
      </w:r>
      <w:r w:rsidR="009657CE">
        <w:rPr>
          <w:i/>
          <w:iCs/>
          <w:lang w:val="fr-FR"/>
        </w:rPr>
        <w:t> </w:t>
      </w:r>
      <w:r w:rsidRPr="004F336C">
        <w:rPr>
          <w:lang w:val="fr-FR"/>
        </w:rPr>
        <w:t>:</w:t>
      </w:r>
      <w:r>
        <w:rPr>
          <w:lang w:val="fr-FR"/>
        </w:rPr>
        <w:tab/>
        <w:t>INF.11 et INF.18 (Royaume-Uni, Pays</w:t>
      </w:r>
      <w:r>
        <w:rPr>
          <w:lang w:val="fr-FR"/>
        </w:rPr>
        <w:noBreakHyphen/>
        <w:t>Bas)</w:t>
      </w:r>
    </w:p>
    <w:p w14:paraId="33D9DD7A" w14:textId="5C4C20CE" w:rsidR="00D05AE5" w:rsidRDefault="00D05AE5" w:rsidP="008914BD">
      <w:pPr>
        <w:pStyle w:val="SingleTxtG"/>
      </w:pPr>
      <w:r>
        <w:rPr>
          <w:lang w:val="fr-FR"/>
        </w:rPr>
        <w:t>14.</w:t>
      </w:r>
      <w:r>
        <w:rPr>
          <w:lang w:val="fr-FR"/>
        </w:rPr>
        <w:tab/>
        <w:t>Le Sous-Comité a pris note des informations fournies dans les documents informels</w:t>
      </w:r>
      <w:r w:rsidR="000C64C2">
        <w:rPr>
          <w:lang w:val="fr-FR"/>
        </w:rPr>
        <w:t> </w:t>
      </w:r>
      <w:r>
        <w:rPr>
          <w:lang w:val="fr-FR"/>
        </w:rPr>
        <w:t>INF.11 et INF.18, à savoir : le rapport sur l</w:t>
      </w:r>
      <w:r w:rsidR="009657CE">
        <w:rPr>
          <w:lang w:val="fr-FR"/>
        </w:rPr>
        <w:t>’</w:t>
      </w:r>
      <w:r>
        <w:rPr>
          <w:lang w:val="fr-FR"/>
        </w:rPr>
        <w:t>état d</w:t>
      </w:r>
      <w:r w:rsidR="009657CE">
        <w:rPr>
          <w:lang w:val="fr-FR"/>
        </w:rPr>
        <w:t>’</w:t>
      </w:r>
      <w:r>
        <w:rPr>
          <w:lang w:val="fr-FR"/>
        </w:rPr>
        <w:t>avancement des travaux du groupe de travail informel ; les informations fournies par l</w:t>
      </w:r>
      <w:r w:rsidR="009657CE">
        <w:rPr>
          <w:lang w:val="fr-FR"/>
        </w:rPr>
        <w:t>’</w:t>
      </w:r>
      <w:r>
        <w:rPr>
          <w:lang w:val="fr-FR"/>
        </w:rPr>
        <w:t>OCDE sur les méthodes définies ; la façon dont ces méthodes ont jusqu</w:t>
      </w:r>
      <w:r w:rsidR="009657CE">
        <w:rPr>
          <w:lang w:val="fr-FR"/>
        </w:rPr>
        <w:t>’</w:t>
      </w:r>
      <w:r>
        <w:rPr>
          <w:lang w:val="fr-FR"/>
        </w:rPr>
        <w:t>à présent été intégrées dans l</w:t>
      </w:r>
      <w:r w:rsidR="009657CE">
        <w:rPr>
          <w:lang w:val="fr-FR"/>
        </w:rPr>
        <w:t>’</w:t>
      </w:r>
      <w:r>
        <w:rPr>
          <w:lang w:val="fr-FR"/>
        </w:rPr>
        <w:t>examen des chapitres 3.3 et 3.4 ; et les sujets en cours d</w:t>
      </w:r>
      <w:r w:rsidR="009657CE">
        <w:rPr>
          <w:lang w:val="fr-FR"/>
        </w:rPr>
        <w:t>’</w:t>
      </w:r>
      <w:r>
        <w:rPr>
          <w:lang w:val="fr-FR"/>
        </w:rPr>
        <w:t xml:space="preserve">examen et les difficultés rencontrées par le </w:t>
      </w:r>
      <w:r w:rsidRPr="001959ED">
        <w:rPr>
          <w:lang w:val="fr-FR"/>
        </w:rPr>
        <w:t>groupe de travail informel</w:t>
      </w:r>
      <w:r>
        <w:rPr>
          <w:lang w:val="fr-FR"/>
        </w:rPr>
        <w:t xml:space="preserve"> lors de la révision du chapitre 3.4. </w:t>
      </w:r>
    </w:p>
    <w:p w14:paraId="481269E3" w14:textId="77777777" w:rsidR="00D05AE5" w:rsidRDefault="00D05AE5" w:rsidP="008914BD">
      <w:pPr>
        <w:pStyle w:val="SingleTxtG"/>
      </w:pPr>
      <w:r>
        <w:rPr>
          <w:lang w:val="fr-FR"/>
        </w:rPr>
        <w:t>15.</w:t>
      </w:r>
      <w:r>
        <w:rPr>
          <w:lang w:val="fr-FR"/>
        </w:rPr>
        <w:tab/>
        <w:t xml:space="preserve">Le Sous-Comité a examiné les questions générales portées à son attention par le groupe de travail informel et a conclu comme suit : </w:t>
      </w:r>
    </w:p>
    <w:p w14:paraId="0574F7C5" w14:textId="291BEB5E" w:rsidR="00D05AE5" w:rsidRDefault="00D05AE5" w:rsidP="003C737D">
      <w:pPr>
        <w:pStyle w:val="SingleTxtG"/>
        <w:ind w:firstLine="567"/>
      </w:pPr>
      <w:r>
        <w:rPr>
          <w:lang w:val="fr-FR"/>
        </w:rPr>
        <w:t>a)</w:t>
      </w:r>
      <w:r>
        <w:rPr>
          <w:lang w:val="fr-FR"/>
        </w:rPr>
        <w:tab/>
        <w:t>Combien de critères ou d</w:t>
      </w:r>
      <w:r w:rsidR="009657CE">
        <w:rPr>
          <w:lang w:val="fr-FR"/>
        </w:rPr>
        <w:t>’</w:t>
      </w:r>
      <w:r>
        <w:rPr>
          <w:lang w:val="fr-FR"/>
        </w:rPr>
        <w:t>indications devraient être fournis dans le SGH pour couvrir les cas où différentes épreuves produisent des résultats contradictoires ?</w:t>
      </w:r>
    </w:p>
    <w:p w14:paraId="7351ECEC" w14:textId="272E87A4" w:rsidR="00D05AE5" w:rsidRDefault="00D05AE5" w:rsidP="003C737D">
      <w:pPr>
        <w:pStyle w:val="SingleTxtG"/>
        <w:ind w:left="1701"/>
      </w:pPr>
      <w:bookmarkStart w:id="0" w:name="_Hlk98408490"/>
      <w:r>
        <w:rPr>
          <w:lang w:val="fr-FR"/>
        </w:rPr>
        <w:t>Des instructions sur l</w:t>
      </w:r>
      <w:r w:rsidR="009657CE">
        <w:rPr>
          <w:lang w:val="fr-FR"/>
        </w:rPr>
        <w:t>’</w:t>
      </w:r>
      <w:r>
        <w:rPr>
          <w:lang w:val="fr-FR"/>
        </w:rPr>
        <w:t xml:space="preserve">utilisation des données devraient être fournies à la fois dans la partie du chapitre consacrée aux critères de classification et dans la section </w:t>
      </w:r>
      <w:bookmarkStart w:id="1" w:name="_Hlk98408460"/>
      <w:r>
        <w:rPr>
          <w:lang w:val="fr-FR"/>
        </w:rPr>
        <w:t xml:space="preserve">du ou des chapitres </w:t>
      </w:r>
      <w:bookmarkEnd w:id="1"/>
      <w:r>
        <w:rPr>
          <w:lang w:val="fr-FR"/>
        </w:rPr>
        <w:t>comprenant des commentaires et des informations supplémentaires, comme cela a été fait pour les chapitres 3.2 et 3.3.</w:t>
      </w:r>
      <w:bookmarkEnd w:id="0"/>
    </w:p>
    <w:p w14:paraId="28FB07F5" w14:textId="72F3614D" w:rsidR="00D05AE5" w:rsidRDefault="00D05AE5" w:rsidP="003C737D">
      <w:pPr>
        <w:pStyle w:val="SingleTxtG"/>
        <w:ind w:firstLine="567"/>
      </w:pPr>
      <w:r>
        <w:rPr>
          <w:lang w:val="fr-FR"/>
        </w:rPr>
        <w:t>b)</w:t>
      </w:r>
      <w:r>
        <w:rPr>
          <w:lang w:val="fr-FR"/>
        </w:rPr>
        <w:tab/>
        <w:t>Dans quelle mesure des modifications des critères existants seraient-elles acceptables lors de l</w:t>
      </w:r>
      <w:r w:rsidR="009657CE">
        <w:rPr>
          <w:lang w:val="fr-FR"/>
        </w:rPr>
        <w:t>’</w:t>
      </w:r>
      <w:r>
        <w:rPr>
          <w:lang w:val="fr-FR"/>
        </w:rPr>
        <w:t>introduction de critères pour de nouveaux types de données ?</w:t>
      </w:r>
    </w:p>
    <w:p w14:paraId="416CFCF9" w14:textId="4FDAB1E6" w:rsidR="00D05AE5" w:rsidRDefault="00D05AE5" w:rsidP="003C737D">
      <w:pPr>
        <w:pStyle w:val="SingleTxtG"/>
        <w:ind w:left="1701"/>
      </w:pPr>
      <w:r>
        <w:rPr>
          <w:lang w:val="fr-FR"/>
        </w:rPr>
        <w:t>Les données fiables et de bonne qualité existantes qui sont issues d</w:t>
      </w:r>
      <w:r w:rsidR="009657CE">
        <w:rPr>
          <w:lang w:val="fr-FR"/>
        </w:rPr>
        <w:t>’</w:t>
      </w:r>
      <w:r>
        <w:rPr>
          <w:lang w:val="fr-FR"/>
        </w:rPr>
        <w:t>études de cas humains devraient continuer à être dûment exploitées lorsqu</w:t>
      </w:r>
      <w:r w:rsidR="009657CE">
        <w:rPr>
          <w:lang w:val="fr-FR"/>
        </w:rPr>
        <w:t>’</w:t>
      </w:r>
      <w:r>
        <w:rPr>
          <w:lang w:val="fr-FR"/>
        </w:rPr>
        <w:t xml:space="preserve">elles présentent un intérêt pour le classement, et elles devraient être évaluées en premier lieu. </w:t>
      </w:r>
      <w:r w:rsidRPr="008B772B">
        <w:rPr>
          <w:lang w:val="fr-FR"/>
        </w:rPr>
        <w:t>À cet égard, il a été indiqué qu</w:t>
      </w:r>
      <w:r w:rsidR="009657CE">
        <w:rPr>
          <w:lang w:val="fr-FR"/>
        </w:rPr>
        <w:t>’</w:t>
      </w:r>
      <w:r w:rsidRPr="008B772B">
        <w:rPr>
          <w:lang w:val="fr-FR"/>
        </w:rPr>
        <w:t>il était nécessaire d</w:t>
      </w:r>
      <w:r w:rsidR="009657CE">
        <w:rPr>
          <w:lang w:val="fr-FR"/>
        </w:rPr>
        <w:t>’</w:t>
      </w:r>
      <w:r w:rsidRPr="008B772B">
        <w:rPr>
          <w:lang w:val="fr-FR"/>
        </w:rPr>
        <w:t>améliorer la définition de ce que l</w:t>
      </w:r>
      <w:r w:rsidR="009657CE">
        <w:rPr>
          <w:lang w:val="fr-FR"/>
        </w:rPr>
        <w:t>’</w:t>
      </w:r>
      <w:r w:rsidRPr="008B772B">
        <w:rPr>
          <w:lang w:val="fr-FR"/>
        </w:rPr>
        <w:t>on entend</w:t>
      </w:r>
      <w:r>
        <w:rPr>
          <w:lang w:val="fr-FR"/>
        </w:rPr>
        <w:t>ait</w:t>
      </w:r>
      <w:r w:rsidRPr="008B772B">
        <w:rPr>
          <w:lang w:val="fr-FR"/>
        </w:rPr>
        <w:t xml:space="preserve"> par données fiables et de bonne qualité. </w:t>
      </w:r>
      <w:r>
        <w:rPr>
          <w:lang w:val="fr-FR"/>
        </w:rPr>
        <w:t>Les propositions de révision du chapitre 3.4 visant à traiter l</w:t>
      </w:r>
      <w:r w:rsidR="009657CE">
        <w:rPr>
          <w:lang w:val="fr-FR"/>
        </w:rPr>
        <w:t>’</w:t>
      </w:r>
      <w:r>
        <w:rPr>
          <w:lang w:val="fr-FR"/>
        </w:rPr>
        <w:t>utilisation d</w:t>
      </w:r>
      <w:r w:rsidR="009657CE">
        <w:rPr>
          <w:lang w:val="fr-FR"/>
        </w:rPr>
        <w:t>’</w:t>
      </w:r>
      <w:r>
        <w:rPr>
          <w:lang w:val="fr-FR"/>
        </w:rPr>
        <w:t>autres types de données pour le classement ne devraient pas entraîner de modifications des critères de classement existants reposant sur l</w:t>
      </w:r>
      <w:r w:rsidR="009657CE">
        <w:rPr>
          <w:lang w:val="fr-FR"/>
        </w:rPr>
        <w:t>’</w:t>
      </w:r>
      <w:r>
        <w:rPr>
          <w:lang w:val="fr-FR"/>
        </w:rPr>
        <w:t>utilisation de données issues d</w:t>
      </w:r>
      <w:r w:rsidR="009657CE">
        <w:rPr>
          <w:lang w:val="fr-FR"/>
        </w:rPr>
        <w:t>’</w:t>
      </w:r>
      <w:r>
        <w:rPr>
          <w:lang w:val="fr-FR"/>
        </w:rPr>
        <w:t>études sur l</w:t>
      </w:r>
      <w:r w:rsidR="009657CE">
        <w:rPr>
          <w:lang w:val="fr-FR"/>
        </w:rPr>
        <w:t>’</w:t>
      </w:r>
      <w:r>
        <w:rPr>
          <w:lang w:val="fr-FR"/>
        </w:rPr>
        <w:t>être humain ou sur l</w:t>
      </w:r>
      <w:r w:rsidR="009657CE">
        <w:rPr>
          <w:lang w:val="fr-FR"/>
        </w:rPr>
        <w:t>’</w:t>
      </w:r>
      <w:r>
        <w:rPr>
          <w:lang w:val="fr-FR"/>
        </w:rPr>
        <w:t xml:space="preserve">animal, et </w:t>
      </w:r>
      <w:r w:rsidRPr="00A2692B">
        <w:rPr>
          <w:lang w:val="fr-FR"/>
        </w:rPr>
        <w:t>pourraient nécessiter des éclaircissements dans le cadre de la mise à jour effectuée par le groupe de travail</w:t>
      </w:r>
      <w:r>
        <w:rPr>
          <w:lang w:val="fr-FR"/>
        </w:rPr>
        <w:t xml:space="preserve">. Il est toutefois admis que le texte actuel du chapitre 3.4 pourrait devoir être réorganisé et </w:t>
      </w:r>
      <w:r w:rsidRPr="00352221">
        <w:rPr>
          <w:lang w:val="fr-FR"/>
        </w:rPr>
        <w:t>que des précisions supplémentaires pourrai</w:t>
      </w:r>
      <w:r>
        <w:rPr>
          <w:lang w:val="fr-FR"/>
        </w:rPr>
        <w:t>en</w:t>
      </w:r>
      <w:r w:rsidRPr="00352221">
        <w:rPr>
          <w:lang w:val="fr-FR"/>
        </w:rPr>
        <w:t>t devoir être fournies</w:t>
      </w:r>
      <w:r>
        <w:rPr>
          <w:lang w:val="fr-FR"/>
        </w:rPr>
        <w:t>, comme cela a été le cas pour les chapitres 3.2 et 3.3, afin de tenir compte des dispositions relatives à l</w:t>
      </w:r>
      <w:r w:rsidR="009657CE">
        <w:rPr>
          <w:lang w:val="fr-FR"/>
        </w:rPr>
        <w:t>’</w:t>
      </w:r>
      <w:r>
        <w:rPr>
          <w:lang w:val="fr-FR"/>
        </w:rPr>
        <w:t>utilisation de nouveaux types de données.</w:t>
      </w:r>
    </w:p>
    <w:p w14:paraId="0D31B46D" w14:textId="4BA087AA" w:rsidR="00D05AE5" w:rsidRDefault="00D05AE5" w:rsidP="003C737D">
      <w:pPr>
        <w:pStyle w:val="SingleTxtG"/>
        <w:ind w:firstLine="567"/>
      </w:pPr>
      <w:r>
        <w:rPr>
          <w:lang w:val="fr-FR"/>
        </w:rPr>
        <w:t>c)</w:t>
      </w:r>
      <w:r>
        <w:rPr>
          <w:lang w:val="fr-FR"/>
        </w:rPr>
        <w:tab/>
        <w:t>Comment traiter les questions techniques ayant des incidences plus larges sur d</w:t>
      </w:r>
      <w:r w:rsidR="009657CE">
        <w:rPr>
          <w:lang w:val="fr-FR"/>
        </w:rPr>
        <w:t>’</w:t>
      </w:r>
      <w:r>
        <w:rPr>
          <w:lang w:val="fr-FR"/>
        </w:rPr>
        <w:t>autres chapitres du SGH ?</w:t>
      </w:r>
    </w:p>
    <w:p w14:paraId="46E37684" w14:textId="7896E832" w:rsidR="00D05AE5" w:rsidRDefault="00D05AE5" w:rsidP="003C737D">
      <w:pPr>
        <w:pStyle w:val="SingleTxtG"/>
        <w:ind w:left="1701"/>
      </w:pPr>
      <w:r>
        <w:rPr>
          <w:lang w:val="fr-FR"/>
        </w:rPr>
        <w:t>Les questions techniques dont il a été déterminé qu</w:t>
      </w:r>
      <w:r w:rsidR="009657CE">
        <w:rPr>
          <w:lang w:val="fr-FR"/>
        </w:rPr>
        <w:t>’</w:t>
      </w:r>
      <w:r>
        <w:rPr>
          <w:lang w:val="fr-FR"/>
        </w:rPr>
        <w:t>elles n</w:t>
      </w:r>
      <w:r w:rsidR="009657CE">
        <w:rPr>
          <w:lang w:val="fr-FR"/>
        </w:rPr>
        <w:t>’</w:t>
      </w:r>
      <w:r>
        <w:rPr>
          <w:lang w:val="fr-FR"/>
        </w:rPr>
        <w:t>entraient pas dans le cadre du mandat du groupe de travail informel doivent être portées à l</w:t>
      </w:r>
      <w:r w:rsidR="009657CE">
        <w:rPr>
          <w:lang w:val="fr-FR"/>
        </w:rPr>
        <w:t>’</w:t>
      </w:r>
      <w:r>
        <w:rPr>
          <w:lang w:val="fr-FR"/>
        </w:rPr>
        <w:t>attention du Sous</w:t>
      </w:r>
      <w:r w:rsidR="00FB6702">
        <w:rPr>
          <w:lang w:val="fr-FR"/>
        </w:rPr>
        <w:noBreakHyphen/>
      </w:r>
      <w:r>
        <w:rPr>
          <w:lang w:val="fr-FR"/>
        </w:rPr>
        <w:t>Comité, qui pourra décider de les aborder en séance plénière ou d</w:t>
      </w:r>
      <w:r w:rsidR="009657CE">
        <w:rPr>
          <w:lang w:val="fr-FR"/>
        </w:rPr>
        <w:t>’</w:t>
      </w:r>
      <w:r>
        <w:rPr>
          <w:lang w:val="fr-FR"/>
        </w:rPr>
        <w:t>en confier l</w:t>
      </w:r>
      <w:r w:rsidR="009657CE">
        <w:rPr>
          <w:lang w:val="fr-FR"/>
        </w:rPr>
        <w:t>’</w:t>
      </w:r>
      <w:r>
        <w:rPr>
          <w:lang w:val="fr-FR"/>
        </w:rPr>
        <w:t>examen à un groupe de travail informel existant ou nouveau, sous la direction d</w:t>
      </w:r>
      <w:r w:rsidR="009657CE">
        <w:rPr>
          <w:lang w:val="fr-FR"/>
        </w:rPr>
        <w:t>’</w:t>
      </w:r>
      <w:r>
        <w:rPr>
          <w:lang w:val="fr-FR"/>
        </w:rPr>
        <w:t>une délégation participant à ses travaux.</w:t>
      </w:r>
    </w:p>
    <w:p w14:paraId="1F467348" w14:textId="2B979AD0" w:rsidR="00D05AE5" w:rsidRDefault="00D05AE5" w:rsidP="008914BD">
      <w:pPr>
        <w:pStyle w:val="SingleTxtG"/>
      </w:pPr>
      <w:r>
        <w:rPr>
          <w:lang w:val="fr-FR"/>
        </w:rPr>
        <w:t>16.</w:t>
      </w:r>
      <w:r>
        <w:rPr>
          <w:lang w:val="fr-FR"/>
        </w:rPr>
        <w:tab/>
        <w:t>Le représentant de l</w:t>
      </w:r>
      <w:r w:rsidR="009657CE">
        <w:rPr>
          <w:lang w:val="fr-FR"/>
        </w:rPr>
        <w:t>’</w:t>
      </w:r>
      <w:r>
        <w:rPr>
          <w:lang w:val="fr-FR"/>
        </w:rPr>
        <w:t>OCDE a invité les experts souhaitant en savoir plus sur l</w:t>
      </w:r>
      <w:r w:rsidR="009657CE">
        <w:rPr>
          <w:lang w:val="fr-FR"/>
        </w:rPr>
        <w:t>’</w:t>
      </w:r>
      <w:r>
        <w:rPr>
          <w:lang w:val="fr-FR"/>
        </w:rPr>
        <w:t>utilisation des méthodes définies pour l</w:t>
      </w:r>
      <w:r w:rsidR="009657CE">
        <w:rPr>
          <w:lang w:val="fr-FR"/>
        </w:rPr>
        <w:t>’</w:t>
      </w:r>
      <w:r>
        <w:rPr>
          <w:lang w:val="fr-FR"/>
        </w:rPr>
        <w:t>étude de la sensibilisation cutanée à assister à un webinaire qui se tiendrait le 18 octobre 2021 sur ce sujet</w:t>
      </w:r>
      <w:r w:rsidRPr="00023AFD">
        <w:rPr>
          <w:rStyle w:val="FootnoteReference"/>
        </w:rPr>
        <w:footnoteReference w:id="2"/>
      </w:r>
      <w:r>
        <w:rPr>
          <w:lang w:val="fr-FR"/>
        </w:rPr>
        <w:t xml:space="preserve">, </w:t>
      </w:r>
      <w:proofErr w:type="gramStart"/>
      <w:r>
        <w:rPr>
          <w:lang w:val="fr-FR"/>
        </w:rPr>
        <w:t>suite à</w:t>
      </w:r>
      <w:proofErr w:type="gramEnd"/>
      <w:r>
        <w:rPr>
          <w:lang w:val="fr-FR"/>
        </w:rPr>
        <w:t xml:space="preserve"> la publication de la ligne directrice</w:t>
      </w:r>
      <w:r w:rsidR="00FB6702">
        <w:rPr>
          <w:lang w:val="fr-FR"/>
        </w:rPr>
        <w:t> </w:t>
      </w:r>
      <w:r>
        <w:rPr>
          <w:lang w:val="fr-FR"/>
        </w:rPr>
        <w:t>497 de l</w:t>
      </w:r>
      <w:r w:rsidR="009657CE">
        <w:rPr>
          <w:lang w:val="fr-FR"/>
        </w:rPr>
        <w:t>’</w:t>
      </w:r>
      <w:r>
        <w:rPr>
          <w:lang w:val="fr-FR"/>
        </w:rPr>
        <w:t xml:space="preserve">OCDE en juin 2021. </w:t>
      </w:r>
    </w:p>
    <w:p w14:paraId="6CC15603" w14:textId="0B450DA0" w:rsidR="00D05AE5" w:rsidRDefault="00D05AE5" w:rsidP="003C737D">
      <w:pPr>
        <w:pStyle w:val="H1G"/>
      </w:pPr>
      <w:r>
        <w:rPr>
          <w:lang w:val="fr-FR"/>
        </w:rPr>
        <w:tab/>
        <w:t>D.</w:t>
      </w:r>
      <w:r>
        <w:rPr>
          <w:lang w:val="fr-FR"/>
        </w:rPr>
        <w:tab/>
        <w:t>Classification des sensibilisants cutanés à l</w:t>
      </w:r>
      <w:r w:rsidR="009657CE">
        <w:rPr>
          <w:lang w:val="fr-FR"/>
        </w:rPr>
        <w:t>’</w:t>
      </w:r>
      <w:r>
        <w:rPr>
          <w:lang w:val="fr-FR"/>
        </w:rPr>
        <w:t xml:space="preserve">aide des résultats </w:t>
      </w:r>
      <w:r>
        <w:rPr>
          <w:lang w:val="fr-FR"/>
        </w:rPr>
        <w:br/>
        <w:t>des méthodes d</w:t>
      </w:r>
      <w:r w:rsidR="009657CE">
        <w:rPr>
          <w:lang w:val="fr-FR"/>
        </w:rPr>
        <w:t>’</w:t>
      </w:r>
      <w:r>
        <w:rPr>
          <w:lang w:val="fr-FR"/>
        </w:rPr>
        <w:t xml:space="preserve">essai des tests des ganglions lymphatiques </w:t>
      </w:r>
      <w:r>
        <w:rPr>
          <w:lang w:val="fr-FR"/>
        </w:rPr>
        <w:br/>
        <w:t>locaux conformément à la ligne directrice de l</w:t>
      </w:r>
      <w:r w:rsidR="009657CE">
        <w:rPr>
          <w:lang w:val="fr-FR"/>
        </w:rPr>
        <w:t>’</w:t>
      </w:r>
      <w:r>
        <w:rPr>
          <w:lang w:val="fr-FR"/>
        </w:rPr>
        <w:t>OCDE</w:t>
      </w:r>
      <w:r w:rsidR="00FB6702">
        <w:rPr>
          <w:lang w:val="fr-FR"/>
        </w:rPr>
        <w:t> </w:t>
      </w:r>
      <w:r>
        <w:rPr>
          <w:lang w:val="fr-FR"/>
        </w:rPr>
        <w:t>442B</w:t>
      </w:r>
    </w:p>
    <w:p w14:paraId="500DAE85" w14:textId="65925A65" w:rsidR="00D05AE5" w:rsidRDefault="00D05AE5" w:rsidP="003C737D">
      <w:pPr>
        <w:pStyle w:val="SingleTxtG"/>
        <w:tabs>
          <w:tab w:val="clear" w:pos="1701"/>
          <w:tab w:val="clear" w:pos="2268"/>
          <w:tab w:val="clear" w:pos="2835"/>
          <w:tab w:val="left" w:pos="3402"/>
        </w:tabs>
        <w:ind w:left="3402" w:hanging="2268"/>
      </w:pPr>
      <w:r>
        <w:rPr>
          <w:i/>
          <w:iCs/>
          <w:lang w:val="fr-FR"/>
        </w:rPr>
        <w:t>Document(s) informel(s)</w:t>
      </w:r>
      <w:r w:rsidR="009657CE">
        <w:rPr>
          <w:i/>
          <w:iCs/>
          <w:lang w:val="fr-FR"/>
        </w:rPr>
        <w:t> </w:t>
      </w:r>
      <w:r w:rsidRPr="005E2686">
        <w:rPr>
          <w:lang w:val="fr-FR"/>
        </w:rPr>
        <w:t>:</w:t>
      </w:r>
      <w:r>
        <w:rPr>
          <w:lang w:val="fr-FR"/>
        </w:rPr>
        <w:tab/>
        <w:t>INF.6 (Japon)</w:t>
      </w:r>
    </w:p>
    <w:p w14:paraId="37ED00DB" w14:textId="2BD3B962" w:rsidR="00D05AE5" w:rsidRDefault="00D05AE5" w:rsidP="008914BD">
      <w:pPr>
        <w:pStyle w:val="SingleTxtG"/>
      </w:pPr>
      <w:r>
        <w:rPr>
          <w:lang w:val="fr-FR"/>
        </w:rPr>
        <w:t>17.</w:t>
      </w:r>
      <w:r>
        <w:rPr>
          <w:lang w:val="fr-FR"/>
        </w:rPr>
        <w:tab/>
        <w:t>Le Sous-Comité a pris note des informations fournies par l</w:t>
      </w:r>
      <w:r w:rsidR="009657CE">
        <w:rPr>
          <w:lang w:val="fr-FR"/>
        </w:rPr>
        <w:t>’</w:t>
      </w:r>
      <w:r>
        <w:rPr>
          <w:lang w:val="fr-FR"/>
        </w:rPr>
        <w:t>expert du Japon sur la façon dont les travaux du groupe de travail informel avaient progressé depuis la dernière session. Il a été noté que les critères énoncés dans le tableau</w:t>
      </w:r>
      <w:r w:rsidR="00FB6702">
        <w:rPr>
          <w:lang w:val="fr-FR"/>
        </w:rPr>
        <w:t> </w:t>
      </w:r>
      <w:r>
        <w:rPr>
          <w:lang w:val="fr-FR"/>
        </w:rPr>
        <w:t>3.4.3, tels que présentés dans l</w:t>
      </w:r>
      <w:r w:rsidR="009657CE">
        <w:rPr>
          <w:lang w:val="fr-FR"/>
        </w:rPr>
        <w:t>’</w:t>
      </w:r>
      <w:r>
        <w:rPr>
          <w:lang w:val="fr-FR"/>
        </w:rPr>
        <w:t>annexe du document informel INF.6 pour le test des ganglions lymphatiques locaux BrdU</w:t>
      </w:r>
      <w:r>
        <w:rPr>
          <w:lang w:val="fr-FR"/>
        </w:rPr>
        <w:noBreakHyphen/>
        <w:t>FCM, devaient être modifiés conformément à la valeur de l</w:t>
      </w:r>
      <w:r w:rsidR="009657CE">
        <w:rPr>
          <w:lang w:val="fr-FR"/>
        </w:rPr>
        <w:t>’</w:t>
      </w:r>
      <w:r>
        <w:rPr>
          <w:lang w:val="fr-FR"/>
        </w:rPr>
        <w:t>indice de stimulation donnée dans la ligne directrice 442B de l</w:t>
      </w:r>
      <w:r w:rsidR="009657CE">
        <w:rPr>
          <w:lang w:val="fr-FR"/>
        </w:rPr>
        <w:t>’</w:t>
      </w:r>
      <w:r>
        <w:rPr>
          <w:lang w:val="fr-FR"/>
        </w:rPr>
        <w:t>OCDE (à savoir : « IS</w:t>
      </w:r>
      <w:r w:rsidR="00FB6702">
        <w:rPr>
          <w:lang w:val="fr-FR"/>
        </w:rPr>
        <w:t> </w:t>
      </w:r>
      <w:r>
        <w:rPr>
          <w:lang w:val="fr-FR"/>
        </w:rPr>
        <w:t>≥</w:t>
      </w:r>
      <w:r w:rsidR="00FB6702">
        <w:rPr>
          <w:lang w:val="fr-FR"/>
        </w:rPr>
        <w:t> </w:t>
      </w:r>
      <w:r>
        <w:rPr>
          <w:lang w:val="fr-FR"/>
        </w:rPr>
        <w:t>2,7 » au lieu de « IS ≥ 1,6 »), et que le texte de la section 3.4.2.2.3 devrait être vérifié pour être harmonisé, au besoin, avec la terminologie utilisée dans le chapitre 3.4 pour l</w:t>
      </w:r>
      <w:r w:rsidR="009657CE">
        <w:rPr>
          <w:lang w:val="fr-FR"/>
        </w:rPr>
        <w:t>’</w:t>
      </w:r>
      <w:r>
        <w:rPr>
          <w:lang w:val="fr-FR"/>
        </w:rPr>
        <w:t xml:space="preserve">expérimentation non animale, actuellement en cours de révision. </w:t>
      </w:r>
    </w:p>
    <w:p w14:paraId="1A46918D" w14:textId="4600524C" w:rsidR="00D05AE5" w:rsidRDefault="00D05AE5" w:rsidP="008914BD">
      <w:pPr>
        <w:pStyle w:val="SingleTxtG"/>
        <w:rPr>
          <w:lang w:val="fr-FR"/>
        </w:rPr>
      </w:pPr>
      <w:r>
        <w:rPr>
          <w:lang w:val="fr-FR"/>
        </w:rPr>
        <w:t>18.</w:t>
      </w:r>
      <w:r>
        <w:rPr>
          <w:lang w:val="fr-FR"/>
        </w:rPr>
        <w:tab/>
        <w:t>L</w:t>
      </w:r>
      <w:r w:rsidR="009657CE">
        <w:rPr>
          <w:lang w:val="fr-FR"/>
        </w:rPr>
        <w:t>’</w:t>
      </w:r>
      <w:r>
        <w:rPr>
          <w:lang w:val="fr-FR"/>
        </w:rPr>
        <w:t xml:space="preserve">expert du Japon (Masahiro Takeyoshi) a invité tous les experts souhaitant formuler des observations supplémentaires sur la proposition à les lui envoyer par écrit </w:t>
      </w:r>
      <w:r w:rsidRPr="002F641C">
        <w:rPr>
          <w:lang w:val="fr-FR"/>
        </w:rPr>
        <w:t xml:space="preserve">avant la fin </w:t>
      </w:r>
      <w:r>
        <w:rPr>
          <w:lang w:val="fr-FR"/>
        </w:rPr>
        <w:t xml:space="preserve">du mois </w:t>
      </w:r>
      <w:r w:rsidRPr="002F641C">
        <w:rPr>
          <w:lang w:val="fr-FR"/>
        </w:rPr>
        <w:t>de janvier 2022</w:t>
      </w:r>
      <w:r>
        <w:rPr>
          <w:lang w:val="fr-FR"/>
        </w:rPr>
        <w:t xml:space="preserve"> afin qu</w:t>
      </w:r>
      <w:r w:rsidR="009657CE">
        <w:rPr>
          <w:lang w:val="fr-FR"/>
        </w:rPr>
        <w:t>’</w:t>
      </w:r>
      <w:r>
        <w:rPr>
          <w:lang w:val="fr-FR"/>
        </w:rPr>
        <w:t>elles puissent être prises en compte par le groupe informel lors de l</w:t>
      </w:r>
      <w:r w:rsidR="009657CE">
        <w:rPr>
          <w:lang w:val="fr-FR"/>
        </w:rPr>
        <w:t>’</w:t>
      </w:r>
      <w:r>
        <w:rPr>
          <w:lang w:val="fr-FR"/>
        </w:rPr>
        <w:t>élaboration de la proposition.</w:t>
      </w:r>
    </w:p>
    <w:p w14:paraId="204A8659" w14:textId="77777777" w:rsidR="00D05AE5" w:rsidRPr="007335CE" w:rsidRDefault="00D05AE5" w:rsidP="00E85218">
      <w:pPr>
        <w:pStyle w:val="H1G"/>
        <w:rPr>
          <w:lang w:val="fr-FR"/>
        </w:rPr>
      </w:pPr>
      <w:r>
        <w:rPr>
          <w:lang w:val="fr-FR"/>
        </w:rPr>
        <w:tab/>
      </w:r>
      <w:r w:rsidRPr="007335CE">
        <w:rPr>
          <w:lang w:val="fr-FR"/>
        </w:rPr>
        <w:t>E.</w:t>
      </w:r>
      <w:r w:rsidRPr="007335CE">
        <w:rPr>
          <w:lang w:val="fr-FR"/>
        </w:rPr>
        <w:tab/>
        <w:t xml:space="preserve">Critères de classification de la mutagénicité </w:t>
      </w:r>
      <w:r>
        <w:rPr>
          <w:lang w:val="fr-FR"/>
        </w:rPr>
        <w:br/>
      </w:r>
      <w:r w:rsidRPr="007335CE">
        <w:rPr>
          <w:lang w:val="fr-FR"/>
        </w:rPr>
        <w:t>sur les cellules germinales</w:t>
      </w:r>
    </w:p>
    <w:p w14:paraId="6610B9AE" w14:textId="0F89D803" w:rsidR="00D05AE5" w:rsidRPr="007335CE" w:rsidRDefault="00D05AE5" w:rsidP="00E85218">
      <w:pPr>
        <w:pStyle w:val="SingleTxtG"/>
        <w:keepNext/>
        <w:keepLines/>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sidRPr="007335CE">
        <w:rPr>
          <w:lang w:val="fr-FR"/>
        </w:rPr>
        <w:tab/>
        <w:t>INF.14 (Union européenne)</w:t>
      </w:r>
    </w:p>
    <w:p w14:paraId="2AB02EA4" w14:textId="13961618" w:rsidR="00D05AE5" w:rsidRPr="007335CE" w:rsidRDefault="00D05AE5" w:rsidP="00E85218">
      <w:pPr>
        <w:pStyle w:val="SingleTxtG"/>
        <w:keepNext/>
        <w:keepLines/>
        <w:rPr>
          <w:lang w:val="fr-FR"/>
        </w:rPr>
      </w:pPr>
      <w:r>
        <w:rPr>
          <w:lang w:val="fr-FR"/>
        </w:rPr>
        <w:t>19</w:t>
      </w:r>
      <w:r w:rsidRPr="007335CE">
        <w:rPr>
          <w:lang w:val="fr-FR"/>
        </w:rPr>
        <w:t>.</w:t>
      </w:r>
      <w:r w:rsidRPr="007335CE">
        <w:rPr>
          <w:lang w:val="fr-FR"/>
        </w:rPr>
        <w:tab/>
        <w:t>Le Sous-Comité a pris note des informations fournies sur l</w:t>
      </w:r>
      <w:r w:rsidR="009657CE">
        <w:rPr>
          <w:lang w:val="fr-FR"/>
        </w:rPr>
        <w:t>’</w:t>
      </w:r>
      <w:r w:rsidRPr="007335CE">
        <w:rPr>
          <w:lang w:val="fr-FR"/>
        </w:rPr>
        <w:t>état d</w:t>
      </w:r>
      <w:r w:rsidR="009657CE">
        <w:rPr>
          <w:lang w:val="fr-FR"/>
        </w:rPr>
        <w:t>’</w:t>
      </w:r>
      <w:r w:rsidRPr="007335CE">
        <w:rPr>
          <w:lang w:val="fr-FR"/>
        </w:rPr>
        <w:t xml:space="preserve">avancement des travaux du groupe de travail informel. Il a été </w:t>
      </w:r>
      <w:r>
        <w:rPr>
          <w:lang w:val="fr-FR"/>
        </w:rPr>
        <w:t>précisé</w:t>
      </w:r>
      <w:r w:rsidRPr="007335CE">
        <w:rPr>
          <w:lang w:val="fr-FR"/>
        </w:rPr>
        <w:t xml:space="preserve"> que les travaux sur les critères ne seraient sans doute pas achevés à temps pour qu</w:t>
      </w:r>
      <w:r w:rsidR="009657CE">
        <w:rPr>
          <w:lang w:val="fr-FR"/>
        </w:rPr>
        <w:t>’</w:t>
      </w:r>
      <w:r w:rsidRPr="007335CE">
        <w:rPr>
          <w:lang w:val="fr-FR"/>
        </w:rPr>
        <w:t xml:space="preserve">une proposition </w:t>
      </w:r>
      <w:r>
        <w:rPr>
          <w:lang w:val="fr-FR"/>
        </w:rPr>
        <w:t>soit</w:t>
      </w:r>
      <w:r w:rsidRPr="007335CE">
        <w:rPr>
          <w:lang w:val="fr-FR"/>
        </w:rPr>
        <w:t xml:space="preserve"> soumise au Sous</w:t>
      </w:r>
      <w:r>
        <w:rPr>
          <w:lang w:val="fr-FR"/>
        </w:rPr>
        <w:noBreakHyphen/>
      </w:r>
      <w:r w:rsidRPr="007335CE">
        <w:rPr>
          <w:lang w:val="fr-FR"/>
        </w:rPr>
        <w:t>Comité pour adoption pendant l</w:t>
      </w:r>
      <w:r w:rsidR="009657CE">
        <w:rPr>
          <w:lang w:val="fr-FR"/>
        </w:rPr>
        <w:t>’</w:t>
      </w:r>
      <w:r w:rsidRPr="007335CE">
        <w:rPr>
          <w:lang w:val="fr-FR"/>
        </w:rPr>
        <w:t>exercice biennal en cours.</w:t>
      </w:r>
      <w:r>
        <w:rPr>
          <w:lang w:val="fr-FR"/>
        </w:rPr>
        <w:t xml:space="preserve"> Néanmoins</w:t>
      </w:r>
      <w:r w:rsidRPr="007335CE">
        <w:rPr>
          <w:lang w:val="fr-FR"/>
        </w:rPr>
        <w:t>, le groupe de travail informel pourrait être en mesure de terminer l</w:t>
      </w:r>
      <w:r w:rsidR="009657CE">
        <w:rPr>
          <w:lang w:val="fr-FR"/>
        </w:rPr>
        <w:t>’</w:t>
      </w:r>
      <w:r w:rsidRPr="007335CE">
        <w:rPr>
          <w:lang w:val="fr-FR"/>
        </w:rPr>
        <w:t>élaboration d</w:t>
      </w:r>
      <w:r w:rsidR="009657CE">
        <w:rPr>
          <w:lang w:val="fr-FR"/>
        </w:rPr>
        <w:t>’</w:t>
      </w:r>
      <w:r w:rsidRPr="007335CE">
        <w:rPr>
          <w:lang w:val="fr-FR"/>
        </w:rPr>
        <w:t>une proposition portant sur la révision de la terminologie et la liste des méthodes pour adoption par le Sous</w:t>
      </w:r>
      <w:r>
        <w:rPr>
          <w:lang w:val="fr-FR"/>
        </w:rPr>
        <w:noBreakHyphen/>
      </w:r>
      <w:r w:rsidRPr="007335CE">
        <w:rPr>
          <w:lang w:val="fr-FR"/>
        </w:rPr>
        <w:t>Comité d</w:t>
      </w:r>
      <w:r w:rsidR="009657CE">
        <w:rPr>
          <w:lang w:val="fr-FR"/>
        </w:rPr>
        <w:t>’</w:t>
      </w:r>
      <w:r w:rsidRPr="007335CE">
        <w:rPr>
          <w:lang w:val="fr-FR"/>
        </w:rPr>
        <w:t xml:space="preserve">ici </w:t>
      </w:r>
      <w:r>
        <w:rPr>
          <w:lang w:val="fr-FR"/>
        </w:rPr>
        <w:t xml:space="preserve">à </w:t>
      </w:r>
      <w:r w:rsidRPr="007335CE">
        <w:rPr>
          <w:lang w:val="fr-FR"/>
        </w:rPr>
        <w:t xml:space="preserve">la fin de 2022. Toutefois, certains experts </w:t>
      </w:r>
      <w:r>
        <w:rPr>
          <w:lang w:val="fr-FR"/>
        </w:rPr>
        <w:t xml:space="preserve">ont </w:t>
      </w:r>
      <w:r w:rsidRPr="00BD75ED">
        <w:rPr>
          <w:lang w:val="fr-FR"/>
        </w:rPr>
        <w:t>fait remarquer qu</w:t>
      </w:r>
      <w:r w:rsidR="009657CE">
        <w:rPr>
          <w:lang w:val="fr-FR"/>
        </w:rPr>
        <w:t>’</w:t>
      </w:r>
      <w:r w:rsidRPr="00BD75ED">
        <w:rPr>
          <w:lang w:val="fr-FR"/>
        </w:rPr>
        <w:t>il faudrait approfondir l</w:t>
      </w:r>
      <w:r w:rsidR="009657CE">
        <w:rPr>
          <w:lang w:val="fr-FR"/>
        </w:rPr>
        <w:t>’</w:t>
      </w:r>
      <w:r>
        <w:rPr>
          <w:lang w:val="fr-FR"/>
        </w:rPr>
        <w:t xml:space="preserve">examen de </w:t>
      </w:r>
      <w:r w:rsidRPr="00BD75ED">
        <w:rPr>
          <w:lang w:val="fr-FR"/>
        </w:rPr>
        <w:t xml:space="preserve">plusieurs points, notamment </w:t>
      </w:r>
      <w:r>
        <w:rPr>
          <w:lang w:val="fr-FR"/>
        </w:rPr>
        <w:t>d</w:t>
      </w:r>
      <w:r w:rsidRPr="00BD75ED">
        <w:rPr>
          <w:lang w:val="fr-FR"/>
        </w:rPr>
        <w:t>es définitions.</w:t>
      </w:r>
      <w:r>
        <w:rPr>
          <w:lang w:val="fr-FR"/>
        </w:rPr>
        <w:t xml:space="preserve"> L</w:t>
      </w:r>
      <w:r w:rsidRPr="007335CE">
        <w:rPr>
          <w:lang w:val="fr-FR"/>
        </w:rPr>
        <w:t xml:space="preserve">e Sous-Comité a invité le groupe de travail informel à soumettre une proposition </w:t>
      </w:r>
      <w:r w:rsidRPr="00B02A0E">
        <w:rPr>
          <w:lang w:val="fr-FR"/>
        </w:rPr>
        <w:t>pour adoption au cours de l</w:t>
      </w:r>
      <w:r w:rsidR="009657CE">
        <w:rPr>
          <w:lang w:val="fr-FR"/>
        </w:rPr>
        <w:t>’</w:t>
      </w:r>
      <w:r>
        <w:rPr>
          <w:lang w:val="fr-FR"/>
        </w:rPr>
        <w:t xml:space="preserve">exercice </w:t>
      </w:r>
      <w:r w:rsidRPr="00B02A0E">
        <w:rPr>
          <w:lang w:val="fr-FR"/>
        </w:rPr>
        <w:t>biennal</w:t>
      </w:r>
      <w:r>
        <w:rPr>
          <w:lang w:val="fr-FR"/>
        </w:rPr>
        <w:t xml:space="preserve"> </w:t>
      </w:r>
      <w:r w:rsidRPr="00B02A0E">
        <w:rPr>
          <w:lang w:val="fr-FR"/>
        </w:rPr>
        <w:t>en cours,</w:t>
      </w:r>
      <w:r>
        <w:rPr>
          <w:lang w:val="fr-FR"/>
        </w:rPr>
        <w:t xml:space="preserve"> </w:t>
      </w:r>
      <w:r w:rsidRPr="007335CE">
        <w:rPr>
          <w:lang w:val="fr-FR"/>
        </w:rPr>
        <w:t>une fois qu</w:t>
      </w:r>
      <w:r w:rsidR="009657CE">
        <w:rPr>
          <w:lang w:val="fr-FR"/>
        </w:rPr>
        <w:t>’</w:t>
      </w:r>
      <w:r>
        <w:rPr>
          <w:lang w:val="fr-FR"/>
        </w:rPr>
        <w:t xml:space="preserve">il aurait achevé </w:t>
      </w:r>
      <w:r w:rsidRPr="00B02A0E">
        <w:rPr>
          <w:lang w:val="fr-FR"/>
        </w:rPr>
        <w:t>les travaux relatifs aux définitions</w:t>
      </w:r>
      <w:r w:rsidRPr="007335CE">
        <w:rPr>
          <w:lang w:val="fr-FR"/>
        </w:rPr>
        <w:t xml:space="preserve">. </w:t>
      </w:r>
    </w:p>
    <w:p w14:paraId="43FA08AB" w14:textId="77777777" w:rsidR="00D05AE5" w:rsidRPr="007335CE" w:rsidRDefault="00D05AE5" w:rsidP="003C737D">
      <w:pPr>
        <w:pStyle w:val="H1G"/>
        <w:rPr>
          <w:lang w:val="fr-FR"/>
        </w:rPr>
      </w:pPr>
      <w:r>
        <w:rPr>
          <w:lang w:val="fr-FR"/>
        </w:rPr>
        <w:tab/>
      </w:r>
      <w:r w:rsidRPr="007335CE">
        <w:rPr>
          <w:lang w:val="fr-FR"/>
        </w:rPr>
        <w:t>F.</w:t>
      </w:r>
      <w:r w:rsidRPr="007335CE">
        <w:rPr>
          <w:lang w:val="fr-FR"/>
        </w:rPr>
        <w:tab/>
        <w:t xml:space="preserve">Questions pratiques de classification </w:t>
      </w:r>
      <w:r>
        <w:rPr>
          <w:lang w:val="fr-FR"/>
        </w:rPr>
        <w:br/>
      </w:r>
      <w:r w:rsidRPr="007335CE">
        <w:rPr>
          <w:lang w:val="fr-FR"/>
        </w:rPr>
        <w:t>(amendements proposés au SGH)</w:t>
      </w:r>
    </w:p>
    <w:p w14:paraId="6A2B5FB6" w14:textId="01263F07" w:rsidR="00D05AE5" w:rsidRPr="007335C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Pr>
          <w:lang w:val="fr-FR"/>
        </w:rPr>
        <w:t xml:space="preserve"> </w:t>
      </w:r>
      <w:r w:rsidRPr="007335CE">
        <w:rPr>
          <w:lang w:val="fr-FR"/>
        </w:rPr>
        <w:tab/>
        <w:t>INF.15 (États-Unis d</w:t>
      </w:r>
      <w:r w:rsidR="009657CE">
        <w:rPr>
          <w:lang w:val="fr-FR"/>
        </w:rPr>
        <w:t>’</w:t>
      </w:r>
      <w:r w:rsidRPr="007335CE">
        <w:rPr>
          <w:lang w:val="fr-FR"/>
        </w:rPr>
        <w:t>Amérique)</w:t>
      </w:r>
    </w:p>
    <w:p w14:paraId="1D03AFEC" w14:textId="76EF0A56" w:rsidR="00D05AE5" w:rsidRPr="00FB6702" w:rsidRDefault="00D05AE5" w:rsidP="008914BD">
      <w:pPr>
        <w:pStyle w:val="SingleTxtG"/>
        <w:rPr>
          <w:spacing w:val="-2"/>
          <w:lang w:val="fr-FR"/>
        </w:rPr>
      </w:pPr>
      <w:r w:rsidRPr="00FB6702">
        <w:rPr>
          <w:spacing w:val="-2"/>
          <w:lang w:val="fr-FR"/>
        </w:rPr>
        <w:t>20.</w:t>
      </w:r>
      <w:r w:rsidRPr="00FB6702">
        <w:rPr>
          <w:spacing w:val="-2"/>
          <w:lang w:val="fr-FR"/>
        </w:rPr>
        <w:tab/>
        <w:t>Le Sous-Comité a pris note des dernières informations sur l</w:t>
      </w:r>
      <w:r w:rsidR="009657CE" w:rsidRPr="00FB6702">
        <w:rPr>
          <w:spacing w:val="-2"/>
          <w:lang w:val="fr-FR"/>
        </w:rPr>
        <w:t>’</w:t>
      </w:r>
      <w:r w:rsidRPr="00FB6702">
        <w:rPr>
          <w:spacing w:val="-2"/>
          <w:lang w:val="fr-FR"/>
        </w:rPr>
        <w:t>état d</w:t>
      </w:r>
      <w:r w:rsidR="009657CE" w:rsidRPr="00FB6702">
        <w:rPr>
          <w:spacing w:val="-2"/>
          <w:lang w:val="fr-FR"/>
        </w:rPr>
        <w:t>’</w:t>
      </w:r>
      <w:r w:rsidRPr="00FB6702">
        <w:rPr>
          <w:spacing w:val="-2"/>
          <w:lang w:val="fr-FR"/>
        </w:rPr>
        <w:t>avancement des travaux du groupe de travail informel et sur le projet de nouvelles orientations à ajouter au chapitre 3.1, y compris des exemples concernant la conversion des valeurs de toxicité à l</w:t>
      </w:r>
      <w:r w:rsidR="009657CE" w:rsidRPr="00FB6702">
        <w:rPr>
          <w:spacing w:val="-2"/>
          <w:lang w:val="fr-FR"/>
        </w:rPr>
        <w:t>’</w:t>
      </w:r>
      <w:r w:rsidRPr="00FB6702">
        <w:rPr>
          <w:spacing w:val="-2"/>
          <w:lang w:val="fr-FR"/>
        </w:rPr>
        <w:t>inhalation pour les épreuves utilisant des durées d</w:t>
      </w:r>
      <w:r w:rsidR="009657CE" w:rsidRPr="00FB6702">
        <w:rPr>
          <w:spacing w:val="-2"/>
          <w:lang w:val="fr-FR"/>
        </w:rPr>
        <w:t>’</w:t>
      </w:r>
      <w:r w:rsidRPr="00FB6702">
        <w:rPr>
          <w:spacing w:val="-2"/>
          <w:lang w:val="fr-FR"/>
        </w:rPr>
        <w:t>exposition autres qu</w:t>
      </w:r>
      <w:r w:rsidR="009657CE" w:rsidRPr="00FB6702">
        <w:rPr>
          <w:spacing w:val="-2"/>
          <w:lang w:val="fr-FR"/>
        </w:rPr>
        <w:t>’</w:t>
      </w:r>
      <w:r w:rsidRPr="00FB6702">
        <w:rPr>
          <w:spacing w:val="-2"/>
          <w:lang w:val="fr-FR"/>
        </w:rPr>
        <w:t xml:space="preserve">une heure. Faisant observer que ces orientations pourraient aussi être utiles dans le contexte du Règlement type pour le transport des marchandises dangereuses, </w:t>
      </w:r>
      <w:bookmarkStart w:id="2" w:name="_Hlk98412834"/>
      <w:r w:rsidRPr="00FB6702">
        <w:rPr>
          <w:spacing w:val="-2"/>
          <w:lang w:val="fr-FR"/>
        </w:rPr>
        <w:t>le Sous-Comité a invité l</w:t>
      </w:r>
      <w:r w:rsidR="009657CE" w:rsidRPr="00FB6702">
        <w:rPr>
          <w:spacing w:val="-2"/>
          <w:lang w:val="fr-FR"/>
        </w:rPr>
        <w:t>’</w:t>
      </w:r>
      <w:r w:rsidRPr="00FB6702">
        <w:rPr>
          <w:spacing w:val="-2"/>
          <w:lang w:val="fr-FR"/>
        </w:rPr>
        <w:t>expert des États</w:t>
      </w:r>
      <w:r w:rsidRPr="00FB6702">
        <w:rPr>
          <w:spacing w:val="-2"/>
          <w:lang w:val="fr-FR"/>
        </w:rPr>
        <w:noBreakHyphen/>
        <w:t>Unis d</w:t>
      </w:r>
      <w:r w:rsidR="009657CE" w:rsidRPr="00FB6702">
        <w:rPr>
          <w:spacing w:val="-2"/>
          <w:lang w:val="fr-FR"/>
        </w:rPr>
        <w:t>’</w:t>
      </w:r>
      <w:r w:rsidRPr="00FB6702">
        <w:rPr>
          <w:spacing w:val="-2"/>
          <w:lang w:val="fr-FR"/>
        </w:rPr>
        <w:t>Amérique, qui dirige ces travaux, à les porter à l</w:t>
      </w:r>
      <w:r w:rsidR="009657CE" w:rsidRPr="00FB6702">
        <w:rPr>
          <w:spacing w:val="-2"/>
          <w:lang w:val="fr-FR"/>
        </w:rPr>
        <w:t>’</w:t>
      </w:r>
      <w:r w:rsidRPr="00FB6702">
        <w:rPr>
          <w:spacing w:val="-2"/>
          <w:lang w:val="fr-FR"/>
        </w:rPr>
        <w:t>attention du Sous</w:t>
      </w:r>
      <w:r w:rsidR="00FB6702" w:rsidRPr="00FB6702">
        <w:rPr>
          <w:spacing w:val="-2"/>
          <w:lang w:val="fr-FR"/>
        </w:rPr>
        <w:noBreakHyphen/>
      </w:r>
      <w:r w:rsidRPr="00FB6702">
        <w:rPr>
          <w:spacing w:val="-2"/>
          <w:lang w:val="fr-FR"/>
        </w:rPr>
        <w:t>Comité</w:t>
      </w:r>
      <w:r w:rsidR="00FB6702" w:rsidRPr="00FB6702">
        <w:rPr>
          <w:spacing w:val="-2"/>
          <w:lang w:val="fr-FR"/>
        </w:rPr>
        <w:t> </w:t>
      </w:r>
      <w:r w:rsidRPr="00FB6702">
        <w:rPr>
          <w:spacing w:val="-2"/>
          <w:lang w:val="fr-FR"/>
        </w:rPr>
        <w:t>TMD.</w:t>
      </w:r>
    </w:p>
    <w:bookmarkEnd w:id="2"/>
    <w:p w14:paraId="3180AC4E" w14:textId="3F178C65" w:rsidR="00D05AE5" w:rsidRPr="007335CE" w:rsidRDefault="00D05AE5" w:rsidP="008914BD">
      <w:pPr>
        <w:pStyle w:val="SingleTxtG"/>
        <w:rPr>
          <w:lang w:val="fr-FR"/>
        </w:rPr>
      </w:pPr>
      <w:r w:rsidRPr="007335CE">
        <w:rPr>
          <w:lang w:val="fr-FR"/>
        </w:rPr>
        <w:t>2</w:t>
      </w:r>
      <w:r>
        <w:rPr>
          <w:lang w:val="fr-FR"/>
        </w:rPr>
        <w:t>1</w:t>
      </w:r>
      <w:r w:rsidRPr="007335CE">
        <w:rPr>
          <w:lang w:val="fr-FR"/>
        </w:rPr>
        <w:t>.</w:t>
      </w:r>
      <w:r w:rsidRPr="007335CE">
        <w:rPr>
          <w:lang w:val="fr-FR"/>
        </w:rPr>
        <w:tab/>
        <w:t>L</w:t>
      </w:r>
      <w:r w:rsidR="009657CE">
        <w:rPr>
          <w:lang w:val="fr-FR"/>
        </w:rPr>
        <w:t>’</w:t>
      </w:r>
      <w:r w:rsidRPr="007335CE">
        <w:rPr>
          <w:lang w:val="fr-FR"/>
        </w:rPr>
        <w:t>expert des États-Unis d</w:t>
      </w:r>
      <w:r w:rsidR="009657CE">
        <w:rPr>
          <w:lang w:val="fr-FR"/>
        </w:rPr>
        <w:t>’</w:t>
      </w:r>
      <w:r w:rsidRPr="007335CE">
        <w:rPr>
          <w:lang w:val="fr-FR"/>
        </w:rPr>
        <w:t>Amérique a invité les experts à lui adresser par écrit leurs observations sur les propositions figurant dans l</w:t>
      </w:r>
      <w:r w:rsidR="009657CE">
        <w:rPr>
          <w:lang w:val="fr-FR"/>
        </w:rPr>
        <w:t>’</w:t>
      </w:r>
      <w:r w:rsidRPr="007335CE">
        <w:rPr>
          <w:lang w:val="fr-FR"/>
        </w:rPr>
        <w:t xml:space="preserve">annexe du document informel INF.15 et a indiqué que le groupe de travail informel reprendrait ses réunions en janvier 2022. </w:t>
      </w:r>
    </w:p>
    <w:p w14:paraId="305EEF53" w14:textId="77777777" w:rsidR="00D05AE5" w:rsidRPr="007335CE" w:rsidRDefault="00D05AE5" w:rsidP="003C737D">
      <w:pPr>
        <w:pStyle w:val="H1G"/>
        <w:rPr>
          <w:lang w:val="fr-FR"/>
        </w:rPr>
      </w:pPr>
      <w:r>
        <w:rPr>
          <w:lang w:val="fr-FR"/>
        </w:rPr>
        <w:tab/>
      </w:r>
      <w:r w:rsidRPr="007335CE">
        <w:rPr>
          <w:lang w:val="fr-FR"/>
        </w:rPr>
        <w:t>G.</w:t>
      </w:r>
      <w:r w:rsidRPr="007335CE">
        <w:rPr>
          <w:lang w:val="fr-FR"/>
        </w:rPr>
        <w:tab/>
        <w:t>Nanomatériaux</w:t>
      </w:r>
    </w:p>
    <w:p w14:paraId="45100577" w14:textId="5C286199" w:rsidR="00D05AE5" w:rsidRDefault="00D05AE5" w:rsidP="008914BD">
      <w:pPr>
        <w:pStyle w:val="SingleTxtG"/>
        <w:rPr>
          <w:lang w:val="fr-FR"/>
        </w:rPr>
      </w:pPr>
      <w:r w:rsidRPr="007335CE">
        <w:rPr>
          <w:lang w:val="fr-FR"/>
        </w:rPr>
        <w:t>2</w:t>
      </w:r>
      <w:r>
        <w:rPr>
          <w:lang w:val="fr-FR"/>
        </w:rPr>
        <w:t>2</w:t>
      </w:r>
      <w:r w:rsidRPr="007335CE">
        <w:rPr>
          <w:lang w:val="fr-FR"/>
        </w:rPr>
        <w:t>.</w:t>
      </w:r>
      <w:r w:rsidRPr="007335CE">
        <w:rPr>
          <w:lang w:val="fr-FR"/>
        </w:rPr>
        <w:tab/>
        <w:t>Aucun document n</w:t>
      </w:r>
      <w:r w:rsidR="009657CE">
        <w:rPr>
          <w:lang w:val="fr-FR"/>
        </w:rPr>
        <w:t>’</w:t>
      </w:r>
      <w:r w:rsidRPr="007335CE">
        <w:rPr>
          <w:lang w:val="fr-FR"/>
        </w:rPr>
        <w:t>ayant été soumis au titre de ce point de l</w:t>
      </w:r>
      <w:r w:rsidR="009657CE">
        <w:rPr>
          <w:lang w:val="fr-FR"/>
        </w:rPr>
        <w:t>’</w:t>
      </w:r>
      <w:r w:rsidRPr="007335CE">
        <w:rPr>
          <w:lang w:val="fr-FR"/>
        </w:rPr>
        <w:t>ordre du jour, la question n</w:t>
      </w:r>
      <w:r w:rsidR="009657CE">
        <w:rPr>
          <w:lang w:val="fr-FR"/>
        </w:rPr>
        <w:t>’</w:t>
      </w:r>
      <w:r w:rsidRPr="007335CE">
        <w:rPr>
          <w:lang w:val="fr-FR"/>
        </w:rPr>
        <w:t>a pas été abordée.</w:t>
      </w:r>
    </w:p>
    <w:p w14:paraId="12AE768F" w14:textId="77777777" w:rsidR="00D05AE5" w:rsidRPr="00E02245" w:rsidRDefault="00D05AE5" w:rsidP="003C737D">
      <w:pPr>
        <w:pStyle w:val="H1G"/>
        <w:rPr>
          <w:lang w:val="fr-FR"/>
        </w:rPr>
      </w:pPr>
      <w:r w:rsidRPr="00E02245">
        <w:rPr>
          <w:lang w:val="fr-FR"/>
        </w:rPr>
        <w:tab/>
        <w:t>H.</w:t>
      </w:r>
      <w:r w:rsidRPr="00E02245">
        <w:rPr>
          <w:lang w:val="fr-FR"/>
        </w:rPr>
        <w:tab/>
        <w:t xml:space="preserve">Amélioration des annexes 1 à 3 et poursuite de la rationalisation </w:t>
      </w:r>
      <w:r w:rsidRPr="00E02245">
        <w:rPr>
          <w:lang w:val="fr-FR"/>
        </w:rPr>
        <w:br/>
        <w:t>des conseils de prudence</w:t>
      </w:r>
    </w:p>
    <w:p w14:paraId="4A06F4A3" w14:textId="1B4DE891" w:rsidR="00D05AE5" w:rsidRPr="00E02245"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sidRPr="00E02245">
        <w:rPr>
          <w:lang w:val="fr-FR"/>
        </w:rPr>
        <w:tab/>
        <w:t>INF.16 et INF.19 (Royaume-Uni)</w:t>
      </w:r>
    </w:p>
    <w:p w14:paraId="07E3DCE5" w14:textId="526D2418" w:rsidR="00D05AE5" w:rsidRPr="00E02245" w:rsidRDefault="00D05AE5" w:rsidP="008914BD">
      <w:pPr>
        <w:pStyle w:val="SingleTxtG"/>
        <w:rPr>
          <w:lang w:val="fr-FR"/>
        </w:rPr>
      </w:pPr>
      <w:r w:rsidRPr="00E02245">
        <w:rPr>
          <w:lang w:val="fr-FR"/>
        </w:rPr>
        <w:t>2</w:t>
      </w:r>
      <w:r>
        <w:rPr>
          <w:lang w:val="fr-FR"/>
        </w:rPr>
        <w:t>3</w:t>
      </w:r>
      <w:r w:rsidRPr="00E02245">
        <w:rPr>
          <w:lang w:val="fr-FR"/>
        </w:rPr>
        <w:t>.</w:t>
      </w:r>
      <w:r w:rsidRPr="00E02245">
        <w:rPr>
          <w:lang w:val="fr-FR"/>
        </w:rPr>
        <w:tab/>
        <w:t>Le Sous-Comité a pris acte des informations sur l</w:t>
      </w:r>
      <w:r w:rsidR="009657CE">
        <w:rPr>
          <w:lang w:val="fr-FR"/>
        </w:rPr>
        <w:t>’</w:t>
      </w:r>
      <w:r w:rsidRPr="00E02245">
        <w:rPr>
          <w:lang w:val="fr-FR"/>
        </w:rPr>
        <w:t xml:space="preserve">avancement des travaux du groupe de travail informel présentées dans le document informel INF.16. </w:t>
      </w:r>
    </w:p>
    <w:p w14:paraId="4B9E0233" w14:textId="618D29C9" w:rsidR="00D05AE5" w:rsidRPr="00E02245" w:rsidRDefault="00D05AE5" w:rsidP="008914BD">
      <w:pPr>
        <w:pStyle w:val="SingleTxtG"/>
        <w:rPr>
          <w:lang w:val="fr-FR"/>
        </w:rPr>
      </w:pPr>
      <w:r w:rsidRPr="00E02245">
        <w:rPr>
          <w:lang w:val="fr-FR"/>
        </w:rPr>
        <w:t>2</w:t>
      </w:r>
      <w:r>
        <w:rPr>
          <w:lang w:val="fr-FR"/>
        </w:rPr>
        <w:t>4</w:t>
      </w:r>
      <w:r w:rsidRPr="00E02245">
        <w:rPr>
          <w:lang w:val="fr-FR"/>
        </w:rPr>
        <w:t>.</w:t>
      </w:r>
      <w:r w:rsidRPr="00E02245">
        <w:rPr>
          <w:lang w:val="fr-FR"/>
        </w:rPr>
        <w:tab/>
        <w:t>Le Sous-Comité s</w:t>
      </w:r>
      <w:r w:rsidR="009657CE">
        <w:rPr>
          <w:lang w:val="fr-FR"/>
        </w:rPr>
        <w:t>’</w:t>
      </w:r>
      <w:r w:rsidRPr="00E02245">
        <w:rPr>
          <w:lang w:val="fr-FR"/>
        </w:rPr>
        <w:t>est prononcé sur les questions soulevées dans le document informel</w:t>
      </w:r>
      <w:r w:rsidR="00FB6702">
        <w:rPr>
          <w:lang w:val="fr-FR"/>
        </w:rPr>
        <w:t> </w:t>
      </w:r>
      <w:r w:rsidRPr="00E02245">
        <w:rPr>
          <w:lang w:val="fr-FR"/>
        </w:rPr>
        <w:t>INF.16 :</w:t>
      </w:r>
    </w:p>
    <w:p w14:paraId="07C74389" w14:textId="423DE0E0" w:rsidR="00D05AE5" w:rsidRPr="00E02245" w:rsidRDefault="00D05AE5" w:rsidP="003C737D">
      <w:pPr>
        <w:pStyle w:val="SingleTxtG"/>
        <w:ind w:firstLine="567"/>
        <w:rPr>
          <w:lang w:val="fr-FR"/>
        </w:rPr>
      </w:pPr>
      <w:r w:rsidRPr="00E02245">
        <w:rPr>
          <w:lang w:val="fr-FR"/>
        </w:rPr>
        <w:t>a)</w:t>
      </w:r>
      <w:r w:rsidRPr="00E02245">
        <w:rPr>
          <w:lang w:val="fr-FR"/>
        </w:rPr>
        <w:tab/>
        <w:t>Options 1 et 2 proposées pour la mention combinée H315 + H319 (« provoque une irritation de la peau et des yeux ») au paragraphe</w:t>
      </w:r>
      <w:r w:rsidR="00FB6702">
        <w:rPr>
          <w:lang w:val="fr-FR"/>
        </w:rPr>
        <w:t> </w:t>
      </w:r>
      <w:r w:rsidRPr="00E02245">
        <w:rPr>
          <w:lang w:val="fr-FR"/>
        </w:rPr>
        <w:t xml:space="preserve">12 : </w:t>
      </w:r>
    </w:p>
    <w:p w14:paraId="02768C8E" w14:textId="7230B406" w:rsidR="00D05AE5" w:rsidRPr="00E02245" w:rsidRDefault="00D05AE5" w:rsidP="0095533C">
      <w:pPr>
        <w:pStyle w:val="SingleTxtG"/>
        <w:ind w:left="1701"/>
        <w:rPr>
          <w:lang w:val="fr-FR"/>
        </w:rPr>
      </w:pPr>
      <w:r w:rsidRPr="00E02245">
        <w:rPr>
          <w:lang w:val="fr-FR"/>
        </w:rPr>
        <w:t>Le Sous-Comité n</w:t>
      </w:r>
      <w:r w:rsidR="009657CE">
        <w:rPr>
          <w:lang w:val="fr-FR"/>
        </w:rPr>
        <w:t>’</w:t>
      </w:r>
      <w:r w:rsidRPr="00E02245">
        <w:rPr>
          <w:lang w:val="fr-FR"/>
        </w:rPr>
        <w:t>est parvenu à un consensus sur aucune des propositions. Plusieurs experts préféraient l</w:t>
      </w:r>
      <w:r w:rsidR="009657CE">
        <w:rPr>
          <w:lang w:val="fr-FR"/>
        </w:rPr>
        <w:t>’</w:t>
      </w:r>
      <w:r w:rsidRPr="00E02245">
        <w:rPr>
          <w:lang w:val="fr-FR"/>
        </w:rPr>
        <w:t>option 2 parce qu</w:t>
      </w:r>
      <w:r w:rsidR="009657CE">
        <w:rPr>
          <w:lang w:val="fr-FR"/>
        </w:rPr>
        <w:t>’</w:t>
      </w:r>
      <w:r w:rsidRPr="00E02245">
        <w:rPr>
          <w:lang w:val="fr-FR"/>
        </w:rPr>
        <w:t>ils la considéraient plus claire et mieux adaptée à l</w:t>
      </w:r>
      <w:r w:rsidR="009657CE">
        <w:rPr>
          <w:lang w:val="fr-FR"/>
        </w:rPr>
        <w:t>’</w:t>
      </w:r>
      <w:r w:rsidRPr="00E02245">
        <w:rPr>
          <w:lang w:val="fr-FR"/>
        </w:rPr>
        <w:t>étiquetage pour le milieu de travail que l</w:t>
      </w:r>
      <w:r w:rsidR="009657CE">
        <w:rPr>
          <w:lang w:val="fr-FR"/>
        </w:rPr>
        <w:t>’</w:t>
      </w:r>
      <w:r w:rsidRPr="00E02245">
        <w:rPr>
          <w:lang w:val="fr-FR"/>
        </w:rPr>
        <w:t>option 1. D</w:t>
      </w:r>
      <w:r w:rsidR="009657CE">
        <w:rPr>
          <w:lang w:val="fr-FR"/>
        </w:rPr>
        <w:t>’</w:t>
      </w:r>
      <w:r w:rsidRPr="00E02245">
        <w:rPr>
          <w:lang w:val="fr-FR"/>
        </w:rPr>
        <w:t>autres estimaient que le texte de l</w:t>
      </w:r>
      <w:r w:rsidR="009657CE">
        <w:rPr>
          <w:lang w:val="fr-FR"/>
        </w:rPr>
        <w:t>’</w:t>
      </w:r>
      <w:r w:rsidRPr="00E02245">
        <w:rPr>
          <w:lang w:val="fr-FR"/>
        </w:rPr>
        <w:t>option 1 était plus adapté à l</w:t>
      </w:r>
      <w:r w:rsidR="009657CE">
        <w:rPr>
          <w:lang w:val="fr-FR"/>
        </w:rPr>
        <w:t>’</w:t>
      </w:r>
      <w:r w:rsidRPr="00E02245">
        <w:rPr>
          <w:lang w:val="fr-FR"/>
        </w:rPr>
        <w:t>étiquetage des produits de consommation</w:t>
      </w:r>
      <w:r>
        <w:rPr>
          <w:lang w:val="fr-FR"/>
        </w:rPr>
        <w:t xml:space="preserve">, </w:t>
      </w:r>
      <w:r w:rsidRPr="00B92DB2">
        <w:rPr>
          <w:lang w:val="fr-FR"/>
        </w:rPr>
        <w:t>en raison de la concision du texte</w:t>
      </w:r>
      <w:r w:rsidRPr="00E02245">
        <w:rPr>
          <w:lang w:val="fr-FR"/>
        </w:rPr>
        <w:t xml:space="preserve">. Compte tenu des observations formulées, le Sous-Comité a invité </w:t>
      </w:r>
      <w:r>
        <w:rPr>
          <w:lang w:val="fr-FR"/>
        </w:rPr>
        <w:t xml:space="preserve">celles et </w:t>
      </w:r>
      <w:r w:rsidRPr="00AB0E0B">
        <w:rPr>
          <w:lang w:val="fr-FR"/>
        </w:rPr>
        <w:t>ceux qui ne l</w:t>
      </w:r>
      <w:r w:rsidR="009657CE">
        <w:rPr>
          <w:lang w:val="fr-FR"/>
        </w:rPr>
        <w:t>’</w:t>
      </w:r>
      <w:r w:rsidRPr="00AB0E0B">
        <w:rPr>
          <w:lang w:val="fr-FR"/>
        </w:rPr>
        <w:t>avaient pas encore fait à informer l</w:t>
      </w:r>
      <w:r>
        <w:rPr>
          <w:lang w:val="fr-FR"/>
        </w:rPr>
        <w:t>a</w:t>
      </w:r>
      <w:r w:rsidRPr="00AB0E0B">
        <w:rPr>
          <w:lang w:val="fr-FR"/>
        </w:rPr>
        <w:t xml:space="preserve"> </w:t>
      </w:r>
      <w:r>
        <w:rPr>
          <w:lang w:val="fr-FR"/>
        </w:rPr>
        <w:t>P</w:t>
      </w:r>
      <w:r w:rsidRPr="00AB0E0B">
        <w:rPr>
          <w:lang w:val="fr-FR"/>
        </w:rPr>
        <w:t>résident</w:t>
      </w:r>
      <w:r>
        <w:rPr>
          <w:lang w:val="fr-FR"/>
        </w:rPr>
        <w:t>e</w:t>
      </w:r>
      <w:r w:rsidRPr="00AB0E0B">
        <w:rPr>
          <w:lang w:val="fr-FR"/>
        </w:rPr>
        <w:t xml:space="preserve"> du groupe de travail informel de leur préférence</w:t>
      </w:r>
      <w:r w:rsidRPr="00E02245">
        <w:rPr>
          <w:lang w:val="fr-FR"/>
        </w:rPr>
        <w:t>.</w:t>
      </w:r>
    </w:p>
    <w:p w14:paraId="18FAD664" w14:textId="77777777" w:rsidR="00D05AE5" w:rsidRPr="00E02245" w:rsidRDefault="00D05AE5" w:rsidP="003C737D">
      <w:pPr>
        <w:pStyle w:val="SingleTxtG"/>
        <w:ind w:firstLine="567"/>
        <w:rPr>
          <w:lang w:val="fr-FR"/>
        </w:rPr>
      </w:pPr>
      <w:r w:rsidRPr="00E02245">
        <w:rPr>
          <w:lang w:val="fr-FR"/>
        </w:rPr>
        <w:t>b)</w:t>
      </w:r>
      <w:r w:rsidRPr="00E02245">
        <w:rPr>
          <w:lang w:val="fr-FR"/>
        </w:rPr>
        <w:tab/>
        <w:t xml:space="preserve">Options 1 et 2 proposées pour la note de bas de page du tableau A.3.1.2 au paragraphe 13 : </w:t>
      </w:r>
    </w:p>
    <w:p w14:paraId="69FF73A6" w14:textId="749D3072" w:rsidR="00D05AE5" w:rsidRPr="00E02245" w:rsidRDefault="00D05AE5" w:rsidP="0095533C">
      <w:pPr>
        <w:pStyle w:val="SingleTxtG"/>
        <w:ind w:left="1701"/>
        <w:rPr>
          <w:lang w:val="fr-FR"/>
        </w:rPr>
      </w:pPr>
      <w:r w:rsidRPr="00E02245">
        <w:rPr>
          <w:lang w:val="fr-FR"/>
        </w:rPr>
        <w:t xml:space="preserve">Le Sous-Comité </w:t>
      </w:r>
      <w:r>
        <w:rPr>
          <w:lang w:val="fr-FR"/>
        </w:rPr>
        <w:t xml:space="preserve">a indiqué </w:t>
      </w:r>
      <w:r w:rsidRPr="00E02245">
        <w:rPr>
          <w:lang w:val="fr-FR"/>
        </w:rPr>
        <w:t>préfér</w:t>
      </w:r>
      <w:r>
        <w:rPr>
          <w:lang w:val="fr-FR"/>
        </w:rPr>
        <w:t>er</w:t>
      </w:r>
      <w:r w:rsidRPr="00E02245">
        <w:rPr>
          <w:lang w:val="fr-FR"/>
        </w:rPr>
        <w:t xml:space="preserve"> l</w:t>
      </w:r>
      <w:r w:rsidR="009657CE">
        <w:rPr>
          <w:lang w:val="fr-FR"/>
        </w:rPr>
        <w:t>’</w:t>
      </w:r>
      <w:r w:rsidRPr="00E02245">
        <w:rPr>
          <w:lang w:val="fr-FR"/>
        </w:rPr>
        <w:t>option 2 parce que la précision des catégories de danger visées (lésions oculaires graves/irritation oculaire) permettait d</w:t>
      </w:r>
      <w:r w:rsidR="009657CE">
        <w:rPr>
          <w:lang w:val="fr-FR"/>
        </w:rPr>
        <w:t>’</w:t>
      </w:r>
      <w:r w:rsidRPr="00E02245">
        <w:rPr>
          <w:lang w:val="fr-FR"/>
        </w:rPr>
        <w:t>éviter toute méprise quant à l</w:t>
      </w:r>
      <w:r w:rsidR="009657CE">
        <w:rPr>
          <w:lang w:val="fr-FR"/>
        </w:rPr>
        <w:t>’</w:t>
      </w:r>
      <w:r w:rsidRPr="00E02245">
        <w:rPr>
          <w:lang w:val="fr-FR"/>
        </w:rPr>
        <w:t xml:space="preserve">applicabilité </w:t>
      </w:r>
      <w:r>
        <w:rPr>
          <w:lang w:val="fr-FR"/>
        </w:rPr>
        <w:t>aux effets cutanés (</w:t>
      </w:r>
      <w:r w:rsidRPr="00E02245">
        <w:rPr>
          <w:lang w:val="fr-FR"/>
        </w:rPr>
        <w:t xml:space="preserve">corrosion /irritation cutanée). </w:t>
      </w:r>
    </w:p>
    <w:p w14:paraId="0804966D" w14:textId="77777777" w:rsidR="00D05AE5" w:rsidRPr="00E02245" w:rsidRDefault="00D05AE5" w:rsidP="003C737D">
      <w:pPr>
        <w:pStyle w:val="SingleTxtG"/>
        <w:ind w:firstLine="567"/>
        <w:rPr>
          <w:lang w:val="fr-FR"/>
        </w:rPr>
      </w:pPr>
      <w:r w:rsidRPr="00E02245">
        <w:rPr>
          <w:lang w:val="fr-FR"/>
        </w:rPr>
        <w:t>c)</w:t>
      </w:r>
      <w:r w:rsidRPr="00E02245">
        <w:rPr>
          <w:lang w:val="fr-FR"/>
        </w:rPr>
        <w:tab/>
      </w:r>
      <w:r>
        <w:rPr>
          <w:lang w:val="fr-FR"/>
        </w:rPr>
        <w:t>Trois o</w:t>
      </w:r>
      <w:r w:rsidRPr="00E02245">
        <w:rPr>
          <w:lang w:val="fr-FR"/>
        </w:rPr>
        <w:t>ptions proposées en ce qui concerne les variantes textuelles des mentions de danger combinées et des conseils de prudence combinés :</w:t>
      </w:r>
    </w:p>
    <w:p w14:paraId="330B9563" w14:textId="2A6B11D3" w:rsidR="00D05AE5" w:rsidRPr="00E02245" w:rsidRDefault="00D05AE5" w:rsidP="0095533C">
      <w:pPr>
        <w:pStyle w:val="SingleTxtG"/>
        <w:ind w:left="1701"/>
        <w:rPr>
          <w:lang w:val="fr-FR"/>
        </w:rPr>
      </w:pPr>
      <w:r w:rsidRPr="00E02245">
        <w:rPr>
          <w:lang w:val="fr-FR"/>
        </w:rPr>
        <w:t xml:space="preserve">Plusieurs experts ont dit </w:t>
      </w:r>
      <w:r>
        <w:rPr>
          <w:lang w:val="fr-FR"/>
        </w:rPr>
        <w:t>avoir besoin de</w:t>
      </w:r>
      <w:r w:rsidRPr="00E02245">
        <w:rPr>
          <w:lang w:val="fr-FR"/>
        </w:rPr>
        <w:t xml:space="preserve"> plus de temps pour évaluer toutes les </w:t>
      </w:r>
      <w:r>
        <w:rPr>
          <w:lang w:val="fr-FR"/>
        </w:rPr>
        <w:t xml:space="preserve">options </w:t>
      </w:r>
      <w:r w:rsidRPr="00E02245">
        <w:rPr>
          <w:lang w:val="fr-FR"/>
        </w:rPr>
        <w:t>et leurs implications</w:t>
      </w:r>
      <w:r>
        <w:rPr>
          <w:lang w:val="fr-FR"/>
        </w:rPr>
        <w:t xml:space="preserve">, </w:t>
      </w:r>
      <w:r w:rsidRPr="00490806">
        <w:rPr>
          <w:lang w:val="fr-FR"/>
        </w:rPr>
        <w:t>compte tenu notamment du fait que l</w:t>
      </w:r>
      <w:r w:rsidR="009657CE">
        <w:rPr>
          <w:lang w:val="fr-FR"/>
        </w:rPr>
        <w:t>’</w:t>
      </w:r>
      <w:r w:rsidRPr="00490806">
        <w:rPr>
          <w:lang w:val="fr-FR"/>
        </w:rPr>
        <w:t>option</w:t>
      </w:r>
      <w:r w:rsidR="002E5B8C">
        <w:rPr>
          <w:lang w:val="fr-FR"/>
        </w:rPr>
        <w:t> </w:t>
      </w:r>
      <w:r w:rsidRPr="00490806">
        <w:rPr>
          <w:lang w:val="fr-FR"/>
        </w:rPr>
        <w:t>3 était une proposition récente</w:t>
      </w:r>
      <w:r w:rsidRPr="00E02245">
        <w:rPr>
          <w:lang w:val="fr-FR"/>
        </w:rPr>
        <w:t>. Le Sous-Comité les a invités à faire parvenir des observations écrites à la Présidente du groupe de travail informel.</w:t>
      </w:r>
    </w:p>
    <w:p w14:paraId="5E6EBCDF" w14:textId="6A1037FA" w:rsidR="00D05AE5" w:rsidRPr="00E02245" w:rsidRDefault="00D05AE5" w:rsidP="008914BD">
      <w:pPr>
        <w:pStyle w:val="SingleTxtG"/>
        <w:rPr>
          <w:lang w:val="fr-FR"/>
        </w:rPr>
      </w:pPr>
      <w:r>
        <w:rPr>
          <w:lang w:val="fr-FR"/>
        </w:rPr>
        <w:t>25</w:t>
      </w:r>
      <w:r w:rsidRPr="00E02245">
        <w:rPr>
          <w:lang w:val="fr-FR"/>
        </w:rPr>
        <w:t>.</w:t>
      </w:r>
      <w:r w:rsidRPr="00E02245">
        <w:rPr>
          <w:lang w:val="fr-FR"/>
        </w:rPr>
        <w:tab/>
        <w:t>Le Sous-Comité s</w:t>
      </w:r>
      <w:r w:rsidR="009657CE">
        <w:rPr>
          <w:lang w:val="fr-FR"/>
        </w:rPr>
        <w:t>’</w:t>
      </w:r>
      <w:r w:rsidRPr="00E02245">
        <w:rPr>
          <w:lang w:val="fr-FR"/>
        </w:rPr>
        <w:t>est félicité des travaux du groupe de travail informel et a pris note des questions et des difficultés exposé</w:t>
      </w:r>
      <w:r>
        <w:rPr>
          <w:lang w:val="fr-FR"/>
        </w:rPr>
        <w:t>e</w:t>
      </w:r>
      <w:r w:rsidRPr="00E02245">
        <w:rPr>
          <w:lang w:val="fr-FR"/>
        </w:rPr>
        <w:t xml:space="preserve">s dans le document informel INF.19. </w:t>
      </w:r>
      <w:r w:rsidRPr="00A665AC">
        <w:rPr>
          <w:lang w:val="fr-FR"/>
        </w:rPr>
        <w:t>Il s</w:t>
      </w:r>
      <w:r w:rsidR="009657CE">
        <w:rPr>
          <w:lang w:val="fr-FR"/>
        </w:rPr>
        <w:t>’</w:t>
      </w:r>
      <w:r w:rsidRPr="00A665AC">
        <w:rPr>
          <w:lang w:val="fr-FR"/>
        </w:rPr>
        <w:t>agi</w:t>
      </w:r>
      <w:r>
        <w:rPr>
          <w:lang w:val="fr-FR"/>
        </w:rPr>
        <w:t>ssai</w:t>
      </w:r>
      <w:r w:rsidRPr="00A665AC">
        <w:rPr>
          <w:lang w:val="fr-FR"/>
        </w:rPr>
        <w:t>t notamment de la nécessité d</w:t>
      </w:r>
      <w:r w:rsidR="009657CE">
        <w:rPr>
          <w:lang w:val="fr-FR"/>
        </w:rPr>
        <w:t>’</w:t>
      </w:r>
      <w:r w:rsidRPr="00A665AC">
        <w:rPr>
          <w:lang w:val="fr-FR"/>
        </w:rPr>
        <w:t xml:space="preserve">apporter un appui supplémentaire à la Présidente du groupe de travail en dirigeant certaines des activités du programme de travail </w:t>
      </w:r>
      <w:r w:rsidRPr="00D71452">
        <w:rPr>
          <w:lang w:val="fr-FR"/>
        </w:rPr>
        <w:t xml:space="preserve">ou en ouvrant des pistes de réflexion. </w:t>
      </w:r>
      <w:r w:rsidRPr="00C05CBE">
        <w:rPr>
          <w:lang w:val="fr-FR"/>
        </w:rPr>
        <w:t xml:space="preserve">Le Sous-Comité </w:t>
      </w:r>
      <w:r w:rsidRPr="00E02245">
        <w:rPr>
          <w:lang w:val="fr-FR"/>
        </w:rPr>
        <w:t>a accueilli favorablement l</w:t>
      </w:r>
      <w:r w:rsidR="009657CE">
        <w:rPr>
          <w:lang w:val="fr-FR"/>
        </w:rPr>
        <w:t>’</w:t>
      </w:r>
      <w:r w:rsidRPr="00E02245">
        <w:rPr>
          <w:lang w:val="fr-FR"/>
        </w:rPr>
        <w:t>offre du représentant de l</w:t>
      </w:r>
      <w:r w:rsidR="009657CE">
        <w:rPr>
          <w:lang w:val="fr-FR"/>
        </w:rPr>
        <w:t>’</w:t>
      </w:r>
      <w:r w:rsidRPr="00E02245">
        <w:rPr>
          <w:lang w:val="fr-FR"/>
        </w:rPr>
        <w:t>Union européenne, qui envisageait d</w:t>
      </w:r>
      <w:r w:rsidR="009657CE">
        <w:rPr>
          <w:lang w:val="fr-FR"/>
        </w:rPr>
        <w:t>’</w:t>
      </w:r>
      <w:r w:rsidRPr="00E02245">
        <w:rPr>
          <w:lang w:val="fr-FR"/>
        </w:rPr>
        <w:t>aider le groupe de travail informel</w:t>
      </w:r>
      <w:r>
        <w:rPr>
          <w:lang w:val="fr-FR"/>
        </w:rPr>
        <w:t>.</w:t>
      </w:r>
      <w:r w:rsidRPr="00E02245">
        <w:rPr>
          <w:lang w:val="fr-FR"/>
        </w:rPr>
        <w:t xml:space="preserve"> D</w:t>
      </w:r>
      <w:r w:rsidR="009657CE">
        <w:rPr>
          <w:lang w:val="fr-FR"/>
        </w:rPr>
        <w:t>’</w:t>
      </w:r>
      <w:r w:rsidRPr="00E02245">
        <w:rPr>
          <w:lang w:val="fr-FR"/>
        </w:rPr>
        <w:t xml:space="preserve">autres délégations ont été invitées à </w:t>
      </w:r>
      <w:r>
        <w:rPr>
          <w:lang w:val="fr-FR"/>
        </w:rPr>
        <w:t>faire de même</w:t>
      </w:r>
      <w:r w:rsidRPr="00E02245">
        <w:rPr>
          <w:lang w:val="fr-FR"/>
        </w:rPr>
        <w:t xml:space="preserve">. </w:t>
      </w:r>
    </w:p>
    <w:p w14:paraId="5950A2E8" w14:textId="27D5A5B6" w:rsidR="00D05AE5" w:rsidRPr="00E02245" w:rsidRDefault="00D05AE5" w:rsidP="008914BD">
      <w:pPr>
        <w:pStyle w:val="SingleTxtG"/>
        <w:rPr>
          <w:lang w:val="fr-FR"/>
        </w:rPr>
      </w:pPr>
      <w:r>
        <w:rPr>
          <w:lang w:val="fr-FR"/>
        </w:rPr>
        <w:t>26</w:t>
      </w:r>
      <w:r w:rsidRPr="00E02245">
        <w:rPr>
          <w:lang w:val="fr-FR"/>
        </w:rPr>
        <w:t>.</w:t>
      </w:r>
      <w:r w:rsidRPr="00E02245">
        <w:rPr>
          <w:lang w:val="fr-FR"/>
        </w:rPr>
        <w:tab/>
        <w:t xml:space="preserve">Il a été convenu que le fait de fournir des contributions en temps utile au groupe de travail informel et de participer </w:t>
      </w:r>
      <w:r>
        <w:rPr>
          <w:lang w:val="fr-FR"/>
        </w:rPr>
        <w:t xml:space="preserve">activement </w:t>
      </w:r>
      <w:r w:rsidRPr="00E02245">
        <w:rPr>
          <w:lang w:val="fr-FR"/>
        </w:rPr>
        <w:t>à ses travaux étaient des facteurs cl</w:t>
      </w:r>
      <w:r w:rsidR="002E5B8C">
        <w:rPr>
          <w:lang w:val="fr-FR"/>
        </w:rPr>
        <w:t>ef</w:t>
      </w:r>
      <w:r w:rsidRPr="00E02245">
        <w:rPr>
          <w:lang w:val="fr-FR"/>
        </w:rPr>
        <w:t>s pour que des progrès soient faits. Il a cependant été souligné que la soumission d</w:t>
      </w:r>
      <w:r w:rsidR="009657CE">
        <w:rPr>
          <w:lang w:val="fr-FR"/>
        </w:rPr>
        <w:t>’</w:t>
      </w:r>
      <w:r w:rsidRPr="00E02245">
        <w:rPr>
          <w:lang w:val="fr-FR"/>
        </w:rPr>
        <w:t xml:space="preserve">observations écrites détaillées sur des propositions prenait beaucoup de temps car il fallait pour cela </w:t>
      </w:r>
      <w:r>
        <w:rPr>
          <w:lang w:val="fr-FR"/>
        </w:rPr>
        <w:t xml:space="preserve">procéder à </w:t>
      </w:r>
      <w:r w:rsidRPr="006353BA">
        <w:rPr>
          <w:lang w:val="fr-FR"/>
        </w:rPr>
        <w:t>plusieurs niveaux d</w:t>
      </w:r>
      <w:r w:rsidR="009657CE">
        <w:rPr>
          <w:lang w:val="fr-FR"/>
        </w:rPr>
        <w:t>’</w:t>
      </w:r>
      <w:r w:rsidRPr="006353BA">
        <w:rPr>
          <w:lang w:val="fr-FR"/>
        </w:rPr>
        <w:t xml:space="preserve">examen </w:t>
      </w:r>
      <w:r w:rsidRPr="00E02245">
        <w:rPr>
          <w:lang w:val="fr-FR"/>
        </w:rPr>
        <w:t xml:space="preserve">pour évaluer toutes les implications des changements proposés, puis faire la synthèse de toutes les réponses et de toutes les observations. Il a été proposé de mettre en œuvre des moyens de communication supplémentaires, tels que des conférences </w:t>
      </w:r>
      <w:r>
        <w:rPr>
          <w:lang w:val="fr-FR"/>
        </w:rPr>
        <w:t xml:space="preserve">téléphoniques </w:t>
      </w:r>
      <w:r w:rsidRPr="00E02245">
        <w:rPr>
          <w:lang w:val="fr-FR"/>
        </w:rPr>
        <w:t>ou des conversations vidéo, pour vivifier les échanges de vues et d</w:t>
      </w:r>
      <w:r w:rsidR="009657CE">
        <w:rPr>
          <w:lang w:val="fr-FR"/>
        </w:rPr>
        <w:t>’</w:t>
      </w:r>
      <w:r w:rsidRPr="00E02245">
        <w:rPr>
          <w:lang w:val="fr-FR"/>
        </w:rPr>
        <w:t xml:space="preserve">avis et </w:t>
      </w:r>
      <w:r w:rsidRPr="004D41A2">
        <w:rPr>
          <w:lang w:val="fr-FR"/>
        </w:rPr>
        <w:t>aider à progresser sur des questions techniques particulièrement complexes.</w:t>
      </w:r>
      <w:r w:rsidRPr="00E02245">
        <w:rPr>
          <w:lang w:val="fr-FR"/>
        </w:rPr>
        <w:t xml:space="preserve"> </w:t>
      </w:r>
    </w:p>
    <w:p w14:paraId="05868DB4" w14:textId="77777777" w:rsidR="00D05AE5" w:rsidRPr="00E02245" w:rsidRDefault="00D05AE5" w:rsidP="008914BD">
      <w:pPr>
        <w:pStyle w:val="SingleTxtG"/>
        <w:rPr>
          <w:lang w:val="fr-FR"/>
        </w:rPr>
      </w:pPr>
      <w:r w:rsidRPr="00E02245">
        <w:rPr>
          <w:lang w:val="fr-FR"/>
        </w:rPr>
        <w:t>2</w:t>
      </w:r>
      <w:r>
        <w:rPr>
          <w:lang w:val="fr-FR"/>
        </w:rPr>
        <w:t>7</w:t>
      </w:r>
      <w:r w:rsidRPr="00E02245">
        <w:rPr>
          <w:lang w:val="fr-FR"/>
        </w:rPr>
        <w:t>.</w:t>
      </w:r>
      <w:r w:rsidRPr="00E02245">
        <w:rPr>
          <w:lang w:val="fr-FR"/>
        </w:rPr>
        <w:tab/>
        <w:t>Le Sous-Comité a pris note des questions exposées au point 2 du paragraphe 45 du document informel INF.19 et invité les experts à fournir leurs contributions à la Présidente du groupe de travail informel</w:t>
      </w:r>
      <w:r>
        <w:rPr>
          <w:lang w:val="fr-FR"/>
        </w:rPr>
        <w:t xml:space="preserve"> (</w:t>
      </w:r>
      <w:r w:rsidRPr="00B07F6C">
        <w:rPr>
          <w:lang w:val="fr-FR"/>
        </w:rPr>
        <w:t>Deborah Traynor</w:t>
      </w:r>
      <w:r>
        <w:rPr>
          <w:lang w:val="fr-FR"/>
        </w:rPr>
        <w:t>)</w:t>
      </w:r>
      <w:r w:rsidRPr="00E02245">
        <w:rPr>
          <w:lang w:val="fr-FR"/>
        </w:rPr>
        <w:t xml:space="preserve">. </w:t>
      </w:r>
    </w:p>
    <w:p w14:paraId="15F6E9B1" w14:textId="7F7810CD" w:rsidR="00D05AE5" w:rsidRPr="007335CE" w:rsidRDefault="00D05AE5" w:rsidP="003C737D">
      <w:pPr>
        <w:pStyle w:val="H1G"/>
        <w:rPr>
          <w:lang w:val="fr-FR"/>
        </w:rPr>
      </w:pPr>
      <w:r>
        <w:rPr>
          <w:lang w:val="fr-FR"/>
        </w:rPr>
        <w:tab/>
      </w:r>
      <w:r w:rsidRPr="007335CE">
        <w:rPr>
          <w:lang w:val="fr-FR"/>
        </w:rPr>
        <w:t>I.</w:t>
      </w:r>
      <w:r w:rsidRPr="007335CE">
        <w:rPr>
          <w:lang w:val="fr-FR"/>
        </w:rPr>
        <w:tab/>
        <w:t>Autres questions</w:t>
      </w:r>
    </w:p>
    <w:p w14:paraId="3C6FE0BA" w14:textId="77777777" w:rsidR="00D05AE5" w:rsidRPr="007335CE" w:rsidRDefault="00D05AE5" w:rsidP="0095533C">
      <w:pPr>
        <w:pStyle w:val="H23G"/>
        <w:rPr>
          <w:lang w:val="fr-FR"/>
        </w:rPr>
      </w:pPr>
      <w:r>
        <w:rPr>
          <w:lang w:val="fr-FR"/>
        </w:rPr>
        <w:tab/>
      </w:r>
      <w:r w:rsidRPr="007335CE">
        <w:rPr>
          <w:lang w:val="fr-FR"/>
        </w:rPr>
        <w:t>1.</w:t>
      </w:r>
      <w:r w:rsidRPr="007335CE">
        <w:rPr>
          <w:lang w:val="fr-FR"/>
        </w:rPr>
        <w:tab/>
        <w:t>Matières explosibles désensibilisées</w:t>
      </w:r>
    </w:p>
    <w:p w14:paraId="2B0D069B" w14:textId="1EF2DC90" w:rsidR="00D05AE5" w:rsidRPr="007335CE" w:rsidRDefault="00D05AE5" w:rsidP="0095533C">
      <w:pPr>
        <w:pStyle w:val="SingleTxtG"/>
        <w:tabs>
          <w:tab w:val="clear" w:pos="1701"/>
          <w:tab w:val="clear" w:pos="2268"/>
          <w:tab w:val="clear" w:pos="2835"/>
          <w:tab w:val="left" w:pos="3402"/>
        </w:tabs>
        <w:ind w:left="3402" w:hanging="2268"/>
        <w:rPr>
          <w:lang w:val="fr-FR"/>
        </w:rPr>
      </w:pPr>
      <w:r>
        <w:rPr>
          <w:i/>
          <w:iCs/>
          <w:lang w:val="fr-FR"/>
        </w:rPr>
        <w:t>Document(s)</w:t>
      </w:r>
      <w:r w:rsidR="009657CE">
        <w:rPr>
          <w:i/>
          <w:iCs/>
          <w:lang w:val="fr-FR"/>
        </w:rPr>
        <w:t> </w:t>
      </w:r>
      <w:r>
        <w:rPr>
          <w:i/>
          <w:iCs/>
          <w:lang w:val="fr-FR"/>
        </w:rPr>
        <w:t>:</w:t>
      </w:r>
      <w:r w:rsidRPr="007335CE">
        <w:rPr>
          <w:lang w:val="fr-FR"/>
        </w:rPr>
        <w:tab/>
        <w:t>ST/SG/AC.10/C.4/2021/7 (Allemagne)</w:t>
      </w:r>
    </w:p>
    <w:p w14:paraId="2DC32347" w14:textId="4A696EB9" w:rsidR="00D05AE5" w:rsidRPr="007335CE" w:rsidRDefault="00D05AE5" w:rsidP="008914BD">
      <w:pPr>
        <w:pStyle w:val="SingleTxtG"/>
        <w:rPr>
          <w:lang w:val="fr-FR"/>
        </w:rPr>
      </w:pPr>
      <w:r>
        <w:rPr>
          <w:lang w:val="fr-FR"/>
        </w:rPr>
        <w:t>28</w:t>
      </w:r>
      <w:r w:rsidRPr="007335CE">
        <w:rPr>
          <w:lang w:val="fr-FR"/>
        </w:rPr>
        <w:t>.</w:t>
      </w:r>
      <w:r w:rsidRPr="007335CE">
        <w:rPr>
          <w:lang w:val="fr-FR"/>
        </w:rPr>
        <w:tab/>
        <w:t xml:space="preserve">Après que le Président du Sous-Comité TMD lui </w:t>
      </w:r>
      <w:r>
        <w:rPr>
          <w:lang w:val="fr-FR"/>
        </w:rPr>
        <w:t xml:space="preserve">a </w:t>
      </w:r>
      <w:r w:rsidRPr="007335CE">
        <w:rPr>
          <w:lang w:val="fr-FR"/>
        </w:rPr>
        <w:t>fait part de l</w:t>
      </w:r>
      <w:r w:rsidR="009657CE">
        <w:rPr>
          <w:lang w:val="fr-FR"/>
        </w:rPr>
        <w:t>’</w:t>
      </w:r>
      <w:r w:rsidRPr="007335CE">
        <w:rPr>
          <w:lang w:val="fr-FR"/>
        </w:rPr>
        <w:t>issue des discussions sur ce sujet, le Sous-Comité s</w:t>
      </w:r>
      <w:r w:rsidR="009657CE">
        <w:rPr>
          <w:lang w:val="fr-FR"/>
        </w:rPr>
        <w:t>’</w:t>
      </w:r>
      <w:r w:rsidRPr="007335CE">
        <w:rPr>
          <w:lang w:val="fr-FR"/>
        </w:rPr>
        <w:t>est rangé à l</w:t>
      </w:r>
      <w:r w:rsidR="009657CE">
        <w:rPr>
          <w:lang w:val="fr-FR"/>
        </w:rPr>
        <w:t>’</w:t>
      </w:r>
      <w:r w:rsidRPr="007335CE">
        <w:rPr>
          <w:lang w:val="fr-FR"/>
        </w:rPr>
        <w:t xml:space="preserve">avis du Sous-Comité TMD selon lequel la proposition devrait être transmise au Groupe de travail sur les explosifs pour examen à sa prochaine réunion. </w:t>
      </w:r>
    </w:p>
    <w:p w14:paraId="322D32C3" w14:textId="14AF2A85" w:rsidR="00D05AE5" w:rsidRPr="007335CE" w:rsidRDefault="00D05AE5" w:rsidP="008914BD">
      <w:pPr>
        <w:pStyle w:val="SingleTxtG"/>
        <w:rPr>
          <w:lang w:val="fr-FR"/>
        </w:rPr>
      </w:pPr>
      <w:r w:rsidRPr="007335CE">
        <w:rPr>
          <w:lang w:val="fr-FR"/>
        </w:rPr>
        <w:t>2</w:t>
      </w:r>
      <w:r>
        <w:rPr>
          <w:lang w:val="fr-FR"/>
        </w:rPr>
        <w:t>9</w:t>
      </w:r>
      <w:r w:rsidRPr="007335CE">
        <w:rPr>
          <w:lang w:val="fr-FR"/>
        </w:rPr>
        <w:t>.</w:t>
      </w:r>
      <w:r w:rsidRPr="007335CE">
        <w:rPr>
          <w:lang w:val="fr-FR"/>
        </w:rPr>
        <w:tab/>
        <w:t>En ce qui concerne la proposition, plusieurs experts ont fait observer qu</w:t>
      </w:r>
      <w:r w:rsidR="009657CE">
        <w:rPr>
          <w:lang w:val="fr-FR"/>
        </w:rPr>
        <w:t>’</w:t>
      </w:r>
      <w:r w:rsidRPr="007335CE">
        <w:rPr>
          <w:lang w:val="fr-FR"/>
        </w:rPr>
        <w:t>il pourrait être nécessaire de revoir la terminologie utilisée au chapitre</w:t>
      </w:r>
      <w:r>
        <w:rPr>
          <w:lang w:val="fr-FR"/>
        </w:rPr>
        <w:t> </w:t>
      </w:r>
      <w:r w:rsidRPr="007335CE">
        <w:rPr>
          <w:lang w:val="fr-FR"/>
        </w:rPr>
        <w:t>2.17</w:t>
      </w:r>
      <w:r>
        <w:rPr>
          <w:lang w:val="fr-FR"/>
        </w:rPr>
        <w:t xml:space="preserve">, par souci de </w:t>
      </w:r>
      <w:r w:rsidRPr="007335CE">
        <w:rPr>
          <w:lang w:val="fr-FR"/>
        </w:rPr>
        <w:t>cohérence avec le chapitre</w:t>
      </w:r>
      <w:r>
        <w:rPr>
          <w:lang w:val="fr-FR"/>
        </w:rPr>
        <w:t> </w:t>
      </w:r>
      <w:r w:rsidRPr="007335CE">
        <w:rPr>
          <w:lang w:val="fr-FR"/>
        </w:rPr>
        <w:t xml:space="preserve">2.1 révisé. Il a été noté en particulier que la référence faite aux matières explosibles </w:t>
      </w:r>
      <w:r>
        <w:rPr>
          <w:lang w:val="fr-FR"/>
        </w:rPr>
        <w:t>« </w:t>
      </w:r>
      <w:r w:rsidRPr="007335CE">
        <w:rPr>
          <w:lang w:val="fr-FR"/>
        </w:rPr>
        <w:t>instables</w:t>
      </w:r>
      <w:r>
        <w:rPr>
          <w:lang w:val="fr-FR"/>
        </w:rPr>
        <w:t> »</w:t>
      </w:r>
      <w:r w:rsidRPr="007335CE">
        <w:rPr>
          <w:lang w:val="fr-FR"/>
        </w:rPr>
        <w:t xml:space="preserve"> pouvait être mal comprise et n</w:t>
      </w:r>
      <w:r>
        <w:rPr>
          <w:lang w:val="fr-FR"/>
        </w:rPr>
        <w:t>e</w:t>
      </w:r>
      <w:r w:rsidRPr="007335CE">
        <w:rPr>
          <w:lang w:val="fr-FR"/>
        </w:rPr>
        <w:t xml:space="preserve"> plus </w:t>
      </w:r>
      <w:r>
        <w:rPr>
          <w:lang w:val="fr-FR"/>
        </w:rPr>
        <w:t xml:space="preserve">être </w:t>
      </w:r>
      <w:r w:rsidRPr="007335CE">
        <w:rPr>
          <w:lang w:val="fr-FR"/>
        </w:rPr>
        <w:t>appropriée compte tenu de la révision du chapitre</w:t>
      </w:r>
      <w:r>
        <w:rPr>
          <w:lang w:val="fr-FR"/>
        </w:rPr>
        <w:t> </w:t>
      </w:r>
      <w:r w:rsidRPr="007335CE">
        <w:rPr>
          <w:lang w:val="fr-FR"/>
        </w:rPr>
        <w:t>2.1 du SGH qui avait été adopté</w:t>
      </w:r>
      <w:r>
        <w:rPr>
          <w:lang w:val="fr-FR"/>
        </w:rPr>
        <w:t>e</w:t>
      </w:r>
      <w:r w:rsidRPr="007335CE">
        <w:rPr>
          <w:lang w:val="fr-FR"/>
        </w:rPr>
        <w:t xml:space="preserve"> au cours du dernier exercice biennal. </w:t>
      </w:r>
      <w:r>
        <w:rPr>
          <w:lang w:val="fr-FR"/>
        </w:rPr>
        <w:t>En outre, u</w:t>
      </w:r>
      <w:r w:rsidRPr="007335CE">
        <w:rPr>
          <w:lang w:val="fr-FR"/>
        </w:rPr>
        <w:t>n expert était d</w:t>
      </w:r>
      <w:r w:rsidR="009657CE">
        <w:rPr>
          <w:lang w:val="fr-FR"/>
        </w:rPr>
        <w:t>’</w:t>
      </w:r>
      <w:r w:rsidRPr="007335CE">
        <w:rPr>
          <w:lang w:val="fr-FR"/>
        </w:rPr>
        <w:t>avis qu</w:t>
      </w:r>
      <w:r w:rsidR="009657CE">
        <w:rPr>
          <w:lang w:val="fr-FR"/>
        </w:rPr>
        <w:t>’</w:t>
      </w:r>
      <w:r w:rsidRPr="007335CE">
        <w:rPr>
          <w:lang w:val="fr-FR"/>
        </w:rPr>
        <w:t>il fallait davantage d</w:t>
      </w:r>
      <w:r w:rsidR="009657CE">
        <w:rPr>
          <w:lang w:val="fr-FR"/>
        </w:rPr>
        <w:t>’</w:t>
      </w:r>
      <w:r w:rsidRPr="007335CE">
        <w:rPr>
          <w:lang w:val="fr-FR"/>
        </w:rPr>
        <w:t>informations sur</w:t>
      </w:r>
      <w:r>
        <w:rPr>
          <w:lang w:val="fr-FR"/>
        </w:rPr>
        <w:t xml:space="preserve"> </w:t>
      </w:r>
      <w:r w:rsidRPr="003F4AAC">
        <w:rPr>
          <w:lang w:val="fr-FR"/>
        </w:rPr>
        <w:t xml:space="preserve">la manière de </w:t>
      </w:r>
      <w:r>
        <w:rPr>
          <w:lang w:val="fr-FR"/>
        </w:rPr>
        <w:t xml:space="preserve">communiquer </w:t>
      </w:r>
      <w:r w:rsidRPr="003F4AAC">
        <w:rPr>
          <w:lang w:val="fr-FR"/>
        </w:rPr>
        <w:t>les résultats des tests</w:t>
      </w:r>
      <w:r w:rsidRPr="007335CE">
        <w:rPr>
          <w:lang w:val="fr-FR"/>
        </w:rPr>
        <w:t xml:space="preserve"> </w:t>
      </w:r>
      <w:r>
        <w:rPr>
          <w:lang w:val="fr-FR"/>
        </w:rPr>
        <w:t xml:space="preserve">et sur </w:t>
      </w:r>
      <w:r w:rsidRPr="007335CE">
        <w:rPr>
          <w:lang w:val="fr-FR"/>
        </w:rPr>
        <w:t>les mélanges de nitrocellulose.</w:t>
      </w:r>
    </w:p>
    <w:p w14:paraId="0B011FC3" w14:textId="13E7B540" w:rsidR="00D05AE5" w:rsidRPr="007335CE" w:rsidRDefault="00D05AE5" w:rsidP="008914BD">
      <w:pPr>
        <w:pStyle w:val="SingleTxtG"/>
        <w:rPr>
          <w:lang w:val="fr-FR"/>
        </w:rPr>
      </w:pPr>
      <w:r>
        <w:rPr>
          <w:lang w:val="fr-FR"/>
        </w:rPr>
        <w:t>30</w:t>
      </w:r>
      <w:r w:rsidRPr="007335CE">
        <w:rPr>
          <w:lang w:val="fr-FR"/>
        </w:rPr>
        <w:t>.</w:t>
      </w:r>
      <w:r w:rsidRPr="007335CE">
        <w:rPr>
          <w:lang w:val="fr-FR"/>
        </w:rPr>
        <w:tab/>
        <w:t>L</w:t>
      </w:r>
      <w:r w:rsidR="009657CE">
        <w:rPr>
          <w:lang w:val="fr-FR"/>
        </w:rPr>
        <w:t>’</w:t>
      </w:r>
      <w:r w:rsidRPr="007335CE">
        <w:rPr>
          <w:lang w:val="fr-FR"/>
        </w:rPr>
        <w:t>experte de l</w:t>
      </w:r>
      <w:r w:rsidR="009657CE">
        <w:rPr>
          <w:lang w:val="fr-FR"/>
        </w:rPr>
        <w:t>’</w:t>
      </w:r>
      <w:r w:rsidRPr="007335CE">
        <w:rPr>
          <w:lang w:val="fr-FR"/>
        </w:rPr>
        <w:t>Allemagne a fait remarquer qu</w:t>
      </w:r>
      <w:r w:rsidR="009657CE">
        <w:rPr>
          <w:lang w:val="fr-FR"/>
        </w:rPr>
        <w:t>’</w:t>
      </w:r>
      <w:r w:rsidRPr="007335CE">
        <w:rPr>
          <w:lang w:val="fr-FR"/>
        </w:rPr>
        <w:t xml:space="preserve">une révision générale de la terminologie </w:t>
      </w:r>
      <w:r w:rsidRPr="003F4AAC">
        <w:rPr>
          <w:lang w:val="fr-FR"/>
        </w:rPr>
        <w:t xml:space="preserve">qui ne se rapportait pas directement à la question examinée, que ce soit dans le texte actuel </w:t>
      </w:r>
      <w:r w:rsidRPr="007335CE">
        <w:rPr>
          <w:lang w:val="fr-FR"/>
        </w:rPr>
        <w:t>du chapitre</w:t>
      </w:r>
      <w:r>
        <w:rPr>
          <w:lang w:val="fr-FR"/>
        </w:rPr>
        <w:t> </w:t>
      </w:r>
      <w:r w:rsidRPr="007335CE">
        <w:rPr>
          <w:lang w:val="fr-FR"/>
        </w:rPr>
        <w:t xml:space="preserve">2.17 </w:t>
      </w:r>
      <w:r w:rsidRPr="003F4AAC">
        <w:rPr>
          <w:lang w:val="fr-FR"/>
        </w:rPr>
        <w:t>ou dans d</w:t>
      </w:r>
      <w:r w:rsidR="009657CE">
        <w:rPr>
          <w:lang w:val="fr-FR"/>
        </w:rPr>
        <w:t>’</w:t>
      </w:r>
      <w:r w:rsidRPr="003F4AAC">
        <w:rPr>
          <w:lang w:val="fr-FR"/>
        </w:rPr>
        <w:t>autres chapitres du SGH ou du Manuel d</w:t>
      </w:r>
      <w:r w:rsidR="009657CE">
        <w:rPr>
          <w:lang w:val="fr-FR"/>
        </w:rPr>
        <w:t>’</w:t>
      </w:r>
      <w:r w:rsidRPr="003F4AAC">
        <w:rPr>
          <w:lang w:val="fr-FR"/>
        </w:rPr>
        <w:t xml:space="preserve">épreuves et de critères, </w:t>
      </w:r>
      <w:r w:rsidRPr="007335CE">
        <w:rPr>
          <w:lang w:val="fr-FR"/>
        </w:rPr>
        <w:t>n</w:t>
      </w:r>
      <w:r w:rsidR="009657CE">
        <w:rPr>
          <w:lang w:val="fr-FR"/>
        </w:rPr>
        <w:t>’</w:t>
      </w:r>
      <w:r w:rsidRPr="007335CE">
        <w:rPr>
          <w:lang w:val="fr-FR"/>
        </w:rPr>
        <w:t xml:space="preserve">entrait pas dans le cadre de sa proposition, et a </w:t>
      </w:r>
      <w:r>
        <w:rPr>
          <w:lang w:val="fr-FR"/>
        </w:rPr>
        <w:t xml:space="preserve">suggéré aux </w:t>
      </w:r>
      <w:r w:rsidRPr="007335CE">
        <w:rPr>
          <w:lang w:val="fr-FR"/>
        </w:rPr>
        <w:t xml:space="preserve">experts qui avaient </w:t>
      </w:r>
      <w:r>
        <w:rPr>
          <w:lang w:val="fr-FR"/>
        </w:rPr>
        <w:t>sou</w:t>
      </w:r>
      <w:r w:rsidRPr="003F4AAC">
        <w:rPr>
          <w:lang w:val="fr-FR"/>
        </w:rPr>
        <w:t>levé d</w:t>
      </w:r>
      <w:r w:rsidR="009657CE">
        <w:rPr>
          <w:lang w:val="fr-FR"/>
        </w:rPr>
        <w:t>’</w:t>
      </w:r>
      <w:r w:rsidRPr="003F4AAC">
        <w:rPr>
          <w:lang w:val="fr-FR"/>
        </w:rPr>
        <w:t xml:space="preserve">autres questions de terminologie </w:t>
      </w:r>
      <w:r>
        <w:rPr>
          <w:lang w:val="fr-FR"/>
        </w:rPr>
        <w:t>d</w:t>
      </w:r>
      <w:r w:rsidR="009657CE">
        <w:rPr>
          <w:lang w:val="fr-FR"/>
        </w:rPr>
        <w:t>’</w:t>
      </w:r>
      <w:r w:rsidRPr="003F4AAC">
        <w:rPr>
          <w:lang w:val="fr-FR"/>
        </w:rPr>
        <w:t>envisager de les aborder séparément.</w:t>
      </w:r>
    </w:p>
    <w:p w14:paraId="452C22CD" w14:textId="0DA0CC21" w:rsidR="00D05AE5" w:rsidRPr="007335CE" w:rsidRDefault="00D05AE5" w:rsidP="002E5B8C">
      <w:pPr>
        <w:pStyle w:val="SingleTxtG"/>
        <w:keepNext/>
        <w:keepLines/>
        <w:rPr>
          <w:lang w:val="fr-FR"/>
        </w:rPr>
      </w:pPr>
      <w:r>
        <w:rPr>
          <w:lang w:val="fr-FR"/>
        </w:rPr>
        <w:t>31</w:t>
      </w:r>
      <w:r w:rsidRPr="007335CE">
        <w:rPr>
          <w:lang w:val="fr-FR"/>
        </w:rPr>
        <w:t>.</w:t>
      </w:r>
      <w:r w:rsidRPr="007335CE">
        <w:rPr>
          <w:lang w:val="fr-FR"/>
        </w:rPr>
        <w:tab/>
        <w:t>Le Sous-Comité a invité l</w:t>
      </w:r>
      <w:r w:rsidR="009657CE">
        <w:rPr>
          <w:lang w:val="fr-FR"/>
        </w:rPr>
        <w:t>’</w:t>
      </w:r>
      <w:r w:rsidRPr="007335CE">
        <w:rPr>
          <w:lang w:val="fr-FR"/>
        </w:rPr>
        <w:t>experte de l</w:t>
      </w:r>
      <w:r w:rsidR="009657CE">
        <w:rPr>
          <w:lang w:val="fr-FR"/>
        </w:rPr>
        <w:t>’</w:t>
      </w:r>
      <w:r w:rsidRPr="007335CE">
        <w:rPr>
          <w:lang w:val="fr-FR"/>
        </w:rPr>
        <w:t>Allemagne à prendre en considération les observations formulées et à soumettre une proposition révisée pour examen par le Sous</w:t>
      </w:r>
      <w:r>
        <w:rPr>
          <w:lang w:val="fr-FR"/>
        </w:rPr>
        <w:noBreakHyphen/>
      </w:r>
      <w:r w:rsidRPr="007335CE">
        <w:rPr>
          <w:lang w:val="fr-FR"/>
        </w:rPr>
        <w:t>Comité TMD à sa prochaine session, étant entendu qu</w:t>
      </w:r>
      <w:r w:rsidR="009657CE">
        <w:rPr>
          <w:lang w:val="fr-FR"/>
        </w:rPr>
        <w:t>’</w:t>
      </w:r>
      <w:r w:rsidRPr="007335CE">
        <w:rPr>
          <w:lang w:val="fr-FR"/>
        </w:rPr>
        <w:t xml:space="preserve">elle serait examinée par le Groupe de travail des explosifs. </w:t>
      </w:r>
      <w:r>
        <w:rPr>
          <w:lang w:val="fr-FR"/>
        </w:rPr>
        <w:t xml:space="preserve">Il </w:t>
      </w:r>
      <w:r w:rsidRPr="007335CE">
        <w:rPr>
          <w:lang w:val="fr-FR"/>
        </w:rPr>
        <w:t>a invité tous les experts intéressés à soumettre d</w:t>
      </w:r>
      <w:r w:rsidR="009657CE">
        <w:rPr>
          <w:lang w:val="fr-FR"/>
        </w:rPr>
        <w:t>’</w:t>
      </w:r>
      <w:r w:rsidRPr="007335CE">
        <w:rPr>
          <w:lang w:val="fr-FR"/>
        </w:rPr>
        <w:t xml:space="preserve">éventuelles nouvelles observations par écrit </w:t>
      </w:r>
      <w:r>
        <w:rPr>
          <w:lang w:val="fr-FR"/>
        </w:rPr>
        <w:t xml:space="preserve">à </w:t>
      </w:r>
      <w:r w:rsidRPr="008C5198">
        <w:rPr>
          <w:lang w:val="fr-FR"/>
        </w:rPr>
        <w:t>l</w:t>
      </w:r>
      <w:r w:rsidR="009657CE">
        <w:rPr>
          <w:lang w:val="fr-FR"/>
        </w:rPr>
        <w:t>’</w:t>
      </w:r>
      <w:r w:rsidRPr="008C5198">
        <w:rPr>
          <w:lang w:val="fr-FR"/>
        </w:rPr>
        <w:t>experte de l</w:t>
      </w:r>
      <w:r w:rsidR="009657CE">
        <w:rPr>
          <w:lang w:val="fr-FR"/>
        </w:rPr>
        <w:t>’</w:t>
      </w:r>
      <w:r w:rsidRPr="008C5198">
        <w:rPr>
          <w:lang w:val="fr-FR"/>
        </w:rPr>
        <w:t xml:space="preserve">Allemagne </w:t>
      </w:r>
      <w:r w:rsidRPr="007335CE">
        <w:rPr>
          <w:lang w:val="fr-FR"/>
        </w:rPr>
        <w:t>(Cordula Wilrich) et a demandé des précisions concernant la demande d</w:t>
      </w:r>
      <w:r w:rsidR="009657CE">
        <w:rPr>
          <w:lang w:val="fr-FR"/>
        </w:rPr>
        <w:t>’</w:t>
      </w:r>
      <w:r w:rsidRPr="007335CE">
        <w:rPr>
          <w:lang w:val="fr-FR"/>
        </w:rPr>
        <w:t xml:space="preserve">informations sur </w:t>
      </w:r>
      <w:r w:rsidRPr="009C6367">
        <w:rPr>
          <w:lang w:val="fr-FR"/>
        </w:rPr>
        <w:t>la communi</w:t>
      </w:r>
      <w:r>
        <w:rPr>
          <w:lang w:val="fr-FR"/>
        </w:rPr>
        <w:t>c</w:t>
      </w:r>
      <w:r w:rsidRPr="009C6367">
        <w:rPr>
          <w:lang w:val="fr-FR"/>
        </w:rPr>
        <w:t>a</w:t>
      </w:r>
      <w:r>
        <w:rPr>
          <w:lang w:val="fr-FR"/>
        </w:rPr>
        <w:t>tion d</w:t>
      </w:r>
      <w:r w:rsidRPr="009C6367">
        <w:rPr>
          <w:lang w:val="fr-FR"/>
        </w:rPr>
        <w:t xml:space="preserve">es résultats des tests </w:t>
      </w:r>
      <w:r>
        <w:rPr>
          <w:lang w:val="fr-FR"/>
        </w:rPr>
        <w:t xml:space="preserve">et </w:t>
      </w:r>
      <w:r w:rsidRPr="007335CE">
        <w:rPr>
          <w:lang w:val="fr-FR"/>
        </w:rPr>
        <w:t>les mélanges de nitrocellulose.</w:t>
      </w:r>
      <w:r>
        <w:rPr>
          <w:lang w:val="fr-FR"/>
        </w:rPr>
        <w:t xml:space="preserve"> </w:t>
      </w:r>
    </w:p>
    <w:p w14:paraId="493FFDB2" w14:textId="77777777" w:rsidR="00D05AE5" w:rsidRPr="007335CE" w:rsidRDefault="00D05AE5" w:rsidP="0095533C">
      <w:pPr>
        <w:pStyle w:val="H23G"/>
        <w:rPr>
          <w:lang w:val="fr-FR"/>
        </w:rPr>
      </w:pPr>
      <w:r>
        <w:rPr>
          <w:lang w:val="fr-FR"/>
        </w:rPr>
        <w:tab/>
      </w:r>
      <w:r w:rsidRPr="007335CE">
        <w:rPr>
          <w:lang w:val="fr-FR"/>
        </w:rPr>
        <w:t>2.</w:t>
      </w:r>
      <w:r w:rsidRPr="007335CE">
        <w:rPr>
          <w:lang w:val="fr-FR"/>
        </w:rPr>
        <w:tab/>
      </w:r>
      <w:r>
        <w:rPr>
          <w:lang w:val="fr-FR"/>
        </w:rPr>
        <w:t>R</w:t>
      </w:r>
      <w:r w:rsidRPr="007335CE">
        <w:rPr>
          <w:lang w:val="fr-FR"/>
        </w:rPr>
        <w:t>ectificatif à la neuvième édition révisée du SGH</w:t>
      </w:r>
    </w:p>
    <w:p w14:paraId="36F46CBB" w14:textId="4C9DD2F6" w:rsidR="00D05AE5" w:rsidRPr="007335C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sidRPr="007335CE">
        <w:rPr>
          <w:lang w:val="fr-FR"/>
        </w:rPr>
        <w:tab/>
        <w:t>INF.3 (secrétariat)</w:t>
      </w:r>
    </w:p>
    <w:p w14:paraId="59FC1E52" w14:textId="4565C8AD" w:rsidR="00D05AE5" w:rsidRPr="007335CE" w:rsidRDefault="00D05AE5" w:rsidP="008914BD">
      <w:pPr>
        <w:pStyle w:val="SingleTxtG"/>
        <w:rPr>
          <w:lang w:val="fr-FR"/>
        </w:rPr>
      </w:pPr>
      <w:r>
        <w:rPr>
          <w:lang w:val="fr-FR"/>
        </w:rPr>
        <w:t>3</w:t>
      </w:r>
      <w:r w:rsidRPr="007335CE">
        <w:rPr>
          <w:lang w:val="fr-FR"/>
        </w:rPr>
        <w:t>2.</w:t>
      </w:r>
      <w:r w:rsidRPr="007335CE">
        <w:rPr>
          <w:lang w:val="fr-FR"/>
        </w:rPr>
        <w:tab/>
        <w:t xml:space="preserve">Le Sous-Comité a adopté les corrections figurant dans le document informel INF.3 (voir annexe). </w:t>
      </w:r>
      <w:r>
        <w:rPr>
          <w:lang w:val="fr-FR"/>
        </w:rPr>
        <w:t>Toutefois, i</w:t>
      </w:r>
      <w:r w:rsidRPr="007335CE">
        <w:rPr>
          <w:lang w:val="fr-FR"/>
        </w:rPr>
        <w:t>l a été souligné qu</w:t>
      </w:r>
      <w:r w:rsidR="009657CE">
        <w:rPr>
          <w:lang w:val="fr-FR"/>
        </w:rPr>
        <w:t>’</w:t>
      </w:r>
      <w:r w:rsidRPr="007335CE">
        <w:rPr>
          <w:lang w:val="fr-FR"/>
        </w:rPr>
        <w:t>il pourrait être nécessaire d</w:t>
      </w:r>
      <w:r w:rsidR="009657CE">
        <w:rPr>
          <w:lang w:val="fr-FR"/>
        </w:rPr>
        <w:t>’</w:t>
      </w:r>
      <w:r w:rsidRPr="007335CE">
        <w:rPr>
          <w:lang w:val="fr-FR"/>
        </w:rPr>
        <w:t>améliorer les orientations données dans la note</w:t>
      </w:r>
      <w:r>
        <w:rPr>
          <w:lang w:val="fr-FR"/>
        </w:rPr>
        <w:t> </w:t>
      </w:r>
      <w:r w:rsidRPr="007335CE">
        <w:rPr>
          <w:lang w:val="fr-FR"/>
        </w:rPr>
        <w:t>3 du paragraphe</w:t>
      </w:r>
      <w:r>
        <w:rPr>
          <w:lang w:val="fr-FR"/>
        </w:rPr>
        <w:t> </w:t>
      </w:r>
      <w:r w:rsidRPr="007335CE">
        <w:rPr>
          <w:lang w:val="fr-FR"/>
        </w:rPr>
        <w:t xml:space="preserve">2.1.2.1 </w:t>
      </w:r>
      <w:proofErr w:type="gramStart"/>
      <w:r w:rsidRPr="007335CE">
        <w:rPr>
          <w:lang w:val="fr-FR"/>
        </w:rPr>
        <w:t>adoptée</w:t>
      </w:r>
      <w:proofErr w:type="gramEnd"/>
      <w:r w:rsidRPr="007335CE">
        <w:rPr>
          <w:lang w:val="fr-FR"/>
        </w:rPr>
        <w:t xml:space="preserve"> au cours du dernier exercice biennal. Le Sous-Comité a invité les experts intéressés à envisager de soumettre une proposition dans ce sens. </w:t>
      </w:r>
    </w:p>
    <w:p w14:paraId="38240835" w14:textId="1297EE99" w:rsidR="00D05AE5" w:rsidRPr="005B6B9E" w:rsidRDefault="00D05AE5" w:rsidP="003C737D">
      <w:pPr>
        <w:pStyle w:val="HChG"/>
        <w:rPr>
          <w:lang w:val="fr-FR"/>
        </w:rPr>
      </w:pPr>
      <w:r>
        <w:rPr>
          <w:lang w:val="fr-FR"/>
        </w:rPr>
        <w:tab/>
        <w:t>IV</w:t>
      </w:r>
      <w:r w:rsidRPr="00E26262">
        <w:rPr>
          <w:lang w:val="fr-FR"/>
        </w:rPr>
        <w:t>.</w:t>
      </w:r>
      <w:r>
        <w:rPr>
          <w:lang w:val="fr-FR"/>
        </w:rPr>
        <w:tab/>
        <w:t>Application du SGH (point 3 de l</w:t>
      </w:r>
      <w:r w:rsidR="009657CE">
        <w:rPr>
          <w:lang w:val="fr-FR"/>
        </w:rPr>
        <w:t>’</w:t>
      </w:r>
      <w:r>
        <w:rPr>
          <w:lang w:val="fr-FR"/>
        </w:rPr>
        <w:t>ordre du jour)</w:t>
      </w:r>
    </w:p>
    <w:p w14:paraId="595B999E" w14:textId="15AFFA17" w:rsidR="00D05AE5" w:rsidRPr="005B6B9E" w:rsidRDefault="00D05AE5" w:rsidP="003C737D">
      <w:pPr>
        <w:pStyle w:val="H1G"/>
        <w:rPr>
          <w:lang w:val="fr-FR"/>
        </w:rPr>
      </w:pPr>
      <w:r>
        <w:rPr>
          <w:lang w:val="fr-FR"/>
        </w:rPr>
        <w:tab/>
        <w:t>A</w:t>
      </w:r>
      <w:r w:rsidRPr="00E26262">
        <w:rPr>
          <w:lang w:val="fr-FR"/>
        </w:rPr>
        <w:t>.</w:t>
      </w:r>
      <w:r>
        <w:rPr>
          <w:lang w:val="fr-FR"/>
        </w:rPr>
        <w:tab/>
        <w:t>Élaboration éventuelle d</w:t>
      </w:r>
      <w:r w:rsidR="009657CE">
        <w:rPr>
          <w:lang w:val="fr-FR"/>
        </w:rPr>
        <w:t>’</w:t>
      </w:r>
      <w:r>
        <w:rPr>
          <w:lang w:val="fr-FR"/>
        </w:rPr>
        <w:t>une liste de produits chimiques classés conformément au SGH</w:t>
      </w:r>
    </w:p>
    <w:p w14:paraId="2A211D5D" w14:textId="37284117" w:rsidR="00D05AE5" w:rsidRPr="005B6B9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Pr>
          <w:lang w:val="fr-FR"/>
        </w:rPr>
        <w:tab/>
        <w:t>INF</w:t>
      </w:r>
      <w:r w:rsidRPr="00E26262">
        <w:rPr>
          <w:lang w:val="fr-FR"/>
        </w:rPr>
        <w:t>.</w:t>
      </w:r>
      <w:r>
        <w:rPr>
          <w:lang w:val="fr-FR"/>
        </w:rPr>
        <w:t>13 et INF</w:t>
      </w:r>
      <w:r w:rsidRPr="00E26262">
        <w:rPr>
          <w:lang w:val="fr-FR"/>
        </w:rPr>
        <w:t>.</w:t>
      </w:r>
      <w:r>
        <w:rPr>
          <w:lang w:val="fr-FR"/>
        </w:rPr>
        <w:t>13/Add</w:t>
      </w:r>
      <w:r w:rsidRPr="00E26262">
        <w:rPr>
          <w:lang w:val="fr-FR"/>
        </w:rPr>
        <w:t>.</w:t>
      </w:r>
      <w:r>
        <w:rPr>
          <w:lang w:val="fr-FR"/>
        </w:rPr>
        <w:t>1 (Canada et États-Unis d</w:t>
      </w:r>
      <w:r w:rsidR="009657CE">
        <w:rPr>
          <w:lang w:val="fr-FR"/>
        </w:rPr>
        <w:t>’</w:t>
      </w:r>
      <w:r>
        <w:rPr>
          <w:lang w:val="fr-FR"/>
        </w:rPr>
        <w:t>Amérique)</w:t>
      </w:r>
    </w:p>
    <w:p w14:paraId="53703FE4" w14:textId="0D121643" w:rsidR="00D05AE5" w:rsidRPr="005B6B9E" w:rsidRDefault="00D05AE5" w:rsidP="008914BD">
      <w:pPr>
        <w:pStyle w:val="SingleTxtG"/>
        <w:rPr>
          <w:lang w:val="fr-FR"/>
        </w:rPr>
      </w:pPr>
      <w:r>
        <w:rPr>
          <w:lang w:val="fr-FR"/>
        </w:rPr>
        <w:t>33</w:t>
      </w:r>
      <w:r w:rsidRPr="00E26262">
        <w:rPr>
          <w:lang w:val="fr-FR"/>
        </w:rPr>
        <w:t>.</w:t>
      </w:r>
      <w:r>
        <w:rPr>
          <w:lang w:val="fr-FR"/>
        </w:rPr>
        <w:tab/>
        <w:t>Les experts du Canada et des États-Unis d</w:t>
      </w:r>
      <w:r w:rsidR="009657CE">
        <w:rPr>
          <w:lang w:val="fr-FR"/>
        </w:rPr>
        <w:t>’</w:t>
      </w:r>
      <w:r>
        <w:rPr>
          <w:lang w:val="fr-FR"/>
        </w:rPr>
        <w:t>Amérique ont présenté les premiers résultats de l</w:t>
      </w:r>
      <w:r w:rsidR="009657CE">
        <w:rPr>
          <w:lang w:val="fr-FR"/>
        </w:rPr>
        <w:t>’</w:t>
      </w:r>
      <w:r>
        <w:rPr>
          <w:lang w:val="fr-FR"/>
        </w:rPr>
        <w:t>enquête sur la classification des produits chimiques conformément au SGH</w:t>
      </w:r>
      <w:r w:rsidRPr="00E26262">
        <w:rPr>
          <w:lang w:val="fr-FR"/>
        </w:rPr>
        <w:t>.</w:t>
      </w:r>
      <w:r>
        <w:rPr>
          <w:lang w:val="fr-FR"/>
        </w:rPr>
        <w:t xml:space="preserve"> Il</w:t>
      </w:r>
      <w:r w:rsidR="002E5B8C">
        <w:rPr>
          <w:lang w:val="fr-FR"/>
        </w:rPr>
        <w:t> </w:t>
      </w:r>
      <w:r>
        <w:rPr>
          <w:lang w:val="fr-FR"/>
        </w:rPr>
        <w:t>a été précisé que les réponses étaient toujours en cours d</w:t>
      </w:r>
      <w:r w:rsidR="009657CE">
        <w:rPr>
          <w:lang w:val="fr-FR"/>
        </w:rPr>
        <w:t>’</w:t>
      </w:r>
      <w:r>
        <w:rPr>
          <w:lang w:val="fr-FR"/>
        </w:rPr>
        <w:t>analyse et que les conclusions devaient être communiquées au Sous-Comité à sa quarante-deuxième session</w:t>
      </w:r>
      <w:r w:rsidRPr="00E26262">
        <w:rPr>
          <w:lang w:val="fr-FR"/>
        </w:rPr>
        <w:t>.</w:t>
      </w:r>
      <w:r>
        <w:rPr>
          <w:lang w:val="fr-FR"/>
        </w:rPr>
        <w:t xml:space="preserve"> Les experts ont été invités à examiner les questions du paragraphe 27 du document informel INF</w:t>
      </w:r>
      <w:r w:rsidRPr="00E26262">
        <w:rPr>
          <w:lang w:val="fr-FR"/>
        </w:rPr>
        <w:t>.</w:t>
      </w:r>
      <w:r>
        <w:rPr>
          <w:lang w:val="fr-FR"/>
        </w:rPr>
        <w:t>13 et à faire part de leurs réactions au groupe de travail informel dès que possible pour l</w:t>
      </w:r>
      <w:r w:rsidR="009657CE">
        <w:rPr>
          <w:lang w:val="fr-FR"/>
        </w:rPr>
        <w:t>’</w:t>
      </w:r>
      <w:r>
        <w:rPr>
          <w:lang w:val="fr-FR"/>
        </w:rPr>
        <w:t>aider à mieux évaluer et présenter les informations issues de l</w:t>
      </w:r>
      <w:r w:rsidR="009657CE">
        <w:rPr>
          <w:lang w:val="fr-FR"/>
        </w:rPr>
        <w:t>’</w:t>
      </w:r>
      <w:r>
        <w:rPr>
          <w:lang w:val="fr-FR"/>
        </w:rPr>
        <w:t>enquête</w:t>
      </w:r>
      <w:r w:rsidRPr="00E26262">
        <w:rPr>
          <w:lang w:val="fr-FR"/>
        </w:rPr>
        <w:t>.</w:t>
      </w:r>
      <w:r>
        <w:rPr>
          <w:lang w:val="fr-FR"/>
        </w:rPr>
        <w:t xml:space="preserve"> Il a été souligné que ces travaux seraient essentiels pour déterminer les prochaines étapes des activités du groupe de travail informel</w:t>
      </w:r>
      <w:r w:rsidRPr="00E26262">
        <w:rPr>
          <w:lang w:val="fr-FR"/>
        </w:rPr>
        <w:t>.</w:t>
      </w:r>
      <w:r>
        <w:rPr>
          <w:lang w:val="fr-FR"/>
        </w:rPr>
        <w:t xml:space="preserve"> </w:t>
      </w:r>
    </w:p>
    <w:p w14:paraId="144FF622" w14:textId="1DD76628" w:rsidR="00D05AE5" w:rsidRPr="005B6B9E" w:rsidRDefault="00D05AE5" w:rsidP="008914BD">
      <w:pPr>
        <w:pStyle w:val="SingleTxtG"/>
        <w:rPr>
          <w:lang w:val="fr-FR"/>
        </w:rPr>
      </w:pPr>
      <w:r>
        <w:rPr>
          <w:lang w:val="fr-FR"/>
        </w:rPr>
        <w:t>34</w:t>
      </w:r>
      <w:r w:rsidRPr="00E26262">
        <w:rPr>
          <w:lang w:val="fr-FR"/>
        </w:rPr>
        <w:t>.</w:t>
      </w:r>
      <w:r>
        <w:rPr>
          <w:lang w:val="fr-FR"/>
        </w:rPr>
        <w:tab/>
        <w:t>L</w:t>
      </w:r>
      <w:r w:rsidR="009657CE">
        <w:rPr>
          <w:lang w:val="fr-FR"/>
        </w:rPr>
        <w:t>’</w:t>
      </w:r>
      <w:r>
        <w:rPr>
          <w:lang w:val="fr-FR"/>
        </w:rPr>
        <w:t>expert du Japon a informé le Sous-Comité de la disponibilité de la classification établie conformément au SGH (et des explications y relatives), qui concernait environ 3 200 substances</w:t>
      </w:r>
      <w:r w:rsidRPr="00023AFD">
        <w:rPr>
          <w:rStyle w:val="FootnoteReference"/>
        </w:rPr>
        <w:footnoteReference w:id="3"/>
      </w:r>
      <w:r w:rsidRPr="00E26262">
        <w:rPr>
          <w:lang w:val="fr-FR"/>
        </w:rPr>
        <w:t>.</w:t>
      </w:r>
      <w:r>
        <w:rPr>
          <w:lang w:val="fr-FR"/>
        </w:rPr>
        <w:t xml:space="preserve"> Les classifications n</w:t>
      </w:r>
      <w:r w:rsidR="009657CE">
        <w:rPr>
          <w:lang w:val="fr-FR"/>
        </w:rPr>
        <w:t>’</w:t>
      </w:r>
      <w:r>
        <w:rPr>
          <w:lang w:val="fr-FR"/>
        </w:rPr>
        <w:t>étaient pas obligatoires</w:t>
      </w:r>
      <w:r w:rsidRPr="00E26262">
        <w:rPr>
          <w:lang w:val="fr-FR"/>
        </w:rPr>
        <w:t>.</w:t>
      </w:r>
      <w:r>
        <w:rPr>
          <w:lang w:val="fr-FR"/>
        </w:rPr>
        <w:t xml:space="preserve"> Pour faciliter l</w:t>
      </w:r>
      <w:r w:rsidR="009657CE">
        <w:rPr>
          <w:lang w:val="fr-FR"/>
        </w:rPr>
        <w:t>’</w:t>
      </w:r>
      <w:r>
        <w:rPr>
          <w:lang w:val="fr-FR"/>
        </w:rPr>
        <w:t>obtention des toutes dernières informations sur les substances reclassées, l</w:t>
      </w:r>
      <w:r w:rsidR="009657CE">
        <w:rPr>
          <w:lang w:val="fr-FR"/>
        </w:rPr>
        <w:t>’</w:t>
      </w:r>
      <w:r>
        <w:rPr>
          <w:lang w:val="fr-FR"/>
        </w:rPr>
        <w:t>Institut national des techniques et de l</w:t>
      </w:r>
      <w:r w:rsidR="009657CE">
        <w:rPr>
          <w:lang w:val="fr-FR"/>
        </w:rPr>
        <w:t>’</w:t>
      </w:r>
      <w:r>
        <w:rPr>
          <w:lang w:val="fr-FR"/>
        </w:rPr>
        <w:t>évaluation était en train de préparer le texte en anglais de « one substance, one file integrated version », où ne figuraient que les derniers résultats du classement</w:t>
      </w:r>
      <w:r w:rsidRPr="00E26262">
        <w:rPr>
          <w:lang w:val="fr-FR"/>
        </w:rPr>
        <w:t>.</w:t>
      </w:r>
      <w:r>
        <w:rPr>
          <w:lang w:val="fr-FR"/>
        </w:rPr>
        <w:t xml:space="preserve"> </w:t>
      </w:r>
    </w:p>
    <w:p w14:paraId="5AA223D5" w14:textId="493A55A9" w:rsidR="00D05AE5" w:rsidRPr="005B6B9E" w:rsidRDefault="00D05AE5" w:rsidP="003C737D">
      <w:pPr>
        <w:pStyle w:val="H1G"/>
        <w:rPr>
          <w:lang w:val="fr-FR"/>
        </w:rPr>
      </w:pPr>
      <w:r>
        <w:rPr>
          <w:lang w:val="fr-FR"/>
        </w:rPr>
        <w:tab/>
        <w:t>B</w:t>
      </w:r>
      <w:r w:rsidRPr="00E26262">
        <w:rPr>
          <w:lang w:val="fr-FR"/>
        </w:rPr>
        <w:t>.</w:t>
      </w:r>
      <w:r>
        <w:rPr>
          <w:lang w:val="fr-FR"/>
        </w:rPr>
        <w:tab/>
        <w:t>Rapports sur l</w:t>
      </w:r>
      <w:r w:rsidR="009657CE">
        <w:rPr>
          <w:lang w:val="fr-FR"/>
        </w:rPr>
        <w:t>’</w:t>
      </w:r>
      <w:r>
        <w:rPr>
          <w:lang w:val="fr-FR"/>
        </w:rPr>
        <w:t>application du SGH</w:t>
      </w:r>
    </w:p>
    <w:p w14:paraId="19458609" w14:textId="1E101B62" w:rsidR="00D05AE5" w:rsidRPr="005B6B9E" w:rsidRDefault="00D05AE5" w:rsidP="0095533C">
      <w:pPr>
        <w:pStyle w:val="H23G"/>
        <w:rPr>
          <w:lang w:val="fr-FR"/>
        </w:rPr>
      </w:pPr>
      <w:r>
        <w:rPr>
          <w:lang w:val="fr-FR"/>
        </w:rPr>
        <w:tab/>
        <w:t>1</w:t>
      </w:r>
      <w:r w:rsidRPr="00E26262">
        <w:rPr>
          <w:lang w:val="fr-FR"/>
        </w:rPr>
        <w:t>.</w:t>
      </w:r>
      <w:r>
        <w:rPr>
          <w:lang w:val="fr-FR"/>
        </w:rPr>
        <w:tab/>
        <w:t>États-Unis d</w:t>
      </w:r>
      <w:r w:rsidR="009657CE">
        <w:rPr>
          <w:lang w:val="fr-FR"/>
        </w:rPr>
        <w:t>’</w:t>
      </w:r>
      <w:r>
        <w:rPr>
          <w:lang w:val="fr-FR"/>
        </w:rPr>
        <w:t>Amérique</w:t>
      </w:r>
    </w:p>
    <w:p w14:paraId="1B33D114" w14:textId="609DD7CF" w:rsidR="00D05AE5" w:rsidRPr="005B6B9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Pr>
          <w:lang w:val="fr-FR"/>
        </w:rPr>
        <w:tab/>
        <w:t>INF</w:t>
      </w:r>
      <w:r w:rsidRPr="00E26262">
        <w:rPr>
          <w:lang w:val="fr-FR"/>
        </w:rPr>
        <w:t>.</w:t>
      </w:r>
      <w:r>
        <w:rPr>
          <w:lang w:val="fr-FR"/>
        </w:rPr>
        <w:t>12 (États-Unis d</w:t>
      </w:r>
      <w:r w:rsidR="009657CE">
        <w:rPr>
          <w:lang w:val="fr-FR"/>
        </w:rPr>
        <w:t>’</w:t>
      </w:r>
      <w:r>
        <w:rPr>
          <w:lang w:val="fr-FR"/>
        </w:rPr>
        <w:t>Amérique)</w:t>
      </w:r>
    </w:p>
    <w:p w14:paraId="2DE89C85" w14:textId="7464013C" w:rsidR="00D05AE5" w:rsidRPr="005B6B9E" w:rsidRDefault="00D05AE5" w:rsidP="008914BD">
      <w:pPr>
        <w:pStyle w:val="SingleTxtG"/>
        <w:rPr>
          <w:lang w:val="fr-FR"/>
        </w:rPr>
      </w:pPr>
      <w:r>
        <w:rPr>
          <w:lang w:val="fr-FR"/>
        </w:rPr>
        <w:t>35</w:t>
      </w:r>
      <w:r w:rsidRPr="00E26262">
        <w:rPr>
          <w:lang w:val="fr-FR"/>
        </w:rPr>
        <w:t>.</w:t>
      </w:r>
      <w:r>
        <w:rPr>
          <w:lang w:val="fr-FR"/>
        </w:rPr>
        <w:tab/>
        <w:t>L</w:t>
      </w:r>
      <w:r w:rsidR="009657CE">
        <w:rPr>
          <w:lang w:val="fr-FR"/>
        </w:rPr>
        <w:t>’</w:t>
      </w:r>
      <w:r>
        <w:rPr>
          <w:lang w:val="fr-FR"/>
        </w:rPr>
        <w:t>expert des États-Unis d</w:t>
      </w:r>
      <w:r w:rsidR="009657CE">
        <w:rPr>
          <w:lang w:val="fr-FR"/>
        </w:rPr>
        <w:t>’</w:t>
      </w:r>
      <w:r>
        <w:rPr>
          <w:lang w:val="fr-FR"/>
        </w:rPr>
        <w:t>Amérique a informé le Sous-Comité des modifications apportées à sa norme relative à la communication des dangers, application du SGH pour le milieu de travail, depuis son adoption en 2012</w:t>
      </w:r>
      <w:r w:rsidRPr="00E26262">
        <w:rPr>
          <w:lang w:val="fr-FR"/>
        </w:rPr>
        <w:t>.</w:t>
      </w:r>
      <w:r>
        <w:rPr>
          <w:lang w:val="fr-FR"/>
        </w:rPr>
        <w:t xml:space="preserve"> La norme de 2012 s</w:t>
      </w:r>
      <w:r w:rsidR="009657CE">
        <w:rPr>
          <w:lang w:val="fr-FR"/>
        </w:rPr>
        <w:t>’</w:t>
      </w:r>
      <w:r>
        <w:rPr>
          <w:lang w:val="fr-FR"/>
        </w:rPr>
        <w:t>appuyait sur la troisième édition révisée du SGH</w:t>
      </w:r>
      <w:r w:rsidRPr="00E26262">
        <w:rPr>
          <w:lang w:val="fr-FR"/>
        </w:rPr>
        <w:t>.</w:t>
      </w:r>
      <w:r>
        <w:rPr>
          <w:lang w:val="fr-FR"/>
        </w:rPr>
        <w:t xml:space="preserve"> Une proposition de mise en conformité avec la septième édition révisée avait été soumise et faisait l</w:t>
      </w:r>
      <w:r w:rsidR="009657CE">
        <w:rPr>
          <w:lang w:val="fr-FR"/>
        </w:rPr>
        <w:t>’</w:t>
      </w:r>
      <w:r>
        <w:rPr>
          <w:lang w:val="fr-FR"/>
        </w:rPr>
        <w:t>objet d</w:t>
      </w:r>
      <w:r w:rsidR="009657CE">
        <w:rPr>
          <w:lang w:val="fr-FR"/>
        </w:rPr>
        <w:t>’</w:t>
      </w:r>
      <w:r>
        <w:rPr>
          <w:lang w:val="fr-FR"/>
        </w:rPr>
        <w:t>une consultation publique jusqu</w:t>
      </w:r>
      <w:r w:rsidR="009657CE">
        <w:rPr>
          <w:lang w:val="fr-FR"/>
        </w:rPr>
        <w:t>’</w:t>
      </w:r>
      <w:r>
        <w:rPr>
          <w:lang w:val="fr-FR"/>
        </w:rPr>
        <w:t>au 22</w:t>
      </w:r>
      <w:r w:rsidR="00F1553D">
        <w:rPr>
          <w:lang w:val="fr-FR"/>
        </w:rPr>
        <w:t> </w:t>
      </w:r>
      <w:r>
        <w:rPr>
          <w:lang w:val="fr-FR"/>
        </w:rPr>
        <w:t>décembre 2021</w:t>
      </w:r>
      <w:r w:rsidRPr="00E26262">
        <w:rPr>
          <w:lang w:val="fr-FR"/>
        </w:rPr>
        <w:t>.</w:t>
      </w:r>
      <w:r>
        <w:rPr>
          <w:lang w:val="fr-FR"/>
        </w:rPr>
        <w:t xml:space="preserve"> Il a été souligné que cette actualisation prévoyait également une éventuelle harmonisation de certaines dispositions avec des dispositions de la huitième édition révisée du SGH, à savoir les méthodes d</w:t>
      </w:r>
      <w:r w:rsidR="009657CE">
        <w:rPr>
          <w:lang w:val="fr-FR"/>
        </w:rPr>
        <w:t>’</w:t>
      </w:r>
      <w:r>
        <w:rPr>
          <w:lang w:val="fr-FR"/>
        </w:rPr>
        <w:t>expérimentation non animales pour la corrosion cutanée/irritation cutanée (chap. 3</w:t>
      </w:r>
      <w:r w:rsidRPr="00E26262">
        <w:rPr>
          <w:lang w:val="fr-FR"/>
        </w:rPr>
        <w:t>.</w:t>
      </w:r>
      <w:r>
        <w:rPr>
          <w:lang w:val="fr-FR"/>
        </w:rPr>
        <w:t>2), et de nouveaux critères de classification pour les aérosols, dont la nouvelle catégorie de danger des « produits chimiques sous pression », et des conseils de prudence actualisés</w:t>
      </w:r>
      <w:r w:rsidRPr="00E26262">
        <w:rPr>
          <w:lang w:val="fr-FR"/>
        </w:rPr>
        <w:t>.</w:t>
      </w:r>
      <w:r>
        <w:rPr>
          <w:lang w:val="fr-FR"/>
        </w:rPr>
        <w:t xml:space="preserve"> La version finale refléterait les observations faites en cours d</w:t>
      </w:r>
      <w:r w:rsidR="009657CE">
        <w:rPr>
          <w:lang w:val="fr-FR"/>
        </w:rPr>
        <w:t>’</w:t>
      </w:r>
      <w:r>
        <w:rPr>
          <w:lang w:val="fr-FR"/>
        </w:rPr>
        <w:t>élaboration</w:t>
      </w:r>
      <w:r w:rsidRPr="00E26262">
        <w:rPr>
          <w:lang w:val="fr-FR"/>
        </w:rPr>
        <w:t>.</w:t>
      </w:r>
      <w:r>
        <w:rPr>
          <w:lang w:val="fr-FR"/>
        </w:rPr>
        <w:t xml:space="preserve"> Une fois qu</w:t>
      </w:r>
      <w:r w:rsidR="009657CE">
        <w:rPr>
          <w:lang w:val="fr-FR"/>
        </w:rPr>
        <w:t>’</w:t>
      </w:r>
      <w:r>
        <w:rPr>
          <w:lang w:val="fr-FR"/>
        </w:rPr>
        <w:t>elle aurait été publiée, de nouvelles orientations seraient élaborées pour en faciliter l</w:t>
      </w:r>
      <w:r w:rsidR="009657CE">
        <w:rPr>
          <w:lang w:val="fr-FR"/>
        </w:rPr>
        <w:t>’</w:t>
      </w:r>
      <w:r>
        <w:rPr>
          <w:lang w:val="fr-FR"/>
        </w:rPr>
        <w:t>application</w:t>
      </w:r>
      <w:r w:rsidRPr="00E26262">
        <w:rPr>
          <w:lang w:val="fr-FR"/>
        </w:rPr>
        <w:t>.</w:t>
      </w:r>
      <w:r>
        <w:rPr>
          <w:lang w:val="fr-FR"/>
        </w:rPr>
        <w:t xml:space="preserve"> </w:t>
      </w:r>
    </w:p>
    <w:p w14:paraId="4FC97341" w14:textId="77777777" w:rsidR="00D05AE5" w:rsidRDefault="00D05AE5" w:rsidP="0095533C">
      <w:pPr>
        <w:pStyle w:val="H23G"/>
        <w:rPr>
          <w:lang w:val="fr-FR"/>
        </w:rPr>
      </w:pPr>
      <w:r>
        <w:rPr>
          <w:lang w:val="fr-FR"/>
        </w:rPr>
        <w:tab/>
        <w:t>2</w:t>
      </w:r>
      <w:r w:rsidRPr="00E26262">
        <w:rPr>
          <w:lang w:val="fr-FR"/>
        </w:rPr>
        <w:t>.</w:t>
      </w:r>
      <w:r>
        <w:rPr>
          <w:lang w:val="fr-FR"/>
        </w:rPr>
        <w:tab/>
        <w:t>Canada</w:t>
      </w:r>
    </w:p>
    <w:p w14:paraId="7E5775C0" w14:textId="3B2112EB" w:rsidR="00D05AE5" w:rsidRDefault="00D05AE5" w:rsidP="008914BD">
      <w:pPr>
        <w:pStyle w:val="SingleTxtG"/>
        <w:rPr>
          <w:lang w:val="fr-FR"/>
        </w:rPr>
      </w:pPr>
      <w:r>
        <w:rPr>
          <w:lang w:val="fr-FR"/>
        </w:rPr>
        <w:t>36.</w:t>
      </w:r>
      <w:r>
        <w:rPr>
          <w:lang w:val="fr-FR"/>
        </w:rPr>
        <w:tab/>
      </w:r>
      <w:r w:rsidRPr="00940DBC">
        <w:rPr>
          <w:lang w:val="fr-FR"/>
        </w:rPr>
        <w:t>L</w:t>
      </w:r>
      <w:r w:rsidR="009657CE">
        <w:rPr>
          <w:lang w:val="fr-FR"/>
        </w:rPr>
        <w:t>’</w:t>
      </w:r>
      <w:r w:rsidRPr="00940DBC">
        <w:rPr>
          <w:lang w:val="fr-FR"/>
        </w:rPr>
        <w:t xml:space="preserve">expert du Canada a informé le Sous-Comité que les amendements </w:t>
      </w:r>
      <w:r>
        <w:rPr>
          <w:lang w:val="fr-FR"/>
        </w:rPr>
        <w:t>qu</w:t>
      </w:r>
      <w:r w:rsidR="009657CE">
        <w:rPr>
          <w:lang w:val="fr-FR"/>
        </w:rPr>
        <w:t>’</w:t>
      </w:r>
      <w:r>
        <w:rPr>
          <w:lang w:val="fr-FR"/>
        </w:rPr>
        <w:t xml:space="preserve">il est </w:t>
      </w:r>
      <w:r w:rsidRPr="00940DBC">
        <w:rPr>
          <w:lang w:val="fr-FR"/>
        </w:rPr>
        <w:t>proposé</w:t>
      </w:r>
      <w:r>
        <w:rPr>
          <w:lang w:val="fr-FR"/>
        </w:rPr>
        <w:t xml:space="preserve"> d</w:t>
      </w:r>
      <w:r w:rsidR="009657CE">
        <w:rPr>
          <w:lang w:val="fr-FR"/>
        </w:rPr>
        <w:t>’</w:t>
      </w:r>
      <w:r>
        <w:rPr>
          <w:lang w:val="fr-FR"/>
        </w:rPr>
        <w:t>apporter</w:t>
      </w:r>
      <w:r w:rsidRPr="00940DBC">
        <w:rPr>
          <w:lang w:val="fr-FR"/>
        </w:rPr>
        <w:t xml:space="preserve"> au Règlement sur les produits dangereux, application </w:t>
      </w:r>
      <w:r>
        <w:rPr>
          <w:lang w:val="fr-FR"/>
        </w:rPr>
        <w:t xml:space="preserve">du </w:t>
      </w:r>
      <w:r w:rsidRPr="00940DBC">
        <w:rPr>
          <w:lang w:val="fr-FR"/>
        </w:rPr>
        <w:t>SGH pour le milieu de travail (actuellement fondé sur la cinquième version révisée du SGH), avaient été publiés en décembre 2020 et que l</w:t>
      </w:r>
      <w:r w:rsidR="009657CE">
        <w:rPr>
          <w:lang w:val="fr-FR"/>
        </w:rPr>
        <w:t>’</w:t>
      </w:r>
      <w:r w:rsidRPr="00940DBC">
        <w:rPr>
          <w:lang w:val="fr-FR"/>
        </w:rPr>
        <w:t xml:space="preserve">examen des observations des parties prenantes était </w:t>
      </w:r>
      <w:r>
        <w:rPr>
          <w:lang w:val="fr-FR"/>
        </w:rPr>
        <w:t xml:space="preserve">presque </w:t>
      </w:r>
      <w:r w:rsidRPr="00940DBC">
        <w:rPr>
          <w:lang w:val="fr-FR"/>
        </w:rPr>
        <w:t>mené à terme.</w:t>
      </w:r>
      <w:r>
        <w:rPr>
          <w:lang w:val="fr-FR"/>
        </w:rPr>
        <w:t xml:space="preserve"> </w:t>
      </w:r>
      <w:r w:rsidRPr="00500053">
        <w:rPr>
          <w:lang w:val="fr-FR"/>
        </w:rPr>
        <w:t>La mise à jour proposée</w:t>
      </w:r>
      <w:r w:rsidRPr="00023AFD">
        <w:rPr>
          <w:rStyle w:val="FootnoteReference"/>
        </w:rPr>
        <w:footnoteReference w:id="4"/>
      </w:r>
      <w:r w:rsidRPr="00500053">
        <w:rPr>
          <w:lang w:val="fr-FR"/>
        </w:rPr>
        <w:t xml:space="preserve"> intégr</w:t>
      </w:r>
      <w:r>
        <w:rPr>
          <w:lang w:val="fr-FR"/>
        </w:rPr>
        <w:t>ait</w:t>
      </w:r>
      <w:r w:rsidRPr="00500053">
        <w:rPr>
          <w:lang w:val="fr-FR"/>
        </w:rPr>
        <w:t xml:space="preserve"> les dispositions des sixième et septième versions révisées du SGH et vis</w:t>
      </w:r>
      <w:r>
        <w:rPr>
          <w:lang w:val="fr-FR"/>
        </w:rPr>
        <w:t>ait</w:t>
      </w:r>
      <w:r w:rsidRPr="00500053">
        <w:rPr>
          <w:lang w:val="fr-FR"/>
        </w:rPr>
        <w:t xml:space="preserve">, dans la mesure du possible, </w:t>
      </w:r>
      <w:r w:rsidRPr="00EA4329">
        <w:rPr>
          <w:lang w:val="fr-FR"/>
        </w:rPr>
        <w:t xml:space="preserve">à harmoniser </w:t>
      </w:r>
      <w:r w:rsidRPr="00500053">
        <w:rPr>
          <w:lang w:val="fr-FR"/>
        </w:rPr>
        <w:t>l</w:t>
      </w:r>
      <w:r w:rsidR="009657CE">
        <w:rPr>
          <w:lang w:val="fr-FR"/>
        </w:rPr>
        <w:t>’</w:t>
      </w:r>
      <w:r w:rsidRPr="00500053">
        <w:rPr>
          <w:lang w:val="fr-FR"/>
        </w:rPr>
        <w:t xml:space="preserve">application avec les dispositions </w:t>
      </w:r>
      <w:r>
        <w:rPr>
          <w:lang w:val="fr-FR"/>
        </w:rPr>
        <w:t xml:space="preserve">de la </w:t>
      </w:r>
      <w:r w:rsidRPr="00500053">
        <w:rPr>
          <w:lang w:val="fr-FR"/>
        </w:rPr>
        <w:t>norme relative à la communication des dangers de l</w:t>
      </w:r>
      <w:r w:rsidR="009657CE">
        <w:rPr>
          <w:lang w:val="fr-FR"/>
        </w:rPr>
        <w:t>’</w:t>
      </w:r>
      <w:r w:rsidRPr="00500053">
        <w:rPr>
          <w:lang w:val="fr-FR"/>
        </w:rPr>
        <w:t>Occupational Safety and Health Administration des États-Unis d</w:t>
      </w:r>
      <w:r w:rsidR="009657CE">
        <w:rPr>
          <w:lang w:val="fr-FR"/>
        </w:rPr>
        <w:t>’</w:t>
      </w:r>
      <w:r w:rsidRPr="00500053">
        <w:rPr>
          <w:lang w:val="fr-FR"/>
        </w:rPr>
        <w:t xml:space="preserve">Amérique, qui </w:t>
      </w:r>
      <w:r>
        <w:rPr>
          <w:lang w:val="fr-FR"/>
        </w:rPr>
        <w:t xml:space="preserve">était </w:t>
      </w:r>
      <w:r w:rsidRPr="00500053">
        <w:rPr>
          <w:lang w:val="fr-FR"/>
        </w:rPr>
        <w:t>également en cours de révision.</w:t>
      </w:r>
    </w:p>
    <w:p w14:paraId="7C4D5197" w14:textId="77777777" w:rsidR="00D05AE5" w:rsidRPr="005B6B9E" w:rsidRDefault="00D05AE5" w:rsidP="0095533C">
      <w:pPr>
        <w:pStyle w:val="H23G"/>
        <w:rPr>
          <w:lang w:val="fr-FR"/>
        </w:rPr>
      </w:pPr>
      <w:bookmarkStart w:id="3" w:name="_Hlk98433260"/>
      <w:r>
        <w:rPr>
          <w:lang w:val="fr-FR"/>
        </w:rPr>
        <w:tab/>
        <w:t>3.</w:t>
      </w:r>
      <w:r>
        <w:rPr>
          <w:lang w:val="fr-FR"/>
        </w:rPr>
        <w:tab/>
        <w:t>Zambie</w:t>
      </w:r>
    </w:p>
    <w:bookmarkEnd w:id="3"/>
    <w:p w14:paraId="3D3FFE06" w14:textId="087C9A23" w:rsidR="00D05AE5" w:rsidRDefault="00D05AE5" w:rsidP="008914BD">
      <w:pPr>
        <w:pStyle w:val="SingleTxtG"/>
        <w:rPr>
          <w:lang w:val="fr-FR"/>
        </w:rPr>
      </w:pPr>
      <w:r>
        <w:rPr>
          <w:lang w:val="fr-FR"/>
        </w:rPr>
        <w:t>37</w:t>
      </w:r>
      <w:r w:rsidRPr="00E26262">
        <w:rPr>
          <w:lang w:val="fr-FR"/>
        </w:rPr>
        <w:t>.</w:t>
      </w:r>
      <w:r>
        <w:rPr>
          <w:lang w:val="fr-FR"/>
        </w:rPr>
        <w:tab/>
        <w:t>L</w:t>
      </w:r>
      <w:r w:rsidR="009657CE">
        <w:rPr>
          <w:lang w:val="fr-FR"/>
        </w:rPr>
        <w:t>’</w:t>
      </w:r>
      <w:r>
        <w:rPr>
          <w:lang w:val="fr-FR"/>
        </w:rPr>
        <w:t>expert de la Zambie a expliqué que les normes nationales actualisées sur le SGH et le transport des marchandises dangereuses devaient être publiées en 2022</w:t>
      </w:r>
      <w:r w:rsidRPr="00E26262">
        <w:rPr>
          <w:lang w:val="fr-FR"/>
        </w:rPr>
        <w:t>.</w:t>
      </w:r>
    </w:p>
    <w:p w14:paraId="5B0102DF" w14:textId="28E673A5" w:rsidR="00D05AE5" w:rsidRDefault="00D05AE5" w:rsidP="0095533C">
      <w:pPr>
        <w:pStyle w:val="H23G"/>
        <w:rPr>
          <w:lang w:val="fr-FR"/>
        </w:rPr>
      </w:pPr>
      <w:r>
        <w:rPr>
          <w:lang w:val="fr-FR"/>
        </w:rPr>
        <w:tab/>
        <w:t>4.</w:t>
      </w:r>
      <w:r>
        <w:rPr>
          <w:lang w:val="fr-FR"/>
        </w:rPr>
        <w:tab/>
      </w:r>
      <w:r w:rsidRPr="005A7390">
        <w:rPr>
          <w:lang w:val="fr-FR"/>
        </w:rPr>
        <w:t>Stratégie de l</w:t>
      </w:r>
      <w:r w:rsidR="009657CE">
        <w:rPr>
          <w:lang w:val="fr-FR"/>
        </w:rPr>
        <w:t>’</w:t>
      </w:r>
      <w:r w:rsidRPr="005A7390">
        <w:rPr>
          <w:lang w:val="fr-FR"/>
        </w:rPr>
        <w:t>Union européenne en matière de produits chimiques</w:t>
      </w:r>
    </w:p>
    <w:p w14:paraId="50D804EB" w14:textId="604FB5E0" w:rsidR="00D05AE5" w:rsidRDefault="00D05AE5" w:rsidP="008914BD">
      <w:pPr>
        <w:pStyle w:val="SingleTxtG"/>
        <w:rPr>
          <w:lang w:val="fr-FR"/>
        </w:rPr>
      </w:pPr>
      <w:r w:rsidRPr="005A7390">
        <w:rPr>
          <w:lang w:val="fr-FR"/>
        </w:rPr>
        <w:t>3</w:t>
      </w:r>
      <w:r>
        <w:rPr>
          <w:lang w:val="fr-FR"/>
        </w:rPr>
        <w:t>8</w:t>
      </w:r>
      <w:r w:rsidRPr="005A7390">
        <w:rPr>
          <w:lang w:val="fr-FR"/>
        </w:rPr>
        <w:t>.</w:t>
      </w:r>
      <w:r w:rsidRPr="005A7390">
        <w:rPr>
          <w:lang w:val="fr-FR"/>
        </w:rPr>
        <w:tab/>
        <w:t>Le Sous-Comité a été informé des activités de la Commission européenne relatives à la mise en œuvre de la stratégie de l</w:t>
      </w:r>
      <w:r w:rsidR="009657CE">
        <w:rPr>
          <w:lang w:val="fr-FR"/>
        </w:rPr>
        <w:t>’</w:t>
      </w:r>
      <w:r w:rsidRPr="005A7390">
        <w:rPr>
          <w:lang w:val="fr-FR"/>
        </w:rPr>
        <w:t>Union européenne en matière de produits chimiques.</w:t>
      </w:r>
    </w:p>
    <w:p w14:paraId="6D012AB7" w14:textId="06E7AE34" w:rsidR="00F1553D" w:rsidRPr="00F1553D" w:rsidRDefault="00F1553D" w:rsidP="008914BD">
      <w:pPr>
        <w:pStyle w:val="SingleTxtG"/>
        <w:rPr>
          <w:lang w:val="fr-FR"/>
        </w:rPr>
      </w:pPr>
      <w:r w:rsidRPr="00F1553D">
        <w:rPr>
          <w:lang w:val="fr-FR"/>
        </w:rPr>
        <w:t>39.</w:t>
      </w:r>
      <w:r w:rsidRPr="00F1553D">
        <w:rPr>
          <w:lang w:val="fr-FR"/>
        </w:rPr>
        <w:tab/>
        <w:t>Il a été noté en particulier que de nouvelles classes de danger seraient établies au niveau de l’Union européenne. Les représentants du CEFIC, de l’AISE et de l’OICA ont indiqué que, selon eux, les nouvelles classes de danger devraient d’abord être établies au niveau du SGH afin de garantir une harmonisation au niveau mondial. Le représentant de l’Union européenne a indiqué qu’après adoption au niveau de l’Union européenne, une proposition serait soumise au Sous-Comité pour examen en vue d’obtenir son accord concernant le début des travaux sur ces classes de danger.</w:t>
      </w:r>
    </w:p>
    <w:p w14:paraId="7A52E647" w14:textId="2948B6C9" w:rsidR="00D05AE5" w:rsidRPr="005B6B9E" w:rsidRDefault="00D05AE5" w:rsidP="003C737D">
      <w:pPr>
        <w:pStyle w:val="H1G"/>
        <w:rPr>
          <w:lang w:val="fr-FR"/>
        </w:rPr>
      </w:pPr>
      <w:r>
        <w:rPr>
          <w:lang w:val="fr-FR"/>
        </w:rPr>
        <w:tab/>
        <w:t>C</w:t>
      </w:r>
      <w:r w:rsidRPr="00E26262">
        <w:rPr>
          <w:lang w:val="fr-FR"/>
        </w:rPr>
        <w:t>.</w:t>
      </w:r>
      <w:r>
        <w:rPr>
          <w:lang w:val="fr-FR"/>
        </w:rPr>
        <w:tab/>
        <w:t>Coopération avec d</w:t>
      </w:r>
      <w:r w:rsidR="009657CE">
        <w:rPr>
          <w:lang w:val="fr-FR"/>
        </w:rPr>
        <w:t>’</w:t>
      </w:r>
      <w:r>
        <w:rPr>
          <w:lang w:val="fr-FR"/>
        </w:rPr>
        <w:t>autres organes ou organisations internationales</w:t>
      </w:r>
    </w:p>
    <w:p w14:paraId="59593990" w14:textId="4C64A4EA" w:rsidR="00D05AE5" w:rsidRPr="005B6B9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Pr>
          <w:lang w:val="fr-FR"/>
        </w:rPr>
        <w:tab/>
        <w:t>INF</w:t>
      </w:r>
      <w:r w:rsidRPr="00E26262">
        <w:rPr>
          <w:lang w:val="fr-FR"/>
        </w:rPr>
        <w:t>.</w:t>
      </w:r>
      <w:r>
        <w:rPr>
          <w:lang w:val="fr-FR"/>
        </w:rPr>
        <w:t>9 (OMS)</w:t>
      </w:r>
    </w:p>
    <w:p w14:paraId="4F02283F" w14:textId="18F6D830" w:rsidR="00D05AE5" w:rsidRPr="005B6B9E" w:rsidRDefault="00D05AE5" w:rsidP="008914BD">
      <w:pPr>
        <w:pStyle w:val="SingleTxtG"/>
        <w:rPr>
          <w:lang w:val="fr-FR"/>
        </w:rPr>
      </w:pPr>
      <w:r>
        <w:rPr>
          <w:lang w:val="fr-FR"/>
        </w:rPr>
        <w:t>40</w:t>
      </w:r>
      <w:r w:rsidRPr="00E26262">
        <w:rPr>
          <w:lang w:val="fr-FR"/>
        </w:rPr>
        <w:t>.</w:t>
      </w:r>
      <w:r>
        <w:rPr>
          <w:lang w:val="fr-FR"/>
        </w:rPr>
        <w:tab/>
        <w:t>Les représentants de l</w:t>
      </w:r>
      <w:r w:rsidR="009657CE">
        <w:rPr>
          <w:lang w:val="fr-FR"/>
        </w:rPr>
        <w:t>’</w:t>
      </w:r>
      <w:r>
        <w:rPr>
          <w:lang w:val="fr-FR"/>
        </w:rPr>
        <w:t>OMS et de la FAO ont communiqué au Sous-Comité des informations récentes sur les publications de l</w:t>
      </w:r>
      <w:r w:rsidR="009657CE">
        <w:rPr>
          <w:lang w:val="fr-FR"/>
        </w:rPr>
        <w:t>’</w:t>
      </w:r>
      <w:r>
        <w:rPr>
          <w:lang w:val="fr-FR"/>
        </w:rPr>
        <w:t>OMS traitant de la classification et de l</w:t>
      </w:r>
      <w:r w:rsidR="009657CE">
        <w:rPr>
          <w:lang w:val="fr-FR"/>
        </w:rPr>
        <w:t>’</w:t>
      </w:r>
      <w:r>
        <w:rPr>
          <w:lang w:val="fr-FR"/>
        </w:rPr>
        <w:t>étiquetage conformément au SGH :</w:t>
      </w:r>
    </w:p>
    <w:p w14:paraId="20CED80C" w14:textId="1D784A54" w:rsidR="00D05AE5" w:rsidRPr="005B6B9E" w:rsidRDefault="00D05AE5" w:rsidP="003C737D">
      <w:pPr>
        <w:pStyle w:val="SingleTxtG"/>
        <w:ind w:firstLine="567"/>
        <w:rPr>
          <w:lang w:val="fr-FR"/>
        </w:rPr>
      </w:pPr>
      <w:r>
        <w:rPr>
          <w:lang w:val="fr-FR"/>
        </w:rPr>
        <w:t>a)</w:t>
      </w:r>
      <w:r>
        <w:rPr>
          <w:lang w:val="fr-FR"/>
        </w:rPr>
        <w:tab/>
        <w:t>Classification des pesticides en fonction des dangers qu</w:t>
      </w:r>
      <w:r w:rsidR="009657CE">
        <w:rPr>
          <w:lang w:val="fr-FR"/>
        </w:rPr>
        <w:t>’</w:t>
      </w:r>
      <w:r>
        <w:rPr>
          <w:lang w:val="fr-FR"/>
        </w:rPr>
        <w:t>ils présentent recommandée par l</w:t>
      </w:r>
      <w:r w:rsidR="009657CE">
        <w:rPr>
          <w:lang w:val="fr-FR"/>
        </w:rPr>
        <w:t>’</w:t>
      </w:r>
      <w:r>
        <w:rPr>
          <w:lang w:val="fr-FR"/>
        </w:rPr>
        <w:t>OMS</w:t>
      </w:r>
    </w:p>
    <w:p w14:paraId="3A431210" w14:textId="5C99884A" w:rsidR="00D05AE5" w:rsidRPr="005B6B9E" w:rsidRDefault="00D05AE5" w:rsidP="0095533C">
      <w:pPr>
        <w:pStyle w:val="SingleTxtG"/>
        <w:ind w:left="1701"/>
        <w:rPr>
          <w:lang w:val="fr-FR"/>
        </w:rPr>
      </w:pPr>
      <w:r>
        <w:rPr>
          <w:lang w:val="fr-FR"/>
        </w:rPr>
        <w:t>Depuis 2009, la classification recommandée par l</w:t>
      </w:r>
      <w:r w:rsidR="009657CE">
        <w:rPr>
          <w:lang w:val="fr-FR"/>
        </w:rPr>
        <w:t>’</w:t>
      </w:r>
      <w:r>
        <w:rPr>
          <w:lang w:val="fr-FR"/>
        </w:rPr>
        <w:t>OMS intègre les critères du SGH pour la toxicité aiguë à l</w:t>
      </w:r>
      <w:r w:rsidR="009657CE">
        <w:rPr>
          <w:lang w:val="fr-FR"/>
        </w:rPr>
        <w:t>’</w:t>
      </w:r>
      <w:r>
        <w:rPr>
          <w:lang w:val="fr-FR"/>
        </w:rPr>
        <w:t>ingestion et à l</w:t>
      </w:r>
      <w:r w:rsidR="009657CE">
        <w:rPr>
          <w:lang w:val="fr-FR"/>
        </w:rPr>
        <w:t>’</w:t>
      </w:r>
      <w:r>
        <w:rPr>
          <w:lang w:val="fr-FR"/>
        </w:rPr>
        <w:t>absorption cutanée</w:t>
      </w:r>
      <w:r w:rsidRPr="00E26262">
        <w:rPr>
          <w:lang w:val="fr-FR"/>
        </w:rPr>
        <w:t>.</w:t>
      </w:r>
      <w:r>
        <w:rPr>
          <w:lang w:val="fr-FR"/>
        </w:rPr>
        <w:t xml:space="preserve"> La disponibilité des classifications SGH devrait favoriser l</w:t>
      </w:r>
      <w:r w:rsidR="009657CE">
        <w:rPr>
          <w:lang w:val="fr-FR"/>
        </w:rPr>
        <w:t>’</w:t>
      </w:r>
      <w:r>
        <w:rPr>
          <w:lang w:val="fr-FR"/>
        </w:rPr>
        <w:t>application du Système général, notamment dans les pays qui s</w:t>
      </w:r>
      <w:r w:rsidR="009657CE">
        <w:rPr>
          <w:lang w:val="fr-FR"/>
        </w:rPr>
        <w:t>’</w:t>
      </w:r>
      <w:r>
        <w:rPr>
          <w:lang w:val="fr-FR"/>
        </w:rPr>
        <w:t>appuient sur le système de classification de l</w:t>
      </w:r>
      <w:r w:rsidR="009657CE">
        <w:rPr>
          <w:lang w:val="fr-FR"/>
        </w:rPr>
        <w:t>’</w:t>
      </w:r>
      <w:r>
        <w:rPr>
          <w:lang w:val="fr-FR"/>
        </w:rPr>
        <w:t>OMS pour la gestion des pesticides</w:t>
      </w:r>
      <w:r w:rsidRPr="00E26262">
        <w:rPr>
          <w:lang w:val="fr-FR"/>
        </w:rPr>
        <w:t>.</w:t>
      </w:r>
      <w:r>
        <w:rPr>
          <w:lang w:val="fr-FR"/>
        </w:rPr>
        <w:t xml:space="preserve"> </w:t>
      </w:r>
    </w:p>
    <w:p w14:paraId="3A18B127" w14:textId="3181FF56" w:rsidR="00D05AE5" w:rsidRPr="005B6B9E" w:rsidRDefault="00D05AE5" w:rsidP="0095533C">
      <w:pPr>
        <w:pStyle w:val="SingleTxtG"/>
        <w:ind w:left="1701"/>
        <w:rPr>
          <w:lang w:val="fr-FR"/>
        </w:rPr>
      </w:pPr>
      <w:r>
        <w:rPr>
          <w:lang w:val="fr-FR"/>
        </w:rPr>
        <w:t>La dernière révision de la classification recommandée par l</w:t>
      </w:r>
      <w:r w:rsidR="009657CE">
        <w:rPr>
          <w:lang w:val="fr-FR"/>
        </w:rPr>
        <w:t>’</w:t>
      </w:r>
      <w:r>
        <w:rPr>
          <w:lang w:val="fr-FR"/>
        </w:rPr>
        <w:t>OMS remontait à 2019</w:t>
      </w:r>
      <w:r w:rsidRPr="00E26262">
        <w:rPr>
          <w:lang w:val="fr-FR"/>
        </w:rPr>
        <w:t>.</w:t>
      </w:r>
      <w:r>
        <w:rPr>
          <w:lang w:val="fr-FR"/>
        </w:rPr>
        <w:t xml:space="preserve"> Elle comprend environ 100</w:t>
      </w:r>
      <w:r w:rsidR="00F1553D">
        <w:rPr>
          <w:lang w:val="fr-FR"/>
        </w:rPr>
        <w:t> </w:t>
      </w:r>
      <w:r>
        <w:rPr>
          <w:lang w:val="fr-FR"/>
        </w:rPr>
        <w:t>nouvelles rubriques de pesticides et classe environ 600</w:t>
      </w:r>
      <w:r w:rsidR="00F1553D">
        <w:rPr>
          <w:lang w:val="fr-FR"/>
        </w:rPr>
        <w:t> </w:t>
      </w:r>
      <w:r>
        <w:rPr>
          <w:lang w:val="fr-FR"/>
        </w:rPr>
        <w:t>composants actifs, et elle est disponible en plusieurs langues</w:t>
      </w:r>
      <w:r w:rsidRPr="00E26262">
        <w:rPr>
          <w:lang w:val="fr-FR"/>
        </w:rPr>
        <w:t>.</w:t>
      </w:r>
    </w:p>
    <w:p w14:paraId="6050E7A1" w14:textId="53279443" w:rsidR="00D05AE5" w:rsidRPr="005B6B9E" w:rsidRDefault="00D05AE5" w:rsidP="003C737D">
      <w:pPr>
        <w:pStyle w:val="SingleTxtG"/>
        <w:ind w:firstLine="567"/>
        <w:rPr>
          <w:lang w:val="fr-FR"/>
        </w:rPr>
      </w:pPr>
      <w:r>
        <w:rPr>
          <w:lang w:val="fr-FR"/>
        </w:rPr>
        <w:t>b)</w:t>
      </w:r>
      <w:r>
        <w:rPr>
          <w:lang w:val="fr-FR"/>
        </w:rPr>
        <w:tab/>
        <w:t>Directives FAO/OMS sur les bonnes pratiques en matière d</w:t>
      </w:r>
      <w:r w:rsidR="009657CE">
        <w:rPr>
          <w:lang w:val="fr-FR"/>
        </w:rPr>
        <w:t>’</w:t>
      </w:r>
      <w:r>
        <w:rPr>
          <w:lang w:val="fr-FR"/>
        </w:rPr>
        <w:t>étiquetage des pesticides</w:t>
      </w:r>
    </w:p>
    <w:p w14:paraId="1AD2E9C0" w14:textId="0843FAB7" w:rsidR="00D05AE5" w:rsidRPr="005B6B9E" w:rsidRDefault="00D05AE5" w:rsidP="0095533C">
      <w:pPr>
        <w:pStyle w:val="SingleTxtG"/>
        <w:ind w:left="1701"/>
        <w:rPr>
          <w:lang w:val="fr-FR"/>
        </w:rPr>
      </w:pPr>
      <w:r>
        <w:rPr>
          <w:lang w:val="fr-FR"/>
        </w:rPr>
        <w:t>La version 2021 de ces directives était sur le point d</w:t>
      </w:r>
      <w:r w:rsidR="009657CE">
        <w:rPr>
          <w:lang w:val="fr-FR"/>
        </w:rPr>
        <w:t>’</w:t>
      </w:r>
      <w:r>
        <w:rPr>
          <w:lang w:val="fr-FR"/>
        </w:rPr>
        <w:t>être publiée</w:t>
      </w:r>
      <w:r w:rsidRPr="00E26262">
        <w:rPr>
          <w:lang w:val="fr-FR"/>
        </w:rPr>
        <w:t>.</w:t>
      </w:r>
      <w:r>
        <w:rPr>
          <w:lang w:val="fr-FR"/>
        </w:rPr>
        <w:t xml:space="preserve"> Cette nouvelle édition recommande vivement de faire du SGH l</w:t>
      </w:r>
      <w:r w:rsidR="009657CE">
        <w:rPr>
          <w:lang w:val="fr-FR"/>
        </w:rPr>
        <w:t>’</w:t>
      </w:r>
      <w:r>
        <w:rPr>
          <w:lang w:val="fr-FR"/>
        </w:rPr>
        <w:t>unique modèle de classification pour l</w:t>
      </w:r>
      <w:r w:rsidR="009657CE">
        <w:rPr>
          <w:lang w:val="fr-FR"/>
        </w:rPr>
        <w:t>’</w:t>
      </w:r>
      <w:r>
        <w:rPr>
          <w:lang w:val="fr-FR"/>
        </w:rPr>
        <w:t>étiquetage des pesticides en ce qui concerne les dangers aigus et les dangers chroniques pour la santé (y compris les critères du SGH pour la cancérogénicité, la mutagénicité et la toxicité pour la reproduction)</w:t>
      </w:r>
      <w:r w:rsidRPr="00E26262">
        <w:rPr>
          <w:lang w:val="fr-FR"/>
        </w:rPr>
        <w:t>.</w:t>
      </w:r>
      <w:r>
        <w:rPr>
          <w:lang w:val="fr-FR"/>
        </w:rPr>
        <w:t xml:space="preserve"> Il a été souligné que l</w:t>
      </w:r>
      <w:r w:rsidR="009657CE">
        <w:rPr>
          <w:lang w:val="fr-FR"/>
        </w:rPr>
        <w:t>’</w:t>
      </w:r>
      <w:r>
        <w:rPr>
          <w:lang w:val="fr-FR"/>
        </w:rPr>
        <w:t xml:space="preserve">édition précédente des Directives </w:t>
      </w:r>
      <w:r w:rsidRPr="00932A57">
        <w:rPr>
          <w:lang w:val="fr-FR"/>
        </w:rPr>
        <w:t>prévoyait plusieurs options pour la toxicité aiguë, mais que l</w:t>
      </w:r>
      <w:r w:rsidR="009657CE">
        <w:rPr>
          <w:lang w:val="fr-FR"/>
        </w:rPr>
        <w:t>’</w:t>
      </w:r>
      <w:r w:rsidRPr="00932A57">
        <w:rPr>
          <w:lang w:val="fr-FR"/>
        </w:rPr>
        <w:t>accent était désormais mis uniquement sur le SGH.</w:t>
      </w:r>
    </w:p>
    <w:p w14:paraId="285E318F" w14:textId="4F6DCB8A" w:rsidR="00D05AE5" w:rsidRPr="005B6B9E" w:rsidRDefault="00D05AE5" w:rsidP="003C737D">
      <w:pPr>
        <w:pStyle w:val="SingleTxtG"/>
        <w:ind w:firstLine="567"/>
        <w:rPr>
          <w:lang w:val="fr-FR"/>
        </w:rPr>
      </w:pPr>
      <w:r>
        <w:rPr>
          <w:lang w:val="fr-FR"/>
        </w:rPr>
        <w:t>c)</w:t>
      </w:r>
      <w:r>
        <w:rPr>
          <w:lang w:val="fr-FR"/>
        </w:rPr>
        <w:tab/>
        <w:t>Fiches internationales sur la sécurité chimique</w:t>
      </w:r>
    </w:p>
    <w:p w14:paraId="40A00760" w14:textId="0F461762" w:rsidR="00D05AE5" w:rsidRPr="005B6B9E" w:rsidRDefault="00D05AE5" w:rsidP="0095533C">
      <w:pPr>
        <w:pStyle w:val="SingleTxtG"/>
        <w:ind w:left="1701"/>
        <w:rPr>
          <w:lang w:val="fr-FR"/>
        </w:rPr>
      </w:pPr>
      <w:r>
        <w:rPr>
          <w:lang w:val="fr-FR"/>
        </w:rPr>
        <w:t>Des fiches sur environ 1</w:t>
      </w:r>
      <w:r w:rsidR="00A55F8F">
        <w:rPr>
          <w:lang w:val="fr-FR"/>
        </w:rPr>
        <w:t> </w:t>
      </w:r>
      <w:r>
        <w:rPr>
          <w:lang w:val="fr-FR"/>
        </w:rPr>
        <w:t>700</w:t>
      </w:r>
      <w:r w:rsidR="00A55F8F">
        <w:rPr>
          <w:lang w:val="fr-FR"/>
        </w:rPr>
        <w:t> </w:t>
      </w:r>
      <w:r>
        <w:rPr>
          <w:lang w:val="fr-FR"/>
        </w:rPr>
        <w:t>produits chimiques sont disponibles gratuitement en plusieurs langues</w:t>
      </w:r>
      <w:r w:rsidRPr="00E26262">
        <w:rPr>
          <w:lang w:val="fr-FR"/>
        </w:rPr>
        <w:t>.</w:t>
      </w:r>
      <w:r>
        <w:rPr>
          <w:lang w:val="fr-FR"/>
        </w:rPr>
        <w:t xml:space="preserve"> Environ 674 d</w:t>
      </w:r>
      <w:r w:rsidR="009657CE">
        <w:rPr>
          <w:lang w:val="fr-FR"/>
        </w:rPr>
        <w:t>’</w:t>
      </w:r>
      <w:r>
        <w:rPr>
          <w:lang w:val="fr-FR"/>
        </w:rPr>
        <w:t>entre elles ont été révisées depuis 2006 pour tenir compte des critères de classification et d</w:t>
      </w:r>
      <w:r w:rsidR="009657CE">
        <w:rPr>
          <w:lang w:val="fr-FR"/>
        </w:rPr>
        <w:t>’</w:t>
      </w:r>
      <w:r>
        <w:rPr>
          <w:lang w:val="fr-FR"/>
        </w:rPr>
        <w:t>étiquetage du SGH</w:t>
      </w:r>
      <w:r w:rsidRPr="00E26262">
        <w:rPr>
          <w:lang w:val="fr-FR"/>
        </w:rPr>
        <w:t>.</w:t>
      </w:r>
      <w:r>
        <w:rPr>
          <w:lang w:val="fr-FR"/>
        </w:rPr>
        <w:t xml:space="preserve"> </w:t>
      </w:r>
    </w:p>
    <w:p w14:paraId="5647D234" w14:textId="42265B0E" w:rsidR="00D05AE5" w:rsidRPr="005B6B9E" w:rsidRDefault="00D05AE5" w:rsidP="003C737D">
      <w:pPr>
        <w:pStyle w:val="SingleTxtG"/>
        <w:ind w:firstLine="567"/>
        <w:rPr>
          <w:lang w:val="fr-FR"/>
        </w:rPr>
      </w:pPr>
      <w:r>
        <w:rPr>
          <w:lang w:val="fr-FR"/>
        </w:rPr>
        <w:t>d)</w:t>
      </w:r>
      <w:r>
        <w:rPr>
          <w:lang w:val="fr-FR"/>
        </w:rPr>
        <w:tab/>
        <w:t>Nanomatériaux</w:t>
      </w:r>
    </w:p>
    <w:p w14:paraId="1C57F70D" w14:textId="31986DDB" w:rsidR="00D05AE5" w:rsidRPr="005B6B9E" w:rsidRDefault="00D05AE5" w:rsidP="0095533C">
      <w:pPr>
        <w:pStyle w:val="SingleTxtG"/>
        <w:ind w:left="1701"/>
        <w:rPr>
          <w:lang w:val="fr-FR"/>
        </w:rPr>
      </w:pPr>
      <w:r>
        <w:rPr>
          <w:lang w:val="fr-FR"/>
        </w:rPr>
        <w:t>Un classement pilote des nanoformes de trois produits chimiques sélectionnés conformément au SGH a été effectué en 2019 dans le cadre du projet consacré aux f</w:t>
      </w:r>
      <w:r w:rsidRPr="004060E5">
        <w:rPr>
          <w:lang w:val="fr-FR"/>
        </w:rPr>
        <w:t>iches internationales sur la sécurité chimique</w:t>
      </w:r>
      <w:r w:rsidRPr="00E26262">
        <w:rPr>
          <w:lang w:val="fr-FR"/>
        </w:rPr>
        <w:t>.</w:t>
      </w:r>
      <w:r>
        <w:rPr>
          <w:lang w:val="fr-FR"/>
        </w:rPr>
        <w:t xml:space="preserve"> La publication de fiches pour « Dioxyde de titane (nanoforme) P25 » et « Oxyde de zinc (nanoforme) » en a résulté</w:t>
      </w:r>
      <w:r w:rsidRPr="00E26262">
        <w:rPr>
          <w:lang w:val="fr-FR"/>
        </w:rPr>
        <w:t>.</w:t>
      </w:r>
      <w:r>
        <w:rPr>
          <w:lang w:val="fr-FR"/>
        </w:rPr>
        <w:t xml:space="preserve"> Les données pour la classification de l</w:t>
      </w:r>
      <w:r w:rsidR="009657CE">
        <w:rPr>
          <w:lang w:val="fr-FR"/>
        </w:rPr>
        <w:t>’</w:t>
      </w:r>
      <w:r>
        <w:rPr>
          <w:lang w:val="fr-FR"/>
        </w:rPr>
        <w:t>argent (nanoforme) ayant été jugées insuffisantes, il n</w:t>
      </w:r>
      <w:r w:rsidR="009657CE">
        <w:rPr>
          <w:lang w:val="fr-FR"/>
        </w:rPr>
        <w:t>’</w:t>
      </w:r>
      <w:r>
        <w:rPr>
          <w:lang w:val="fr-FR"/>
        </w:rPr>
        <w:t>a pas été possible de publier de fiche pour la nanoforme</w:t>
      </w:r>
      <w:r w:rsidRPr="00E26262">
        <w:rPr>
          <w:lang w:val="fr-FR"/>
        </w:rPr>
        <w:t>.</w:t>
      </w:r>
    </w:p>
    <w:p w14:paraId="75AD5F3F" w14:textId="304308DE" w:rsidR="00D05AE5" w:rsidRPr="005B6B9E" w:rsidRDefault="00D05AE5" w:rsidP="008914BD">
      <w:pPr>
        <w:pStyle w:val="SingleTxtG"/>
        <w:rPr>
          <w:lang w:val="fr-FR"/>
        </w:rPr>
      </w:pPr>
      <w:r>
        <w:rPr>
          <w:lang w:val="fr-FR"/>
        </w:rPr>
        <w:t>41</w:t>
      </w:r>
      <w:r w:rsidRPr="00E26262">
        <w:rPr>
          <w:lang w:val="fr-FR"/>
        </w:rPr>
        <w:t>.</w:t>
      </w:r>
      <w:r>
        <w:rPr>
          <w:lang w:val="fr-FR"/>
        </w:rPr>
        <w:tab/>
        <w:t>Au chapitre de l</w:t>
      </w:r>
      <w:r w:rsidR="009657CE">
        <w:rPr>
          <w:lang w:val="fr-FR"/>
        </w:rPr>
        <w:t>’</w:t>
      </w:r>
      <w:r>
        <w:rPr>
          <w:lang w:val="fr-FR"/>
        </w:rPr>
        <w:t>actualité récente relative aux pesticides très dangereux, la représentante de la FAO a annoncé l</w:t>
      </w:r>
      <w:r w:rsidR="009657CE">
        <w:rPr>
          <w:lang w:val="fr-FR"/>
        </w:rPr>
        <w:t>’</w:t>
      </w:r>
      <w:r>
        <w:rPr>
          <w:lang w:val="fr-FR"/>
        </w:rPr>
        <w:t>élaboration, par la FAO, l</w:t>
      </w:r>
      <w:r w:rsidR="009657CE">
        <w:rPr>
          <w:lang w:val="fr-FR"/>
        </w:rPr>
        <w:t>’</w:t>
      </w:r>
      <w:r>
        <w:rPr>
          <w:lang w:val="fr-FR"/>
        </w:rPr>
        <w:t>OMS et l</w:t>
      </w:r>
      <w:r w:rsidR="009657CE">
        <w:rPr>
          <w:lang w:val="fr-FR"/>
        </w:rPr>
        <w:t>’</w:t>
      </w:r>
      <w:r>
        <w:rPr>
          <w:lang w:val="fr-FR"/>
        </w:rPr>
        <w:t>OIT, d</w:t>
      </w:r>
      <w:r w:rsidR="009657CE">
        <w:rPr>
          <w:lang w:val="fr-FR"/>
        </w:rPr>
        <w:t>’</w:t>
      </w:r>
      <w:r>
        <w:rPr>
          <w:lang w:val="fr-FR"/>
        </w:rPr>
        <w:t>un projet de plan d</w:t>
      </w:r>
      <w:r w:rsidR="009657CE">
        <w:rPr>
          <w:lang w:val="fr-FR"/>
        </w:rPr>
        <w:t>’</w:t>
      </w:r>
      <w:r>
        <w:rPr>
          <w:lang w:val="fr-FR"/>
        </w:rPr>
        <w:t>action visant à éliminer les dommages causés par ces produits dans l</w:t>
      </w:r>
      <w:r w:rsidR="009657CE">
        <w:rPr>
          <w:lang w:val="fr-FR"/>
        </w:rPr>
        <w:t>’</w:t>
      </w:r>
      <w:r>
        <w:rPr>
          <w:lang w:val="fr-FR"/>
        </w:rPr>
        <w:t>agriculture d</w:t>
      </w:r>
      <w:r w:rsidR="009657CE">
        <w:rPr>
          <w:lang w:val="fr-FR"/>
        </w:rPr>
        <w:t>’</w:t>
      </w:r>
      <w:r>
        <w:rPr>
          <w:lang w:val="fr-FR"/>
        </w:rPr>
        <w:t>ici à 2030</w:t>
      </w:r>
      <w:r w:rsidRPr="00E26262">
        <w:rPr>
          <w:lang w:val="fr-FR"/>
        </w:rPr>
        <w:t>.</w:t>
      </w:r>
      <w:r>
        <w:rPr>
          <w:lang w:val="fr-FR"/>
        </w:rPr>
        <w:t xml:space="preserve"> </w:t>
      </w:r>
      <w:r w:rsidRPr="004E21AB">
        <w:rPr>
          <w:lang w:val="fr-FR"/>
        </w:rPr>
        <w:t>Il a été relevé que trois des huit critères utilisés par la FAO et l</w:t>
      </w:r>
      <w:r w:rsidR="009657CE">
        <w:rPr>
          <w:lang w:val="fr-FR"/>
        </w:rPr>
        <w:t>’</w:t>
      </w:r>
      <w:r w:rsidRPr="004E21AB">
        <w:rPr>
          <w:lang w:val="fr-FR"/>
        </w:rPr>
        <w:t xml:space="preserve">OMS pour définir </w:t>
      </w:r>
      <w:r>
        <w:rPr>
          <w:lang w:val="fr-FR"/>
        </w:rPr>
        <w:t>l</w:t>
      </w:r>
      <w:r w:rsidRPr="004E21AB">
        <w:rPr>
          <w:lang w:val="fr-FR"/>
        </w:rPr>
        <w:t xml:space="preserve">es pesticides très dangereux étaient directement liés au SGH. </w:t>
      </w:r>
      <w:r>
        <w:rPr>
          <w:lang w:val="fr-FR"/>
        </w:rPr>
        <w:t>Ce plan était actuellement examiné par les autorités gouvernementales, dont les observations étaient attendues pour la mi-janvier 2022</w:t>
      </w:r>
      <w:r w:rsidRPr="00E26262">
        <w:rPr>
          <w:lang w:val="fr-FR"/>
        </w:rPr>
        <w:t>.</w:t>
      </w:r>
      <w:r>
        <w:rPr>
          <w:lang w:val="fr-FR"/>
        </w:rPr>
        <w:t xml:space="preserve"> Les experts souhaitant un supplément d</w:t>
      </w:r>
      <w:r w:rsidR="009657CE">
        <w:rPr>
          <w:lang w:val="fr-FR"/>
        </w:rPr>
        <w:t>’</w:t>
      </w:r>
      <w:r>
        <w:rPr>
          <w:lang w:val="fr-FR"/>
        </w:rPr>
        <w:t>informations à ce sujet ont été invités à contacter la représentante de la FAO</w:t>
      </w:r>
      <w:r w:rsidRPr="00E26262">
        <w:rPr>
          <w:lang w:val="fr-FR"/>
        </w:rPr>
        <w:t>.</w:t>
      </w:r>
      <w:r>
        <w:rPr>
          <w:lang w:val="fr-FR"/>
        </w:rPr>
        <w:t xml:space="preserve"> Cette dernière a également annoncé que la FAO et l</w:t>
      </w:r>
      <w:r w:rsidR="009657CE">
        <w:rPr>
          <w:lang w:val="fr-FR"/>
        </w:rPr>
        <w:t>’</w:t>
      </w:r>
      <w:r>
        <w:rPr>
          <w:lang w:val="fr-FR"/>
        </w:rPr>
        <w:t>UNITAR étaient en train de réfléchir à la manière d</w:t>
      </w:r>
      <w:r w:rsidR="009657CE">
        <w:rPr>
          <w:lang w:val="fr-FR"/>
        </w:rPr>
        <w:t>’</w:t>
      </w:r>
      <w:r>
        <w:rPr>
          <w:lang w:val="fr-FR"/>
        </w:rPr>
        <w:t>impliquer davantage le secteur agricole dans l</w:t>
      </w:r>
      <w:r w:rsidR="009657CE">
        <w:rPr>
          <w:lang w:val="fr-FR"/>
        </w:rPr>
        <w:t>’</w:t>
      </w:r>
      <w:r>
        <w:rPr>
          <w:lang w:val="fr-FR"/>
        </w:rPr>
        <w:t>application du SGH</w:t>
      </w:r>
      <w:r w:rsidRPr="00E26262">
        <w:rPr>
          <w:lang w:val="fr-FR"/>
        </w:rPr>
        <w:t>.</w:t>
      </w:r>
      <w:r>
        <w:rPr>
          <w:lang w:val="fr-FR"/>
        </w:rPr>
        <w:t xml:space="preserve"> </w:t>
      </w:r>
    </w:p>
    <w:p w14:paraId="172BF691" w14:textId="213A6C34" w:rsidR="00D05AE5" w:rsidRPr="005B6B9E" w:rsidRDefault="00D05AE5" w:rsidP="003C737D">
      <w:pPr>
        <w:pStyle w:val="H1G"/>
        <w:rPr>
          <w:lang w:val="fr-FR"/>
        </w:rPr>
      </w:pPr>
      <w:r>
        <w:rPr>
          <w:lang w:val="fr-FR"/>
        </w:rPr>
        <w:tab/>
        <w:t>D</w:t>
      </w:r>
      <w:r w:rsidRPr="00E26262">
        <w:rPr>
          <w:lang w:val="fr-FR"/>
        </w:rPr>
        <w:t>.</w:t>
      </w:r>
      <w:r>
        <w:rPr>
          <w:lang w:val="fr-FR"/>
        </w:rPr>
        <w:tab/>
        <w:t>Autres questions</w:t>
      </w:r>
    </w:p>
    <w:p w14:paraId="0C9EC3C3" w14:textId="3AF18D72" w:rsidR="00D05AE5" w:rsidRPr="005B6B9E" w:rsidRDefault="00D05AE5" w:rsidP="0095533C">
      <w:pPr>
        <w:pStyle w:val="SingleTxtG"/>
        <w:tabs>
          <w:tab w:val="clear" w:pos="1701"/>
          <w:tab w:val="clear" w:pos="2268"/>
          <w:tab w:val="clear" w:pos="2835"/>
          <w:tab w:val="left" w:pos="3402"/>
        </w:tabs>
        <w:ind w:left="3402" w:hanging="2268"/>
        <w:rPr>
          <w:lang w:val="fr-FR"/>
        </w:rPr>
      </w:pPr>
      <w:r>
        <w:rPr>
          <w:i/>
          <w:iCs/>
          <w:lang w:val="fr-FR"/>
        </w:rPr>
        <w:t>Document(s) informel(s)</w:t>
      </w:r>
      <w:r w:rsidR="009657CE">
        <w:rPr>
          <w:i/>
          <w:iCs/>
          <w:lang w:val="fr-FR"/>
        </w:rPr>
        <w:t> </w:t>
      </w:r>
      <w:r>
        <w:rPr>
          <w:i/>
          <w:iCs/>
          <w:lang w:val="fr-FR"/>
        </w:rPr>
        <w:t>:</w:t>
      </w:r>
      <w:r>
        <w:rPr>
          <w:lang w:val="fr-FR"/>
        </w:rPr>
        <w:tab/>
        <w:t>INF</w:t>
      </w:r>
      <w:r w:rsidRPr="00E26262">
        <w:rPr>
          <w:lang w:val="fr-FR"/>
        </w:rPr>
        <w:t>.</w:t>
      </w:r>
      <w:r>
        <w:rPr>
          <w:lang w:val="fr-FR"/>
        </w:rPr>
        <w:t>4 (Suède)</w:t>
      </w:r>
    </w:p>
    <w:p w14:paraId="41C8D453" w14:textId="2EDF9366" w:rsidR="00D05AE5" w:rsidRPr="005B6B9E" w:rsidRDefault="00D05AE5" w:rsidP="008914BD">
      <w:pPr>
        <w:pStyle w:val="SingleTxtG"/>
        <w:rPr>
          <w:lang w:val="fr-FR"/>
        </w:rPr>
      </w:pPr>
      <w:r>
        <w:rPr>
          <w:lang w:val="fr-FR"/>
        </w:rPr>
        <w:t>42</w:t>
      </w:r>
      <w:r w:rsidRPr="00E26262">
        <w:rPr>
          <w:lang w:val="fr-FR"/>
        </w:rPr>
        <w:t>.</w:t>
      </w:r>
      <w:r>
        <w:rPr>
          <w:lang w:val="fr-FR"/>
        </w:rPr>
        <w:tab/>
        <w:t>Le Sous-Comité a pris note des informations communiquées sur les activités visant à faciliter l</w:t>
      </w:r>
      <w:r w:rsidR="009657CE">
        <w:rPr>
          <w:lang w:val="fr-FR"/>
        </w:rPr>
        <w:t>’</w:t>
      </w:r>
      <w:r>
        <w:rPr>
          <w:lang w:val="fr-FR"/>
        </w:rPr>
        <w:t>application du SGH dans les pays tiers menées par l</w:t>
      </w:r>
      <w:r w:rsidR="009657CE">
        <w:rPr>
          <w:lang w:val="fr-FR"/>
        </w:rPr>
        <w:t>’</w:t>
      </w:r>
      <w:r>
        <w:rPr>
          <w:lang w:val="fr-FR"/>
        </w:rPr>
        <w:t>Agence suédoise des produits chimiques dans le cadre de projets de coopération pour le développement</w:t>
      </w:r>
      <w:r w:rsidRPr="00E26262">
        <w:rPr>
          <w:lang w:val="fr-FR"/>
        </w:rPr>
        <w:t>.</w:t>
      </w:r>
    </w:p>
    <w:p w14:paraId="50864EBD" w14:textId="1D7C6541" w:rsidR="00D05AE5" w:rsidRPr="005B6B9E" w:rsidRDefault="00D05AE5" w:rsidP="008914BD">
      <w:pPr>
        <w:pStyle w:val="SingleTxtG"/>
        <w:rPr>
          <w:lang w:val="fr-FR"/>
        </w:rPr>
      </w:pPr>
      <w:r>
        <w:rPr>
          <w:lang w:val="fr-FR"/>
        </w:rPr>
        <w:t>43</w:t>
      </w:r>
      <w:r w:rsidRPr="00E26262">
        <w:rPr>
          <w:lang w:val="fr-FR"/>
        </w:rPr>
        <w:t>.</w:t>
      </w:r>
      <w:r>
        <w:rPr>
          <w:lang w:val="fr-FR"/>
        </w:rPr>
        <w:tab/>
        <w:t>Les participants ont dans l</w:t>
      </w:r>
      <w:r w:rsidR="009657CE">
        <w:rPr>
          <w:lang w:val="fr-FR"/>
        </w:rPr>
        <w:t>’</w:t>
      </w:r>
      <w:r>
        <w:rPr>
          <w:lang w:val="fr-FR"/>
        </w:rPr>
        <w:t>ensemble appuyé la proposition visant à examiner comment le Sous-Comité pouvait soutenir, promouvoir et surveiller davantage l</w:t>
      </w:r>
      <w:r w:rsidR="009657CE">
        <w:rPr>
          <w:lang w:val="fr-FR"/>
        </w:rPr>
        <w:t>’</w:t>
      </w:r>
      <w:r>
        <w:rPr>
          <w:lang w:val="fr-FR"/>
        </w:rPr>
        <w:t>application du SGH dans le monde entier</w:t>
      </w:r>
      <w:r w:rsidRPr="00E26262">
        <w:rPr>
          <w:lang w:val="fr-FR"/>
        </w:rPr>
        <w:t>.</w:t>
      </w:r>
      <w:r>
        <w:rPr>
          <w:lang w:val="fr-FR"/>
        </w:rPr>
        <w:t xml:space="preserve"> Il a été proposé d</w:t>
      </w:r>
      <w:r w:rsidR="009657CE">
        <w:rPr>
          <w:lang w:val="fr-FR"/>
        </w:rPr>
        <w:t>’</w:t>
      </w:r>
      <w:r>
        <w:rPr>
          <w:lang w:val="fr-FR"/>
        </w:rPr>
        <w:t>ajouter un point à l</w:t>
      </w:r>
      <w:r w:rsidR="009657CE">
        <w:rPr>
          <w:lang w:val="fr-FR"/>
        </w:rPr>
        <w:t>’</w:t>
      </w:r>
      <w:r>
        <w:rPr>
          <w:lang w:val="fr-FR"/>
        </w:rPr>
        <w:t>ordre du jour pour traiter cette question et pour accroître la visibilité, promouvoir l</w:t>
      </w:r>
      <w:r w:rsidR="009657CE">
        <w:rPr>
          <w:lang w:val="fr-FR"/>
        </w:rPr>
        <w:t>’</w:t>
      </w:r>
      <w:r>
        <w:rPr>
          <w:lang w:val="fr-FR"/>
        </w:rPr>
        <w:t>application et mettre en valeur les résultats de l</w:t>
      </w:r>
      <w:r w:rsidR="009657CE">
        <w:rPr>
          <w:lang w:val="fr-FR"/>
        </w:rPr>
        <w:t>’</w:t>
      </w:r>
      <w:r>
        <w:rPr>
          <w:lang w:val="fr-FR"/>
        </w:rPr>
        <w:t>action du Sous-Comité</w:t>
      </w:r>
      <w:r w:rsidRPr="00E26262">
        <w:rPr>
          <w:lang w:val="fr-FR"/>
        </w:rPr>
        <w:t>.</w:t>
      </w:r>
      <w:r>
        <w:rPr>
          <w:lang w:val="fr-FR"/>
        </w:rPr>
        <w:t xml:space="preserve"> </w:t>
      </w:r>
      <w:r w:rsidRPr="008F796F">
        <w:rPr>
          <w:lang w:val="fr-FR"/>
        </w:rPr>
        <w:t>Il a également été signalé qu</w:t>
      </w:r>
      <w:r w:rsidR="009657CE">
        <w:rPr>
          <w:lang w:val="fr-FR"/>
        </w:rPr>
        <w:t>’</w:t>
      </w:r>
      <w:r w:rsidRPr="008F796F">
        <w:rPr>
          <w:lang w:val="fr-FR"/>
        </w:rPr>
        <w:t>il existait auparavant un groupe de travail chargé des questions relatives à l</w:t>
      </w:r>
      <w:r w:rsidR="009657CE">
        <w:rPr>
          <w:lang w:val="fr-FR"/>
        </w:rPr>
        <w:t>’</w:t>
      </w:r>
      <w:r w:rsidRPr="008F796F">
        <w:rPr>
          <w:lang w:val="fr-FR"/>
        </w:rPr>
        <w:t xml:space="preserve">application du SGH, qui pourrait être réactivé. </w:t>
      </w:r>
      <w:r>
        <w:rPr>
          <w:lang w:val="fr-FR"/>
        </w:rPr>
        <w:t>Plusieurs experts ont fait observer qu</w:t>
      </w:r>
      <w:r w:rsidR="009657CE">
        <w:rPr>
          <w:lang w:val="fr-FR"/>
        </w:rPr>
        <w:t>’</w:t>
      </w:r>
      <w:r>
        <w:rPr>
          <w:lang w:val="fr-FR"/>
        </w:rPr>
        <w:t>il serait utile de mettre en commun les données d</w:t>
      </w:r>
      <w:r w:rsidR="009657CE">
        <w:rPr>
          <w:lang w:val="fr-FR"/>
        </w:rPr>
        <w:t>’</w:t>
      </w:r>
      <w:r>
        <w:rPr>
          <w:lang w:val="fr-FR"/>
        </w:rPr>
        <w:t>expérience sur les différentes façons de suivre les mises à jour régulières du SGH dans le monde</w:t>
      </w:r>
      <w:r w:rsidRPr="00E26262">
        <w:rPr>
          <w:lang w:val="fr-FR"/>
        </w:rPr>
        <w:t>.</w:t>
      </w:r>
      <w:r>
        <w:rPr>
          <w:lang w:val="fr-FR"/>
        </w:rPr>
        <w:t xml:space="preserve"> Le représentant du CEFIC a dit que toutes les initiatives susceptibles de contribuer à accroître la synchronisation de l</w:t>
      </w:r>
      <w:r w:rsidR="009657CE">
        <w:rPr>
          <w:lang w:val="fr-FR"/>
        </w:rPr>
        <w:t>’</w:t>
      </w:r>
      <w:r>
        <w:rPr>
          <w:lang w:val="fr-FR"/>
        </w:rPr>
        <w:t>application des différentes éditions révisées du SGH étaient les bienvenues</w:t>
      </w:r>
      <w:r w:rsidRPr="00E26262">
        <w:rPr>
          <w:lang w:val="fr-FR"/>
        </w:rPr>
        <w:t>.</w:t>
      </w:r>
      <w:r>
        <w:rPr>
          <w:lang w:val="fr-FR"/>
        </w:rPr>
        <w:t xml:space="preserve"> </w:t>
      </w:r>
    </w:p>
    <w:p w14:paraId="4B8799A7" w14:textId="240BBEAD" w:rsidR="00D05AE5" w:rsidRDefault="00D05AE5" w:rsidP="008914BD">
      <w:pPr>
        <w:pStyle w:val="SingleTxtG"/>
        <w:rPr>
          <w:lang w:val="fr-FR"/>
        </w:rPr>
      </w:pPr>
      <w:r>
        <w:rPr>
          <w:lang w:val="fr-FR"/>
        </w:rPr>
        <w:t>44</w:t>
      </w:r>
      <w:r w:rsidRPr="00E26262">
        <w:rPr>
          <w:lang w:val="fr-FR"/>
        </w:rPr>
        <w:t>.</w:t>
      </w:r>
      <w:r>
        <w:rPr>
          <w:lang w:val="fr-FR"/>
        </w:rPr>
        <w:tab/>
        <w:t>L</w:t>
      </w:r>
      <w:r w:rsidR="009657CE">
        <w:rPr>
          <w:lang w:val="fr-FR"/>
        </w:rPr>
        <w:t>’</w:t>
      </w:r>
      <w:r>
        <w:rPr>
          <w:lang w:val="fr-FR"/>
        </w:rPr>
        <w:t>expert de la Suède a été invité à examiner les observations et les propositions formulées et à travailler avec les autres délégations intéressées par ce sujet à l</w:t>
      </w:r>
      <w:r w:rsidR="009657CE">
        <w:rPr>
          <w:lang w:val="fr-FR"/>
        </w:rPr>
        <w:t>’</w:t>
      </w:r>
      <w:r>
        <w:rPr>
          <w:lang w:val="fr-FR"/>
        </w:rPr>
        <w:t>élaboration d</w:t>
      </w:r>
      <w:r w:rsidR="009657CE">
        <w:rPr>
          <w:lang w:val="fr-FR"/>
        </w:rPr>
        <w:t>’</w:t>
      </w:r>
      <w:r>
        <w:rPr>
          <w:lang w:val="fr-FR"/>
        </w:rPr>
        <w:t>une proposition sur les voies possibles, qui serait examinée par le Sous-Comité</w:t>
      </w:r>
      <w:r w:rsidRPr="00E26262">
        <w:rPr>
          <w:lang w:val="fr-FR"/>
        </w:rPr>
        <w:t>.</w:t>
      </w:r>
    </w:p>
    <w:p w14:paraId="2C1E7236" w14:textId="6C10C76A" w:rsidR="00D05AE5" w:rsidRPr="007509B0" w:rsidRDefault="00D05AE5" w:rsidP="00E85218">
      <w:pPr>
        <w:pStyle w:val="HChG"/>
      </w:pPr>
      <w:r w:rsidRPr="007509B0">
        <w:tab/>
        <w:t>V.</w:t>
      </w:r>
      <w:r w:rsidRPr="007509B0">
        <w:tab/>
        <w:t>Mise au point de directives pour l</w:t>
      </w:r>
      <w:r w:rsidR="009657CE">
        <w:t>’</w:t>
      </w:r>
      <w:r w:rsidRPr="007509B0">
        <w:t>application des critères du</w:t>
      </w:r>
      <w:r w:rsidR="00A55F8F">
        <w:t> </w:t>
      </w:r>
      <w:r w:rsidRPr="007509B0">
        <w:t>SGH (point 4 de l</w:t>
      </w:r>
      <w:r w:rsidR="009657CE">
        <w:t>’</w:t>
      </w:r>
      <w:r w:rsidRPr="007509B0">
        <w:t>ordre du jour)</w:t>
      </w:r>
    </w:p>
    <w:p w14:paraId="27105397" w14:textId="5ABF3175" w:rsidR="00D05AE5" w:rsidRPr="00023AFD" w:rsidRDefault="00D05AE5" w:rsidP="00E85218">
      <w:pPr>
        <w:pStyle w:val="H1G"/>
        <w:rPr>
          <w:rFonts w:eastAsia="SimSun"/>
          <w:lang w:val="fr-FR" w:eastAsia="zh-CN"/>
        </w:rPr>
      </w:pPr>
      <w:r>
        <w:rPr>
          <w:rFonts w:eastAsia="SimSun"/>
          <w:bCs/>
          <w:lang w:val="fr-FR" w:eastAsia="zh-CN"/>
        </w:rPr>
        <w:tab/>
      </w:r>
      <w:r w:rsidRPr="00D57EC3">
        <w:rPr>
          <w:rFonts w:eastAsia="SimSun"/>
          <w:bCs/>
          <w:lang w:val="fr-FR" w:eastAsia="zh-CN"/>
        </w:rPr>
        <w:t>A.</w:t>
      </w:r>
      <w:r w:rsidRPr="00D57EC3">
        <w:rPr>
          <w:rFonts w:eastAsia="SimSun"/>
          <w:lang w:val="fr-FR" w:eastAsia="zh-CN"/>
        </w:rPr>
        <w:tab/>
      </w:r>
      <w:r w:rsidRPr="00D57EC3">
        <w:rPr>
          <w:rFonts w:eastAsia="SimSun"/>
          <w:bCs/>
          <w:lang w:val="fr-FR" w:eastAsia="zh-CN"/>
        </w:rPr>
        <w:t>Alignement de l</w:t>
      </w:r>
      <w:r w:rsidR="009657CE">
        <w:rPr>
          <w:rFonts w:eastAsia="SimSun"/>
          <w:bCs/>
          <w:lang w:val="fr-FR" w:eastAsia="zh-CN"/>
        </w:rPr>
        <w:t>’</w:t>
      </w:r>
      <w:r w:rsidRPr="00D57EC3">
        <w:rPr>
          <w:rFonts w:eastAsia="SimSun"/>
          <w:bCs/>
          <w:lang w:val="fr-FR" w:eastAsia="zh-CN"/>
        </w:rPr>
        <w:t>annexe 9 (sect. A9.7) et de l</w:t>
      </w:r>
      <w:r w:rsidR="009657CE">
        <w:rPr>
          <w:rFonts w:eastAsia="SimSun"/>
          <w:bCs/>
          <w:lang w:val="fr-FR" w:eastAsia="zh-CN"/>
        </w:rPr>
        <w:t>’</w:t>
      </w:r>
      <w:r w:rsidRPr="00D57EC3">
        <w:rPr>
          <w:rFonts w:eastAsia="SimSun"/>
          <w:bCs/>
          <w:lang w:val="fr-FR" w:eastAsia="zh-CN"/>
        </w:rPr>
        <w:t xml:space="preserve">annexe 10 </w:t>
      </w:r>
      <w:r w:rsidR="00A55F8F">
        <w:rPr>
          <w:rFonts w:eastAsia="SimSun"/>
          <w:bCs/>
          <w:lang w:val="fr-FR" w:eastAsia="zh-CN"/>
        </w:rPr>
        <w:br/>
      </w:r>
      <w:r w:rsidRPr="003C737D">
        <w:rPr>
          <w:lang w:val="fr-FR"/>
        </w:rPr>
        <w:t>sur</w:t>
      </w:r>
      <w:r w:rsidRPr="00D57EC3">
        <w:rPr>
          <w:rFonts w:eastAsia="SimSun"/>
          <w:bCs/>
          <w:lang w:val="fr-FR" w:eastAsia="zh-CN"/>
        </w:rPr>
        <w:t xml:space="preserve"> les critères du chapitre 4.1</w:t>
      </w:r>
    </w:p>
    <w:p w14:paraId="386396C1" w14:textId="368A3347" w:rsidR="00D05AE5" w:rsidRPr="00023AFD" w:rsidRDefault="00D05AE5" w:rsidP="00E85218">
      <w:pPr>
        <w:pStyle w:val="SingleTxtG"/>
        <w:keepNext/>
        <w:keepLines/>
        <w:tabs>
          <w:tab w:val="clear" w:pos="1701"/>
          <w:tab w:val="clear" w:pos="2268"/>
          <w:tab w:val="clear" w:pos="2835"/>
          <w:tab w:val="left" w:pos="3402"/>
        </w:tabs>
        <w:ind w:left="3402" w:hanging="2268"/>
        <w:rPr>
          <w:rFonts w:eastAsia="SimSun"/>
          <w:lang w:val="fr-FR" w:eastAsia="zh-CN"/>
        </w:rPr>
      </w:pPr>
      <w:r>
        <w:rPr>
          <w:rFonts w:eastAsia="SimSun"/>
          <w:i/>
          <w:iCs/>
          <w:lang w:val="fr-FR" w:eastAsia="zh-CN"/>
        </w:rPr>
        <w:t>Document(s) informel(s)</w:t>
      </w:r>
      <w:r w:rsidR="009657CE">
        <w:rPr>
          <w:rFonts w:eastAsia="SimSun"/>
          <w:i/>
          <w:iCs/>
          <w:lang w:val="fr-FR" w:eastAsia="zh-CN"/>
        </w:rPr>
        <w:t> </w:t>
      </w:r>
      <w:r>
        <w:rPr>
          <w:rFonts w:eastAsia="SimSun"/>
          <w:i/>
          <w:iCs/>
          <w:lang w:val="fr-FR" w:eastAsia="zh-CN"/>
        </w:rPr>
        <w:t>:</w:t>
      </w:r>
      <w:r w:rsidRPr="00D57EC3">
        <w:rPr>
          <w:rFonts w:eastAsia="SimSun"/>
          <w:lang w:val="fr-FR" w:eastAsia="zh-CN"/>
        </w:rPr>
        <w:tab/>
        <w:t>INF.17 (</w:t>
      </w:r>
      <w:r w:rsidRPr="0095533C">
        <w:rPr>
          <w:lang w:val="fr-FR"/>
        </w:rPr>
        <w:t>CIMM</w:t>
      </w:r>
      <w:r w:rsidRPr="00D57EC3">
        <w:rPr>
          <w:rFonts w:eastAsia="SimSun"/>
          <w:lang w:val="fr-FR" w:eastAsia="zh-CN"/>
        </w:rPr>
        <w:t>)</w:t>
      </w:r>
    </w:p>
    <w:p w14:paraId="5F9B4E37" w14:textId="583467AE" w:rsidR="00D05AE5" w:rsidRPr="00023AFD" w:rsidRDefault="00D05AE5" w:rsidP="00E85218">
      <w:pPr>
        <w:pStyle w:val="SingleTxtG"/>
        <w:keepNext/>
        <w:keepLines/>
        <w:rPr>
          <w:rFonts w:eastAsia="SimSun"/>
          <w:lang w:val="fr-FR" w:eastAsia="zh-CN"/>
        </w:rPr>
      </w:pPr>
      <w:r w:rsidRPr="00D57EC3">
        <w:rPr>
          <w:rFonts w:eastAsia="SimSun"/>
          <w:lang w:val="fr-FR" w:eastAsia="zh-CN"/>
        </w:rPr>
        <w:t>45.</w:t>
      </w:r>
      <w:r w:rsidRPr="00D57EC3">
        <w:rPr>
          <w:rFonts w:eastAsia="SimSun"/>
          <w:lang w:val="fr-FR" w:eastAsia="zh-CN"/>
        </w:rPr>
        <w:tab/>
        <w:t xml:space="preserve">Le Sous-Comité a pris note des informations fournies sur </w:t>
      </w:r>
      <w:r w:rsidRPr="008914BD">
        <w:rPr>
          <w:lang w:val="fr-FR"/>
        </w:rPr>
        <w:t>l</w:t>
      </w:r>
      <w:r w:rsidR="009657CE">
        <w:rPr>
          <w:lang w:val="fr-FR"/>
        </w:rPr>
        <w:t>’</w:t>
      </w:r>
      <w:r w:rsidRPr="008914BD">
        <w:rPr>
          <w:lang w:val="fr-FR"/>
        </w:rPr>
        <w:t>état</w:t>
      </w:r>
      <w:r w:rsidRPr="00D57EC3">
        <w:rPr>
          <w:rFonts w:eastAsia="SimSun"/>
          <w:lang w:val="fr-FR" w:eastAsia="zh-CN"/>
        </w:rPr>
        <w:t xml:space="preserve"> d</w:t>
      </w:r>
      <w:r w:rsidR="009657CE">
        <w:rPr>
          <w:rFonts w:eastAsia="SimSun"/>
          <w:lang w:val="fr-FR" w:eastAsia="zh-CN"/>
        </w:rPr>
        <w:t>’</w:t>
      </w:r>
      <w:r w:rsidRPr="00D57EC3">
        <w:rPr>
          <w:rFonts w:eastAsia="SimSun"/>
          <w:lang w:val="fr-FR" w:eastAsia="zh-CN"/>
        </w:rPr>
        <w:t xml:space="preserve">avancement des travaux du groupe de travail informel. </w:t>
      </w:r>
    </w:p>
    <w:p w14:paraId="64148798" w14:textId="77777777" w:rsidR="00D05AE5" w:rsidRPr="00023AFD" w:rsidRDefault="00D05AE5" w:rsidP="003C737D">
      <w:pPr>
        <w:pStyle w:val="H1G"/>
        <w:rPr>
          <w:rFonts w:eastAsia="SimSun"/>
          <w:lang w:val="fr-FR" w:eastAsia="zh-CN"/>
        </w:rPr>
      </w:pPr>
      <w:r>
        <w:rPr>
          <w:rFonts w:eastAsia="SimSun"/>
          <w:bCs/>
          <w:lang w:val="fr-FR" w:eastAsia="zh-CN"/>
        </w:rPr>
        <w:tab/>
      </w:r>
      <w:r w:rsidRPr="00D57EC3">
        <w:rPr>
          <w:rFonts w:eastAsia="SimSun"/>
          <w:bCs/>
          <w:lang w:val="fr-FR" w:eastAsia="zh-CN"/>
        </w:rPr>
        <w:t>B.</w:t>
      </w:r>
      <w:r w:rsidRPr="00D57EC3">
        <w:rPr>
          <w:rFonts w:eastAsia="SimSun"/>
          <w:lang w:val="fr-FR" w:eastAsia="zh-CN"/>
        </w:rPr>
        <w:tab/>
      </w:r>
      <w:r w:rsidRPr="00D57EC3">
        <w:rPr>
          <w:rFonts w:eastAsia="SimSun"/>
          <w:bCs/>
          <w:lang w:val="fr-FR" w:eastAsia="zh-CN"/>
        </w:rPr>
        <w:t xml:space="preserve">Questions pratiques de </w:t>
      </w:r>
      <w:r w:rsidRPr="003C737D">
        <w:rPr>
          <w:lang w:val="fr-FR"/>
        </w:rPr>
        <w:t>classification</w:t>
      </w:r>
    </w:p>
    <w:p w14:paraId="02A2B67A" w14:textId="12433B04" w:rsidR="00D05AE5" w:rsidRPr="00023AFD" w:rsidRDefault="00D05AE5" w:rsidP="008914BD">
      <w:pPr>
        <w:pStyle w:val="SingleTxtG"/>
        <w:rPr>
          <w:rFonts w:eastAsia="SimSun"/>
          <w:lang w:val="fr-FR" w:eastAsia="zh-CN"/>
        </w:rPr>
      </w:pPr>
      <w:r w:rsidRPr="00D57EC3">
        <w:rPr>
          <w:rFonts w:eastAsia="SimSun"/>
          <w:lang w:val="fr-FR" w:eastAsia="zh-CN"/>
        </w:rPr>
        <w:t>46.</w:t>
      </w:r>
      <w:r w:rsidRPr="00D57EC3">
        <w:rPr>
          <w:rFonts w:eastAsia="SimSun"/>
          <w:lang w:val="fr-FR" w:eastAsia="zh-CN"/>
        </w:rPr>
        <w:tab/>
        <w:t>Le Sous-Comité a examiné lors</w:t>
      </w:r>
      <w:r>
        <w:rPr>
          <w:rFonts w:eastAsia="SimSun"/>
          <w:lang w:val="fr-FR" w:eastAsia="zh-CN"/>
        </w:rPr>
        <w:t xml:space="preserve"> de l</w:t>
      </w:r>
      <w:r w:rsidR="009657CE">
        <w:rPr>
          <w:rFonts w:eastAsia="SimSun"/>
          <w:lang w:val="fr-FR" w:eastAsia="zh-CN"/>
        </w:rPr>
        <w:t>’</w:t>
      </w:r>
      <w:r>
        <w:rPr>
          <w:rFonts w:eastAsia="SimSun"/>
          <w:lang w:val="fr-FR" w:eastAsia="zh-CN"/>
        </w:rPr>
        <w:t xml:space="preserve">examen </w:t>
      </w:r>
      <w:r w:rsidRPr="00D57EC3">
        <w:rPr>
          <w:rFonts w:eastAsia="SimSun"/>
          <w:lang w:val="fr-FR" w:eastAsia="zh-CN"/>
        </w:rPr>
        <w:t xml:space="preserve">du document </w:t>
      </w:r>
      <w:r w:rsidRPr="008914BD">
        <w:rPr>
          <w:lang w:val="fr-FR"/>
        </w:rPr>
        <w:t>informel</w:t>
      </w:r>
      <w:r w:rsidRPr="00D57EC3">
        <w:rPr>
          <w:rFonts w:eastAsia="SimSun"/>
          <w:lang w:val="fr-FR" w:eastAsia="zh-CN"/>
        </w:rPr>
        <w:t xml:space="preserve"> INF.15 au titre du point</w:t>
      </w:r>
      <w:r w:rsidR="00A55F8F">
        <w:rPr>
          <w:rFonts w:eastAsia="SimSun"/>
          <w:lang w:val="fr-FR" w:eastAsia="zh-CN"/>
        </w:rPr>
        <w:t> </w:t>
      </w:r>
      <w:r w:rsidRPr="00D57EC3">
        <w:rPr>
          <w:rFonts w:eastAsia="SimSun"/>
          <w:lang w:val="fr-FR" w:eastAsia="zh-CN"/>
        </w:rPr>
        <w:t>2 (al.</w:t>
      </w:r>
      <w:r w:rsidR="00A55F8F">
        <w:rPr>
          <w:rFonts w:eastAsia="SimSun"/>
          <w:lang w:val="fr-FR" w:eastAsia="zh-CN"/>
        </w:rPr>
        <w:t> </w:t>
      </w:r>
      <w:proofErr w:type="gramStart"/>
      <w:r w:rsidRPr="00D57EC3">
        <w:rPr>
          <w:rFonts w:eastAsia="SimSun"/>
          <w:lang w:val="fr-FR" w:eastAsia="zh-CN"/>
        </w:rPr>
        <w:t>f</w:t>
      </w:r>
      <w:proofErr w:type="gramEnd"/>
      <w:r w:rsidRPr="00D57EC3">
        <w:rPr>
          <w:rFonts w:eastAsia="SimSun"/>
          <w:lang w:val="fr-FR" w:eastAsia="zh-CN"/>
        </w:rPr>
        <w:t>)) de l</w:t>
      </w:r>
      <w:r w:rsidR="009657CE">
        <w:rPr>
          <w:rFonts w:eastAsia="SimSun"/>
          <w:lang w:val="fr-FR" w:eastAsia="zh-CN"/>
        </w:rPr>
        <w:t>’</w:t>
      </w:r>
      <w:r w:rsidRPr="00D57EC3">
        <w:rPr>
          <w:rFonts w:eastAsia="SimSun"/>
          <w:lang w:val="fr-FR" w:eastAsia="zh-CN"/>
        </w:rPr>
        <w:t>ordre du jour</w:t>
      </w:r>
      <w:r>
        <w:rPr>
          <w:rFonts w:eastAsia="SimSun"/>
          <w:lang w:val="fr-FR" w:eastAsia="zh-CN"/>
        </w:rPr>
        <w:t xml:space="preserve"> </w:t>
      </w:r>
      <w:r w:rsidRPr="00CD54A7">
        <w:rPr>
          <w:rFonts w:eastAsia="SimSun"/>
          <w:lang w:val="fr-FR" w:eastAsia="zh-CN"/>
        </w:rPr>
        <w:t xml:space="preserve">les informations </w:t>
      </w:r>
      <w:r>
        <w:rPr>
          <w:rFonts w:eastAsia="SimSun"/>
          <w:lang w:val="fr-FR" w:eastAsia="zh-CN"/>
        </w:rPr>
        <w:t>relativ</w:t>
      </w:r>
      <w:r w:rsidRPr="00CD54A7">
        <w:rPr>
          <w:rFonts w:eastAsia="SimSun"/>
          <w:lang w:val="fr-FR" w:eastAsia="zh-CN"/>
        </w:rPr>
        <w:t xml:space="preserve">es </w:t>
      </w:r>
      <w:r>
        <w:rPr>
          <w:rFonts w:eastAsia="SimSun"/>
          <w:lang w:val="fr-FR" w:eastAsia="zh-CN"/>
        </w:rPr>
        <w:t xml:space="preserve">aux </w:t>
      </w:r>
      <w:r w:rsidRPr="00CD54A7">
        <w:rPr>
          <w:rFonts w:eastAsia="SimSun"/>
          <w:lang w:val="fr-FR" w:eastAsia="zh-CN"/>
        </w:rPr>
        <w:t>directives en cours d</w:t>
      </w:r>
      <w:r w:rsidR="009657CE">
        <w:rPr>
          <w:rFonts w:eastAsia="SimSun"/>
          <w:lang w:val="fr-FR" w:eastAsia="zh-CN"/>
        </w:rPr>
        <w:t>’</w:t>
      </w:r>
      <w:r w:rsidRPr="00CD54A7">
        <w:rPr>
          <w:rFonts w:eastAsia="SimSun"/>
          <w:lang w:val="fr-FR" w:eastAsia="zh-CN"/>
        </w:rPr>
        <w:t>élaboration par le groupe de travail informel</w:t>
      </w:r>
      <w:r w:rsidRPr="00D57EC3">
        <w:rPr>
          <w:rFonts w:eastAsia="SimSun"/>
          <w:lang w:val="fr-FR" w:eastAsia="zh-CN"/>
        </w:rPr>
        <w:t>.</w:t>
      </w:r>
    </w:p>
    <w:p w14:paraId="373F1B25" w14:textId="6396ACE6" w:rsidR="00D05AE5" w:rsidRPr="00023AFD" w:rsidRDefault="00D05AE5" w:rsidP="003C737D">
      <w:pPr>
        <w:pStyle w:val="H1G"/>
        <w:rPr>
          <w:rFonts w:eastAsia="SimSun"/>
          <w:lang w:val="fr-FR" w:eastAsia="zh-CN"/>
        </w:rPr>
      </w:pPr>
      <w:r>
        <w:rPr>
          <w:rFonts w:eastAsia="SimSun"/>
          <w:bCs/>
          <w:lang w:val="fr-FR" w:eastAsia="zh-CN"/>
        </w:rPr>
        <w:tab/>
      </w:r>
      <w:r w:rsidRPr="00D57EC3">
        <w:rPr>
          <w:rFonts w:eastAsia="SimSun"/>
          <w:bCs/>
          <w:lang w:val="fr-FR" w:eastAsia="zh-CN"/>
        </w:rPr>
        <w:t>C.</w:t>
      </w:r>
      <w:r w:rsidRPr="00D57EC3">
        <w:rPr>
          <w:rFonts w:eastAsia="SimSun"/>
          <w:lang w:val="fr-FR" w:eastAsia="zh-CN"/>
        </w:rPr>
        <w:tab/>
      </w:r>
      <w:r w:rsidRPr="00D57EC3">
        <w:rPr>
          <w:rFonts w:eastAsia="SimSun"/>
          <w:bCs/>
          <w:lang w:val="fr-FR" w:eastAsia="zh-CN"/>
        </w:rPr>
        <w:t xml:space="preserve">Questions pratiques </w:t>
      </w:r>
      <w:r w:rsidRPr="003C737D">
        <w:rPr>
          <w:lang w:val="fr-FR"/>
        </w:rPr>
        <w:t>d</w:t>
      </w:r>
      <w:r w:rsidR="009657CE">
        <w:rPr>
          <w:lang w:val="fr-FR"/>
        </w:rPr>
        <w:t>’</w:t>
      </w:r>
      <w:r w:rsidRPr="003C737D">
        <w:rPr>
          <w:lang w:val="fr-FR"/>
        </w:rPr>
        <w:t>étiquetage</w:t>
      </w:r>
    </w:p>
    <w:p w14:paraId="0B013676" w14:textId="65EA9389" w:rsidR="00D05AE5" w:rsidRPr="00023AFD" w:rsidRDefault="00D05AE5" w:rsidP="008914BD">
      <w:pPr>
        <w:pStyle w:val="SingleTxtG"/>
        <w:rPr>
          <w:rFonts w:eastAsia="SimSun"/>
          <w:lang w:val="fr-FR" w:eastAsia="zh-CN"/>
        </w:rPr>
      </w:pPr>
      <w:r w:rsidRPr="00D57EC3">
        <w:rPr>
          <w:rFonts w:eastAsia="SimSun"/>
          <w:lang w:val="fr-FR" w:eastAsia="zh-CN"/>
        </w:rPr>
        <w:t>47.</w:t>
      </w:r>
      <w:r w:rsidRPr="00D57EC3">
        <w:rPr>
          <w:rFonts w:eastAsia="SimSun"/>
          <w:lang w:val="fr-FR" w:eastAsia="zh-CN"/>
        </w:rPr>
        <w:tab/>
        <w:t>Le représentant de l</w:t>
      </w:r>
      <w:r w:rsidR="009657CE">
        <w:rPr>
          <w:rFonts w:eastAsia="SimSun"/>
          <w:lang w:val="fr-FR" w:eastAsia="zh-CN"/>
        </w:rPr>
        <w:t>’</w:t>
      </w:r>
      <w:r w:rsidRPr="00D57EC3">
        <w:rPr>
          <w:rFonts w:eastAsia="SimSun"/>
          <w:lang w:val="fr-FR" w:eastAsia="zh-CN"/>
        </w:rPr>
        <w:t>Union européenne a informé le Sous-Comité des résultats préliminaires d</w:t>
      </w:r>
      <w:r w:rsidR="009657CE">
        <w:rPr>
          <w:rFonts w:eastAsia="SimSun"/>
          <w:lang w:val="fr-FR" w:eastAsia="zh-CN"/>
        </w:rPr>
        <w:t>’</w:t>
      </w:r>
      <w:r w:rsidRPr="00D57EC3">
        <w:rPr>
          <w:rFonts w:eastAsia="SimSun"/>
          <w:lang w:val="fr-FR" w:eastAsia="zh-CN"/>
        </w:rPr>
        <w:t>une étude sur l</w:t>
      </w:r>
      <w:r w:rsidR="009657CE">
        <w:rPr>
          <w:rFonts w:eastAsia="SimSun"/>
          <w:lang w:val="fr-FR" w:eastAsia="zh-CN"/>
        </w:rPr>
        <w:t>’</w:t>
      </w:r>
      <w:r w:rsidRPr="00D57EC3">
        <w:rPr>
          <w:rFonts w:eastAsia="SimSun"/>
          <w:lang w:val="fr-FR" w:eastAsia="zh-CN"/>
        </w:rPr>
        <w:t>étiquetage numérique des produits chimiques soumis aux dispositions du Règlement européen relatif à la classification, à l</w:t>
      </w:r>
      <w:r w:rsidR="009657CE">
        <w:rPr>
          <w:rFonts w:eastAsia="SimSun"/>
          <w:lang w:val="fr-FR" w:eastAsia="zh-CN"/>
        </w:rPr>
        <w:t>’</w:t>
      </w:r>
      <w:r w:rsidRPr="00D57EC3">
        <w:rPr>
          <w:rFonts w:eastAsia="SimSun"/>
          <w:lang w:val="fr-FR" w:eastAsia="zh-CN"/>
        </w:rPr>
        <w:t>étiquetage et à l</w:t>
      </w:r>
      <w:r w:rsidR="009657CE">
        <w:rPr>
          <w:rFonts w:eastAsia="SimSun"/>
          <w:lang w:val="fr-FR" w:eastAsia="zh-CN"/>
        </w:rPr>
        <w:t>’</w:t>
      </w:r>
      <w:r w:rsidRPr="00D57EC3">
        <w:rPr>
          <w:rFonts w:eastAsia="SimSun"/>
          <w:lang w:val="fr-FR" w:eastAsia="zh-CN"/>
        </w:rPr>
        <w:t xml:space="preserve">emballage (Règlement CLP) </w:t>
      </w:r>
      <w:r w:rsidRPr="008914BD">
        <w:rPr>
          <w:lang w:val="fr-FR"/>
        </w:rPr>
        <w:t>appliquant</w:t>
      </w:r>
      <w:r w:rsidRPr="00D57EC3">
        <w:rPr>
          <w:rFonts w:eastAsia="SimSun"/>
          <w:lang w:val="fr-FR" w:eastAsia="zh-CN"/>
        </w:rPr>
        <w:t xml:space="preserve"> le SGH dans l</w:t>
      </w:r>
      <w:r w:rsidR="009657CE">
        <w:rPr>
          <w:rFonts w:eastAsia="SimSun"/>
          <w:lang w:val="fr-FR" w:eastAsia="zh-CN"/>
        </w:rPr>
        <w:t>’</w:t>
      </w:r>
      <w:r w:rsidRPr="00D57EC3">
        <w:rPr>
          <w:rFonts w:eastAsia="SimSun"/>
          <w:lang w:val="fr-FR" w:eastAsia="zh-CN"/>
        </w:rPr>
        <w:t>Union européenne. Il a été indiqué qu</w:t>
      </w:r>
      <w:r w:rsidR="009657CE">
        <w:rPr>
          <w:rFonts w:eastAsia="SimSun"/>
          <w:lang w:val="fr-FR" w:eastAsia="zh-CN"/>
        </w:rPr>
        <w:t>’</w:t>
      </w:r>
      <w:r w:rsidRPr="00D57EC3">
        <w:rPr>
          <w:rFonts w:eastAsia="SimSun"/>
          <w:lang w:val="fr-FR" w:eastAsia="zh-CN"/>
        </w:rPr>
        <w:t>une initiative de l</w:t>
      </w:r>
      <w:r w:rsidR="009657CE">
        <w:rPr>
          <w:rFonts w:eastAsia="SimSun"/>
          <w:lang w:val="fr-FR" w:eastAsia="zh-CN"/>
        </w:rPr>
        <w:t>’</w:t>
      </w:r>
      <w:r w:rsidRPr="00D57EC3">
        <w:rPr>
          <w:rFonts w:eastAsia="SimSun"/>
          <w:lang w:val="fr-FR" w:eastAsia="zh-CN"/>
        </w:rPr>
        <w:t>Union européenne portant sur une proposition de règlement visant à simplifier et à dématérialiser les prescriptions en matière d</w:t>
      </w:r>
      <w:r w:rsidR="009657CE">
        <w:rPr>
          <w:rFonts w:eastAsia="SimSun"/>
          <w:lang w:val="fr-FR" w:eastAsia="zh-CN"/>
        </w:rPr>
        <w:t>’</w:t>
      </w:r>
      <w:r w:rsidRPr="00D57EC3">
        <w:rPr>
          <w:rFonts w:eastAsia="SimSun"/>
          <w:lang w:val="fr-FR" w:eastAsia="zh-CN"/>
        </w:rPr>
        <w:t>étiquetage des produits chimiques était ouverte à la consultation publique jusqu</w:t>
      </w:r>
      <w:r w:rsidR="009657CE">
        <w:rPr>
          <w:rFonts w:eastAsia="SimSun"/>
          <w:lang w:val="fr-FR" w:eastAsia="zh-CN"/>
        </w:rPr>
        <w:t>’</w:t>
      </w:r>
      <w:r w:rsidRPr="00D57EC3">
        <w:rPr>
          <w:rFonts w:eastAsia="SimSun"/>
          <w:lang w:val="fr-FR" w:eastAsia="zh-CN"/>
        </w:rPr>
        <w:t>au 16</w:t>
      </w:r>
      <w:r w:rsidR="00A55F8F">
        <w:rPr>
          <w:rFonts w:eastAsia="SimSun"/>
          <w:lang w:val="fr-FR" w:eastAsia="zh-CN"/>
        </w:rPr>
        <w:t> </w:t>
      </w:r>
      <w:r w:rsidRPr="00D57EC3">
        <w:rPr>
          <w:rFonts w:eastAsia="SimSun"/>
          <w:lang w:val="fr-FR" w:eastAsia="zh-CN"/>
        </w:rPr>
        <w:t>février 2022</w:t>
      </w:r>
      <w:r w:rsidRPr="00023AFD">
        <w:rPr>
          <w:rStyle w:val="FootnoteReference"/>
        </w:rPr>
        <w:footnoteReference w:id="5"/>
      </w:r>
      <w:r w:rsidRPr="00D57EC3">
        <w:rPr>
          <w:rFonts w:eastAsia="SimSun"/>
          <w:lang w:val="fr-FR" w:eastAsia="zh-CN"/>
        </w:rPr>
        <w:t xml:space="preserve"> (y compris pour les citoyens et les organisations n</w:t>
      </w:r>
      <w:r w:rsidR="009657CE">
        <w:rPr>
          <w:rFonts w:eastAsia="SimSun"/>
          <w:lang w:val="fr-FR" w:eastAsia="zh-CN"/>
        </w:rPr>
        <w:t>’</w:t>
      </w:r>
      <w:r w:rsidRPr="00D57EC3">
        <w:rPr>
          <w:rFonts w:eastAsia="SimSun"/>
          <w:lang w:val="fr-FR" w:eastAsia="zh-CN"/>
        </w:rPr>
        <w:t>appartenant pas à l</w:t>
      </w:r>
      <w:r w:rsidR="009657CE">
        <w:rPr>
          <w:rFonts w:eastAsia="SimSun"/>
          <w:lang w:val="fr-FR" w:eastAsia="zh-CN"/>
        </w:rPr>
        <w:t>’</w:t>
      </w:r>
      <w:r w:rsidRPr="00D57EC3">
        <w:rPr>
          <w:rFonts w:eastAsia="SimSun"/>
          <w:lang w:val="fr-FR" w:eastAsia="zh-CN"/>
        </w:rPr>
        <w:t>Union européenne). Les résultats de cette étude et de cette consultation publique contribueront à l</w:t>
      </w:r>
      <w:r w:rsidR="009657CE">
        <w:rPr>
          <w:rFonts w:eastAsia="SimSun"/>
          <w:lang w:val="fr-FR" w:eastAsia="zh-CN"/>
        </w:rPr>
        <w:t>’</w:t>
      </w:r>
      <w:r w:rsidRPr="00D57EC3">
        <w:rPr>
          <w:rFonts w:eastAsia="SimSun"/>
          <w:lang w:val="fr-FR" w:eastAsia="zh-CN"/>
        </w:rPr>
        <w:t>étude d</w:t>
      </w:r>
      <w:r w:rsidR="009657CE">
        <w:rPr>
          <w:rFonts w:eastAsia="SimSun"/>
          <w:lang w:val="fr-FR" w:eastAsia="zh-CN"/>
        </w:rPr>
        <w:t>’</w:t>
      </w:r>
      <w:r w:rsidRPr="00D57EC3">
        <w:rPr>
          <w:rFonts w:eastAsia="SimSun"/>
          <w:lang w:val="fr-FR" w:eastAsia="zh-CN"/>
        </w:rPr>
        <w:t xml:space="preserve">impact de la Commission européenne qui devrait être publiée vers la fin du premier semestre 2022. </w:t>
      </w:r>
    </w:p>
    <w:p w14:paraId="4892F315" w14:textId="763BB86A" w:rsidR="00D05AE5" w:rsidRPr="00023AFD" w:rsidRDefault="00D05AE5" w:rsidP="008914BD">
      <w:pPr>
        <w:pStyle w:val="SingleTxtG"/>
        <w:rPr>
          <w:rFonts w:eastAsia="SimSun"/>
          <w:lang w:val="fr-FR" w:eastAsia="zh-CN"/>
        </w:rPr>
      </w:pPr>
      <w:r w:rsidRPr="00D57EC3">
        <w:rPr>
          <w:rFonts w:eastAsia="SimSun"/>
          <w:lang w:val="fr-FR" w:eastAsia="zh-CN"/>
        </w:rPr>
        <w:t>48.</w:t>
      </w:r>
      <w:r w:rsidRPr="00D57EC3">
        <w:rPr>
          <w:rFonts w:eastAsia="SimSun"/>
          <w:lang w:val="fr-FR" w:eastAsia="zh-CN"/>
        </w:rPr>
        <w:tab/>
      </w:r>
      <w:r>
        <w:rPr>
          <w:rFonts w:eastAsia="SimSun"/>
          <w:lang w:val="fr-FR" w:eastAsia="zh-CN"/>
        </w:rPr>
        <w:t>L</w:t>
      </w:r>
      <w:r w:rsidRPr="00857967">
        <w:rPr>
          <w:rFonts w:eastAsia="SimSun"/>
          <w:lang w:val="fr-FR" w:eastAsia="zh-CN"/>
        </w:rPr>
        <w:t>es représentants de l</w:t>
      </w:r>
      <w:r w:rsidR="009657CE">
        <w:rPr>
          <w:rFonts w:eastAsia="SimSun"/>
          <w:lang w:val="fr-FR" w:eastAsia="zh-CN"/>
        </w:rPr>
        <w:t>’</w:t>
      </w:r>
      <w:r w:rsidRPr="00857967">
        <w:rPr>
          <w:rFonts w:eastAsia="SimSun"/>
          <w:lang w:val="fr-FR" w:eastAsia="zh-CN"/>
        </w:rPr>
        <w:t>Union européenne et de l</w:t>
      </w:r>
      <w:r w:rsidR="009657CE">
        <w:rPr>
          <w:rFonts w:eastAsia="SimSun"/>
          <w:lang w:val="fr-FR" w:eastAsia="zh-CN"/>
        </w:rPr>
        <w:t>’</w:t>
      </w:r>
      <w:r w:rsidRPr="00857967">
        <w:rPr>
          <w:rFonts w:eastAsia="SimSun"/>
          <w:lang w:val="fr-FR" w:eastAsia="zh-CN"/>
        </w:rPr>
        <w:t xml:space="preserve">AISE </w:t>
      </w:r>
      <w:r>
        <w:rPr>
          <w:rFonts w:eastAsia="SimSun"/>
          <w:lang w:val="fr-FR" w:eastAsia="zh-CN"/>
        </w:rPr>
        <w:t>ont r</w:t>
      </w:r>
      <w:r w:rsidRPr="00D57EC3">
        <w:rPr>
          <w:rFonts w:eastAsia="SimSun"/>
          <w:lang w:val="fr-FR" w:eastAsia="zh-CN"/>
        </w:rPr>
        <w:t>elev</w:t>
      </w:r>
      <w:r>
        <w:rPr>
          <w:rFonts w:eastAsia="SimSun"/>
          <w:lang w:val="fr-FR" w:eastAsia="zh-CN"/>
        </w:rPr>
        <w:t>é</w:t>
      </w:r>
      <w:r w:rsidRPr="00D57EC3">
        <w:rPr>
          <w:rFonts w:eastAsia="SimSun"/>
          <w:lang w:val="fr-FR" w:eastAsia="zh-CN"/>
        </w:rPr>
        <w:t xml:space="preserve"> </w:t>
      </w:r>
      <w:r w:rsidRPr="008914BD">
        <w:rPr>
          <w:lang w:val="fr-FR"/>
        </w:rPr>
        <w:t>que</w:t>
      </w:r>
      <w:r w:rsidRPr="00D57EC3">
        <w:rPr>
          <w:rFonts w:eastAsia="SimSun"/>
          <w:lang w:val="fr-FR" w:eastAsia="zh-CN"/>
        </w:rPr>
        <w:t xml:space="preserve"> la possibilité d</w:t>
      </w:r>
      <w:r w:rsidR="009657CE">
        <w:rPr>
          <w:rFonts w:eastAsia="SimSun"/>
          <w:lang w:val="fr-FR" w:eastAsia="zh-CN"/>
        </w:rPr>
        <w:t>’</w:t>
      </w:r>
      <w:r w:rsidRPr="00D57EC3">
        <w:rPr>
          <w:rFonts w:eastAsia="SimSun"/>
          <w:lang w:val="fr-FR" w:eastAsia="zh-CN"/>
        </w:rPr>
        <w:t>envisager un étiquetage numérique avait déjà été évoquée par le passé au sein du groupe de travail informel des questions pratiques d</w:t>
      </w:r>
      <w:r w:rsidR="009657CE">
        <w:rPr>
          <w:rFonts w:eastAsia="SimSun"/>
          <w:lang w:val="fr-FR" w:eastAsia="zh-CN"/>
        </w:rPr>
        <w:t>’</w:t>
      </w:r>
      <w:r w:rsidRPr="00D57EC3">
        <w:rPr>
          <w:rFonts w:eastAsia="SimSun"/>
          <w:lang w:val="fr-FR" w:eastAsia="zh-CN"/>
        </w:rPr>
        <w:t xml:space="preserve">étiquetage liées à la classification, dirigé par le CEFIC, </w:t>
      </w:r>
      <w:r>
        <w:rPr>
          <w:rFonts w:eastAsia="SimSun"/>
          <w:lang w:val="fr-FR" w:eastAsia="zh-CN"/>
        </w:rPr>
        <w:t xml:space="preserve">et ils </w:t>
      </w:r>
      <w:r w:rsidRPr="00D57EC3">
        <w:rPr>
          <w:rFonts w:eastAsia="SimSun"/>
          <w:lang w:val="fr-FR" w:eastAsia="zh-CN"/>
        </w:rPr>
        <w:t>ont indiqué qu</w:t>
      </w:r>
      <w:r w:rsidR="009657CE">
        <w:rPr>
          <w:rFonts w:eastAsia="SimSun"/>
          <w:lang w:val="fr-FR" w:eastAsia="zh-CN"/>
        </w:rPr>
        <w:t>’</w:t>
      </w:r>
      <w:r w:rsidRPr="00D57EC3">
        <w:rPr>
          <w:rFonts w:eastAsia="SimSun"/>
          <w:lang w:val="fr-FR" w:eastAsia="zh-CN"/>
        </w:rPr>
        <w:t>ils étaient disposés à partager les résultats de leurs études sur ce sujet et à participer activement aux travaux du groupe informel.</w:t>
      </w:r>
    </w:p>
    <w:p w14:paraId="48843888" w14:textId="6E951067" w:rsidR="00D05AE5" w:rsidRPr="00023AFD" w:rsidRDefault="00D05AE5" w:rsidP="008914BD">
      <w:pPr>
        <w:pStyle w:val="SingleTxtG"/>
        <w:rPr>
          <w:rFonts w:eastAsia="SimSun"/>
          <w:lang w:val="fr-FR" w:eastAsia="zh-CN"/>
        </w:rPr>
      </w:pPr>
      <w:r w:rsidRPr="00D57EC3">
        <w:rPr>
          <w:rFonts w:eastAsia="SimSun"/>
          <w:lang w:val="fr-FR" w:eastAsia="zh-CN"/>
        </w:rPr>
        <w:t>49.</w:t>
      </w:r>
      <w:r w:rsidRPr="00D57EC3">
        <w:rPr>
          <w:rFonts w:eastAsia="SimSun"/>
          <w:lang w:val="fr-FR" w:eastAsia="zh-CN"/>
        </w:rPr>
        <w:tab/>
        <w:t>La représentante du CEFIC a indiqué que le groupe de travail avait l</w:t>
      </w:r>
      <w:r w:rsidR="009657CE">
        <w:rPr>
          <w:rFonts w:eastAsia="SimSun"/>
          <w:lang w:val="fr-FR" w:eastAsia="zh-CN"/>
        </w:rPr>
        <w:t>’</w:t>
      </w:r>
      <w:r w:rsidRPr="00D57EC3">
        <w:rPr>
          <w:rFonts w:eastAsia="SimSun"/>
          <w:lang w:val="fr-FR" w:eastAsia="zh-CN"/>
        </w:rPr>
        <w:t xml:space="preserve">intention de reprendre ses activités en 2022 et a invité toutes les personnes </w:t>
      </w:r>
      <w:r>
        <w:rPr>
          <w:rFonts w:eastAsia="SimSun"/>
          <w:lang w:val="fr-FR" w:eastAsia="zh-CN"/>
        </w:rPr>
        <w:t xml:space="preserve">qui souhaitaient </w:t>
      </w:r>
      <w:r w:rsidRPr="00D57EC3">
        <w:rPr>
          <w:rFonts w:eastAsia="SimSun"/>
          <w:lang w:val="fr-FR" w:eastAsia="zh-CN"/>
        </w:rPr>
        <w:t>contribuer à ce domaine de travail à prendre contact avec elle (Liisi de Backer).</w:t>
      </w:r>
    </w:p>
    <w:p w14:paraId="13799353" w14:textId="7A63FCF2" w:rsidR="00D05AE5" w:rsidRPr="00023AFD" w:rsidRDefault="00D05AE5" w:rsidP="003C737D">
      <w:pPr>
        <w:pStyle w:val="H1G"/>
        <w:rPr>
          <w:rFonts w:eastAsia="SimSun"/>
          <w:lang w:eastAsia="zh-CN"/>
        </w:rPr>
      </w:pPr>
      <w:r>
        <w:rPr>
          <w:rFonts w:eastAsia="SimSun"/>
          <w:bCs/>
          <w:lang w:val="fr-FR" w:eastAsia="zh-CN"/>
        </w:rPr>
        <w:tab/>
      </w:r>
      <w:r w:rsidRPr="00D57EC3">
        <w:rPr>
          <w:rFonts w:eastAsia="SimSun"/>
          <w:bCs/>
          <w:lang w:val="fr-FR" w:eastAsia="zh-CN"/>
        </w:rPr>
        <w:t>D.</w:t>
      </w:r>
      <w:r w:rsidRPr="00D57EC3">
        <w:rPr>
          <w:rFonts w:eastAsia="SimSun"/>
          <w:lang w:val="fr-FR" w:eastAsia="zh-CN"/>
        </w:rPr>
        <w:tab/>
      </w:r>
      <w:r w:rsidRPr="00D57EC3">
        <w:rPr>
          <w:rFonts w:eastAsia="SimSun"/>
          <w:bCs/>
          <w:lang w:val="fr-FR" w:eastAsia="zh-CN"/>
        </w:rPr>
        <w:t xml:space="preserve">Autres </w:t>
      </w:r>
      <w:r w:rsidRPr="003C737D">
        <w:rPr>
          <w:lang w:val="fr-FR"/>
        </w:rPr>
        <w:t>questions</w:t>
      </w:r>
    </w:p>
    <w:p w14:paraId="3A15896E" w14:textId="1EF037AF" w:rsidR="00D05AE5" w:rsidRPr="00023AFD" w:rsidRDefault="00D05AE5" w:rsidP="008914BD">
      <w:pPr>
        <w:pStyle w:val="SingleTxtG"/>
        <w:rPr>
          <w:rFonts w:eastAsia="SimSun"/>
          <w:lang w:val="fr-FR" w:eastAsia="zh-CN"/>
        </w:rPr>
      </w:pPr>
      <w:r w:rsidRPr="00D57EC3">
        <w:rPr>
          <w:rFonts w:eastAsia="SimSun"/>
          <w:lang w:val="fr-FR" w:eastAsia="zh-CN"/>
        </w:rPr>
        <w:t>50.</w:t>
      </w:r>
      <w:r w:rsidRPr="00D57EC3">
        <w:rPr>
          <w:rFonts w:eastAsia="SimSun"/>
          <w:lang w:val="fr-FR" w:eastAsia="zh-CN"/>
        </w:rPr>
        <w:tab/>
        <w:t>Aucun document n</w:t>
      </w:r>
      <w:r w:rsidR="009657CE">
        <w:rPr>
          <w:rFonts w:eastAsia="SimSun"/>
          <w:lang w:val="fr-FR" w:eastAsia="zh-CN"/>
        </w:rPr>
        <w:t>’</w:t>
      </w:r>
      <w:r w:rsidRPr="00D57EC3">
        <w:rPr>
          <w:rFonts w:eastAsia="SimSun"/>
          <w:lang w:val="fr-FR" w:eastAsia="zh-CN"/>
        </w:rPr>
        <w:t xml:space="preserve">ayant été soumis au titre de ce point de </w:t>
      </w:r>
      <w:r w:rsidRPr="008914BD">
        <w:rPr>
          <w:lang w:val="fr-FR"/>
        </w:rPr>
        <w:t>l</w:t>
      </w:r>
      <w:r w:rsidR="009657CE">
        <w:rPr>
          <w:lang w:val="fr-FR"/>
        </w:rPr>
        <w:t>’</w:t>
      </w:r>
      <w:r w:rsidRPr="008914BD">
        <w:rPr>
          <w:lang w:val="fr-FR"/>
        </w:rPr>
        <w:t>ordre</w:t>
      </w:r>
      <w:r w:rsidRPr="00D57EC3">
        <w:rPr>
          <w:rFonts w:eastAsia="SimSun"/>
          <w:lang w:val="fr-FR" w:eastAsia="zh-CN"/>
        </w:rPr>
        <w:t xml:space="preserve"> du jour, la question n</w:t>
      </w:r>
      <w:r w:rsidR="009657CE">
        <w:rPr>
          <w:rFonts w:eastAsia="SimSun"/>
          <w:lang w:val="fr-FR" w:eastAsia="zh-CN"/>
        </w:rPr>
        <w:t>’</w:t>
      </w:r>
      <w:r w:rsidRPr="00D57EC3">
        <w:rPr>
          <w:rFonts w:eastAsia="SimSun"/>
          <w:lang w:val="fr-FR" w:eastAsia="zh-CN"/>
        </w:rPr>
        <w:t>a pas été abordée.</w:t>
      </w:r>
    </w:p>
    <w:p w14:paraId="6746163A" w14:textId="6CF2DCBE" w:rsidR="00D05AE5" w:rsidRPr="00023AFD" w:rsidRDefault="00D05AE5" w:rsidP="007509B0">
      <w:pPr>
        <w:pStyle w:val="HChG"/>
        <w:rPr>
          <w:lang w:val="fr-FR" w:eastAsia="zh-CN"/>
        </w:rPr>
      </w:pPr>
      <w:r>
        <w:rPr>
          <w:lang w:val="fr-FR" w:eastAsia="zh-CN"/>
        </w:rPr>
        <w:tab/>
      </w:r>
      <w:r w:rsidRPr="00D57EC3">
        <w:rPr>
          <w:lang w:val="fr-FR" w:eastAsia="zh-CN"/>
        </w:rPr>
        <w:t>VI.</w:t>
      </w:r>
      <w:r w:rsidRPr="00D57EC3">
        <w:rPr>
          <w:lang w:val="fr-FR" w:eastAsia="zh-CN"/>
        </w:rPr>
        <w:tab/>
      </w:r>
      <w:r w:rsidRPr="00D57EC3">
        <w:rPr>
          <w:lang w:val="fr-FR" w:eastAsia="zh-CN"/>
        </w:rPr>
        <w:tab/>
      </w:r>
      <w:r w:rsidRPr="007509B0">
        <w:t>Renforcement</w:t>
      </w:r>
      <w:r w:rsidRPr="00D57EC3">
        <w:rPr>
          <w:lang w:val="fr-FR" w:eastAsia="zh-CN"/>
        </w:rPr>
        <w:t xml:space="preserve"> des capacités (point 5 de l</w:t>
      </w:r>
      <w:r w:rsidR="009657CE">
        <w:rPr>
          <w:lang w:val="fr-FR" w:eastAsia="zh-CN"/>
        </w:rPr>
        <w:t>’</w:t>
      </w:r>
      <w:r w:rsidRPr="00D57EC3">
        <w:rPr>
          <w:lang w:val="fr-FR" w:eastAsia="zh-CN"/>
        </w:rPr>
        <w:t>ordre du jour)</w:t>
      </w:r>
    </w:p>
    <w:p w14:paraId="06CFA40A" w14:textId="546D8328" w:rsidR="00D05AE5" w:rsidRPr="00023AFD" w:rsidRDefault="00D05AE5" w:rsidP="0095533C">
      <w:pPr>
        <w:pStyle w:val="SingleTxtG"/>
        <w:tabs>
          <w:tab w:val="clear" w:pos="1701"/>
          <w:tab w:val="clear" w:pos="2268"/>
          <w:tab w:val="clear" w:pos="2835"/>
          <w:tab w:val="left" w:pos="3402"/>
        </w:tabs>
        <w:ind w:left="3402" w:hanging="2268"/>
        <w:rPr>
          <w:rFonts w:eastAsia="SimSun"/>
          <w:lang w:val="fr-FR" w:eastAsia="zh-CN"/>
        </w:rPr>
      </w:pPr>
      <w:r>
        <w:rPr>
          <w:rFonts w:eastAsia="SimSun"/>
          <w:i/>
          <w:iCs/>
          <w:lang w:val="fr-FR" w:eastAsia="zh-CN"/>
        </w:rPr>
        <w:t>Document(s) informel(s)</w:t>
      </w:r>
      <w:r w:rsidR="009657CE">
        <w:rPr>
          <w:rFonts w:eastAsia="SimSun"/>
          <w:i/>
          <w:iCs/>
          <w:lang w:val="fr-FR" w:eastAsia="zh-CN"/>
        </w:rPr>
        <w:t> </w:t>
      </w:r>
      <w:r>
        <w:rPr>
          <w:rFonts w:eastAsia="SimSun"/>
          <w:i/>
          <w:iCs/>
          <w:lang w:val="fr-FR" w:eastAsia="zh-CN"/>
        </w:rPr>
        <w:t>:</w:t>
      </w:r>
      <w:r w:rsidRPr="00D57EC3">
        <w:rPr>
          <w:rFonts w:eastAsia="SimSun"/>
          <w:lang w:val="fr-FR" w:eastAsia="zh-CN"/>
        </w:rPr>
        <w:tab/>
        <w:t>INF.8 (RPMASA)</w:t>
      </w:r>
    </w:p>
    <w:p w14:paraId="66D4B580" w14:textId="77777777" w:rsidR="00D05AE5" w:rsidRPr="00023AFD" w:rsidRDefault="00D05AE5" w:rsidP="008914BD">
      <w:pPr>
        <w:pStyle w:val="SingleTxtG"/>
        <w:rPr>
          <w:rFonts w:eastAsia="SimSun"/>
          <w:lang w:val="fr-FR" w:eastAsia="zh-CN"/>
        </w:rPr>
      </w:pPr>
      <w:r w:rsidRPr="00D57EC3">
        <w:rPr>
          <w:rFonts w:eastAsia="SimSun"/>
          <w:lang w:val="fr-FR" w:eastAsia="zh-CN"/>
        </w:rPr>
        <w:t>51.</w:t>
      </w:r>
      <w:r w:rsidRPr="00D57EC3">
        <w:rPr>
          <w:rFonts w:eastAsia="SimSun"/>
          <w:lang w:val="fr-FR" w:eastAsia="zh-CN"/>
        </w:rPr>
        <w:tab/>
        <w:t>Le Sous-Comité a pris note des informations relatives aux activités de renforcement des capacités menées par RPMASA en Afrique du Sud.</w:t>
      </w:r>
    </w:p>
    <w:p w14:paraId="0943CD3D" w14:textId="4549987C" w:rsidR="00D05AE5" w:rsidRPr="00023AFD" w:rsidRDefault="00D05AE5" w:rsidP="008914BD">
      <w:pPr>
        <w:pStyle w:val="SingleTxtG"/>
        <w:rPr>
          <w:rFonts w:eastAsia="SimSun"/>
          <w:lang w:val="fr-FR" w:eastAsia="zh-CN"/>
        </w:rPr>
      </w:pPr>
      <w:r w:rsidRPr="00D57EC3">
        <w:rPr>
          <w:rFonts w:eastAsia="SimSun"/>
          <w:lang w:val="fr-FR" w:eastAsia="zh-CN"/>
        </w:rPr>
        <w:t>52.</w:t>
      </w:r>
      <w:r w:rsidRPr="00D57EC3">
        <w:rPr>
          <w:rFonts w:eastAsia="SimSun"/>
          <w:lang w:val="fr-FR" w:eastAsia="zh-CN"/>
        </w:rPr>
        <w:tab/>
        <w:t>Le représentant de l</w:t>
      </w:r>
      <w:r w:rsidR="009657CE">
        <w:rPr>
          <w:rFonts w:eastAsia="SimSun"/>
          <w:lang w:val="fr-FR" w:eastAsia="zh-CN"/>
        </w:rPr>
        <w:t>’</w:t>
      </w:r>
      <w:r w:rsidRPr="00D57EC3">
        <w:rPr>
          <w:rFonts w:eastAsia="SimSun"/>
          <w:lang w:val="fr-FR" w:eastAsia="zh-CN"/>
        </w:rPr>
        <w:t>UNITAR a informé le Sous-Comité des activités de renforcement des capacités menées au Ghana et</w:t>
      </w:r>
      <w:r w:rsidRPr="00D57EC3">
        <w:rPr>
          <w:rFonts w:eastAsia="SimSun"/>
          <w:b/>
          <w:bCs/>
          <w:lang w:val="fr-FR" w:eastAsia="zh-CN"/>
        </w:rPr>
        <w:t xml:space="preserve"> </w:t>
      </w:r>
      <w:r w:rsidRPr="00D57EC3">
        <w:rPr>
          <w:rFonts w:eastAsia="SimSun"/>
          <w:lang w:val="fr-FR" w:eastAsia="zh-CN"/>
        </w:rPr>
        <w:t>à Kiribati en vue d</w:t>
      </w:r>
      <w:r w:rsidR="009657CE">
        <w:rPr>
          <w:rFonts w:eastAsia="SimSun"/>
          <w:lang w:val="fr-FR" w:eastAsia="zh-CN"/>
        </w:rPr>
        <w:t>’</w:t>
      </w:r>
      <w:r w:rsidRPr="00D57EC3">
        <w:rPr>
          <w:rFonts w:eastAsia="SimSun"/>
          <w:lang w:val="fr-FR" w:eastAsia="zh-CN"/>
        </w:rPr>
        <w:t>appuyer l</w:t>
      </w:r>
      <w:r w:rsidR="009657CE">
        <w:rPr>
          <w:rFonts w:eastAsia="SimSun"/>
          <w:lang w:val="fr-FR" w:eastAsia="zh-CN"/>
        </w:rPr>
        <w:t>’</w:t>
      </w:r>
      <w:r w:rsidRPr="00D57EC3">
        <w:rPr>
          <w:rFonts w:eastAsia="SimSun"/>
          <w:lang w:val="fr-FR" w:eastAsia="zh-CN"/>
        </w:rPr>
        <w:t>élaboration d</w:t>
      </w:r>
      <w:r w:rsidR="009657CE">
        <w:rPr>
          <w:rFonts w:eastAsia="SimSun"/>
          <w:lang w:val="fr-FR" w:eastAsia="zh-CN"/>
        </w:rPr>
        <w:t>’</w:t>
      </w:r>
      <w:r w:rsidRPr="00D57EC3">
        <w:rPr>
          <w:rFonts w:eastAsia="SimSun"/>
          <w:lang w:val="fr-FR" w:eastAsia="zh-CN"/>
        </w:rPr>
        <w:t xml:space="preserve">un règlement. </w:t>
      </w:r>
    </w:p>
    <w:p w14:paraId="0925598E" w14:textId="1C7FEF27" w:rsidR="00D05AE5" w:rsidRPr="00023AFD" w:rsidRDefault="00D05AE5" w:rsidP="008914BD">
      <w:pPr>
        <w:pStyle w:val="SingleTxtG"/>
        <w:rPr>
          <w:rFonts w:eastAsia="SimSun"/>
          <w:lang w:val="fr-FR" w:eastAsia="zh-CN"/>
        </w:rPr>
      </w:pPr>
      <w:r w:rsidRPr="00D57EC3">
        <w:rPr>
          <w:rFonts w:eastAsia="SimSun"/>
          <w:lang w:val="fr-FR" w:eastAsia="zh-CN"/>
        </w:rPr>
        <w:t>53.</w:t>
      </w:r>
      <w:r w:rsidRPr="00D57EC3">
        <w:rPr>
          <w:rFonts w:eastAsia="SimSun"/>
          <w:lang w:val="fr-FR" w:eastAsia="zh-CN"/>
        </w:rPr>
        <w:tab/>
        <w:t xml:space="preserve">Au sujet des activités liées à </w:t>
      </w:r>
      <w:r w:rsidRPr="008914BD">
        <w:rPr>
          <w:lang w:val="fr-FR"/>
        </w:rPr>
        <w:t>l</w:t>
      </w:r>
      <w:r w:rsidR="009657CE">
        <w:rPr>
          <w:lang w:val="fr-FR"/>
        </w:rPr>
        <w:t>’</w:t>
      </w:r>
      <w:r w:rsidRPr="008914BD">
        <w:rPr>
          <w:lang w:val="fr-FR"/>
        </w:rPr>
        <w:t>orientation</w:t>
      </w:r>
      <w:r w:rsidRPr="00D57EC3">
        <w:rPr>
          <w:rFonts w:eastAsia="SimSun"/>
          <w:lang w:val="fr-FR" w:eastAsia="zh-CN"/>
        </w:rPr>
        <w:t xml:space="preserve"> et à la formation, le Sous-Comité a </w:t>
      </w:r>
      <w:r>
        <w:rPr>
          <w:rFonts w:eastAsia="SimSun"/>
          <w:lang w:val="fr-FR" w:eastAsia="zh-CN"/>
        </w:rPr>
        <w:t>pris note des éléments suivants</w:t>
      </w:r>
      <w:r w:rsidR="009657CE">
        <w:rPr>
          <w:rFonts w:eastAsia="SimSun"/>
          <w:lang w:val="fr-FR" w:eastAsia="zh-CN"/>
        </w:rPr>
        <w:t> </w:t>
      </w:r>
      <w:r w:rsidRPr="00D57EC3">
        <w:rPr>
          <w:rFonts w:eastAsia="SimSun"/>
          <w:lang w:val="fr-FR" w:eastAsia="zh-CN"/>
        </w:rPr>
        <w:t>:</w:t>
      </w:r>
    </w:p>
    <w:p w14:paraId="78E95F7E" w14:textId="18630C91" w:rsidR="00D05AE5" w:rsidRPr="00023AFD" w:rsidRDefault="00D05AE5" w:rsidP="003C737D">
      <w:pPr>
        <w:pStyle w:val="SingleTxtG"/>
        <w:ind w:firstLine="567"/>
        <w:rPr>
          <w:rFonts w:eastAsia="SimSun"/>
          <w:lang w:val="fr-FR" w:eastAsia="zh-CN"/>
        </w:rPr>
      </w:pPr>
      <w:r w:rsidRPr="00D57EC3">
        <w:rPr>
          <w:rFonts w:eastAsia="SimSun"/>
          <w:lang w:val="fr-FR" w:eastAsia="zh-CN"/>
        </w:rPr>
        <w:t>a)</w:t>
      </w:r>
      <w:r w:rsidRPr="00D57EC3">
        <w:rPr>
          <w:rFonts w:eastAsia="SimSun"/>
          <w:lang w:val="fr-FR" w:eastAsia="zh-CN"/>
        </w:rPr>
        <w:tab/>
        <w:t>Un document sur les enseignements tirés de l</w:t>
      </w:r>
      <w:r w:rsidR="009657CE">
        <w:rPr>
          <w:rFonts w:eastAsia="SimSun"/>
          <w:lang w:val="fr-FR" w:eastAsia="zh-CN"/>
        </w:rPr>
        <w:t>’</w:t>
      </w:r>
      <w:r w:rsidRPr="00D57EC3">
        <w:rPr>
          <w:rFonts w:eastAsia="SimSun"/>
          <w:lang w:val="fr-FR" w:eastAsia="zh-CN"/>
        </w:rPr>
        <w:t>application du SGH et un document d</w:t>
      </w:r>
      <w:r w:rsidR="009657CE">
        <w:rPr>
          <w:rFonts w:eastAsia="SimSun"/>
          <w:lang w:val="fr-FR" w:eastAsia="zh-CN"/>
        </w:rPr>
        <w:t>’</w:t>
      </w:r>
      <w:r w:rsidRPr="00D57EC3">
        <w:rPr>
          <w:rFonts w:eastAsia="SimSun"/>
          <w:lang w:val="fr-FR" w:eastAsia="zh-CN"/>
        </w:rPr>
        <w:t>orientation sur l</w:t>
      </w:r>
      <w:r w:rsidR="009657CE">
        <w:rPr>
          <w:rFonts w:eastAsia="SimSun"/>
          <w:lang w:val="fr-FR" w:eastAsia="zh-CN"/>
        </w:rPr>
        <w:t>’</w:t>
      </w:r>
      <w:r w:rsidRPr="00D57EC3">
        <w:rPr>
          <w:rFonts w:eastAsia="SimSun"/>
          <w:lang w:val="fr-FR" w:eastAsia="zh-CN"/>
        </w:rPr>
        <w:t>élaboration des textes d</w:t>
      </w:r>
      <w:r w:rsidR="009657CE">
        <w:rPr>
          <w:rFonts w:eastAsia="SimSun"/>
          <w:lang w:val="fr-FR" w:eastAsia="zh-CN"/>
        </w:rPr>
        <w:t>’</w:t>
      </w:r>
      <w:r w:rsidRPr="00D57EC3">
        <w:rPr>
          <w:rFonts w:eastAsia="SimSun"/>
          <w:lang w:val="fr-FR" w:eastAsia="zh-CN"/>
        </w:rPr>
        <w:t>application du SGH avaient été publiés et étaient disponibles sur le site Web de l</w:t>
      </w:r>
      <w:r w:rsidR="009657CE">
        <w:rPr>
          <w:rFonts w:eastAsia="SimSun"/>
          <w:lang w:val="fr-FR" w:eastAsia="zh-CN"/>
        </w:rPr>
        <w:t>’</w:t>
      </w:r>
      <w:r w:rsidRPr="00D57EC3">
        <w:rPr>
          <w:rFonts w:eastAsia="SimSun"/>
          <w:lang w:val="fr-FR" w:eastAsia="zh-CN"/>
        </w:rPr>
        <w:t>UNITAR</w:t>
      </w:r>
      <w:r w:rsidRPr="00023AFD">
        <w:rPr>
          <w:rStyle w:val="FootnoteReference"/>
        </w:rPr>
        <w:footnoteReference w:id="6"/>
      </w:r>
      <w:r w:rsidRPr="00D57EC3">
        <w:rPr>
          <w:rFonts w:eastAsia="SimSun"/>
          <w:lang w:val="fr-FR" w:eastAsia="zh-CN"/>
        </w:rPr>
        <w:t>.</w:t>
      </w:r>
    </w:p>
    <w:p w14:paraId="2C016CD8" w14:textId="689A7D03" w:rsidR="00D05AE5" w:rsidRPr="00023AFD" w:rsidRDefault="00D05AE5" w:rsidP="003C737D">
      <w:pPr>
        <w:pStyle w:val="SingleTxtG"/>
        <w:ind w:firstLine="567"/>
        <w:rPr>
          <w:rFonts w:eastAsia="SimSun"/>
          <w:lang w:val="fr-FR" w:eastAsia="zh-CN"/>
        </w:rPr>
      </w:pPr>
      <w:r w:rsidRPr="00D57EC3">
        <w:rPr>
          <w:rFonts w:eastAsia="SimSun"/>
          <w:lang w:val="fr-FR" w:eastAsia="zh-CN"/>
        </w:rPr>
        <w:t>b)</w:t>
      </w:r>
      <w:r w:rsidRPr="00D57EC3">
        <w:rPr>
          <w:rFonts w:eastAsia="SimSun"/>
          <w:lang w:val="fr-FR" w:eastAsia="zh-CN"/>
        </w:rPr>
        <w:tab/>
        <w:t>Des cours d</w:t>
      </w:r>
      <w:r w:rsidR="009657CE">
        <w:rPr>
          <w:rFonts w:eastAsia="SimSun"/>
          <w:lang w:val="fr-FR" w:eastAsia="zh-CN"/>
        </w:rPr>
        <w:t>’</w:t>
      </w:r>
      <w:r w:rsidRPr="00D57EC3">
        <w:rPr>
          <w:rFonts w:eastAsia="SimSun"/>
          <w:lang w:val="fr-FR" w:eastAsia="zh-CN"/>
        </w:rPr>
        <w:t>apprentissage en ligne avaient été dispensés en anglais et en espagnol en 2021, et le prochain cycle devrait commencer en mars-avril 2022. Des</w:t>
      </w:r>
      <w:r w:rsidR="00C66872">
        <w:rPr>
          <w:rFonts w:eastAsia="SimSun"/>
          <w:lang w:val="fr-FR" w:eastAsia="zh-CN"/>
        </w:rPr>
        <w:t> </w:t>
      </w:r>
      <w:r w:rsidRPr="00D57EC3">
        <w:rPr>
          <w:rFonts w:eastAsia="SimSun"/>
          <w:lang w:val="fr-FR" w:eastAsia="zh-CN"/>
        </w:rPr>
        <w:t>webinaires de formation technique en anglais et en espagnol, axés sur les fiches de données de sécurité, l</w:t>
      </w:r>
      <w:r w:rsidR="009657CE">
        <w:rPr>
          <w:rFonts w:eastAsia="SimSun"/>
          <w:lang w:val="fr-FR" w:eastAsia="zh-CN"/>
        </w:rPr>
        <w:t>’</w:t>
      </w:r>
      <w:r w:rsidRPr="00D57EC3">
        <w:rPr>
          <w:rFonts w:eastAsia="SimSun"/>
          <w:lang w:val="fr-FR" w:eastAsia="zh-CN"/>
        </w:rPr>
        <w:t>étiquetage et la recherche de données, avaient également été organisés pour compléter les cours d</w:t>
      </w:r>
      <w:r w:rsidR="009657CE">
        <w:rPr>
          <w:rFonts w:eastAsia="SimSun"/>
          <w:lang w:val="fr-FR" w:eastAsia="zh-CN"/>
        </w:rPr>
        <w:t>’</w:t>
      </w:r>
      <w:r w:rsidRPr="00D57EC3">
        <w:rPr>
          <w:rFonts w:eastAsia="SimSun"/>
          <w:lang w:val="fr-FR" w:eastAsia="zh-CN"/>
        </w:rPr>
        <w:t xml:space="preserve">apprentissage en ligne. </w:t>
      </w:r>
    </w:p>
    <w:p w14:paraId="4DB96EEA" w14:textId="4F1FA036" w:rsidR="00D05AE5" w:rsidRPr="00023AFD" w:rsidRDefault="00D05AE5" w:rsidP="008914BD">
      <w:pPr>
        <w:pStyle w:val="SingleTxtG"/>
        <w:rPr>
          <w:rFonts w:eastAsia="SimSun"/>
          <w:lang w:val="fr-FR" w:eastAsia="zh-CN"/>
        </w:rPr>
      </w:pPr>
      <w:r w:rsidRPr="00D57EC3">
        <w:rPr>
          <w:rFonts w:eastAsia="SimSun"/>
          <w:lang w:val="fr-FR" w:eastAsia="zh-CN"/>
        </w:rPr>
        <w:t>54.</w:t>
      </w:r>
      <w:r w:rsidRPr="00D57EC3">
        <w:rPr>
          <w:rFonts w:eastAsia="SimSun"/>
          <w:lang w:val="fr-FR" w:eastAsia="zh-CN"/>
        </w:rPr>
        <w:tab/>
        <w:t>Le Sous-Comité a accueilli favorablement les informations fournies et a encouragé l</w:t>
      </w:r>
      <w:r w:rsidR="009657CE">
        <w:rPr>
          <w:rFonts w:eastAsia="SimSun"/>
          <w:lang w:val="fr-FR" w:eastAsia="zh-CN"/>
        </w:rPr>
        <w:t>’</w:t>
      </w:r>
      <w:r w:rsidRPr="00D57EC3">
        <w:rPr>
          <w:rFonts w:eastAsia="SimSun"/>
          <w:lang w:val="fr-FR" w:eastAsia="zh-CN"/>
        </w:rPr>
        <w:t xml:space="preserve">UNITAR à lui fournir des renseignements sur les </w:t>
      </w:r>
      <w:r w:rsidRPr="008914BD">
        <w:rPr>
          <w:lang w:val="fr-FR"/>
        </w:rPr>
        <w:t>difficultés</w:t>
      </w:r>
      <w:r w:rsidRPr="00D57EC3">
        <w:rPr>
          <w:rFonts w:eastAsia="SimSun"/>
          <w:lang w:val="fr-FR" w:eastAsia="zh-CN"/>
        </w:rPr>
        <w:t xml:space="preserve"> et les questions liées à l</w:t>
      </w:r>
      <w:r w:rsidR="009657CE">
        <w:rPr>
          <w:rFonts w:eastAsia="SimSun"/>
          <w:lang w:val="fr-FR" w:eastAsia="zh-CN"/>
        </w:rPr>
        <w:t>’</w:t>
      </w:r>
      <w:r w:rsidRPr="00D57EC3">
        <w:rPr>
          <w:rFonts w:eastAsia="SimSun"/>
          <w:lang w:val="fr-FR" w:eastAsia="zh-CN"/>
        </w:rPr>
        <w:t>application du SGH qui avaient pu être recensées dans le cadre des activités de renforcement des capacités et de formation.</w:t>
      </w:r>
    </w:p>
    <w:p w14:paraId="5DE0D5AE" w14:textId="699962F6" w:rsidR="00D05AE5" w:rsidRPr="00023AFD" w:rsidRDefault="00D05AE5" w:rsidP="00C66872">
      <w:pPr>
        <w:pStyle w:val="HChG"/>
        <w:rPr>
          <w:lang w:val="fr-FR" w:eastAsia="zh-CN"/>
        </w:rPr>
      </w:pPr>
      <w:r>
        <w:rPr>
          <w:lang w:val="fr-FR" w:eastAsia="zh-CN"/>
        </w:rPr>
        <w:tab/>
      </w:r>
      <w:r w:rsidRPr="00D57EC3">
        <w:rPr>
          <w:lang w:val="fr-FR" w:eastAsia="zh-CN"/>
        </w:rPr>
        <w:t>VII.</w:t>
      </w:r>
      <w:r w:rsidRPr="00D57EC3">
        <w:rPr>
          <w:lang w:val="fr-FR" w:eastAsia="zh-CN"/>
        </w:rPr>
        <w:tab/>
      </w:r>
      <w:r w:rsidRPr="00D57EC3">
        <w:rPr>
          <w:lang w:val="fr-FR" w:eastAsia="zh-CN"/>
        </w:rPr>
        <w:tab/>
        <w:t>Questions diverses (point 6 de l</w:t>
      </w:r>
      <w:r w:rsidR="009657CE">
        <w:rPr>
          <w:lang w:val="fr-FR" w:eastAsia="zh-CN"/>
        </w:rPr>
        <w:t>’</w:t>
      </w:r>
      <w:r w:rsidRPr="00D57EC3">
        <w:rPr>
          <w:lang w:val="fr-FR" w:eastAsia="zh-CN"/>
        </w:rPr>
        <w:t xml:space="preserve">ordre du </w:t>
      </w:r>
      <w:r w:rsidRPr="00C66872">
        <w:t>jour</w:t>
      </w:r>
      <w:r w:rsidRPr="00D57EC3">
        <w:rPr>
          <w:lang w:val="fr-FR" w:eastAsia="zh-CN"/>
        </w:rPr>
        <w:t>)</w:t>
      </w:r>
    </w:p>
    <w:p w14:paraId="157269C7" w14:textId="76A3535A" w:rsidR="00D05AE5" w:rsidRPr="00023AFD" w:rsidRDefault="00D05AE5" w:rsidP="003C737D">
      <w:pPr>
        <w:pStyle w:val="H1G"/>
        <w:rPr>
          <w:rFonts w:eastAsia="SimSun"/>
          <w:lang w:val="fr-FR" w:eastAsia="zh-CN"/>
        </w:rPr>
      </w:pPr>
      <w:r>
        <w:rPr>
          <w:rFonts w:eastAsia="SimSun"/>
          <w:bCs/>
          <w:lang w:val="fr-FR" w:eastAsia="zh-CN"/>
        </w:rPr>
        <w:tab/>
      </w:r>
      <w:r w:rsidRPr="00D57EC3">
        <w:rPr>
          <w:rFonts w:eastAsia="SimSun"/>
          <w:bCs/>
          <w:lang w:val="fr-FR" w:eastAsia="zh-CN"/>
        </w:rPr>
        <w:t>A.</w:t>
      </w:r>
      <w:r w:rsidRPr="00D57EC3">
        <w:rPr>
          <w:rFonts w:eastAsia="SimSun"/>
          <w:lang w:val="fr-FR" w:eastAsia="zh-CN"/>
        </w:rPr>
        <w:tab/>
      </w:r>
      <w:r w:rsidRPr="00D57EC3">
        <w:rPr>
          <w:rFonts w:eastAsia="SimSun"/>
          <w:bCs/>
          <w:lang w:val="fr-FR" w:eastAsia="zh-CN"/>
        </w:rPr>
        <w:t xml:space="preserve">Examen des organes subsidiaires du Conseil économique et social </w:t>
      </w:r>
      <w:r w:rsidR="007509B0">
        <w:rPr>
          <w:rFonts w:eastAsia="SimSun"/>
          <w:bCs/>
          <w:lang w:val="fr-FR" w:eastAsia="zh-CN"/>
        </w:rPr>
        <w:br/>
      </w:r>
      <w:r w:rsidRPr="00D57EC3">
        <w:rPr>
          <w:rFonts w:eastAsia="SimSun"/>
          <w:bCs/>
          <w:lang w:val="fr-FR" w:eastAsia="zh-CN"/>
        </w:rPr>
        <w:t xml:space="preserve">à </w:t>
      </w:r>
      <w:r>
        <w:rPr>
          <w:rFonts w:eastAsia="SimSun"/>
          <w:bCs/>
          <w:lang w:val="fr-FR" w:eastAsia="zh-CN"/>
        </w:rPr>
        <w:t>s</w:t>
      </w:r>
      <w:r w:rsidRPr="00D57EC3">
        <w:rPr>
          <w:rFonts w:eastAsia="SimSun"/>
          <w:bCs/>
          <w:lang w:val="fr-FR" w:eastAsia="zh-CN"/>
        </w:rPr>
        <w:t>a session de 2022</w:t>
      </w:r>
    </w:p>
    <w:p w14:paraId="6150AA8B" w14:textId="59CDCA8E" w:rsidR="00D05AE5" w:rsidRPr="00023AFD" w:rsidRDefault="00D05AE5" w:rsidP="0095533C">
      <w:pPr>
        <w:pStyle w:val="SingleTxtG"/>
        <w:tabs>
          <w:tab w:val="clear" w:pos="1701"/>
          <w:tab w:val="clear" w:pos="2268"/>
          <w:tab w:val="clear" w:pos="2835"/>
          <w:tab w:val="left" w:pos="3402"/>
        </w:tabs>
        <w:ind w:left="3402" w:hanging="2268"/>
        <w:rPr>
          <w:rFonts w:eastAsia="SimSun"/>
          <w:lang w:val="fr-FR" w:eastAsia="zh-CN"/>
        </w:rPr>
      </w:pPr>
      <w:r>
        <w:rPr>
          <w:rFonts w:eastAsia="SimSun"/>
          <w:i/>
          <w:iCs/>
          <w:lang w:val="fr-FR" w:eastAsia="zh-CN"/>
        </w:rPr>
        <w:t>Document(s) informel(s)</w:t>
      </w:r>
      <w:r w:rsidR="009657CE">
        <w:rPr>
          <w:rFonts w:eastAsia="SimSun"/>
          <w:i/>
          <w:iCs/>
          <w:lang w:val="fr-FR" w:eastAsia="zh-CN"/>
        </w:rPr>
        <w:t> </w:t>
      </w:r>
      <w:r>
        <w:rPr>
          <w:rFonts w:eastAsia="SimSun"/>
          <w:i/>
          <w:iCs/>
          <w:lang w:val="fr-FR" w:eastAsia="zh-CN"/>
        </w:rPr>
        <w:t>:</w:t>
      </w:r>
      <w:r w:rsidRPr="00D57EC3">
        <w:rPr>
          <w:rFonts w:eastAsia="SimSun"/>
          <w:lang w:val="fr-FR" w:eastAsia="zh-CN"/>
        </w:rPr>
        <w:t xml:space="preserve"> </w:t>
      </w:r>
      <w:r w:rsidRPr="00D57EC3">
        <w:rPr>
          <w:rFonts w:eastAsia="SimSun"/>
          <w:lang w:val="fr-FR" w:eastAsia="zh-CN"/>
        </w:rPr>
        <w:tab/>
      </w:r>
      <w:r w:rsidRPr="00D57EC3">
        <w:rPr>
          <w:rFonts w:eastAsia="SimSun"/>
          <w:lang w:val="fr-FR" w:eastAsia="zh-CN"/>
        </w:rPr>
        <w:tab/>
        <w:t>INF.5 (secrétariat)</w:t>
      </w:r>
    </w:p>
    <w:p w14:paraId="6EAB79A0" w14:textId="17B0B14F" w:rsidR="00D05AE5" w:rsidRPr="00023AFD" w:rsidRDefault="00D05AE5" w:rsidP="008914BD">
      <w:pPr>
        <w:pStyle w:val="SingleTxtG"/>
        <w:rPr>
          <w:rFonts w:eastAsia="SimSun"/>
          <w:lang w:val="fr-FR" w:eastAsia="zh-CN"/>
        </w:rPr>
      </w:pPr>
      <w:r w:rsidRPr="00D57EC3">
        <w:rPr>
          <w:rFonts w:eastAsia="SimSun"/>
          <w:lang w:val="fr-FR" w:eastAsia="zh-CN"/>
        </w:rPr>
        <w:t>55.</w:t>
      </w:r>
      <w:r w:rsidRPr="00D57EC3">
        <w:rPr>
          <w:rFonts w:eastAsia="SimSun"/>
          <w:lang w:val="fr-FR" w:eastAsia="zh-CN"/>
        </w:rPr>
        <w:tab/>
        <w:t>Le Sous-Comité a pris note de la demande du Conseil économique et social visant à obtenir des contributions relatives à l</w:t>
      </w:r>
      <w:r w:rsidR="009657CE">
        <w:rPr>
          <w:rFonts w:eastAsia="SimSun"/>
          <w:lang w:val="fr-FR" w:eastAsia="zh-CN"/>
        </w:rPr>
        <w:t>’</w:t>
      </w:r>
      <w:r w:rsidRPr="00D57EC3">
        <w:rPr>
          <w:rFonts w:eastAsia="SimSun"/>
          <w:lang w:val="fr-FR" w:eastAsia="zh-CN"/>
        </w:rPr>
        <w:t>examen de ses organes subsidiaires et a approuvé la présentation générale de ses travaux et de leurs liens avec le Programme 2030 figurant à l</w:t>
      </w:r>
      <w:r w:rsidR="009657CE">
        <w:rPr>
          <w:rFonts w:eastAsia="SimSun"/>
          <w:lang w:val="fr-FR" w:eastAsia="zh-CN"/>
        </w:rPr>
        <w:t>’</w:t>
      </w:r>
      <w:r w:rsidRPr="00D57EC3">
        <w:rPr>
          <w:rFonts w:eastAsia="SimSun"/>
          <w:lang w:val="fr-FR" w:eastAsia="zh-CN"/>
        </w:rPr>
        <w:t>annexe</w:t>
      </w:r>
      <w:r w:rsidR="00C66872">
        <w:rPr>
          <w:rFonts w:eastAsia="SimSun"/>
          <w:lang w:val="fr-FR" w:eastAsia="zh-CN"/>
        </w:rPr>
        <w:t> </w:t>
      </w:r>
      <w:r w:rsidRPr="00D57EC3">
        <w:rPr>
          <w:rFonts w:eastAsia="SimSun"/>
          <w:lang w:val="fr-FR" w:eastAsia="zh-CN"/>
        </w:rPr>
        <w:t>I du document informel INF.15. Après en avoir délibéré, le Sous-Comité a approuvé les réponses au questionnaire figurant à l</w:t>
      </w:r>
      <w:r w:rsidR="009657CE">
        <w:rPr>
          <w:rFonts w:eastAsia="SimSun"/>
          <w:lang w:val="fr-FR" w:eastAsia="zh-CN"/>
        </w:rPr>
        <w:t>’</w:t>
      </w:r>
      <w:r w:rsidRPr="00D57EC3">
        <w:rPr>
          <w:rFonts w:eastAsia="SimSun"/>
          <w:lang w:val="fr-FR" w:eastAsia="zh-CN"/>
        </w:rPr>
        <w:t>annexe II du document informel INF.15</w:t>
      </w:r>
      <w:r w:rsidRPr="00023AFD">
        <w:rPr>
          <w:rStyle w:val="FootnoteReference"/>
        </w:rPr>
        <w:footnoteReference w:id="7"/>
      </w:r>
      <w:r w:rsidRPr="00D57EC3">
        <w:rPr>
          <w:rFonts w:eastAsia="SimSun"/>
          <w:lang w:val="fr-FR" w:eastAsia="zh-CN"/>
        </w:rPr>
        <w:t>.</w:t>
      </w:r>
    </w:p>
    <w:p w14:paraId="4365D4E1" w14:textId="77777777" w:rsidR="00D05AE5" w:rsidRPr="00023AFD" w:rsidRDefault="00D05AE5" w:rsidP="003C737D">
      <w:pPr>
        <w:pStyle w:val="H1G"/>
        <w:rPr>
          <w:rFonts w:eastAsia="SimSun"/>
          <w:lang w:val="fr-FR" w:eastAsia="zh-CN"/>
        </w:rPr>
      </w:pPr>
      <w:r>
        <w:rPr>
          <w:rFonts w:eastAsia="SimSun"/>
          <w:bCs/>
          <w:lang w:val="fr-FR" w:eastAsia="zh-CN"/>
        </w:rPr>
        <w:tab/>
      </w:r>
      <w:r w:rsidRPr="00D57EC3">
        <w:rPr>
          <w:rFonts w:eastAsia="SimSun"/>
          <w:bCs/>
          <w:lang w:val="fr-FR" w:eastAsia="zh-CN"/>
        </w:rPr>
        <w:t>B.</w:t>
      </w:r>
      <w:r w:rsidRPr="00D57EC3">
        <w:rPr>
          <w:rFonts w:eastAsia="SimSun"/>
          <w:lang w:val="fr-FR" w:eastAsia="zh-CN"/>
        </w:rPr>
        <w:tab/>
      </w:r>
      <w:r w:rsidRPr="00D57EC3">
        <w:rPr>
          <w:rFonts w:eastAsia="SimSun"/>
          <w:bCs/>
          <w:lang w:val="fr-FR" w:eastAsia="zh-CN"/>
        </w:rPr>
        <w:t xml:space="preserve">Dates de la quarante-deuxième session et délais de </w:t>
      </w:r>
      <w:r w:rsidRPr="003C737D">
        <w:rPr>
          <w:lang w:val="fr-FR"/>
        </w:rPr>
        <w:t>soumission</w:t>
      </w:r>
    </w:p>
    <w:p w14:paraId="34A488FE" w14:textId="31439A0F" w:rsidR="00D05AE5" w:rsidRPr="00023AFD" w:rsidRDefault="00D05AE5" w:rsidP="008914BD">
      <w:pPr>
        <w:pStyle w:val="SingleTxtG"/>
        <w:rPr>
          <w:rFonts w:eastAsia="SimSun"/>
          <w:lang w:val="fr-FR" w:eastAsia="zh-CN"/>
        </w:rPr>
      </w:pPr>
      <w:r w:rsidRPr="00D57EC3">
        <w:rPr>
          <w:rFonts w:eastAsia="SimSun"/>
          <w:lang w:val="fr-FR" w:eastAsia="zh-CN"/>
        </w:rPr>
        <w:t>56.</w:t>
      </w:r>
      <w:r w:rsidRPr="00D57EC3">
        <w:rPr>
          <w:rFonts w:eastAsia="SimSun"/>
          <w:lang w:val="fr-FR" w:eastAsia="zh-CN"/>
        </w:rPr>
        <w:tab/>
        <w:t>Le Sous-Comité a été invité à prendre note des dates de sa quarante-deuxième session et des délais de soumission des documents, à savoir</w:t>
      </w:r>
      <w:r w:rsidR="009657CE">
        <w:rPr>
          <w:rFonts w:eastAsia="SimSun"/>
          <w:lang w:val="fr-FR" w:eastAsia="zh-CN"/>
        </w:rPr>
        <w:t> </w:t>
      </w:r>
      <w:r w:rsidRPr="00D57EC3">
        <w:rPr>
          <w:rFonts w:eastAsia="SimSun"/>
          <w:lang w:val="fr-FR" w:eastAsia="zh-CN"/>
        </w:rPr>
        <w:t xml:space="preserve">: </w:t>
      </w:r>
    </w:p>
    <w:p w14:paraId="2728362B" w14:textId="298BAD81" w:rsidR="00D05AE5" w:rsidRPr="00023AFD" w:rsidRDefault="00D05AE5" w:rsidP="003C737D">
      <w:pPr>
        <w:pStyle w:val="SingleTxtG"/>
        <w:ind w:firstLine="567"/>
        <w:rPr>
          <w:rFonts w:eastAsia="SimSun"/>
          <w:lang w:val="fr-FR" w:eastAsia="zh-CN"/>
        </w:rPr>
      </w:pPr>
      <w:r w:rsidRPr="00D57EC3">
        <w:rPr>
          <w:rFonts w:eastAsia="SimSun"/>
          <w:lang w:val="fr-FR" w:eastAsia="zh-CN"/>
        </w:rPr>
        <w:t>a)</w:t>
      </w:r>
      <w:r w:rsidRPr="00D57EC3">
        <w:rPr>
          <w:rFonts w:eastAsia="SimSun"/>
          <w:lang w:val="fr-FR" w:eastAsia="zh-CN"/>
        </w:rPr>
        <w:tab/>
        <w:t>Dates de la réunion</w:t>
      </w:r>
      <w:r w:rsidR="009657CE">
        <w:rPr>
          <w:rFonts w:eastAsia="SimSun"/>
          <w:lang w:val="fr-FR" w:eastAsia="zh-CN"/>
        </w:rPr>
        <w:t> </w:t>
      </w:r>
      <w:r w:rsidRPr="00D57EC3">
        <w:rPr>
          <w:rFonts w:eastAsia="SimSun"/>
          <w:lang w:val="fr-FR" w:eastAsia="zh-CN"/>
        </w:rPr>
        <w:t>: du 6 au 8 juillet 2022 ;</w:t>
      </w:r>
    </w:p>
    <w:p w14:paraId="4CB2C472" w14:textId="0CA8DAB9" w:rsidR="00D05AE5" w:rsidRPr="00023AFD" w:rsidRDefault="00D05AE5" w:rsidP="003C737D">
      <w:pPr>
        <w:pStyle w:val="SingleTxtG"/>
        <w:ind w:firstLine="567"/>
        <w:rPr>
          <w:rFonts w:eastAsia="SimSun"/>
          <w:lang w:val="fr-FR" w:eastAsia="zh-CN"/>
        </w:rPr>
      </w:pPr>
      <w:r w:rsidRPr="00D57EC3">
        <w:rPr>
          <w:rFonts w:eastAsia="SimSun"/>
          <w:lang w:val="fr-FR" w:eastAsia="zh-CN"/>
        </w:rPr>
        <w:t>b)</w:t>
      </w:r>
      <w:r w:rsidRPr="00D57EC3">
        <w:rPr>
          <w:rFonts w:eastAsia="SimSun"/>
          <w:lang w:val="fr-FR" w:eastAsia="zh-CN"/>
        </w:rPr>
        <w:tab/>
        <w:t>Dates limites de soumission des documents officiels</w:t>
      </w:r>
      <w:r w:rsidR="009657CE">
        <w:rPr>
          <w:rFonts w:eastAsia="SimSun"/>
          <w:lang w:val="fr-FR" w:eastAsia="zh-CN"/>
        </w:rPr>
        <w:t> </w:t>
      </w:r>
      <w:r w:rsidRPr="00D57EC3">
        <w:rPr>
          <w:rFonts w:eastAsia="SimSun"/>
          <w:lang w:val="fr-FR" w:eastAsia="zh-CN"/>
        </w:rPr>
        <w:t>: 13 avril 2022 (pour les documents soumis à l</w:t>
      </w:r>
      <w:r w:rsidR="009657CE">
        <w:rPr>
          <w:rFonts w:eastAsia="SimSun"/>
          <w:lang w:val="fr-FR" w:eastAsia="zh-CN"/>
        </w:rPr>
        <w:t>’</w:t>
      </w:r>
      <w:r w:rsidRPr="00D57EC3">
        <w:rPr>
          <w:rFonts w:eastAsia="SimSun"/>
          <w:lang w:val="fr-FR" w:eastAsia="zh-CN"/>
        </w:rPr>
        <w:t>examen du Sous-Comité SGH uniquement) et 1</w:t>
      </w:r>
      <w:r w:rsidRPr="00D57EC3">
        <w:rPr>
          <w:rFonts w:eastAsia="SimSun"/>
          <w:vertAlign w:val="superscript"/>
          <w:lang w:val="fr-FR" w:eastAsia="zh-CN"/>
        </w:rPr>
        <w:t>er</w:t>
      </w:r>
      <w:r>
        <w:rPr>
          <w:rFonts w:eastAsia="SimSun"/>
          <w:lang w:val="fr-FR" w:eastAsia="zh-CN"/>
        </w:rPr>
        <w:t xml:space="preserve"> </w:t>
      </w:r>
      <w:r w:rsidRPr="00D57EC3">
        <w:rPr>
          <w:rFonts w:eastAsia="SimSun"/>
          <w:lang w:val="fr-FR" w:eastAsia="zh-CN"/>
        </w:rPr>
        <w:t>avril 2022 (pour les documents soumis à l</w:t>
      </w:r>
      <w:r w:rsidR="009657CE">
        <w:rPr>
          <w:rFonts w:eastAsia="SimSun"/>
          <w:lang w:val="fr-FR" w:eastAsia="zh-CN"/>
        </w:rPr>
        <w:t>’</w:t>
      </w:r>
      <w:r w:rsidRPr="00D57EC3">
        <w:rPr>
          <w:rFonts w:eastAsia="SimSun"/>
          <w:lang w:val="fr-FR" w:eastAsia="zh-CN"/>
        </w:rPr>
        <w:t>examen des Sous-Comités TMD et SGH).</w:t>
      </w:r>
    </w:p>
    <w:p w14:paraId="0127256E" w14:textId="3FB4B4EF" w:rsidR="00D05AE5" w:rsidRPr="00023AFD" w:rsidRDefault="00D05AE5" w:rsidP="00C66872">
      <w:pPr>
        <w:pStyle w:val="HChG"/>
        <w:rPr>
          <w:lang w:val="fr-FR" w:eastAsia="zh-CN"/>
        </w:rPr>
      </w:pPr>
      <w:r>
        <w:rPr>
          <w:lang w:val="fr-FR" w:eastAsia="zh-CN"/>
        </w:rPr>
        <w:tab/>
      </w:r>
      <w:r w:rsidRPr="00D57EC3">
        <w:rPr>
          <w:lang w:val="fr-FR" w:eastAsia="zh-CN"/>
        </w:rPr>
        <w:t>VIII.</w:t>
      </w:r>
      <w:r w:rsidRPr="00D57EC3">
        <w:rPr>
          <w:lang w:val="fr-FR" w:eastAsia="zh-CN"/>
        </w:rPr>
        <w:tab/>
        <w:t>Adoption du rapport (point 7 de l</w:t>
      </w:r>
      <w:r w:rsidR="009657CE">
        <w:rPr>
          <w:lang w:val="fr-FR" w:eastAsia="zh-CN"/>
        </w:rPr>
        <w:t>’</w:t>
      </w:r>
      <w:r w:rsidRPr="00D57EC3">
        <w:rPr>
          <w:lang w:val="fr-FR" w:eastAsia="zh-CN"/>
        </w:rPr>
        <w:t>ordre du jour)</w:t>
      </w:r>
    </w:p>
    <w:p w14:paraId="55D3A289" w14:textId="6DB5EE5C" w:rsidR="00D05AE5" w:rsidRDefault="00D05AE5" w:rsidP="008914BD">
      <w:pPr>
        <w:pStyle w:val="SingleTxtG"/>
        <w:rPr>
          <w:lang w:val="fr-FR"/>
        </w:rPr>
      </w:pPr>
      <w:r w:rsidRPr="00D57EC3">
        <w:rPr>
          <w:rFonts w:eastAsia="SimSun"/>
          <w:lang w:val="fr-FR" w:eastAsia="zh-CN"/>
        </w:rPr>
        <w:t>57.</w:t>
      </w:r>
      <w:r w:rsidRPr="00D57EC3">
        <w:rPr>
          <w:rFonts w:eastAsia="SimSun"/>
          <w:lang w:val="fr-FR" w:eastAsia="zh-CN"/>
        </w:rPr>
        <w:tab/>
        <w:t xml:space="preserve">Le Sous-Comité a adopté le rapport de sa quarante et </w:t>
      </w:r>
      <w:r w:rsidRPr="008914BD">
        <w:rPr>
          <w:lang w:val="fr-FR"/>
        </w:rPr>
        <w:t>unième</w:t>
      </w:r>
      <w:r w:rsidRPr="00D57EC3">
        <w:rPr>
          <w:rFonts w:eastAsia="SimSun"/>
          <w:lang w:val="fr-FR" w:eastAsia="zh-CN"/>
        </w:rPr>
        <w:t xml:space="preserve"> session et son annexe sur la base d</w:t>
      </w:r>
      <w:r w:rsidR="009657CE">
        <w:rPr>
          <w:rFonts w:eastAsia="SimSun"/>
          <w:lang w:val="fr-FR" w:eastAsia="zh-CN"/>
        </w:rPr>
        <w:t>’</w:t>
      </w:r>
      <w:r w:rsidRPr="00D57EC3">
        <w:rPr>
          <w:rFonts w:eastAsia="SimSun"/>
          <w:lang w:val="fr-FR" w:eastAsia="zh-CN"/>
        </w:rPr>
        <w:t>un projet établi par le secrétariat.</w:t>
      </w:r>
    </w:p>
    <w:p w14:paraId="3AB6A2A2" w14:textId="0B89FAFE" w:rsidR="00D05AE5" w:rsidRDefault="008914BD" w:rsidP="00D05AE5">
      <w:pPr>
        <w:rPr>
          <w:lang w:val="fr-FR"/>
        </w:rPr>
      </w:pPr>
      <w:r>
        <w:rPr>
          <w:lang w:val="fr-FR"/>
        </w:rPr>
        <w:br w:type="page"/>
      </w:r>
    </w:p>
    <w:p w14:paraId="69B3D536" w14:textId="77777777" w:rsidR="00D05AE5" w:rsidRDefault="00D05AE5" w:rsidP="0095533C">
      <w:pPr>
        <w:pStyle w:val="HChG"/>
      </w:pPr>
      <w:r w:rsidRPr="00C66872">
        <w:t>Annexe</w:t>
      </w:r>
    </w:p>
    <w:p w14:paraId="33076FAE" w14:textId="37947A8F" w:rsidR="00D05AE5" w:rsidRDefault="00D05AE5" w:rsidP="0095533C">
      <w:pPr>
        <w:pStyle w:val="SingleTxtG"/>
        <w:jc w:val="right"/>
      </w:pPr>
      <w:r>
        <w:t>[</w:t>
      </w:r>
      <w:r w:rsidRPr="00E85218">
        <w:rPr>
          <w:i/>
          <w:iCs/>
        </w:rPr>
        <w:t>Original</w:t>
      </w:r>
      <w:r w:rsidR="009657CE">
        <w:rPr>
          <w:i/>
          <w:iCs/>
        </w:rPr>
        <w:t> </w:t>
      </w:r>
      <w:r w:rsidRPr="00E85218">
        <w:rPr>
          <w:i/>
          <w:iCs/>
        </w:rPr>
        <w:t>: anglais et français</w:t>
      </w:r>
      <w:r>
        <w:t>]</w:t>
      </w:r>
    </w:p>
    <w:p w14:paraId="3F5431BD" w14:textId="5010DD38" w:rsidR="00D05AE5" w:rsidRDefault="00D05AE5" w:rsidP="000A6AAB">
      <w:pPr>
        <w:pStyle w:val="HChG"/>
      </w:pPr>
      <w:r>
        <w:tab/>
      </w:r>
      <w:r>
        <w:tab/>
        <w:t>Corrections à la neuvième édition révisée du SGH (ST/SG/AC.10/30/Rev.9)</w:t>
      </w:r>
    </w:p>
    <w:p w14:paraId="1C04FD19" w14:textId="77777777" w:rsidR="00D05AE5" w:rsidRDefault="00D05AE5" w:rsidP="000A6AAB">
      <w:pPr>
        <w:pStyle w:val="H1G"/>
      </w:pPr>
      <w:r>
        <w:tab/>
        <w:t>1.</w:t>
      </w:r>
      <w:r>
        <w:tab/>
        <w:t>Chapitre 2.1, paragraphe 2.1.2.2</w:t>
      </w:r>
    </w:p>
    <w:p w14:paraId="066E6EF8" w14:textId="4A058031" w:rsidR="00D05AE5" w:rsidRDefault="00D05AE5" w:rsidP="000A6AAB">
      <w:pPr>
        <w:pStyle w:val="SingleTxtG"/>
        <w:rPr>
          <w:rStyle w:val="SingleTxtGCar"/>
        </w:rPr>
      </w:pPr>
      <w:r>
        <w:rPr>
          <w:rStyle w:val="SingleTxtGCar"/>
        </w:rPr>
        <w:t>La correction au numéro de paragraphe est sans objet en français.</w:t>
      </w:r>
    </w:p>
    <w:p w14:paraId="55A3CD20" w14:textId="0838F22A" w:rsidR="00D05AE5" w:rsidRDefault="00D05AE5" w:rsidP="000A6AAB">
      <w:pPr>
        <w:pStyle w:val="SingleTxtG"/>
        <w:rPr>
          <w:rStyle w:val="SingleTxtGCar"/>
        </w:rPr>
      </w:pPr>
      <w:r>
        <w:rPr>
          <w:rStyle w:val="SingleTxtGCar"/>
        </w:rPr>
        <w:t>Au nota 3, première phrase</w:t>
      </w:r>
      <w:r w:rsidRPr="002D6FAA">
        <w:rPr>
          <w:rStyle w:val="SingleTxtGCar"/>
        </w:rPr>
        <w:t xml:space="preserve">, </w:t>
      </w:r>
      <w:r w:rsidRPr="00F82114">
        <w:rPr>
          <w:rStyle w:val="SingleTxtGCar"/>
          <w:i/>
          <w:iCs/>
        </w:rPr>
        <w:t xml:space="preserve">au lieu </w:t>
      </w:r>
      <w:proofErr w:type="gramStart"/>
      <w:r w:rsidRPr="00F82114">
        <w:rPr>
          <w:rStyle w:val="SingleTxtGCar"/>
          <w:i/>
          <w:iCs/>
        </w:rPr>
        <w:t>de</w:t>
      </w:r>
      <w:r>
        <w:rPr>
          <w:rStyle w:val="SingleTxtGCar"/>
        </w:rPr>
        <w:t xml:space="preserve"> </w:t>
      </w:r>
      <w:r w:rsidRPr="003543A4">
        <w:rPr>
          <w:rStyle w:val="SingleTxtGCar"/>
        </w:rPr>
        <w:t>En</w:t>
      </w:r>
      <w:proofErr w:type="gramEnd"/>
      <w:r w:rsidRPr="003543A4">
        <w:rPr>
          <w:rStyle w:val="SingleTxtGCar"/>
        </w:rPr>
        <w:t xml:space="preserve"> ce qui concerne les matières solides</w:t>
      </w:r>
      <w:r>
        <w:rPr>
          <w:rStyle w:val="SingleTxtGCar"/>
          <w:i/>
          <w:iCs/>
        </w:rPr>
        <w:t xml:space="preserve"> lire</w:t>
      </w:r>
      <w:r w:rsidRPr="003543A4">
        <w:rPr>
          <w:rStyle w:val="Heading1Char"/>
          <w:rFonts w:eastAsiaTheme="minorEastAsia"/>
        </w:rPr>
        <w:t xml:space="preserve"> </w:t>
      </w:r>
      <w:r w:rsidRPr="003543A4">
        <w:rPr>
          <w:rStyle w:val="SingleTxtGCar"/>
        </w:rPr>
        <w:t xml:space="preserve">En ce qui concerne les matières </w:t>
      </w:r>
      <w:r>
        <w:rPr>
          <w:rStyle w:val="SingleTxtGCar"/>
        </w:rPr>
        <w:t>explosibles</w:t>
      </w:r>
    </w:p>
    <w:p w14:paraId="080124D6" w14:textId="77777777" w:rsidR="00D05AE5" w:rsidRDefault="00D05AE5" w:rsidP="000A6AAB">
      <w:pPr>
        <w:pStyle w:val="H1G"/>
      </w:pPr>
      <w:r>
        <w:tab/>
        <w:t>2.</w:t>
      </w:r>
      <w:r>
        <w:tab/>
        <w:t xml:space="preserve">Chapitre 2.1, tableau 2.1.2, Nota </w:t>
      </w:r>
    </w:p>
    <w:p w14:paraId="2EEEE1E9" w14:textId="1E4699A6" w:rsidR="00D05AE5" w:rsidRDefault="00D05AE5" w:rsidP="000A6AAB">
      <w:pPr>
        <w:pStyle w:val="SingleTxtG"/>
        <w:rPr>
          <w:rStyle w:val="SingleTxtGCar"/>
        </w:rPr>
      </w:pPr>
      <w:r>
        <w:rPr>
          <w:rStyle w:val="SingleTxtGCar"/>
        </w:rPr>
        <w:t>Correction sans objet en français</w:t>
      </w:r>
    </w:p>
    <w:p w14:paraId="1D5D7C04" w14:textId="77777777" w:rsidR="00D05AE5" w:rsidRDefault="00D05AE5" w:rsidP="000A6AAB">
      <w:pPr>
        <w:pStyle w:val="H1G"/>
      </w:pPr>
      <w:r>
        <w:tab/>
        <w:t>3.</w:t>
      </w:r>
      <w:r>
        <w:tab/>
        <w:t>Chapitre 3.3, diagramme de décision 3.3.1, troisième encadré de texte en partant du haut à droite</w:t>
      </w:r>
    </w:p>
    <w:p w14:paraId="266B6D29" w14:textId="29E744A7" w:rsidR="00D05AE5" w:rsidRDefault="00D05AE5" w:rsidP="000A6AAB">
      <w:pPr>
        <w:pStyle w:val="SingleTxtG"/>
        <w:rPr>
          <w:rStyle w:val="SingleTxtGCar"/>
        </w:rPr>
      </w:pPr>
      <w:r>
        <w:rPr>
          <w:rStyle w:val="SingleTxtGCar"/>
        </w:rPr>
        <w:t>Correction sans objet en français</w:t>
      </w:r>
    </w:p>
    <w:p w14:paraId="02479138" w14:textId="7961BBC7" w:rsidR="00D05AE5" w:rsidRDefault="00D05AE5" w:rsidP="000A6AAB">
      <w:pPr>
        <w:pStyle w:val="H1G"/>
      </w:pPr>
      <w:r w:rsidRPr="00B72EDA">
        <w:tab/>
      </w:r>
      <w:r>
        <w:t>4.</w:t>
      </w:r>
      <w:r w:rsidRPr="00B72EDA">
        <w:tab/>
        <w:t>Chap</w:t>
      </w:r>
      <w:r>
        <w:t>i</w:t>
      </w:r>
      <w:r w:rsidRPr="00B72EDA">
        <w:t>tr</w:t>
      </w:r>
      <w:r>
        <w:t>e</w:t>
      </w:r>
      <w:r w:rsidRPr="00B72EDA">
        <w:t xml:space="preserve"> 3.7, </w:t>
      </w:r>
      <w:r>
        <w:t>diagramme de décision</w:t>
      </w:r>
      <w:r w:rsidRPr="00B72EDA">
        <w:t xml:space="preserve"> 3.7.4, </w:t>
      </w:r>
      <w:r w:rsidR="00C66872">
        <w:t>« </w:t>
      </w:r>
      <w:r>
        <w:t>Classification adaptée au</w:t>
      </w:r>
      <w:r w:rsidR="00C66872">
        <w:t> </w:t>
      </w:r>
      <w:r>
        <w:t>cas par cas</w:t>
      </w:r>
      <w:r w:rsidR="00C66872">
        <w:t> »</w:t>
      </w:r>
      <w:r>
        <w:t xml:space="preserve">, question </w:t>
      </w:r>
      <w:r w:rsidR="00C66872">
        <w:t>« </w:t>
      </w:r>
      <w:r>
        <w:t>Les principes d</w:t>
      </w:r>
      <w:r w:rsidR="009657CE">
        <w:t>’</w:t>
      </w:r>
      <w:r>
        <w:t>extrapolation s</w:t>
      </w:r>
      <w:r w:rsidR="009657CE">
        <w:t>’</w:t>
      </w:r>
      <w:r>
        <w:t>appliquent</w:t>
      </w:r>
      <w:r w:rsidR="00C66872">
        <w:noBreakHyphen/>
      </w:r>
      <w:r>
        <w:t>ils</w:t>
      </w:r>
      <w:r w:rsidR="00C66872">
        <w:t> </w:t>
      </w:r>
      <w:r w:rsidRPr="00100E98">
        <w:t>?</w:t>
      </w:r>
      <w:r w:rsidR="00C66872">
        <w:t> »</w:t>
      </w:r>
    </w:p>
    <w:p w14:paraId="0E9AC439" w14:textId="52A3601B" w:rsidR="00D05AE5" w:rsidRDefault="00D05AE5" w:rsidP="000A6AAB">
      <w:pPr>
        <w:pStyle w:val="SingleTxtG"/>
        <w:rPr>
          <w:rStyle w:val="SingleTxtGCar"/>
        </w:rPr>
      </w:pPr>
      <w:r>
        <w:rPr>
          <w:rStyle w:val="SingleTxtGCar"/>
        </w:rPr>
        <w:t>Correction sans objet en français</w:t>
      </w:r>
    </w:p>
    <w:p w14:paraId="1122E7A3" w14:textId="4DBC216F" w:rsidR="00D05AE5" w:rsidRDefault="00D05AE5" w:rsidP="000A6AAB">
      <w:pPr>
        <w:pStyle w:val="H1G"/>
      </w:pPr>
      <w:r w:rsidRPr="00B72EDA">
        <w:tab/>
      </w:r>
      <w:r>
        <w:t>5.</w:t>
      </w:r>
      <w:r w:rsidRPr="00B72EDA">
        <w:tab/>
      </w:r>
      <w:r>
        <w:t>Annexe 1</w:t>
      </w:r>
      <w:r w:rsidRPr="00B72EDA">
        <w:t>,</w:t>
      </w:r>
      <w:r>
        <w:t xml:space="preserve"> tableau A1.1, colonne </w:t>
      </w:r>
      <w:r w:rsidR="000A6AAB">
        <w:t>« </w:t>
      </w:r>
      <w:r>
        <w:t>Pictogramme Règlement type de</w:t>
      </w:r>
      <w:r w:rsidR="00C66872">
        <w:t> </w:t>
      </w:r>
      <w:r>
        <w:t>l</w:t>
      </w:r>
      <w:r w:rsidR="009657CE">
        <w:t>’</w:t>
      </w:r>
      <w:r>
        <w:t>ONU</w:t>
      </w:r>
      <w:r w:rsidR="000A6AAB">
        <w:t> »</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01"/>
        <w:gridCol w:w="851"/>
        <w:gridCol w:w="1875"/>
      </w:tblGrid>
      <w:tr w:rsidR="00D05AE5" w14:paraId="57F66DD2" w14:textId="77777777" w:rsidTr="00DB7CC9">
        <w:tc>
          <w:tcPr>
            <w:tcW w:w="1271" w:type="dxa"/>
            <w:vAlign w:val="center"/>
          </w:tcPr>
          <w:p w14:paraId="031D1A61" w14:textId="77777777" w:rsidR="00D05AE5" w:rsidRPr="0003541C" w:rsidRDefault="00D05AE5" w:rsidP="00DB7CC9">
            <w:pPr>
              <w:rPr>
                <w:i/>
                <w:iCs/>
              </w:rPr>
            </w:pPr>
            <w:r>
              <w:rPr>
                <w:i/>
                <w:iCs/>
              </w:rPr>
              <w:t xml:space="preserve">Remplacer </w:t>
            </w:r>
          </w:p>
        </w:tc>
        <w:tc>
          <w:tcPr>
            <w:tcW w:w="1701" w:type="dxa"/>
          </w:tcPr>
          <w:p w14:paraId="0E89BDA1" w14:textId="77777777" w:rsidR="00D05AE5" w:rsidRDefault="00D05AE5" w:rsidP="00DB7CC9">
            <w:r w:rsidRPr="00D25E5E">
              <w:rPr>
                <w:noProof/>
              </w:rPr>
              <w:drawing>
                <wp:inline distT="0" distB="0" distL="0" distR="0" wp14:anchorId="6285490D" wp14:editId="2E506D23">
                  <wp:extent cx="9715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851" w:type="dxa"/>
            <w:vAlign w:val="center"/>
          </w:tcPr>
          <w:p w14:paraId="553C7A6B" w14:textId="77777777" w:rsidR="00D05AE5" w:rsidRPr="0030425E" w:rsidRDefault="00D05AE5" w:rsidP="00DB7CC9">
            <w:pPr>
              <w:rPr>
                <w:i/>
                <w:iCs/>
              </w:rPr>
            </w:pPr>
            <w:proofErr w:type="gramStart"/>
            <w:r>
              <w:rPr>
                <w:i/>
                <w:iCs/>
              </w:rPr>
              <w:t>par</w:t>
            </w:r>
            <w:proofErr w:type="gramEnd"/>
          </w:p>
        </w:tc>
        <w:tc>
          <w:tcPr>
            <w:tcW w:w="1875" w:type="dxa"/>
            <w:vAlign w:val="center"/>
          </w:tcPr>
          <w:p w14:paraId="0C313CCE" w14:textId="77777777" w:rsidR="00D05AE5" w:rsidRDefault="00D05AE5" w:rsidP="00DB7CC9">
            <w:r w:rsidRPr="00750570">
              <w:rPr>
                <w:rFonts w:asciiTheme="majorBidi" w:hAnsiTheme="majorBidi" w:cstheme="majorBidi"/>
                <w:noProof/>
                <w:sz w:val="18"/>
                <w:szCs w:val="18"/>
                <w:lang w:val="es-ES" w:eastAsia="sv-SE"/>
              </w:rPr>
              <w:drawing>
                <wp:inline distT="0" distB="0" distL="0" distR="0" wp14:anchorId="5E77A364" wp14:editId="2EC41EB4">
                  <wp:extent cx="914400" cy="895350"/>
                  <wp:effectExtent l="0" t="0" r="0" b="0"/>
                  <wp:docPr id="5" name="Graphic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Graphic 69"/>
                          <pic:cNvPicPr/>
                        </pic:nvPicPr>
                        <pic:blipFill rotWithShape="1">
                          <a:blip r:embed="rId9"/>
                          <a:srcRect l="11188" t="11122" r="9638" b="10101"/>
                          <a:stretch/>
                        </pic:blipFill>
                        <pic:spPr bwMode="auto">
                          <a:xfrm>
                            <a:off x="0" y="0"/>
                            <a:ext cx="914400" cy="895350"/>
                          </a:xfrm>
                          <a:prstGeom prst="rect">
                            <a:avLst/>
                          </a:prstGeom>
                          <a:ln>
                            <a:noFill/>
                          </a:ln>
                        </pic:spPr>
                      </pic:pic>
                    </a:graphicData>
                  </a:graphic>
                </wp:inline>
              </w:drawing>
            </w:r>
          </w:p>
        </w:tc>
      </w:tr>
    </w:tbl>
    <w:p w14:paraId="442B2818" w14:textId="1BD364D1" w:rsidR="00D05AE5" w:rsidRPr="000A6AAB" w:rsidRDefault="000A6AAB" w:rsidP="000A6AAB">
      <w:pPr>
        <w:pStyle w:val="SingleTxtG"/>
        <w:spacing w:before="240" w:after="0"/>
        <w:jc w:val="center"/>
        <w:rPr>
          <w:u w:val="single"/>
        </w:rPr>
      </w:pPr>
      <w:r>
        <w:rPr>
          <w:u w:val="single"/>
        </w:rPr>
        <w:tab/>
      </w:r>
      <w:r>
        <w:rPr>
          <w:u w:val="single"/>
        </w:rPr>
        <w:tab/>
      </w:r>
      <w:r>
        <w:rPr>
          <w:u w:val="single"/>
        </w:rPr>
        <w:tab/>
      </w:r>
    </w:p>
    <w:sectPr w:rsidR="00D05AE5" w:rsidRPr="000A6AAB" w:rsidSect="00D05AE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B0C8" w14:textId="77777777" w:rsidR="00CC265E" w:rsidRDefault="00CC265E" w:rsidP="00F95C08">
      <w:pPr>
        <w:spacing w:line="240" w:lineRule="auto"/>
      </w:pPr>
    </w:p>
  </w:endnote>
  <w:endnote w:type="continuationSeparator" w:id="0">
    <w:p w14:paraId="2A1A51A1" w14:textId="77777777" w:rsidR="00CC265E" w:rsidRPr="00AC3823" w:rsidRDefault="00CC265E" w:rsidP="00AC3823">
      <w:pPr>
        <w:pStyle w:val="Footer"/>
      </w:pPr>
    </w:p>
  </w:endnote>
  <w:endnote w:type="continuationNotice" w:id="1">
    <w:p w14:paraId="5C497F28" w14:textId="77777777" w:rsidR="00CC265E" w:rsidRDefault="00CC26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721D" w14:textId="2328E110" w:rsidR="00D05AE5" w:rsidRPr="00D05AE5" w:rsidRDefault="00D05AE5" w:rsidP="00D05AE5">
    <w:pPr>
      <w:pStyle w:val="Footer"/>
      <w:tabs>
        <w:tab w:val="right" w:pos="9638"/>
      </w:tabs>
    </w:pPr>
    <w:r w:rsidRPr="00D05AE5">
      <w:rPr>
        <w:b/>
        <w:sz w:val="18"/>
      </w:rPr>
      <w:fldChar w:fldCharType="begin"/>
    </w:r>
    <w:r w:rsidRPr="00D05AE5">
      <w:rPr>
        <w:b/>
        <w:sz w:val="18"/>
      </w:rPr>
      <w:instrText xml:space="preserve"> PAGE  \* MERGEFORMAT </w:instrText>
    </w:r>
    <w:r w:rsidRPr="00D05AE5">
      <w:rPr>
        <w:b/>
        <w:sz w:val="18"/>
      </w:rPr>
      <w:fldChar w:fldCharType="separate"/>
    </w:r>
    <w:r w:rsidRPr="00D05AE5">
      <w:rPr>
        <w:b/>
        <w:noProof/>
        <w:sz w:val="18"/>
      </w:rPr>
      <w:t>2</w:t>
    </w:r>
    <w:r w:rsidRPr="00D05AE5">
      <w:rPr>
        <w:b/>
        <w:sz w:val="18"/>
      </w:rPr>
      <w:fldChar w:fldCharType="end"/>
    </w:r>
    <w:r>
      <w:rPr>
        <w:b/>
        <w:sz w:val="18"/>
      </w:rPr>
      <w:tab/>
    </w:r>
    <w:r>
      <w:t>GE.21-18902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7EB3" w14:textId="0B66F3ED" w:rsidR="00D05AE5" w:rsidRPr="00D05AE5" w:rsidRDefault="00D05AE5" w:rsidP="00D05AE5">
    <w:pPr>
      <w:pStyle w:val="Footer"/>
      <w:tabs>
        <w:tab w:val="right" w:pos="9638"/>
      </w:tabs>
      <w:rPr>
        <w:b/>
        <w:sz w:val="18"/>
      </w:rPr>
    </w:pPr>
    <w:r>
      <w:t>GE.21-18902</w:t>
    </w:r>
    <w:r>
      <w:tab/>
    </w:r>
    <w:r w:rsidRPr="00D05AE5">
      <w:rPr>
        <w:b/>
        <w:sz w:val="18"/>
      </w:rPr>
      <w:fldChar w:fldCharType="begin"/>
    </w:r>
    <w:r w:rsidRPr="00D05AE5">
      <w:rPr>
        <w:b/>
        <w:sz w:val="18"/>
      </w:rPr>
      <w:instrText xml:space="preserve"> PAGE  \* MERGEFORMAT </w:instrText>
    </w:r>
    <w:r w:rsidRPr="00D05AE5">
      <w:rPr>
        <w:b/>
        <w:sz w:val="18"/>
      </w:rPr>
      <w:fldChar w:fldCharType="separate"/>
    </w:r>
    <w:r w:rsidRPr="00D05AE5">
      <w:rPr>
        <w:b/>
        <w:noProof/>
        <w:sz w:val="18"/>
      </w:rPr>
      <w:t>3</w:t>
    </w:r>
    <w:r w:rsidRPr="00D05A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5B4D" w14:textId="7533F793" w:rsidR="0068456F" w:rsidRPr="00D05AE5" w:rsidRDefault="00D05AE5" w:rsidP="00D05AE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7102AEE" wp14:editId="2523510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18902  (</w:t>
    </w:r>
    <w:proofErr w:type="gramEnd"/>
    <w:r>
      <w:rPr>
        <w:sz w:val="20"/>
      </w:rPr>
      <w:t>F)</w:t>
    </w:r>
    <w:r>
      <w:rPr>
        <w:noProof/>
        <w:sz w:val="20"/>
      </w:rPr>
      <w:drawing>
        <wp:anchor distT="0" distB="0" distL="114300" distR="114300" simplePos="0" relativeHeight="251660288" behindDoc="0" locked="0" layoutInCell="1" allowOverlap="1" wp14:anchorId="4A0AD8CA" wp14:editId="16B2737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7CE">
      <w:rPr>
        <w:sz w:val="20"/>
      </w:rPr>
      <w:t xml:space="preserve">    100622    130622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7C86" w14:textId="77777777" w:rsidR="00CC265E" w:rsidRPr="00AC3823" w:rsidRDefault="00CC265E" w:rsidP="00AC3823">
      <w:pPr>
        <w:pStyle w:val="Footer"/>
        <w:tabs>
          <w:tab w:val="right" w:pos="2155"/>
        </w:tabs>
        <w:spacing w:after="80" w:line="240" w:lineRule="atLeast"/>
        <w:ind w:left="680"/>
        <w:rPr>
          <w:u w:val="single"/>
        </w:rPr>
      </w:pPr>
      <w:r>
        <w:rPr>
          <w:u w:val="single"/>
        </w:rPr>
        <w:tab/>
      </w:r>
    </w:p>
  </w:footnote>
  <w:footnote w:type="continuationSeparator" w:id="0">
    <w:p w14:paraId="64F6050E" w14:textId="77777777" w:rsidR="00CC265E" w:rsidRPr="00AC3823" w:rsidRDefault="00CC265E" w:rsidP="00AC3823">
      <w:pPr>
        <w:pStyle w:val="Footer"/>
        <w:tabs>
          <w:tab w:val="right" w:pos="2155"/>
        </w:tabs>
        <w:spacing w:after="80" w:line="240" w:lineRule="atLeast"/>
        <w:ind w:left="680"/>
        <w:rPr>
          <w:u w:val="single"/>
        </w:rPr>
      </w:pPr>
      <w:r>
        <w:rPr>
          <w:u w:val="single"/>
        </w:rPr>
        <w:tab/>
      </w:r>
    </w:p>
  </w:footnote>
  <w:footnote w:type="continuationNotice" w:id="1">
    <w:p w14:paraId="4ACF5C79" w14:textId="77777777" w:rsidR="00CC265E" w:rsidRPr="00AC3823" w:rsidRDefault="00CC265E">
      <w:pPr>
        <w:spacing w:line="240" w:lineRule="auto"/>
        <w:rPr>
          <w:sz w:val="2"/>
          <w:szCs w:val="2"/>
        </w:rPr>
      </w:pPr>
    </w:p>
  </w:footnote>
  <w:footnote w:id="2">
    <w:p w14:paraId="34DA9E08" w14:textId="7B9EF154" w:rsidR="00D05AE5" w:rsidRPr="007E27E4" w:rsidRDefault="00D05AE5" w:rsidP="00D05AE5">
      <w:pPr>
        <w:pStyle w:val="FootnoteText"/>
      </w:pPr>
      <w:r>
        <w:rPr>
          <w:lang w:val="fr-FR"/>
        </w:rPr>
        <w:tab/>
      </w:r>
      <w:r w:rsidRPr="00023AFD">
        <w:rPr>
          <w:rStyle w:val="FootnoteReference"/>
        </w:rPr>
        <w:footnoteRef/>
      </w:r>
      <w:r>
        <w:rPr>
          <w:lang w:val="fr-FR"/>
        </w:rPr>
        <w:tab/>
      </w:r>
      <w:hyperlink r:id="rId1" w:history="1">
        <w:r w:rsidRPr="00FB6702">
          <w:rPr>
            <w:rStyle w:val="Hyperlink"/>
            <w:lang w:val="fr-FR"/>
          </w:rPr>
          <w:t>https://www.oecd.org/chemicalsafety/testing/webinars-on-testing-and-assessment-methodologies.htm</w:t>
        </w:r>
      </w:hyperlink>
      <w:r>
        <w:rPr>
          <w:lang w:val="fr-FR"/>
        </w:rPr>
        <w:t>.</w:t>
      </w:r>
    </w:p>
  </w:footnote>
  <w:footnote w:id="3">
    <w:p w14:paraId="41ED6D0D" w14:textId="77777777" w:rsidR="00D05AE5" w:rsidRPr="005B6B9E" w:rsidRDefault="00D05AE5" w:rsidP="00D05AE5">
      <w:pPr>
        <w:pStyle w:val="FootnoteText"/>
        <w:rPr>
          <w:lang w:val="fr-FR"/>
        </w:rPr>
      </w:pPr>
      <w:r>
        <w:rPr>
          <w:lang w:val="fr-FR"/>
        </w:rPr>
        <w:tab/>
      </w:r>
      <w:r w:rsidRPr="00023AFD">
        <w:rPr>
          <w:rStyle w:val="FootnoteReference"/>
        </w:rPr>
        <w:footnoteRef/>
      </w:r>
      <w:r>
        <w:rPr>
          <w:lang w:val="fr-FR"/>
        </w:rPr>
        <w:tab/>
      </w:r>
      <w:r w:rsidRPr="006C78C7">
        <w:rPr>
          <w:lang w:val="fr-FR"/>
        </w:rPr>
        <w:t>Résultats de la classification SGH | Institut national des techniques et de l’évaluation</w:t>
      </w:r>
      <w:r>
        <w:rPr>
          <w:lang w:val="fr-FR"/>
        </w:rPr>
        <w:t>.</w:t>
      </w:r>
    </w:p>
  </w:footnote>
  <w:footnote w:id="4">
    <w:p w14:paraId="4C7D64E3" w14:textId="63B22A62" w:rsidR="00D05AE5" w:rsidRPr="001C6D39" w:rsidRDefault="0095533C" w:rsidP="00D05AE5">
      <w:pPr>
        <w:pStyle w:val="FootnoteText"/>
      </w:pPr>
      <w:r>
        <w:tab/>
      </w:r>
      <w:r w:rsidR="00D05AE5" w:rsidRPr="00023AFD">
        <w:rPr>
          <w:rStyle w:val="FootnoteReference"/>
        </w:rPr>
        <w:footnoteRef/>
      </w:r>
      <w:r>
        <w:tab/>
      </w:r>
      <w:hyperlink r:id="rId2" w:history="1">
        <w:r w:rsidR="00D05AE5" w:rsidRPr="00F1553D">
          <w:rPr>
            <w:rStyle w:val="Hyperlink"/>
          </w:rPr>
          <w:t>https://canadagazette.gc.ca/rp-pr/p1/2020/2020-12-19/</w:t>
        </w:r>
        <w:r w:rsidR="00D05AE5" w:rsidRPr="00F1553D">
          <w:rPr>
            <w:rStyle w:val="Hyperlink"/>
            <w:lang w:val="fr-FR"/>
          </w:rPr>
          <w:t>html</w:t>
        </w:r>
        <w:r w:rsidR="00D05AE5" w:rsidRPr="00F1553D">
          <w:rPr>
            <w:rStyle w:val="Hyperlink"/>
          </w:rPr>
          <w:t>/reg4-fra.html</w:t>
        </w:r>
      </w:hyperlink>
      <w:r w:rsidR="00D05AE5">
        <w:t>.</w:t>
      </w:r>
    </w:p>
  </w:footnote>
  <w:footnote w:id="5">
    <w:p w14:paraId="01943827" w14:textId="750855D8" w:rsidR="00D05AE5" w:rsidRPr="0015346B" w:rsidRDefault="00D05AE5" w:rsidP="00D05AE5">
      <w:pPr>
        <w:pStyle w:val="FootnoteText"/>
      </w:pPr>
      <w:r>
        <w:rPr>
          <w:lang w:val="fr-FR"/>
        </w:rPr>
        <w:tab/>
      </w:r>
      <w:r w:rsidRPr="00023AFD">
        <w:rPr>
          <w:rStyle w:val="FootnoteReference"/>
        </w:rPr>
        <w:footnoteRef/>
      </w:r>
      <w:r>
        <w:rPr>
          <w:lang w:val="fr-FR"/>
        </w:rPr>
        <w:tab/>
      </w:r>
      <w:hyperlink r:id="rId3" w:history="1">
        <w:r w:rsidRPr="00C66872">
          <w:rPr>
            <w:rStyle w:val="Hyperlink"/>
            <w:lang w:val="fr-FR"/>
          </w:rPr>
          <w:t>https://ec.europa.eu/info/law/better-regulation/have-your-say/initiatives/12992-Substances-chimiques-simplification-et-numerisation-des-exigences-en-matiere-d'etiquetage_fr</w:t>
        </w:r>
      </w:hyperlink>
      <w:r>
        <w:rPr>
          <w:lang w:val="fr-FR"/>
        </w:rPr>
        <w:t>.</w:t>
      </w:r>
    </w:p>
  </w:footnote>
  <w:footnote w:id="6">
    <w:p w14:paraId="2E3AE1EC" w14:textId="6BC215D6" w:rsidR="00D05AE5" w:rsidRPr="00023AFD" w:rsidRDefault="00D05AE5" w:rsidP="00D05AE5">
      <w:pPr>
        <w:pStyle w:val="FootnoteText"/>
        <w:rPr>
          <w:lang w:val="en-US"/>
        </w:rPr>
      </w:pPr>
      <w:r>
        <w:rPr>
          <w:lang w:val="fr-FR"/>
        </w:rPr>
        <w:tab/>
      </w:r>
      <w:r w:rsidRPr="00023AFD">
        <w:rPr>
          <w:rStyle w:val="FootnoteReference"/>
        </w:rPr>
        <w:footnoteRef/>
      </w:r>
      <w:r w:rsidRPr="00023AFD">
        <w:rPr>
          <w:lang w:val="en-US"/>
        </w:rPr>
        <w:tab/>
        <w:t>The Global Partnership to Implement the GHS (Partenariat mondial pour l’application du SGH) | UNITAR.</w:t>
      </w:r>
    </w:p>
  </w:footnote>
  <w:footnote w:id="7">
    <w:p w14:paraId="23F9E597" w14:textId="53367E6B" w:rsidR="00D05AE5" w:rsidRPr="001C6D39" w:rsidRDefault="00D05AE5" w:rsidP="00D05AE5">
      <w:pPr>
        <w:pStyle w:val="FootnoteText"/>
        <w:rPr>
          <w:rStyle w:val="SingleTxtGChar"/>
        </w:rPr>
      </w:pPr>
      <w:r w:rsidRPr="00023AFD">
        <w:rPr>
          <w:lang w:val="en-US"/>
        </w:rPr>
        <w:tab/>
      </w:r>
      <w:r w:rsidRPr="00023AFD">
        <w:rPr>
          <w:rStyle w:val="FootnoteReference"/>
        </w:rPr>
        <w:footnoteRef/>
      </w:r>
      <w:r>
        <w:rPr>
          <w:lang w:val="fr-FR"/>
        </w:rPr>
        <w:tab/>
      </w:r>
      <w:r w:rsidRPr="009657CE">
        <w:rPr>
          <w:b/>
          <w:bCs/>
          <w:i/>
          <w:iCs/>
          <w:lang w:val="fr-FR"/>
        </w:rPr>
        <w:t>Note du secrétariat</w:t>
      </w:r>
      <w:r w:rsidR="009657CE" w:rsidRPr="009657CE">
        <w:rPr>
          <w:i/>
          <w:iCs/>
          <w:lang w:val="fr-FR"/>
        </w:rPr>
        <w:t> </w:t>
      </w:r>
      <w:r w:rsidRPr="009657CE">
        <w:rPr>
          <w:b/>
          <w:bCs/>
          <w:i/>
          <w:iCs/>
          <w:lang w:val="fr-FR"/>
        </w:rPr>
        <w:t>:</w:t>
      </w:r>
      <w:r>
        <w:rPr>
          <w:lang w:val="fr-FR"/>
        </w:rPr>
        <w:t xml:space="preserve"> le secrétariat, au nom du Sous-Comité, a communiqué au secrétariat du Conseil économique et social, le 13 décembre 2021, les réponses au questionnaire approuvées à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EB7" w14:textId="4F67791C" w:rsidR="00D05AE5" w:rsidRPr="00D05AE5" w:rsidRDefault="00E75AB6">
    <w:pPr>
      <w:pStyle w:val="Header"/>
    </w:pPr>
    <w:fldSimple w:instr=" TITLE  \* MERGEFORMAT ">
      <w:r w:rsidR="009B01EE">
        <w:t>ST/SG/AC.10/C.4/82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EE2" w14:textId="7A0FD37A" w:rsidR="00D05AE5" w:rsidRPr="00D05AE5" w:rsidRDefault="00E75AB6" w:rsidP="00D05AE5">
    <w:pPr>
      <w:pStyle w:val="Header"/>
      <w:jc w:val="right"/>
    </w:pPr>
    <w:fldSimple w:instr=" TITLE  \* MERGEFORMAT ">
      <w:r w:rsidR="009B01EE">
        <w:t>ST/SG/AC.10/C.4/82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E"/>
    <w:rsid w:val="00017F94"/>
    <w:rsid w:val="00023842"/>
    <w:rsid w:val="000305D3"/>
    <w:rsid w:val="000334F9"/>
    <w:rsid w:val="0007796D"/>
    <w:rsid w:val="000A6AAB"/>
    <w:rsid w:val="000B7790"/>
    <w:rsid w:val="000C64C2"/>
    <w:rsid w:val="00111F2F"/>
    <w:rsid w:val="00132EA9"/>
    <w:rsid w:val="0014365E"/>
    <w:rsid w:val="00172E49"/>
    <w:rsid w:val="00176178"/>
    <w:rsid w:val="001F525A"/>
    <w:rsid w:val="00223272"/>
    <w:rsid w:val="0024779E"/>
    <w:rsid w:val="00283190"/>
    <w:rsid w:val="002832AC"/>
    <w:rsid w:val="002D7C93"/>
    <w:rsid w:val="002E5B8C"/>
    <w:rsid w:val="003249DE"/>
    <w:rsid w:val="00357E7E"/>
    <w:rsid w:val="00386733"/>
    <w:rsid w:val="003C7010"/>
    <w:rsid w:val="003C737D"/>
    <w:rsid w:val="00441C3B"/>
    <w:rsid w:val="00446FE5"/>
    <w:rsid w:val="00452396"/>
    <w:rsid w:val="004E468C"/>
    <w:rsid w:val="005505B7"/>
    <w:rsid w:val="00573BE5"/>
    <w:rsid w:val="00584DC4"/>
    <w:rsid w:val="00586ED3"/>
    <w:rsid w:val="00596AA9"/>
    <w:rsid w:val="005E6DE6"/>
    <w:rsid w:val="00644DF1"/>
    <w:rsid w:val="0068456F"/>
    <w:rsid w:val="0071601D"/>
    <w:rsid w:val="007509B0"/>
    <w:rsid w:val="007A62E6"/>
    <w:rsid w:val="0080684C"/>
    <w:rsid w:val="008123E0"/>
    <w:rsid w:val="00871C75"/>
    <w:rsid w:val="008776DC"/>
    <w:rsid w:val="008914BD"/>
    <w:rsid w:val="008B40CD"/>
    <w:rsid w:val="0095533C"/>
    <w:rsid w:val="009657CE"/>
    <w:rsid w:val="009705C8"/>
    <w:rsid w:val="009B01EE"/>
    <w:rsid w:val="009C1CF4"/>
    <w:rsid w:val="00A24296"/>
    <w:rsid w:val="00A30353"/>
    <w:rsid w:val="00A55F8F"/>
    <w:rsid w:val="00A81281"/>
    <w:rsid w:val="00AC3823"/>
    <w:rsid w:val="00AE323C"/>
    <w:rsid w:val="00B00181"/>
    <w:rsid w:val="00B00B0D"/>
    <w:rsid w:val="00B765F7"/>
    <w:rsid w:val="00BA0CA9"/>
    <w:rsid w:val="00C02897"/>
    <w:rsid w:val="00C66872"/>
    <w:rsid w:val="00CC265E"/>
    <w:rsid w:val="00D05AE5"/>
    <w:rsid w:val="00D3439C"/>
    <w:rsid w:val="00D54306"/>
    <w:rsid w:val="00DB1831"/>
    <w:rsid w:val="00DD3BFD"/>
    <w:rsid w:val="00DF6678"/>
    <w:rsid w:val="00E75AB6"/>
    <w:rsid w:val="00E85218"/>
    <w:rsid w:val="00EF2E22"/>
    <w:rsid w:val="00F01738"/>
    <w:rsid w:val="00F1553D"/>
    <w:rsid w:val="00F660DF"/>
    <w:rsid w:val="00F730C8"/>
    <w:rsid w:val="00F95C08"/>
    <w:rsid w:val="00FB6702"/>
    <w:rsid w:val="00FE14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D170D"/>
  <w15:docId w15:val="{F0B67521-F767-4915-BEE2-F445212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D05AE5"/>
    <w:rPr>
      <w:rFonts w:ascii="Times New Roman" w:eastAsiaTheme="minorHAnsi" w:hAnsi="Times New Roman" w:cs="Times New Roman"/>
      <w:sz w:val="20"/>
      <w:szCs w:val="20"/>
      <w:lang w:eastAsia="en-US"/>
    </w:rPr>
  </w:style>
  <w:style w:type="character" w:customStyle="1" w:styleId="SingleTxtGCar">
    <w:name w:val="_ Single Txt_G Car"/>
    <w:rsid w:val="00D05AE5"/>
    <w:rPr>
      <w:lang w:eastAsia="en-US"/>
    </w:rPr>
  </w:style>
  <w:style w:type="character" w:styleId="UnresolvedMention">
    <w:name w:val="Unresolved Mention"/>
    <w:basedOn w:val="DefaultParagraphFont"/>
    <w:uiPriority w:val="99"/>
    <w:semiHidden/>
    <w:unhideWhenUsed/>
    <w:rsid w:val="00FB6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2992-Substances-chimiques-simplification-et-numerisation-des-exigences-en-matiere-d'etiquetage_fr" TargetMode="External"/><Relationship Id="rId2" Type="http://schemas.openxmlformats.org/officeDocument/2006/relationships/hyperlink" Target="https://canadagazette.gc.ca/rp-pr/p1/2020/2020-12-19/html/reg4-fra.html" TargetMode="External"/><Relationship Id="rId1" Type="http://schemas.openxmlformats.org/officeDocument/2006/relationships/hyperlink" Target="https://www.oecd.org/chemicalsafety/testing/webinars-on-testing-and-assessment-methodolog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D193836-F289-4D17-BFAF-56920E503C33}"/>
</file>

<file path=customXml/itemProps2.xml><?xml version="1.0" encoding="utf-8"?>
<ds:datastoreItem xmlns:ds="http://schemas.openxmlformats.org/officeDocument/2006/customXml" ds:itemID="{D91F5504-DD46-424D-BDE0-1D034494C6BF}"/>
</file>

<file path=customXml/itemProps3.xml><?xml version="1.0" encoding="utf-8"?>
<ds:datastoreItem xmlns:ds="http://schemas.openxmlformats.org/officeDocument/2006/customXml" ds:itemID="{D5D81A30-FF89-463F-9756-DF9FA237E2A2}"/>
</file>

<file path=docProps/app.xml><?xml version="1.0" encoding="utf-8"?>
<Properties xmlns="http://schemas.openxmlformats.org/officeDocument/2006/extended-properties" xmlns:vt="http://schemas.openxmlformats.org/officeDocument/2006/docPropsVTypes">
  <Template>Normal.dotm</Template>
  <TotalTime>1</TotalTime>
  <Pages>13</Pages>
  <Words>5409</Words>
  <Characters>30833</Characters>
  <Application>Microsoft Office Word</Application>
  <DocSecurity>0</DocSecurity>
  <Lines>256</Lines>
  <Paragraphs>72</Paragraphs>
  <ScaleCrop>false</ScaleCrop>
  <HeadingPairs>
    <vt:vector size="4" baseType="variant">
      <vt:variant>
        <vt:lpstr>Titre</vt:lpstr>
      </vt:variant>
      <vt:variant>
        <vt:i4>1</vt:i4>
      </vt:variant>
      <vt:variant>
        <vt:lpstr>Titres</vt:lpstr>
      </vt:variant>
      <vt:variant>
        <vt:i4>35</vt:i4>
      </vt:variant>
    </vt:vector>
  </HeadingPairs>
  <TitlesOfParts>
    <vt:vector size="36" baseType="lpstr">
      <vt:lpstr>ST/SG/AC.10/C.4/82</vt:lpstr>
      <vt:lpstr>    Rapport du Sous-Comité d’experts du Système général harmonisé de classificatio</vt:lpstr>
      <vt:lpstr>    I.	Participation</vt:lpstr>
      <vt:lpstr>    II.	Adoption de l’ordre du jour (point 1 de l’ordre du jour)</vt:lpstr>
      <vt:lpstr>    III.	Travaux relatifs au Système général harmonisé  de classification et d’étiq</vt:lpstr>
      <vt:lpstr>        A.		Travaux du Sous-Comité d’experts du transport des marchandises dangereuses </vt:lpstr>
      <vt:lpstr>        B.		Classification simultanée dans les classes de danger physique  et ordre de </vt:lpstr>
      <vt:lpstr>        C.	Utilisation de méthodes d’expérimentation non animales  pour le classement d</vt:lpstr>
      <vt:lpstr>        D.	Classification des sensibilisants cutanés à l’aide des résultats  des méthod</vt:lpstr>
      <vt:lpstr>        E.	Critères de classification de la mutagénicité  sur les cellules germinales</vt:lpstr>
      <vt:lpstr>        F.	Questions pratiques de classification  (amendements proposés au SGH)</vt:lpstr>
      <vt:lpstr>        G.	Nanomatériaux</vt:lpstr>
      <vt:lpstr>        H.	Amélioration des annexes 1 à 3 et poursuite de la rationalisation  des conse</vt:lpstr>
      <vt:lpstr>        I.	Autres questions</vt:lpstr>
      <vt:lpstr>    IV.	Application du SGH (point 3 de l’ordre du jour)</vt:lpstr>
      <vt:lpstr>        A.	Élaboration éventuelle d’une liste de produits chimiques classés conformémen</vt:lpstr>
      <vt:lpstr>        B.	Rapports sur l’application du SGH</vt:lpstr>
      <vt:lpstr>        C.	Coopération avec d’autres organes ou organisations internationales</vt:lpstr>
      <vt:lpstr>        D.	Autres questions</vt:lpstr>
      <vt:lpstr>    V.	Mise au point de directives pour l’application des critères du SGH (point 4 </vt:lpstr>
      <vt:lpstr>        A.	Alignement de l’annexe 9 (sect. A9.7) et de l’annexe 10  sur les critères du</vt:lpstr>
      <vt:lpstr>        B.	Questions pratiques de classification</vt:lpstr>
      <vt:lpstr>        C.	Questions pratiques d’étiquetage</vt:lpstr>
      <vt:lpstr>        D.	Autres questions</vt:lpstr>
      <vt:lpstr>    VI.		Renforcement des capacités (point 5 de l’ordre du jour)</vt:lpstr>
      <vt:lpstr>    VII.		Questions diverses (point 6 de l’ordre du jour)</vt:lpstr>
      <vt:lpstr>        A.	Examen des organes subsidiaires du Conseil économique et social  à sa sessio</vt:lpstr>
      <vt:lpstr>        B.	Dates de la quarante-deuxième session et délais de soumission</vt:lpstr>
      <vt:lpstr>    VIII.	Adoption du rapport (point 7 de l’ordre du jour)</vt:lpstr>
      <vt:lpstr>    Annexe</vt:lpstr>
      <vt:lpstr>    Corrections à la neuvième édition révisée du SGH (ST/SG/AC.10/30/Rev.9)</vt:lpstr>
      <vt:lpstr>        1.	Chapitre 2.1, paragraphe 2.1.2.2</vt:lpstr>
      <vt:lpstr>        2.	Chapitre 2.1, tableau 2.1.2, Nota </vt:lpstr>
      <vt:lpstr>        3.	Chapitre 3.3, diagramme de décision 3.3.1, troisième encadré de texte en par</vt:lpstr>
      <vt:lpstr>        4.	Chapitre 3.7, diagramme de décision 3.7.4, “Classification adaptée au cas pa</vt:lpstr>
      <vt:lpstr>        5.	Annexe 1, tableau A1.1, colonne « Pictogramme Règlement type de l’ONU »</vt:lpstr>
    </vt:vector>
  </TitlesOfParts>
  <Company>DCM</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ST/SG/AC.10/C.4/82</dc:title>
  <dc:subject/>
  <dc:creator>Julien OKRZESIK</dc:creator>
  <cp:keywords/>
  <cp:lastModifiedBy>Laurence Berthet</cp:lastModifiedBy>
  <cp:revision>3</cp:revision>
  <cp:lastPrinted>2022-06-13T11:04:00Z</cp:lastPrinted>
  <dcterms:created xsi:type="dcterms:W3CDTF">2022-06-13T11:03:00Z</dcterms:created>
  <dcterms:modified xsi:type="dcterms:W3CDTF">2022-06-13T11:04:00Z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