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DF45DE4" w14:textId="77777777" w:rsidTr="00F01738">
        <w:trPr>
          <w:trHeight w:hRule="exact" w:val="851"/>
        </w:trPr>
        <w:tc>
          <w:tcPr>
            <w:tcW w:w="1276" w:type="dxa"/>
            <w:tcBorders>
              <w:bottom w:val="single" w:sz="4" w:space="0" w:color="auto"/>
            </w:tcBorders>
          </w:tcPr>
          <w:p w14:paraId="2499BCB3" w14:textId="77777777" w:rsidR="00132EA9" w:rsidRPr="00DB58B5" w:rsidRDefault="00132EA9" w:rsidP="00C13AFA"/>
        </w:tc>
        <w:tc>
          <w:tcPr>
            <w:tcW w:w="2268" w:type="dxa"/>
            <w:tcBorders>
              <w:bottom w:val="single" w:sz="4" w:space="0" w:color="auto"/>
            </w:tcBorders>
            <w:vAlign w:val="bottom"/>
          </w:tcPr>
          <w:p w14:paraId="38E8E7E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168B8C" w14:textId="7CE1C133" w:rsidR="00132EA9" w:rsidRPr="00DB58B5" w:rsidRDefault="00C13AFA" w:rsidP="00C13AFA">
            <w:pPr>
              <w:jc w:val="right"/>
            </w:pPr>
            <w:r w:rsidRPr="00C13AFA">
              <w:rPr>
                <w:sz w:val="40"/>
              </w:rPr>
              <w:t>ST</w:t>
            </w:r>
            <w:r>
              <w:t>/SG/AC.10/C.3/2022/44</w:t>
            </w:r>
          </w:p>
        </w:tc>
      </w:tr>
      <w:tr w:rsidR="00132EA9" w:rsidRPr="00DB58B5" w14:paraId="0FCC1305" w14:textId="77777777" w:rsidTr="00F01738">
        <w:trPr>
          <w:trHeight w:hRule="exact" w:val="2835"/>
        </w:trPr>
        <w:tc>
          <w:tcPr>
            <w:tcW w:w="1276" w:type="dxa"/>
            <w:tcBorders>
              <w:top w:val="single" w:sz="4" w:space="0" w:color="auto"/>
              <w:bottom w:val="single" w:sz="12" w:space="0" w:color="auto"/>
            </w:tcBorders>
          </w:tcPr>
          <w:p w14:paraId="12C2BA1D" w14:textId="77777777" w:rsidR="00132EA9" w:rsidRPr="00DB58B5" w:rsidRDefault="00132EA9" w:rsidP="00F01738">
            <w:pPr>
              <w:spacing w:before="120"/>
              <w:jc w:val="center"/>
            </w:pPr>
            <w:r>
              <w:rPr>
                <w:noProof/>
                <w:lang w:eastAsia="fr-CH"/>
              </w:rPr>
              <w:drawing>
                <wp:inline distT="0" distB="0" distL="0" distR="0" wp14:anchorId="2FB5B9BC" wp14:editId="69A325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AAC8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B33AD0D" w14:textId="77777777" w:rsidR="00132EA9" w:rsidRDefault="00C13AFA" w:rsidP="00F01738">
            <w:pPr>
              <w:spacing w:before="240"/>
            </w:pPr>
            <w:r>
              <w:t xml:space="preserve">Distr. </w:t>
            </w:r>
            <w:proofErr w:type="gramStart"/>
            <w:r>
              <w:t>générale</w:t>
            </w:r>
            <w:proofErr w:type="gramEnd"/>
          </w:p>
          <w:p w14:paraId="79CD7252" w14:textId="77777777" w:rsidR="00C13AFA" w:rsidRDefault="00C13AFA" w:rsidP="00C13AFA">
            <w:pPr>
              <w:spacing w:line="240" w:lineRule="exact"/>
            </w:pPr>
            <w:r>
              <w:t>12 avril 2022</w:t>
            </w:r>
          </w:p>
          <w:p w14:paraId="7C0BE507" w14:textId="77777777" w:rsidR="00C13AFA" w:rsidRDefault="00C13AFA" w:rsidP="00C13AFA">
            <w:pPr>
              <w:spacing w:line="240" w:lineRule="exact"/>
            </w:pPr>
            <w:r>
              <w:t>Français</w:t>
            </w:r>
          </w:p>
          <w:p w14:paraId="3E6A51AC" w14:textId="0D9058D8" w:rsidR="00C13AFA" w:rsidRPr="00DB58B5" w:rsidRDefault="00C13AFA" w:rsidP="00C13AFA">
            <w:pPr>
              <w:spacing w:line="240" w:lineRule="exact"/>
            </w:pPr>
            <w:r>
              <w:t>Original : anglais</w:t>
            </w:r>
          </w:p>
        </w:tc>
      </w:tr>
    </w:tbl>
    <w:p w14:paraId="4B3B5BE4" w14:textId="77777777" w:rsidR="00C13AFA" w:rsidRPr="00CA0680" w:rsidRDefault="00C13AF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F4115EA" w14:textId="77777777" w:rsidR="00C13AFA" w:rsidRPr="00CA0680" w:rsidRDefault="00C13AFA" w:rsidP="000305D3">
      <w:pPr>
        <w:spacing w:before="120"/>
        <w:rPr>
          <w:b/>
        </w:rPr>
      </w:pPr>
      <w:r w:rsidRPr="00CA0680">
        <w:rPr>
          <w:b/>
        </w:rPr>
        <w:t>Sous</w:t>
      </w:r>
      <w:r>
        <w:rPr>
          <w:b/>
        </w:rPr>
        <w:t>-</w:t>
      </w:r>
      <w:r w:rsidRPr="00CA0680">
        <w:rPr>
          <w:b/>
        </w:rPr>
        <w:t>Comité d’experts du transport des marchandises dangereuses</w:t>
      </w:r>
    </w:p>
    <w:p w14:paraId="3EF294EA" w14:textId="6BDAF3C5" w:rsidR="00C13AFA" w:rsidRDefault="00C13AFA" w:rsidP="000305D3">
      <w:pPr>
        <w:spacing w:before="120"/>
        <w:rPr>
          <w:b/>
        </w:rPr>
      </w:pPr>
      <w:r>
        <w:rPr>
          <w:b/>
        </w:rPr>
        <w:t xml:space="preserve">Soixantième </w:t>
      </w:r>
      <w:r w:rsidRPr="00CA0680">
        <w:rPr>
          <w:b/>
        </w:rPr>
        <w:t>session</w:t>
      </w:r>
    </w:p>
    <w:p w14:paraId="7B47A5DA" w14:textId="10EEDB52" w:rsidR="00C13AFA" w:rsidRDefault="00C13AFA" w:rsidP="000305D3">
      <w:r>
        <w:t>Genève, 27 juin-6 juillet 2022</w:t>
      </w:r>
    </w:p>
    <w:p w14:paraId="28E84432" w14:textId="77777777" w:rsidR="00C13AFA" w:rsidRPr="006500BA" w:rsidRDefault="00C13AFA" w:rsidP="00C13AFA">
      <w:r>
        <w:t>Point 3 de l’ordre du jour provisoire</w:t>
      </w:r>
    </w:p>
    <w:p w14:paraId="718CF8BE" w14:textId="77777777" w:rsidR="00C13AFA" w:rsidRDefault="00C13AFA" w:rsidP="00C13AFA">
      <w:pPr>
        <w:rPr>
          <w:b/>
          <w:bCs/>
        </w:rPr>
      </w:pPr>
      <w:r>
        <w:rPr>
          <w:b/>
        </w:rPr>
        <w:t>Inscription, classement et emballage</w:t>
      </w:r>
    </w:p>
    <w:p w14:paraId="482F9546" w14:textId="63A1995F" w:rsidR="00C13AFA" w:rsidRPr="008F4901" w:rsidRDefault="00C13AFA" w:rsidP="00C13AFA">
      <w:pPr>
        <w:pStyle w:val="HChG"/>
      </w:pPr>
      <w:r>
        <w:tab/>
      </w:r>
      <w:r>
        <w:tab/>
        <w:t>Proposition d’exemption des objets manufacturés contenant de petites quantités de gallium : actualisation du document ST/SG/AC.10/C.3/2021/53</w:t>
      </w:r>
    </w:p>
    <w:p w14:paraId="647E68D5" w14:textId="12020859" w:rsidR="00C13AFA" w:rsidRPr="00040A46" w:rsidRDefault="00C13AFA" w:rsidP="00C13AFA">
      <w:pPr>
        <w:pStyle w:val="H1G"/>
        <w:rPr>
          <w:sz w:val="20"/>
        </w:rPr>
      </w:pPr>
      <w:r>
        <w:tab/>
      </w:r>
      <w:r>
        <w:tab/>
        <w:t>Communication de l’expert de la Chine</w:t>
      </w:r>
      <w:r w:rsidRPr="00C13AFA">
        <w:rPr>
          <w:rStyle w:val="FootnoteReference"/>
          <w:b w:val="0"/>
          <w:bCs/>
          <w:sz w:val="20"/>
          <w:vertAlign w:val="baseline"/>
        </w:rPr>
        <w:footnoteReference w:customMarkFollows="1" w:id="2"/>
        <w:t>*</w:t>
      </w:r>
    </w:p>
    <w:p w14:paraId="60889B61" w14:textId="77777777" w:rsidR="00C13AFA" w:rsidRPr="005801E9" w:rsidRDefault="00C13AFA" w:rsidP="00C13AFA">
      <w:pPr>
        <w:pStyle w:val="HChG"/>
      </w:pPr>
      <w:r>
        <w:tab/>
      </w:r>
      <w:r>
        <w:tab/>
        <w:t>Introduction</w:t>
      </w:r>
    </w:p>
    <w:p w14:paraId="73BDB692" w14:textId="058EFBA7" w:rsidR="00C13AFA" w:rsidRDefault="00C13AFA" w:rsidP="00C13AFA">
      <w:pPr>
        <w:pStyle w:val="SingleTxtG"/>
      </w:pPr>
      <w:r>
        <w:t>1.</w:t>
      </w:r>
      <w:r>
        <w:tab/>
        <w:t xml:space="preserve">À la cinquante-huitième session du Sous-Comité, les experts de la Chine ont présenté le document de travail ST/SG/AC.10/C.3/2021/17, dans lequel il est proposé de modifier la disposition spéciale 366 de façon qu’elle s’applique également au « gallium contenu dans des objets manufacturés », de sorte que les objets contenant du gallium et satisfaisant aux prescriptions pertinentes ne soient pas soumis au </w:t>
      </w:r>
      <w:r>
        <w:rPr>
          <w:i/>
          <w:iCs/>
        </w:rPr>
        <w:t>Règlement type</w:t>
      </w:r>
      <w:r>
        <w:t xml:space="preserve"> de l’ONU. Bien qu’une délégation ait estimé que la modification proposée n’était pas nécessaire, le Sous-Comité s’est dans l’ensemble déclaré favorable au principe de cette proposition.</w:t>
      </w:r>
    </w:p>
    <w:p w14:paraId="5011F32D" w14:textId="5C9BB3C9" w:rsidR="00C13AFA" w:rsidRPr="002E7980" w:rsidRDefault="00C13AFA" w:rsidP="00C13AFA">
      <w:pPr>
        <w:pStyle w:val="SingleTxtG"/>
      </w:pPr>
      <w:r>
        <w:t>2.</w:t>
      </w:r>
      <w:r>
        <w:tab/>
        <w:t>Aucun consensus n’ayant été dégagé sur la manière de réviser les textes à la cinquante</w:t>
      </w:r>
      <w:r>
        <w:noBreakHyphen/>
        <w:t>huitième session, les experts de la Chine ont soumis un autre document de travail (ST/SG/AC.10/C.3/2021/53) à la cinquante-neuvième session. Malheureusement, le Sous</w:t>
      </w:r>
      <w:r>
        <w:noBreakHyphen/>
        <w:t>Comité n’est pas parvenu à se mettre d’accord sur la solution à adopter parmi celles proposées. Certains experts ont fait valoir qu’il était nécessaire, pour des raisons de clarté, de créer une nouvelle rubrique, analogue au No ONU 3506 (MERCURE CONTENU DANS DES OBJETS MANUFACTURÉS), tandis que d’autres experts ont estimé que, pour des raisons de concision, il convenait dans la mesure du possible de n’apporter que des modifications mineures.</w:t>
      </w:r>
    </w:p>
    <w:p w14:paraId="5BAAF42A" w14:textId="5C4D1151" w:rsidR="00C13AFA" w:rsidRPr="00054802" w:rsidRDefault="00C13AFA" w:rsidP="00C13AFA">
      <w:pPr>
        <w:pStyle w:val="SingleTxtG"/>
      </w:pPr>
      <w:r>
        <w:t>3.</w:t>
      </w:r>
      <w:r>
        <w:tab/>
        <w:t xml:space="preserve">Pendant la période intersessions, les experts de la Chine ont soigneusement étudié toutes les observations reçues et ont finalement décidé de soumettre au Sous-Comité le présent document, où il est proposé d’introduire une exemption pour les produits contenant de petites quantités de gallium en créant une nouvelle rubrique, analogue à celle portant sur le mercure contenu dans les objets manufacturés. Bien que les changements à apporter au Règlement type soient relativement importants, les auteurs pensent que l’ajout d’une nouvelle rubrique peut non seulement clarifier le texte et limiter les éventuels malentendus, </w:t>
      </w:r>
      <w:r>
        <w:lastRenderedPageBreak/>
        <w:t>mais aussi faciliter d’éventuels futurs amendements. L’autre option, qui consiste à ajouter une disposition spéciale au No ONU 2809, si elle implique des modifications moins importantes, peut se révéler moins pratique pour le lecteur ; par ailleurs, le contenu de cette disposition spéciale serait très complexe, et risque de dérouter le lecteur au lieu de l’éclairer. Cette solution a donc été écartée car elle ne semblait pas la plus appropriée.</w:t>
      </w:r>
    </w:p>
    <w:p w14:paraId="4865E1E6" w14:textId="7E5B1A23" w:rsidR="00C13AFA" w:rsidRDefault="00C13AFA" w:rsidP="00C13AFA">
      <w:pPr>
        <w:pStyle w:val="SingleTxtG"/>
      </w:pPr>
      <w:r>
        <w:t>4.</w:t>
      </w:r>
      <w:r>
        <w:tab/>
        <w:t xml:space="preserve">Par ailleurs, à la dernière session, un expert a soulevé la question de savoir s’il convenait de définir pour le gallium contenu dans des objets manufacturés la même quantité exemptée (en kg) que pour le mercure, compte tenu de la </w:t>
      </w:r>
      <w:r w:rsidRPr="006929E1">
        <w:t>grande</w:t>
      </w:r>
      <w:r>
        <w:t xml:space="preserve"> différence de densité entre les deux métaux. Actuellement, les quantités limitées figurant dans la colonne 7a </w:t>
      </w:r>
      <w:proofErr w:type="spellStart"/>
      <w:r>
        <w:t>des</w:t>
      </w:r>
      <w:proofErr w:type="spellEnd"/>
      <w:r>
        <w:t xml:space="preserve"> Nos ONU 2803 (GALLIUM) et 2809 (MERCURE) de la liste des marchandises dangereuses </w:t>
      </w:r>
      <w:r w:rsidRPr="00E67AD6">
        <w:t>du chapitre 3.2</w:t>
      </w:r>
      <w:r>
        <w:t xml:space="preserve"> sont identiques (5 kg), tout comme les quantités exemptées pour le gallium et le mercure (100 mg) indiquées à l’alinéa b) de la disposition spéciale A69 des Instructions techniques pour la sécurité du transport aérien des marchandises dangereuses de l’Organisation de l’aviation civile internationale (OACI). Les experts de la Chine estiment donc qu’il est logique de retenir pour le gallium contenu dans des objets manufacturés la même quantité exemptée que pour le mercure contenu dans des objets manufacturés (15 g pour le transport aérien et 1 kg pour le transport terrestre et maritime).</w:t>
      </w:r>
    </w:p>
    <w:p w14:paraId="07980AF3" w14:textId="77777777" w:rsidR="00C13AFA" w:rsidRDefault="00C13AFA" w:rsidP="00C13AFA">
      <w:pPr>
        <w:pStyle w:val="HChG"/>
      </w:pPr>
      <w:r>
        <w:tab/>
      </w:r>
      <w:r>
        <w:tab/>
        <w:t xml:space="preserve">Proposition </w:t>
      </w:r>
    </w:p>
    <w:p w14:paraId="6EE8D04F" w14:textId="77777777" w:rsidR="00C13AFA" w:rsidRPr="004534D2" w:rsidRDefault="00C13AFA" w:rsidP="00C13AFA">
      <w:pPr>
        <w:pStyle w:val="SingleTxtG"/>
      </w:pPr>
      <w:r>
        <w:t>5.</w:t>
      </w:r>
      <w:r>
        <w:tab/>
        <w:t xml:space="preserve">Au chapitre 3.2, dans la liste des marchandises dangereuses, ajouter une nouvelle rubrique pour le gallium contenu dans des objets manufacturés et insérer dans cette nouvelle rubrique la disposition spéciale 366 modifiée comme suit (les modifications qu’il est proposé d’apporter figurent en </w:t>
      </w:r>
      <w:r>
        <w:rPr>
          <w:u w:val="single"/>
        </w:rPr>
        <w:t>caractères soulignés</w:t>
      </w:r>
      <w:r>
        <w:t xml:space="preserve"> pour les ajouts et </w:t>
      </w:r>
      <w:r>
        <w:rPr>
          <w:strike/>
        </w:rPr>
        <w:t>biffés</w:t>
      </w:r>
      <w:r>
        <w:t xml:space="preserve"> pour les suppressions) :</w:t>
      </w:r>
    </w:p>
    <w:tbl>
      <w:tblPr>
        <w:tblStyle w:val="TableGrid"/>
        <w:tblW w:w="9639" w:type="dxa"/>
        <w:tblLook w:val="04A0" w:firstRow="1" w:lastRow="0" w:firstColumn="1" w:lastColumn="0" w:noHBand="0" w:noVBand="1"/>
      </w:tblPr>
      <w:tblGrid>
        <w:gridCol w:w="569"/>
        <w:gridCol w:w="1634"/>
        <w:gridCol w:w="676"/>
        <w:gridCol w:w="819"/>
        <w:gridCol w:w="856"/>
        <w:gridCol w:w="849"/>
        <w:gridCol w:w="440"/>
        <w:gridCol w:w="361"/>
        <w:gridCol w:w="838"/>
        <w:gridCol w:w="20"/>
        <w:gridCol w:w="856"/>
        <w:gridCol w:w="873"/>
        <w:gridCol w:w="848"/>
      </w:tblGrid>
      <w:tr w:rsidR="00C13AFA" w14:paraId="4F7F1DCC" w14:textId="77777777" w:rsidTr="00C13AFA">
        <w:tc>
          <w:tcPr>
            <w:tcW w:w="574" w:type="dxa"/>
            <w:vMerge w:val="restart"/>
            <w:vAlign w:val="bottom"/>
          </w:tcPr>
          <w:p w14:paraId="748C6434" w14:textId="77777777" w:rsidR="00C13AFA" w:rsidRPr="00C13AFA" w:rsidRDefault="00C13AFA" w:rsidP="00C13AFA">
            <w:pPr>
              <w:spacing w:before="40" w:after="40" w:line="180" w:lineRule="exact"/>
              <w:ind w:left="57" w:right="57"/>
              <w:rPr>
                <w:sz w:val="14"/>
                <w:szCs w:val="14"/>
              </w:rPr>
            </w:pPr>
            <w:r w:rsidRPr="00C13AFA">
              <w:rPr>
                <w:b/>
                <w:sz w:val="14"/>
                <w:szCs w:val="14"/>
              </w:rPr>
              <w:t>No ONU</w:t>
            </w:r>
          </w:p>
        </w:tc>
        <w:tc>
          <w:tcPr>
            <w:tcW w:w="1677" w:type="dxa"/>
            <w:vMerge w:val="restart"/>
            <w:vAlign w:val="bottom"/>
          </w:tcPr>
          <w:p w14:paraId="48ED0252" w14:textId="77777777" w:rsidR="00C13AFA" w:rsidRPr="00C13AFA" w:rsidRDefault="00C13AFA" w:rsidP="00C13AFA">
            <w:pPr>
              <w:spacing w:before="40" w:after="40" w:line="180" w:lineRule="exact"/>
              <w:ind w:left="57" w:right="57"/>
              <w:rPr>
                <w:sz w:val="14"/>
                <w:szCs w:val="14"/>
              </w:rPr>
            </w:pPr>
            <w:r w:rsidRPr="00C13AFA">
              <w:rPr>
                <w:b/>
                <w:sz w:val="14"/>
                <w:szCs w:val="14"/>
              </w:rPr>
              <w:t>Nom et description</w:t>
            </w:r>
          </w:p>
        </w:tc>
        <w:tc>
          <w:tcPr>
            <w:tcW w:w="768" w:type="dxa"/>
            <w:vMerge w:val="restart"/>
            <w:vAlign w:val="bottom"/>
          </w:tcPr>
          <w:p w14:paraId="477EDF20" w14:textId="77777777" w:rsidR="00C13AFA" w:rsidRPr="00C13AFA" w:rsidRDefault="00C13AFA" w:rsidP="00C13AFA">
            <w:pPr>
              <w:spacing w:before="40" w:after="40" w:line="180" w:lineRule="exact"/>
              <w:ind w:left="57" w:right="57"/>
              <w:rPr>
                <w:sz w:val="14"/>
                <w:szCs w:val="14"/>
              </w:rPr>
            </w:pPr>
            <w:r w:rsidRPr="00C13AFA">
              <w:rPr>
                <w:b/>
                <w:sz w:val="14"/>
                <w:szCs w:val="14"/>
              </w:rPr>
              <w:t>Classe ou division</w:t>
            </w:r>
          </w:p>
        </w:tc>
        <w:tc>
          <w:tcPr>
            <w:tcW w:w="864" w:type="dxa"/>
            <w:vMerge w:val="restart"/>
            <w:vAlign w:val="bottom"/>
          </w:tcPr>
          <w:p w14:paraId="6942B892" w14:textId="77777777" w:rsidR="00C13AFA" w:rsidRPr="00C13AFA" w:rsidRDefault="00C13AFA" w:rsidP="00C13AFA">
            <w:pPr>
              <w:spacing w:before="40" w:after="40" w:line="180" w:lineRule="exact"/>
              <w:ind w:left="57" w:right="57"/>
              <w:rPr>
                <w:sz w:val="14"/>
                <w:szCs w:val="14"/>
              </w:rPr>
            </w:pPr>
            <w:r w:rsidRPr="00C13AFA">
              <w:rPr>
                <w:b/>
                <w:sz w:val="14"/>
                <w:szCs w:val="14"/>
              </w:rPr>
              <w:t>Danger subsidiaire</w:t>
            </w:r>
          </w:p>
        </w:tc>
        <w:tc>
          <w:tcPr>
            <w:tcW w:w="773" w:type="dxa"/>
            <w:vMerge w:val="restart"/>
            <w:vAlign w:val="bottom"/>
          </w:tcPr>
          <w:p w14:paraId="3FAFB319" w14:textId="77777777" w:rsidR="00C13AFA" w:rsidRPr="00C13AFA" w:rsidRDefault="00C13AFA" w:rsidP="00C13AFA">
            <w:pPr>
              <w:spacing w:before="40" w:after="40" w:line="180" w:lineRule="exact"/>
              <w:ind w:left="57" w:right="57"/>
              <w:rPr>
                <w:sz w:val="14"/>
                <w:szCs w:val="14"/>
              </w:rPr>
            </w:pPr>
            <w:r w:rsidRPr="00C13AFA">
              <w:rPr>
                <w:b/>
                <w:sz w:val="14"/>
                <w:szCs w:val="14"/>
              </w:rPr>
              <w:t>Groupe d’emballage</w:t>
            </w:r>
          </w:p>
        </w:tc>
        <w:tc>
          <w:tcPr>
            <w:tcW w:w="850" w:type="dxa"/>
            <w:vMerge w:val="restart"/>
            <w:vAlign w:val="bottom"/>
          </w:tcPr>
          <w:p w14:paraId="2B43D985" w14:textId="6FA76A5F" w:rsidR="00C13AFA" w:rsidRPr="00C13AFA" w:rsidRDefault="00C13AFA" w:rsidP="00C13AFA">
            <w:pPr>
              <w:spacing w:before="40" w:after="40" w:line="180" w:lineRule="exact"/>
              <w:ind w:left="57" w:right="57"/>
              <w:rPr>
                <w:sz w:val="14"/>
                <w:szCs w:val="14"/>
              </w:rPr>
            </w:pPr>
            <w:r w:rsidRPr="00C13AFA">
              <w:rPr>
                <w:b/>
                <w:sz w:val="14"/>
                <w:szCs w:val="14"/>
              </w:rPr>
              <w:t xml:space="preserve">Dispositions spéciales </w:t>
            </w:r>
          </w:p>
        </w:tc>
        <w:tc>
          <w:tcPr>
            <w:tcW w:w="835" w:type="dxa"/>
            <w:gridSpan w:val="2"/>
            <w:vMerge w:val="restart"/>
            <w:vAlign w:val="bottom"/>
          </w:tcPr>
          <w:p w14:paraId="64FC992F" w14:textId="77777777" w:rsidR="00C13AFA" w:rsidRPr="00C13AFA" w:rsidRDefault="00C13AFA" w:rsidP="00C13AFA">
            <w:pPr>
              <w:spacing w:before="40" w:after="40" w:line="180" w:lineRule="exact"/>
              <w:ind w:left="57" w:right="57"/>
              <w:rPr>
                <w:sz w:val="14"/>
                <w:szCs w:val="14"/>
              </w:rPr>
            </w:pPr>
            <w:r w:rsidRPr="00C13AFA">
              <w:rPr>
                <w:b/>
                <w:sz w:val="14"/>
                <w:szCs w:val="14"/>
              </w:rPr>
              <w:t>Quantités limitées et quantités exceptées</w:t>
            </w:r>
          </w:p>
        </w:tc>
        <w:tc>
          <w:tcPr>
            <w:tcW w:w="1470" w:type="dxa"/>
            <w:gridSpan w:val="3"/>
            <w:vAlign w:val="bottom"/>
          </w:tcPr>
          <w:p w14:paraId="54768D13" w14:textId="1DA547AE" w:rsidR="00C13AFA" w:rsidRPr="00C13AFA" w:rsidRDefault="00C13AFA" w:rsidP="00C13AFA">
            <w:pPr>
              <w:spacing w:before="40" w:after="40" w:line="180" w:lineRule="exact"/>
              <w:ind w:left="57" w:right="57"/>
              <w:jc w:val="center"/>
              <w:rPr>
                <w:sz w:val="14"/>
                <w:szCs w:val="14"/>
              </w:rPr>
            </w:pPr>
            <w:r w:rsidRPr="00C13AFA">
              <w:rPr>
                <w:b/>
                <w:sz w:val="14"/>
                <w:szCs w:val="14"/>
              </w:rPr>
              <w:t>Emballages et GRV</w:t>
            </w:r>
          </w:p>
        </w:tc>
        <w:tc>
          <w:tcPr>
            <w:tcW w:w="1681" w:type="dxa"/>
            <w:gridSpan w:val="2"/>
            <w:vAlign w:val="bottom"/>
          </w:tcPr>
          <w:p w14:paraId="630EF2A2" w14:textId="77777777" w:rsidR="00C13AFA" w:rsidRPr="00C13AFA" w:rsidRDefault="00C13AFA" w:rsidP="00C13AFA">
            <w:pPr>
              <w:spacing w:before="40" w:after="40" w:line="180" w:lineRule="exact"/>
              <w:ind w:left="57" w:right="57"/>
              <w:jc w:val="center"/>
              <w:rPr>
                <w:sz w:val="14"/>
                <w:szCs w:val="14"/>
              </w:rPr>
            </w:pPr>
            <w:r w:rsidRPr="00C13AFA">
              <w:rPr>
                <w:b/>
                <w:sz w:val="14"/>
                <w:szCs w:val="14"/>
              </w:rPr>
              <w:t>Citernes mobiles et conteneurs pour vrac</w:t>
            </w:r>
          </w:p>
        </w:tc>
      </w:tr>
      <w:tr w:rsidR="00C13AFA" w14:paraId="482DBAAE" w14:textId="77777777" w:rsidTr="00C13AFA">
        <w:tc>
          <w:tcPr>
            <w:tcW w:w="574" w:type="dxa"/>
            <w:vMerge/>
            <w:vAlign w:val="bottom"/>
          </w:tcPr>
          <w:p w14:paraId="5AA6F8FE" w14:textId="77777777" w:rsidR="00C13AFA" w:rsidRPr="00C13AFA" w:rsidRDefault="00C13AFA" w:rsidP="00C13AFA">
            <w:pPr>
              <w:spacing w:before="40" w:after="40" w:line="180" w:lineRule="exact"/>
              <w:ind w:left="57" w:right="57"/>
              <w:rPr>
                <w:sz w:val="14"/>
                <w:szCs w:val="14"/>
              </w:rPr>
            </w:pPr>
          </w:p>
        </w:tc>
        <w:tc>
          <w:tcPr>
            <w:tcW w:w="1677" w:type="dxa"/>
            <w:vMerge/>
            <w:vAlign w:val="bottom"/>
          </w:tcPr>
          <w:p w14:paraId="52AB18F7" w14:textId="77777777" w:rsidR="00C13AFA" w:rsidRPr="00C13AFA" w:rsidRDefault="00C13AFA" w:rsidP="00C13AFA">
            <w:pPr>
              <w:spacing w:before="40" w:after="40" w:line="180" w:lineRule="exact"/>
              <w:ind w:left="57" w:right="57"/>
              <w:rPr>
                <w:sz w:val="14"/>
                <w:szCs w:val="14"/>
              </w:rPr>
            </w:pPr>
          </w:p>
        </w:tc>
        <w:tc>
          <w:tcPr>
            <w:tcW w:w="768" w:type="dxa"/>
            <w:vMerge/>
            <w:vAlign w:val="bottom"/>
          </w:tcPr>
          <w:p w14:paraId="08E99CC4" w14:textId="77777777" w:rsidR="00C13AFA" w:rsidRPr="00C13AFA" w:rsidRDefault="00C13AFA" w:rsidP="00C13AFA">
            <w:pPr>
              <w:spacing w:before="40" w:after="40" w:line="180" w:lineRule="exact"/>
              <w:ind w:left="57" w:right="57"/>
              <w:rPr>
                <w:sz w:val="14"/>
                <w:szCs w:val="14"/>
              </w:rPr>
            </w:pPr>
          </w:p>
        </w:tc>
        <w:tc>
          <w:tcPr>
            <w:tcW w:w="864" w:type="dxa"/>
            <w:vMerge/>
            <w:vAlign w:val="bottom"/>
          </w:tcPr>
          <w:p w14:paraId="052FC74D" w14:textId="77777777" w:rsidR="00C13AFA" w:rsidRPr="00C13AFA" w:rsidRDefault="00C13AFA" w:rsidP="00C13AFA">
            <w:pPr>
              <w:spacing w:before="40" w:after="40" w:line="180" w:lineRule="exact"/>
              <w:ind w:left="57" w:right="57"/>
              <w:rPr>
                <w:sz w:val="14"/>
                <w:szCs w:val="14"/>
              </w:rPr>
            </w:pPr>
          </w:p>
        </w:tc>
        <w:tc>
          <w:tcPr>
            <w:tcW w:w="773" w:type="dxa"/>
            <w:vMerge/>
            <w:vAlign w:val="bottom"/>
          </w:tcPr>
          <w:p w14:paraId="14FD7C03" w14:textId="77777777" w:rsidR="00C13AFA" w:rsidRPr="00C13AFA" w:rsidRDefault="00C13AFA" w:rsidP="00C13AFA">
            <w:pPr>
              <w:spacing w:before="40" w:after="40" w:line="180" w:lineRule="exact"/>
              <w:ind w:left="57" w:right="57"/>
              <w:rPr>
                <w:sz w:val="14"/>
                <w:szCs w:val="14"/>
              </w:rPr>
            </w:pPr>
          </w:p>
        </w:tc>
        <w:tc>
          <w:tcPr>
            <w:tcW w:w="850" w:type="dxa"/>
            <w:vMerge/>
            <w:vAlign w:val="bottom"/>
          </w:tcPr>
          <w:p w14:paraId="5B8B4AEA" w14:textId="77777777" w:rsidR="00C13AFA" w:rsidRPr="00C13AFA" w:rsidRDefault="00C13AFA" w:rsidP="00C13AFA">
            <w:pPr>
              <w:spacing w:before="40" w:after="40" w:line="180" w:lineRule="exact"/>
              <w:ind w:left="57" w:right="57"/>
              <w:rPr>
                <w:sz w:val="14"/>
                <w:szCs w:val="14"/>
              </w:rPr>
            </w:pPr>
          </w:p>
        </w:tc>
        <w:tc>
          <w:tcPr>
            <w:tcW w:w="835" w:type="dxa"/>
            <w:gridSpan w:val="2"/>
            <w:vMerge/>
            <w:vAlign w:val="bottom"/>
          </w:tcPr>
          <w:p w14:paraId="09C5EC52" w14:textId="77777777" w:rsidR="00C13AFA" w:rsidRPr="00C13AFA" w:rsidRDefault="00C13AFA" w:rsidP="00C13AFA">
            <w:pPr>
              <w:spacing w:before="40" w:after="40" w:line="180" w:lineRule="exact"/>
              <w:ind w:left="57" w:right="57"/>
              <w:rPr>
                <w:sz w:val="14"/>
                <w:szCs w:val="14"/>
              </w:rPr>
            </w:pPr>
          </w:p>
        </w:tc>
        <w:tc>
          <w:tcPr>
            <w:tcW w:w="757" w:type="dxa"/>
            <w:gridSpan w:val="2"/>
            <w:vAlign w:val="bottom"/>
          </w:tcPr>
          <w:p w14:paraId="0907BC31" w14:textId="77777777" w:rsidR="00C13AFA" w:rsidRPr="00C13AFA" w:rsidRDefault="00C13AFA" w:rsidP="00C13AFA">
            <w:pPr>
              <w:spacing w:before="40" w:after="40" w:line="180" w:lineRule="exact"/>
              <w:ind w:left="57" w:right="57"/>
              <w:rPr>
                <w:sz w:val="14"/>
                <w:szCs w:val="14"/>
              </w:rPr>
            </w:pPr>
            <w:r w:rsidRPr="00C13AFA">
              <w:rPr>
                <w:b/>
                <w:sz w:val="14"/>
                <w:szCs w:val="14"/>
              </w:rPr>
              <w:t>Instructions d’emballage</w:t>
            </w:r>
          </w:p>
        </w:tc>
        <w:tc>
          <w:tcPr>
            <w:tcW w:w="713" w:type="dxa"/>
            <w:vAlign w:val="bottom"/>
          </w:tcPr>
          <w:p w14:paraId="08CB5256" w14:textId="77777777" w:rsidR="00C13AFA" w:rsidRPr="00C13AFA" w:rsidRDefault="00C13AFA" w:rsidP="00C13AFA">
            <w:pPr>
              <w:spacing w:before="40" w:after="40" w:line="180" w:lineRule="exact"/>
              <w:ind w:left="57" w:right="57"/>
              <w:rPr>
                <w:sz w:val="14"/>
                <w:szCs w:val="14"/>
              </w:rPr>
            </w:pPr>
            <w:r w:rsidRPr="00C13AFA">
              <w:rPr>
                <w:b/>
                <w:sz w:val="14"/>
                <w:szCs w:val="14"/>
              </w:rPr>
              <w:t>Dispositions spéciales d’emballage</w:t>
            </w:r>
          </w:p>
        </w:tc>
        <w:tc>
          <w:tcPr>
            <w:tcW w:w="899" w:type="dxa"/>
            <w:vAlign w:val="bottom"/>
          </w:tcPr>
          <w:p w14:paraId="7B2258FF" w14:textId="77777777" w:rsidR="00C13AFA" w:rsidRPr="00C13AFA" w:rsidRDefault="00C13AFA" w:rsidP="00C13AFA">
            <w:pPr>
              <w:spacing w:before="40" w:after="40" w:line="180" w:lineRule="exact"/>
              <w:ind w:left="57" w:right="57"/>
              <w:rPr>
                <w:sz w:val="14"/>
                <w:szCs w:val="14"/>
              </w:rPr>
            </w:pPr>
            <w:r w:rsidRPr="00C13AFA">
              <w:rPr>
                <w:b/>
                <w:sz w:val="14"/>
                <w:szCs w:val="14"/>
              </w:rPr>
              <w:t>Instructions de transport</w:t>
            </w:r>
          </w:p>
        </w:tc>
        <w:tc>
          <w:tcPr>
            <w:tcW w:w="782" w:type="dxa"/>
            <w:vAlign w:val="bottom"/>
          </w:tcPr>
          <w:p w14:paraId="6FBD31D5" w14:textId="77777777" w:rsidR="00C13AFA" w:rsidRPr="00C13AFA" w:rsidRDefault="00C13AFA" w:rsidP="00C13AFA">
            <w:pPr>
              <w:spacing w:before="40" w:after="40" w:line="180" w:lineRule="exact"/>
              <w:ind w:left="57" w:right="57"/>
              <w:rPr>
                <w:sz w:val="14"/>
                <w:szCs w:val="14"/>
              </w:rPr>
            </w:pPr>
            <w:r w:rsidRPr="00C13AFA">
              <w:rPr>
                <w:b/>
                <w:sz w:val="14"/>
                <w:szCs w:val="14"/>
              </w:rPr>
              <w:t>Dispositions spéciales</w:t>
            </w:r>
          </w:p>
        </w:tc>
      </w:tr>
      <w:tr w:rsidR="00C13AFA" w:rsidRPr="00F323E6" w14:paraId="054C9715" w14:textId="77777777" w:rsidTr="00C13AFA">
        <w:tc>
          <w:tcPr>
            <w:tcW w:w="574" w:type="dxa"/>
          </w:tcPr>
          <w:p w14:paraId="1D5F7A42"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35XX</w:t>
            </w:r>
          </w:p>
        </w:tc>
        <w:tc>
          <w:tcPr>
            <w:tcW w:w="1677" w:type="dxa"/>
          </w:tcPr>
          <w:p w14:paraId="72E1EFAB" w14:textId="77777777" w:rsidR="00C13AFA" w:rsidRPr="00C13AFA" w:rsidRDefault="00C13AFA" w:rsidP="00C13AFA">
            <w:pPr>
              <w:spacing w:before="40" w:after="40"/>
              <w:ind w:left="57" w:right="57"/>
              <w:rPr>
                <w:rFonts w:eastAsiaTheme="minorEastAsia"/>
                <w:bCs/>
                <w:sz w:val="18"/>
                <w:szCs w:val="18"/>
                <w:u w:val="single"/>
              </w:rPr>
            </w:pPr>
            <w:r w:rsidRPr="00C13AFA">
              <w:rPr>
                <w:sz w:val="18"/>
                <w:szCs w:val="18"/>
                <w:u w:val="single"/>
              </w:rPr>
              <w:t xml:space="preserve">GALLIUM CONTENU DANS DES OBJETS MANUFACTURÉS </w:t>
            </w:r>
          </w:p>
        </w:tc>
        <w:tc>
          <w:tcPr>
            <w:tcW w:w="768" w:type="dxa"/>
          </w:tcPr>
          <w:p w14:paraId="60B46E14"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8</w:t>
            </w:r>
          </w:p>
        </w:tc>
        <w:tc>
          <w:tcPr>
            <w:tcW w:w="864" w:type="dxa"/>
          </w:tcPr>
          <w:p w14:paraId="04EFD1F5" w14:textId="77777777" w:rsidR="00C13AFA" w:rsidRPr="00C13AFA" w:rsidRDefault="00C13AFA" w:rsidP="00C13AFA">
            <w:pPr>
              <w:spacing w:before="40" w:after="40"/>
              <w:ind w:left="57" w:right="57"/>
              <w:jc w:val="center"/>
              <w:rPr>
                <w:bCs/>
                <w:sz w:val="18"/>
                <w:szCs w:val="18"/>
                <w:u w:val="single"/>
              </w:rPr>
            </w:pPr>
          </w:p>
        </w:tc>
        <w:tc>
          <w:tcPr>
            <w:tcW w:w="773" w:type="dxa"/>
          </w:tcPr>
          <w:p w14:paraId="7F564B90" w14:textId="77777777" w:rsidR="00C13AFA" w:rsidRPr="00C13AFA" w:rsidRDefault="00C13AFA" w:rsidP="00C13AFA">
            <w:pPr>
              <w:spacing w:before="40" w:after="40"/>
              <w:ind w:left="57" w:right="57"/>
              <w:jc w:val="center"/>
              <w:rPr>
                <w:bCs/>
                <w:sz w:val="18"/>
                <w:szCs w:val="18"/>
                <w:u w:val="single"/>
              </w:rPr>
            </w:pPr>
          </w:p>
        </w:tc>
        <w:tc>
          <w:tcPr>
            <w:tcW w:w="850" w:type="dxa"/>
          </w:tcPr>
          <w:p w14:paraId="2C9DCFEB"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366</w:t>
            </w:r>
          </w:p>
        </w:tc>
        <w:tc>
          <w:tcPr>
            <w:tcW w:w="435" w:type="dxa"/>
          </w:tcPr>
          <w:p w14:paraId="3D3E46E8"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5 kg</w:t>
            </w:r>
          </w:p>
        </w:tc>
        <w:tc>
          <w:tcPr>
            <w:tcW w:w="400" w:type="dxa"/>
          </w:tcPr>
          <w:p w14:paraId="193318A3"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E0</w:t>
            </w:r>
          </w:p>
        </w:tc>
        <w:tc>
          <w:tcPr>
            <w:tcW w:w="735" w:type="dxa"/>
          </w:tcPr>
          <w:p w14:paraId="5844DD56" w14:textId="77777777" w:rsidR="00C13AFA" w:rsidRPr="00C13AFA" w:rsidRDefault="00C13AFA" w:rsidP="00C13AFA">
            <w:pPr>
              <w:spacing w:before="40" w:after="40"/>
              <w:ind w:left="57" w:right="57"/>
              <w:jc w:val="center"/>
              <w:rPr>
                <w:bCs/>
                <w:sz w:val="18"/>
                <w:szCs w:val="18"/>
                <w:u w:val="single"/>
              </w:rPr>
            </w:pPr>
            <w:r w:rsidRPr="00C13AFA">
              <w:rPr>
                <w:sz w:val="18"/>
                <w:szCs w:val="18"/>
                <w:u w:val="single"/>
              </w:rPr>
              <w:t>P003</w:t>
            </w:r>
          </w:p>
        </w:tc>
        <w:tc>
          <w:tcPr>
            <w:tcW w:w="735" w:type="dxa"/>
            <w:gridSpan w:val="2"/>
          </w:tcPr>
          <w:p w14:paraId="64EC07F4" w14:textId="77777777" w:rsidR="00C13AFA" w:rsidRPr="00C13AFA" w:rsidRDefault="00C13AFA" w:rsidP="00C13AFA">
            <w:pPr>
              <w:spacing w:before="40" w:after="40"/>
              <w:ind w:left="57" w:right="57"/>
              <w:jc w:val="center"/>
              <w:rPr>
                <w:bCs/>
                <w:color w:val="000000" w:themeColor="text1"/>
                <w:sz w:val="18"/>
                <w:szCs w:val="18"/>
                <w:u w:val="single"/>
              </w:rPr>
            </w:pPr>
            <w:r w:rsidRPr="00C13AFA">
              <w:rPr>
                <w:color w:val="000000" w:themeColor="text1"/>
                <w:sz w:val="18"/>
                <w:szCs w:val="18"/>
                <w:u w:val="single"/>
              </w:rPr>
              <w:t>PP90</w:t>
            </w:r>
          </w:p>
        </w:tc>
        <w:tc>
          <w:tcPr>
            <w:tcW w:w="899" w:type="dxa"/>
          </w:tcPr>
          <w:p w14:paraId="4DFA0211" w14:textId="77777777" w:rsidR="00C13AFA" w:rsidRPr="00C13AFA" w:rsidRDefault="00C13AFA" w:rsidP="00C13AFA">
            <w:pPr>
              <w:spacing w:before="40" w:after="40"/>
              <w:ind w:left="57" w:right="57"/>
              <w:jc w:val="center"/>
              <w:rPr>
                <w:bCs/>
                <w:sz w:val="18"/>
                <w:szCs w:val="18"/>
              </w:rPr>
            </w:pPr>
          </w:p>
        </w:tc>
        <w:tc>
          <w:tcPr>
            <w:tcW w:w="782" w:type="dxa"/>
          </w:tcPr>
          <w:p w14:paraId="0B2E2BA2" w14:textId="77777777" w:rsidR="00C13AFA" w:rsidRPr="00C13AFA" w:rsidRDefault="00C13AFA" w:rsidP="00C13AFA">
            <w:pPr>
              <w:spacing w:before="40" w:after="40"/>
              <w:ind w:left="57" w:right="57"/>
              <w:jc w:val="center"/>
              <w:rPr>
                <w:bCs/>
                <w:sz w:val="18"/>
                <w:szCs w:val="18"/>
              </w:rPr>
            </w:pPr>
          </w:p>
        </w:tc>
      </w:tr>
    </w:tbl>
    <w:p w14:paraId="664CC111" w14:textId="77777777" w:rsidR="00C13AFA" w:rsidRPr="00F323E6" w:rsidRDefault="00C13AFA" w:rsidP="00C13AFA">
      <w:pPr>
        <w:pStyle w:val="SingleTxtG"/>
        <w:spacing w:before="240"/>
      </w:pPr>
      <w:r>
        <w:t>6.</w:t>
      </w:r>
      <w:r>
        <w:tab/>
        <w:t xml:space="preserve">Au 4.1.4.1, dans l’instruction d’emballage P003, modifier la disposition spéciale d’emballage PP90 comme suit (les modifications qu’il est proposé d’apporter figurent en </w:t>
      </w:r>
      <w:r>
        <w:rPr>
          <w:u w:val="single"/>
        </w:rPr>
        <w:t>caractères soulignés</w:t>
      </w:r>
      <w:r>
        <w:t xml:space="preserve"> pour les ajouts et </w:t>
      </w:r>
      <w:r>
        <w:rPr>
          <w:strike/>
        </w:rPr>
        <w:t>biffés</w:t>
      </w:r>
      <w:r>
        <w:t xml:space="preserve"> pour les suppressions) :</w:t>
      </w:r>
    </w:p>
    <w:tbl>
      <w:tblPr>
        <w:tblStyle w:val="TableGrid"/>
        <w:tblW w:w="7371" w:type="dxa"/>
        <w:tblInd w:w="1134" w:type="dxa"/>
        <w:tblLook w:val="04A0" w:firstRow="1" w:lastRow="0" w:firstColumn="1" w:lastColumn="0" w:noHBand="0" w:noVBand="1"/>
      </w:tblPr>
      <w:tblGrid>
        <w:gridCol w:w="7371"/>
      </w:tblGrid>
      <w:tr w:rsidR="00C13AFA" w:rsidRPr="00954BE3" w14:paraId="35C07429" w14:textId="77777777" w:rsidTr="00C13AFA">
        <w:trPr>
          <w:trHeight w:val="340"/>
        </w:trPr>
        <w:tc>
          <w:tcPr>
            <w:tcW w:w="7793" w:type="dxa"/>
          </w:tcPr>
          <w:p w14:paraId="29978B1C" w14:textId="77777777" w:rsidR="00C13AFA" w:rsidRPr="008E203E" w:rsidRDefault="00C13AFA" w:rsidP="00C13AFA">
            <w:pPr>
              <w:pStyle w:val="ListParagraph"/>
              <w:spacing w:before="40" w:after="40"/>
              <w:ind w:left="57" w:right="57" w:firstLineChars="0" w:firstLine="0"/>
              <w:jc w:val="both"/>
              <w:rPr>
                <w:b/>
              </w:rPr>
            </w:pPr>
            <w:r>
              <w:rPr>
                <w:b/>
              </w:rPr>
              <w:t>P003                                  INSTRUCTIONS D’EMBALLAGE                                        P003</w:t>
            </w:r>
          </w:p>
        </w:tc>
      </w:tr>
      <w:tr w:rsidR="00C13AFA" w14:paraId="14FBC094" w14:textId="77777777" w:rsidTr="00C13AFA">
        <w:trPr>
          <w:trHeight w:val="340"/>
        </w:trPr>
        <w:tc>
          <w:tcPr>
            <w:tcW w:w="7793" w:type="dxa"/>
          </w:tcPr>
          <w:p w14:paraId="33350B35" w14:textId="77777777" w:rsidR="00C13AFA" w:rsidRPr="00F05BD9" w:rsidRDefault="00C13AFA" w:rsidP="00C13AFA">
            <w:pPr>
              <w:spacing w:before="40" w:after="40"/>
              <w:ind w:left="57" w:right="57"/>
            </w:pPr>
            <w:r>
              <w:t>…</w:t>
            </w:r>
          </w:p>
        </w:tc>
      </w:tr>
      <w:tr w:rsidR="00C13AFA" w:rsidRPr="00954BE3" w14:paraId="3EB3699B" w14:textId="77777777" w:rsidTr="00C13AFA">
        <w:trPr>
          <w:trHeight w:val="340"/>
        </w:trPr>
        <w:tc>
          <w:tcPr>
            <w:tcW w:w="7793" w:type="dxa"/>
            <w:tcBorders>
              <w:bottom w:val="single" w:sz="4" w:space="0" w:color="auto"/>
            </w:tcBorders>
          </w:tcPr>
          <w:p w14:paraId="1917BCD1" w14:textId="77777777" w:rsidR="00C13AFA" w:rsidRPr="00954BE3" w:rsidRDefault="00C13AFA" w:rsidP="00C13AFA">
            <w:pPr>
              <w:tabs>
                <w:tab w:val="left" w:pos="565"/>
              </w:tabs>
              <w:spacing w:before="40" w:after="40"/>
              <w:ind w:left="624" w:right="57" w:hanging="567"/>
              <w:jc w:val="both"/>
              <w:rPr>
                <w:rFonts w:eastAsiaTheme="minorEastAsia"/>
              </w:rPr>
            </w:pPr>
            <w:r>
              <w:rPr>
                <w:b/>
              </w:rPr>
              <w:t>PP90</w:t>
            </w:r>
            <w:r>
              <w:rPr>
                <w:b/>
              </w:rPr>
              <w:tab/>
            </w:r>
            <w:r>
              <w:t xml:space="preserve">Pour </w:t>
            </w:r>
            <w:r>
              <w:rPr>
                <w:strike/>
              </w:rPr>
              <w:t>le No</w:t>
            </w:r>
            <w:r>
              <w:t xml:space="preserve"> </w:t>
            </w:r>
            <w:r>
              <w:rPr>
                <w:u w:val="single"/>
              </w:rPr>
              <w:t>les Nos</w:t>
            </w:r>
            <w:r>
              <w:t xml:space="preserve"> ONU 3506 </w:t>
            </w:r>
            <w:r>
              <w:rPr>
                <w:u w:val="single"/>
              </w:rPr>
              <w:t>et 35XX</w:t>
            </w:r>
            <w:r>
              <w:t xml:space="preserve">, des doublures intérieures ou des sacs en matériau robuste et résistant aux fuites et aux perforations, imperméables au mercure </w:t>
            </w:r>
            <w:r>
              <w:rPr>
                <w:u w:val="single"/>
              </w:rPr>
              <w:t>ou au gallium</w:t>
            </w:r>
            <w:r>
              <w:t xml:space="preserve"> et scellés de manière à empêcher toute fuite de la matière quelle que soit la position ou l’orientation du colis, doivent être utilisés. Pour le transport aérien, des prescriptions supplémentaires peuvent s’appliquer.</w:t>
            </w:r>
          </w:p>
        </w:tc>
      </w:tr>
    </w:tbl>
    <w:p w14:paraId="03E72452" w14:textId="77777777" w:rsidR="00C13AFA" w:rsidRDefault="00C13AFA" w:rsidP="00C13AFA">
      <w:pPr>
        <w:pStyle w:val="SingleTxtG"/>
        <w:spacing w:before="240"/>
      </w:pPr>
      <w:r>
        <w:t>7.</w:t>
      </w:r>
      <w:r>
        <w:tab/>
        <w:t xml:space="preserve">Au chapitre 3.3, modifier la disposition spéciale 366 comme suit (les modifications qu’il est proposé d’apporter figurent en </w:t>
      </w:r>
      <w:r>
        <w:rPr>
          <w:u w:val="single"/>
        </w:rPr>
        <w:t>caractères soulignés</w:t>
      </w:r>
      <w:r>
        <w:t xml:space="preserve"> pour les ajouts et </w:t>
      </w:r>
      <w:r>
        <w:rPr>
          <w:strike/>
        </w:rPr>
        <w:t>biffés</w:t>
      </w:r>
      <w:r>
        <w:t xml:space="preserve"> pour les suppressions) :</w:t>
      </w:r>
    </w:p>
    <w:p w14:paraId="55691C6E" w14:textId="17B6EED5" w:rsidR="00C13AFA" w:rsidRDefault="00C13AFA" w:rsidP="00C13AFA">
      <w:pPr>
        <w:pStyle w:val="SingleTxtG"/>
        <w:ind w:left="1701" w:hanging="567"/>
      </w:pPr>
      <w:r>
        <w:t>« </w:t>
      </w:r>
      <w:r>
        <w:rPr>
          <w:b/>
        </w:rPr>
        <w:t>366</w:t>
      </w:r>
      <w:r>
        <w:tab/>
        <w:t xml:space="preserve">Pour le transport terrestre et maritime, les appareils et objets manufacturés contenant au plus 1 kg de mercure </w:t>
      </w:r>
      <w:r>
        <w:rPr>
          <w:u w:val="single"/>
        </w:rPr>
        <w:t>ou de gallium</w:t>
      </w:r>
      <w:r>
        <w:t xml:space="preserve"> ne sont pas soumis au présent Règlement. Pour le transport aérien, les objets contenant au plus 15 g de mercure </w:t>
      </w:r>
      <w:r>
        <w:rPr>
          <w:u w:val="single"/>
        </w:rPr>
        <w:t>ou de gallium</w:t>
      </w:r>
      <w:r>
        <w:rPr>
          <w:b/>
          <w:u w:val="single"/>
        </w:rPr>
        <w:t xml:space="preserve"> </w:t>
      </w:r>
      <w:r>
        <w:t>ne sont pas soumis au présent Règlement. ».</w:t>
      </w:r>
    </w:p>
    <w:p w14:paraId="3C747C1B" w14:textId="77777777" w:rsidR="00C13AFA" w:rsidRPr="004534D2" w:rsidRDefault="00C13AFA" w:rsidP="00C13AFA">
      <w:pPr>
        <w:pStyle w:val="SingleTxtG"/>
        <w:keepNext/>
        <w:tabs>
          <w:tab w:val="clear" w:pos="1701"/>
          <w:tab w:val="clear" w:pos="2268"/>
          <w:tab w:val="clear" w:pos="2835"/>
        </w:tabs>
      </w:pPr>
      <w:r>
        <w:lastRenderedPageBreak/>
        <w:t>8.</w:t>
      </w:r>
      <w:r>
        <w:tab/>
        <w:t xml:space="preserve">Modifier la disposition spéciale d’emballage 365 comme suit (les modifications qu’il est proposé d’apporter figurent en </w:t>
      </w:r>
      <w:r>
        <w:rPr>
          <w:u w:val="single"/>
        </w:rPr>
        <w:t>caractères soulignés</w:t>
      </w:r>
      <w:r>
        <w:t xml:space="preserve"> pour les ajouts et </w:t>
      </w:r>
      <w:r>
        <w:rPr>
          <w:strike/>
        </w:rPr>
        <w:t>biffés</w:t>
      </w:r>
      <w:r>
        <w:t xml:space="preserve"> pour les suppressions) :</w:t>
      </w:r>
    </w:p>
    <w:p w14:paraId="5BC9F0F9" w14:textId="5FF52171" w:rsidR="00C13AFA" w:rsidRPr="00CA1483" w:rsidRDefault="00C13AFA" w:rsidP="00C13AFA">
      <w:pPr>
        <w:pStyle w:val="SingleTxtG"/>
        <w:ind w:left="1701" w:hanging="567"/>
      </w:pPr>
      <w:r>
        <w:t>« </w:t>
      </w:r>
      <w:r>
        <w:rPr>
          <w:b/>
        </w:rPr>
        <w:t>365</w:t>
      </w:r>
      <w:r>
        <w:rPr>
          <w:b/>
        </w:rPr>
        <w:tab/>
      </w:r>
      <w:r>
        <w:t xml:space="preserve">Pour les appareils et objets manufacturés contenant du mercure </w:t>
      </w:r>
      <w:r>
        <w:rPr>
          <w:u w:val="single"/>
        </w:rPr>
        <w:t>ou du gallium</w:t>
      </w:r>
      <w:r>
        <w:t xml:space="preserve">, voir le No ONU 3506 </w:t>
      </w:r>
      <w:r>
        <w:rPr>
          <w:u w:val="single"/>
        </w:rPr>
        <w:t>ou le No ONU 35XX</w:t>
      </w:r>
      <w:r>
        <w:t>. ».</w:t>
      </w:r>
    </w:p>
    <w:p w14:paraId="272B1D32" w14:textId="6CBA0F95" w:rsidR="00C13AFA" w:rsidRDefault="00C13AFA" w:rsidP="00C13AFA">
      <w:pPr>
        <w:pStyle w:val="SingleTxtG"/>
      </w:pPr>
      <w:r>
        <w:t>9.</w:t>
      </w:r>
      <w:r>
        <w:tab/>
        <w:t>Au paragraphe 3.2.2, No ONU 2803 GALLIUM, ajouter la disposition spéciale 365 :</w:t>
      </w:r>
    </w:p>
    <w:tbl>
      <w:tblPr>
        <w:tblStyle w:val="TableGrid"/>
        <w:tblW w:w="9639" w:type="dxa"/>
        <w:tblLook w:val="04A0" w:firstRow="1" w:lastRow="0" w:firstColumn="1" w:lastColumn="0" w:noHBand="0" w:noVBand="1"/>
      </w:tblPr>
      <w:tblGrid>
        <w:gridCol w:w="718"/>
        <w:gridCol w:w="1061"/>
        <w:gridCol w:w="818"/>
        <w:gridCol w:w="789"/>
        <w:gridCol w:w="868"/>
        <w:gridCol w:w="914"/>
        <w:gridCol w:w="481"/>
        <w:gridCol w:w="454"/>
        <w:gridCol w:w="849"/>
        <w:gridCol w:w="22"/>
        <w:gridCol w:w="868"/>
        <w:gridCol w:w="937"/>
        <w:gridCol w:w="860"/>
      </w:tblGrid>
      <w:tr w:rsidR="00C13AFA" w14:paraId="352FAB90" w14:textId="77777777" w:rsidTr="00C13AFA">
        <w:tc>
          <w:tcPr>
            <w:tcW w:w="718" w:type="dxa"/>
            <w:vMerge w:val="restart"/>
            <w:vAlign w:val="bottom"/>
          </w:tcPr>
          <w:p w14:paraId="3C0BD205" w14:textId="77777777" w:rsidR="00C13AFA" w:rsidRPr="00C13AFA" w:rsidRDefault="00C13AFA" w:rsidP="00C13AFA">
            <w:pPr>
              <w:spacing w:before="40" w:after="40" w:line="180" w:lineRule="exact"/>
              <w:ind w:left="57" w:right="57"/>
              <w:rPr>
                <w:b/>
                <w:sz w:val="14"/>
                <w:szCs w:val="14"/>
              </w:rPr>
            </w:pPr>
            <w:r w:rsidRPr="00C13AFA">
              <w:rPr>
                <w:b/>
                <w:sz w:val="14"/>
                <w:szCs w:val="14"/>
              </w:rPr>
              <w:t>No ONU</w:t>
            </w:r>
          </w:p>
        </w:tc>
        <w:tc>
          <w:tcPr>
            <w:tcW w:w="1061" w:type="dxa"/>
            <w:vMerge w:val="restart"/>
            <w:vAlign w:val="bottom"/>
          </w:tcPr>
          <w:p w14:paraId="2C84CEE7" w14:textId="77777777" w:rsidR="00C13AFA" w:rsidRPr="00C13AFA" w:rsidRDefault="00C13AFA" w:rsidP="00C13AFA">
            <w:pPr>
              <w:spacing w:before="40" w:after="40" w:line="180" w:lineRule="exact"/>
              <w:ind w:left="57" w:right="57"/>
              <w:rPr>
                <w:b/>
                <w:sz w:val="14"/>
                <w:szCs w:val="14"/>
              </w:rPr>
            </w:pPr>
            <w:r w:rsidRPr="00C13AFA">
              <w:rPr>
                <w:b/>
                <w:sz w:val="14"/>
                <w:szCs w:val="14"/>
              </w:rPr>
              <w:t>Nom et description</w:t>
            </w:r>
          </w:p>
        </w:tc>
        <w:tc>
          <w:tcPr>
            <w:tcW w:w="818" w:type="dxa"/>
            <w:vMerge w:val="restart"/>
            <w:vAlign w:val="bottom"/>
          </w:tcPr>
          <w:p w14:paraId="7E023986" w14:textId="77777777" w:rsidR="00C13AFA" w:rsidRPr="00C13AFA" w:rsidRDefault="00C13AFA" w:rsidP="00C13AFA">
            <w:pPr>
              <w:spacing w:before="40" w:after="40" w:line="180" w:lineRule="exact"/>
              <w:ind w:left="57" w:right="57"/>
              <w:rPr>
                <w:b/>
                <w:sz w:val="14"/>
                <w:szCs w:val="14"/>
              </w:rPr>
            </w:pPr>
            <w:r w:rsidRPr="00C13AFA">
              <w:rPr>
                <w:b/>
                <w:sz w:val="14"/>
                <w:szCs w:val="14"/>
              </w:rPr>
              <w:t>Classe ou division</w:t>
            </w:r>
          </w:p>
        </w:tc>
        <w:tc>
          <w:tcPr>
            <w:tcW w:w="789" w:type="dxa"/>
            <w:vMerge w:val="restart"/>
            <w:vAlign w:val="bottom"/>
          </w:tcPr>
          <w:p w14:paraId="3665C011" w14:textId="77777777" w:rsidR="00C13AFA" w:rsidRPr="00C13AFA" w:rsidRDefault="00C13AFA" w:rsidP="00C13AFA">
            <w:pPr>
              <w:spacing w:before="40" w:after="40" w:line="180" w:lineRule="exact"/>
              <w:ind w:left="57" w:right="57"/>
              <w:rPr>
                <w:b/>
                <w:sz w:val="14"/>
                <w:szCs w:val="14"/>
              </w:rPr>
            </w:pPr>
            <w:r w:rsidRPr="00C13AFA">
              <w:rPr>
                <w:b/>
                <w:sz w:val="14"/>
                <w:szCs w:val="14"/>
              </w:rPr>
              <w:t>Danger subsidiaire</w:t>
            </w:r>
          </w:p>
        </w:tc>
        <w:tc>
          <w:tcPr>
            <w:tcW w:w="868" w:type="dxa"/>
            <w:vMerge w:val="restart"/>
            <w:vAlign w:val="bottom"/>
          </w:tcPr>
          <w:p w14:paraId="788625B6" w14:textId="77777777" w:rsidR="00C13AFA" w:rsidRPr="00C13AFA" w:rsidRDefault="00C13AFA" w:rsidP="00C13AFA">
            <w:pPr>
              <w:spacing w:before="40" w:after="40" w:line="180" w:lineRule="exact"/>
              <w:ind w:left="57" w:right="57"/>
              <w:rPr>
                <w:b/>
                <w:sz w:val="14"/>
                <w:szCs w:val="14"/>
              </w:rPr>
            </w:pPr>
            <w:r w:rsidRPr="00C13AFA">
              <w:rPr>
                <w:b/>
                <w:sz w:val="14"/>
                <w:szCs w:val="14"/>
              </w:rPr>
              <w:t>Groupe d’emballage</w:t>
            </w:r>
          </w:p>
        </w:tc>
        <w:tc>
          <w:tcPr>
            <w:tcW w:w="914" w:type="dxa"/>
            <w:vMerge w:val="restart"/>
            <w:vAlign w:val="bottom"/>
          </w:tcPr>
          <w:p w14:paraId="4D61B9A4" w14:textId="77777777" w:rsidR="00C13AFA" w:rsidRPr="00C13AFA" w:rsidRDefault="00C13AFA" w:rsidP="00C13AFA">
            <w:pPr>
              <w:spacing w:before="40" w:after="40" w:line="180" w:lineRule="exact"/>
              <w:ind w:left="57" w:right="57"/>
              <w:rPr>
                <w:b/>
                <w:sz w:val="14"/>
                <w:szCs w:val="14"/>
              </w:rPr>
            </w:pPr>
            <w:r w:rsidRPr="00C13AFA">
              <w:rPr>
                <w:b/>
                <w:sz w:val="14"/>
                <w:szCs w:val="14"/>
              </w:rPr>
              <w:t>Dispositions spéciales</w:t>
            </w:r>
          </w:p>
        </w:tc>
        <w:tc>
          <w:tcPr>
            <w:tcW w:w="935" w:type="dxa"/>
            <w:gridSpan w:val="2"/>
            <w:vMerge w:val="restart"/>
            <w:vAlign w:val="bottom"/>
          </w:tcPr>
          <w:p w14:paraId="391BB29A" w14:textId="77777777" w:rsidR="00C13AFA" w:rsidRPr="00C13AFA" w:rsidRDefault="00C13AFA" w:rsidP="00C13AFA">
            <w:pPr>
              <w:spacing w:before="40" w:after="40" w:line="180" w:lineRule="exact"/>
              <w:ind w:left="57" w:right="57"/>
              <w:rPr>
                <w:b/>
                <w:sz w:val="14"/>
                <w:szCs w:val="14"/>
              </w:rPr>
            </w:pPr>
            <w:r w:rsidRPr="00C13AFA">
              <w:rPr>
                <w:b/>
                <w:sz w:val="14"/>
                <w:szCs w:val="14"/>
              </w:rPr>
              <w:t>Quantités limitées et quantités exceptées</w:t>
            </w:r>
          </w:p>
        </w:tc>
        <w:tc>
          <w:tcPr>
            <w:tcW w:w="1739" w:type="dxa"/>
            <w:gridSpan w:val="3"/>
            <w:vAlign w:val="bottom"/>
          </w:tcPr>
          <w:p w14:paraId="769F989B" w14:textId="77777777" w:rsidR="00C13AFA" w:rsidRPr="00C13AFA" w:rsidRDefault="00C13AFA" w:rsidP="00C13AFA">
            <w:pPr>
              <w:spacing w:before="40" w:after="40" w:line="180" w:lineRule="exact"/>
              <w:ind w:left="57" w:right="57"/>
              <w:jc w:val="center"/>
              <w:rPr>
                <w:b/>
                <w:sz w:val="14"/>
                <w:szCs w:val="14"/>
              </w:rPr>
            </w:pPr>
            <w:r w:rsidRPr="00C13AFA">
              <w:rPr>
                <w:b/>
                <w:sz w:val="14"/>
                <w:szCs w:val="14"/>
              </w:rPr>
              <w:t>Emballages et GRV</w:t>
            </w:r>
          </w:p>
        </w:tc>
        <w:tc>
          <w:tcPr>
            <w:tcW w:w="1797" w:type="dxa"/>
            <w:gridSpan w:val="2"/>
            <w:vAlign w:val="bottom"/>
          </w:tcPr>
          <w:p w14:paraId="63AE6A44" w14:textId="77777777" w:rsidR="00C13AFA" w:rsidRPr="00C13AFA" w:rsidRDefault="00C13AFA" w:rsidP="00C13AFA">
            <w:pPr>
              <w:spacing w:before="40" w:after="40" w:line="180" w:lineRule="exact"/>
              <w:ind w:left="57" w:right="57"/>
              <w:jc w:val="center"/>
              <w:rPr>
                <w:b/>
                <w:sz w:val="14"/>
                <w:szCs w:val="14"/>
              </w:rPr>
            </w:pPr>
            <w:r w:rsidRPr="00C13AFA">
              <w:rPr>
                <w:b/>
                <w:sz w:val="14"/>
                <w:szCs w:val="14"/>
              </w:rPr>
              <w:t>Citernes mobiles et conteneurs pour vrac</w:t>
            </w:r>
          </w:p>
        </w:tc>
      </w:tr>
      <w:tr w:rsidR="00C13AFA" w14:paraId="14517079" w14:textId="77777777" w:rsidTr="00C13AFA">
        <w:tc>
          <w:tcPr>
            <w:tcW w:w="718" w:type="dxa"/>
            <w:vMerge/>
            <w:vAlign w:val="bottom"/>
          </w:tcPr>
          <w:p w14:paraId="00D58CA2" w14:textId="77777777" w:rsidR="00C13AFA" w:rsidRPr="00C13AFA" w:rsidRDefault="00C13AFA" w:rsidP="00C13AFA">
            <w:pPr>
              <w:spacing w:before="40" w:after="40" w:line="180" w:lineRule="exact"/>
              <w:ind w:left="57" w:right="57"/>
              <w:rPr>
                <w:b/>
                <w:sz w:val="14"/>
                <w:szCs w:val="14"/>
              </w:rPr>
            </w:pPr>
          </w:p>
        </w:tc>
        <w:tc>
          <w:tcPr>
            <w:tcW w:w="1061" w:type="dxa"/>
            <w:vMerge/>
            <w:vAlign w:val="bottom"/>
          </w:tcPr>
          <w:p w14:paraId="1B80C3BF" w14:textId="77777777" w:rsidR="00C13AFA" w:rsidRPr="00C13AFA" w:rsidRDefault="00C13AFA" w:rsidP="00C13AFA">
            <w:pPr>
              <w:spacing w:before="40" w:after="40" w:line="180" w:lineRule="exact"/>
              <w:ind w:left="57" w:right="57"/>
              <w:rPr>
                <w:b/>
                <w:sz w:val="14"/>
                <w:szCs w:val="14"/>
              </w:rPr>
            </w:pPr>
          </w:p>
        </w:tc>
        <w:tc>
          <w:tcPr>
            <w:tcW w:w="818" w:type="dxa"/>
            <w:vMerge/>
            <w:vAlign w:val="bottom"/>
          </w:tcPr>
          <w:p w14:paraId="35E24643" w14:textId="77777777" w:rsidR="00C13AFA" w:rsidRPr="00C13AFA" w:rsidRDefault="00C13AFA" w:rsidP="00C13AFA">
            <w:pPr>
              <w:spacing w:before="40" w:after="40" w:line="180" w:lineRule="exact"/>
              <w:ind w:left="57" w:right="57"/>
              <w:rPr>
                <w:b/>
                <w:sz w:val="14"/>
                <w:szCs w:val="14"/>
              </w:rPr>
            </w:pPr>
          </w:p>
        </w:tc>
        <w:tc>
          <w:tcPr>
            <w:tcW w:w="789" w:type="dxa"/>
            <w:vMerge/>
            <w:vAlign w:val="bottom"/>
          </w:tcPr>
          <w:p w14:paraId="44AE4F72" w14:textId="77777777" w:rsidR="00C13AFA" w:rsidRPr="00C13AFA" w:rsidRDefault="00C13AFA" w:rsidP="00C13AFA">
            <w:pPr>
              <w:spacing w:before="40" w:after="40" w:line="180" w:lineRule="exact"/>
              <w:ind w:left="57" w:right="57"/>
              <w:rPr>
                <w:b/>
                <w:sz w:val="14"/>
                <w:szCs w:val="14"/>
              </w:rPr>
            </w:pPr>
          </w:p>
        </w:tc>
        <w:tc>
          <w:tcPr>
            <w:tcW w:w="868" w:type="dxa"/>
            <w:vMerge/>
            <w:vAlign w:val="bottom"/>
          </w:tcPr>
          <w:p w14:paraId="6E2A9523" w14:textId="77777777" w:rsidR="00C13AFA" w:rsidRPr="00C13AFA" w:rsidRDefault="00C13AFA" w:rsidP="00C13AFA">
            <w:pPr>
              <w:spacing w:before="40" w:after="40" w:line="180" w:lineRule="exact"/>
              <w:ind w:left="57" w:right="57"/>
              <w:rPr>
                <w:b/>
                <w:sz w:val="14"/>
                <w:szCs w:val="14"/>
              </w:rPr>
            </w:pPr>
          </w:p>
        </w:tc>
        <w:tc>
          <w:tcPr>
            <w:tcW w:w="914" w:type="dxa"/>
            <w:vMerge/>
            <w:vAlign w:val="bottom"/>
          </w:tcPr>
          <w:p w14:paraId="72A85FEA" w14:textId="77777777" w:rsidR="00C13AFA" w:rsidRPr="00C13AFA" w:rsidRDefault="00C13AFA" w:rsidP="00C13AFA">
            <w:pPr>
              <w:spacing w:before="40" w:after="40" w:line="180" w:lineRule="exact"/>
              <w:ind w:left="57" w:right="57"/>
              <w:rPr>
                <w:b/>
                <w:sz w:val="14"/>
                <w:szCs w:val="14"/>
              </w:rPr>
            </w:pPr>
          </w:p>
        </w:tc>
        <w:tc>
          <w:tcPr>
            <w:tcW w:w="935" w:type="dxa"/>
            <w:gridSpan w:val="2"/>
            <w:vMerge/>
            <w:vAlign w:val="bottom"/>
          </w:tcPr>
          <w:p w14:paraId="40748C1E" w14:textId="77777777" w:rsidR="00C13AFA" w:rsidRPr="00C13AFA" w:rsidRDefault="00C13AFA" w:rsidP="00C13AFA">
            <w:pPr>
              <w:spacing w:before="40" w:after="40" w:line="180" w:lineRule="exact"/>
              <w:ind w:left="57" w:right="57"/>
              <w:rPr>
                <w:b/>
                <w:sz w:val="14"/>
                <w:szCs w:val="14"/>
              </w:rPr>
            </w:pPr>
          </w:p>
        </w:tc>
        <w:tc>
          <w:tcPr>
            <w:tcW w:w="871" w:type="dxa"/>
            <w:gridSpan w:val="2"/>
            <w:vAlign w:val="bottom"/>
          </w:tcPr>
          <w:p w14:paraId="52303B55" w14:textId="77777777" w:rsidR="00C13AFA" w:rsidRPr="00C13AFA" w:rsidRDefault="00C13AFA" w:rsidP="00C13AFA">
            <w:pPr>
              <w:spacing w:before="40" w:after="40" w:line="180" w:lineRule="exact"/>
              <w:ind w:left="57" w:right="57"/>
              <w:rPr>
                <w:b/>
                <w:sz w:val="14"/>
                <w:szCs w:val="14"/>
              </w:rPr>
            </w:pPr>
            <w:r w:rsidRPr="00C13AFA">
              <w:rPr>
                <w:b/>
                <w:sz w:val="14"/>
                <w:szCs w:val="14"/>
              </w:rPr>
              <w:t>Instructions d’emballage</w:t>
            </w:r>
          </w:p>
        </w:tc>
        <w:tc>
          <w:tcPr>
            <w:tcW w:w="868" w:type="dxa"/>
            <w:vAlign w:val="bottom"/>
          </w:tcPr>
          <w:p w14:paraId="1F60FCF4" w14:textId="77777777" w:rsidR="00C13AFA" w:rsidRPr="00C13AFA" w:rsidRDefault="00C13AFA" w:rsidP="00C13AFA">
            <w:pPr>
              <w:spacing w:before="40" w:after="40" w:line="180" w:lineRule="exact"/>
              <w:ind w:left="57" w:right="57"/>
              <w:rPr>
                <w:b/>
                <w:sz w:val="14"/>
                <w:szCs w:val="14"/>
              </w:rPr>
            </w:pPr>
            <w:r w:rsidRPr="00C13AFA">
              <w:rPr>
                <w:b/>
                <w:sz w:val="14"/>
                <w:szCs w:val="14"/>
              </w:rPr>
              <w:t>Dispositions spéciales d’emballage</w:t>
            </w:r>
          </w:p>
        </w:tc>
        <w:tc>
          <w:tcPr>
            <w:tcW w:w="937" w:type="dxa"/>
            <w:vAlign w:val="bottom"/>
          </w:tcPr>
          <w:p w14:paraId="66D4E4A5" w14:textId="77777777" w:rsidR="00C13AFA" w:rsidRPr="00C13AFA" w:rsidRDefault="00C13AFA" w:rsidP="00C13AFA">
            <w:pPr>
              <w:spacing w:before="40" w:after="40" w:line="180" w:lineRule="exact"/>
              <w:ind w:left="57" w:right="57"/>
              <w:rPr>
                <w:b/>
                <w:sz w:val="14"/>
                <w:szCs w:val="14"/>
              </w:rPr>
            </w:pPr>
            <w:r w:rsidRPr="00C13AFA">
              <w:rPr>
                <w:b/>
                <w:sz w:val="14"/>
                <w:szCs w:val="14"/>
              </w:rPr>
              <w:t>Instructions de transport</w:t>
            </w:r>
          </w:p>
        </w:tc>
        <w:tc>
          <w:tcPr>
            <w:tcW w:w="860" w:type="dxa"/>
            <w:vAlign w:val="bottom"/>
          </w:tcPr>
          <w:p w14:paraId="10547D23" w14:textId="77777777" w:rsidR="00C13AFA" w:rsidRPr="00C13AFA" w:rsidRDefault="00C13AFA" w:rsidP="00C13AFA">
            <w:pPr>
              <w:spacing w:before="40" w:after="40" w:line="180" w:lineRule="exact"/>
              <w:ind w:left="57" w:right="57"/>
              <w:rPr>
                <w:b/>
                <w:sz w:val="14"/>
                <w:szCs w:val="14"/>
              </w:rPr>
            </w:pPr>
            <w:r w:rsidRPr="00C13AFA">
              <w:rPr>
                <w:b/>
                <w:sz w:val="14"/>
                <w:szCs w:val="14"/>
              </w:rPr>
              <w:t>Dispositions spéciales</w:t>
            </w:r>
          </w:p>
        </w:tc>
      </w:tr>
      <w:tr w:rsidR="00C13AFA" w14:paraId="645AEB57" w14:textId="77777777" w:rsidTr="00C13AFA">
        <w:tc>
          <w:tcPr>
            <w:tcW w:w="718" w:type="dxa"/>
            <w:vAlign w:val="bottom"/>
          </w:tcPr>
          <w:p w14:paraId="135493BF" w14:textId="77777777" w:rsidR="00C13AFA" w:rsidRDefault="00C13AFA" w:rsidP="00C13AFA">
            <w:pPr>
              <w:spacing w:before="40" w:after="40"/>
              <w:ind w:left="57" w:right="57"/>
            </w:pPr>
            <w:r>
              <w:t>2803</w:t>
            </w:r>
          </w:p>
        </w:tc>
        <w:tc>
          <w:tcPr>
            <w:tcW w:w="1061" w:type="dxa"/>
            <w:vAlign w:val="bottom"/>
          </w:tcPr>
          <w:p w14:paraId="2EB4CC4C" w14:textId="77777777" w:rsidR="00C13AFA" w:rsidRPr="0050407E" w:rsidRDefault="00C13AFA" w:rsidP="00C13AFA">
            <w:pPr>
              <w:spacing w:before="40" w:after="40"/>
              <w:ind w:left="57" w:right="57"/>
            </w:pPr>
            <w:r>
              <w:t>GALLIUM</w:t>
            </w:r>
          </w:p>
        </w:tc>
        <w:tc>
          <w:tcPr>
            <w:tcW w:w="818" w:type="dxa"/>
            <w:vAlign w:val="bottom"/>
          </w:tcPr>
          <w:p w14:paraId="690E4524" w14:textId="77777777" w:rsidR="00C13AFA" w:rsidRDefault="00C13AFA" w:rsidP="00C13AFA">
            <w:pPr>
              <w:spacing w:before="40" w:after="40"/>
              <w:ind w:left="57" w:right="57"/>
              <w:jc w:val="center"/>
            </w:pPr>
            <w:r>
              <w:t>8</w:t>
            </w:r>
          </w:p>
        </w:tc>
        <w:tc>
          <w:tcPr>
            <w:tcW w:w="789" w:type="dxa"/>
            <w:vAlign w:val="bottom"/>
          </w:tcPr>
          <w:p w14:paraId="637F657F" w14:textId="77777777" w:rsidR="00C13AFA" w:rsidRDefault="00C13AFA" w:rsidP="00C13AFA">
            <w:pPr>
              <w:spacing w:before="40" w:after="40"/>
              <w:ind w:left="57" w:right="57"/>
              <w:jc w:val="center"/>
            </w:pPr>
          </w:p>
        </w:tc>
        <w:tc>
          <w:tcPr>
            <w:tcW w:w="868" w:type="dxa"/>
            <w:vAlign w:val="bottom"/>
          </w:tcPr>
          <w:p w14:paraId="296596CC" w14:textId="77777777" w:rsidR="00C13AFA" w:rsidRDefault="00C13AFA" w:rsidP="00C13AFA">
            <w:pPr>
              <w:spacing w:before="40" w:after="40"/>
              <w:ind w:left="57" w:right="57"/>
              <w:jc w:val="center"/>
            </w:pPr>
            <w:proofErr w:type="gramStart"/>
            <w:r>
              <w:rPr>
                <w:rFonts w:ascii="FangSong" w:hAnsi="FangSong"/>
              </w:rPr>
              <w:t>Ⅲ</w:t>
            </w:r>
            <w:proofErr w:type="gramEnd"/>
          </w:p>
        </w:tc>
        <w:tc>
          <w:tcPr>
            <w:tcW w:w="914" w:type="dxa"/>
            <w:vAlign w:val="bottom"/>
          </w:tcPr>
          <w:p w14:paraId="3956EBE6" w14:textId="77777777" w:rsidR="00C13AFA" w:rsidRPr="00320500" w:rsidRDefault="00C13AFA" w:rsidP="00C13AFA">
            <w:pPr>
              <w:spacing w:before="40" w:after="40"/>
              <w:ind w:left="57" w:right="57"/>
              <w:jc w:val="center"/>
              <w:rPr>
                <w:bCs/>
                <w:u w:val="single"/>
              </w:rPr>
            </w:pPr>
            <w:r>
              <w:rPr>
                <w:u w:val="single"/>
              </w:rPr>
              <w:t>365</w:t>
            </w:r>
          </w:p>
        </w:tc>
        <w:tc>
          <w:tcPr>
            <w:tcW w:w="481" w:type="dxa"/>
            <w:vAlign w:val="bottom"/>
          </w:tcPr>
          <w:p w14:paraId="56A49D96" w14:textId="77777777" w:rsidR="00C13AFA" w:rsidRDefault="00C13AFA" w:rsidP="00C13AFA">
            <w:pPr>
              <w:spacing w:before="40" w:after="40"/>
              <w:ind w:left="57" w:right="57"/>
              <w:jc w:val="center"/>
            </w:pPr>
            <w:r>
              <w:t>5 kg</w:t>
            </w:r>
          </w:p>
        </w:tc>
        <w:tc>
          <w:tcPr>
            <w:tcW w:w="454" w:type="dxa"/>
            <w:vAlign w:val="bottom"/>
          </w:tcPr>
          <w:p w14:paraId="043E64D4" w14:textId="77777777" w:rsidR="00C13AFA" w:rsidRDefault="00C13AFA" w:rsidP="00C13AFA">
            <w:pPr>
              <w:spacing w:before="40" w:after="40"/>
              <w:ind w:left="57" w:right="57"/>
              <w:jc w:val="center"/>
            </w:pPr>
            <w:r>
              <w:t>E0</w:t>
            </w:r>
          </w:p>
        </w:tc>
        <w:tc>
          <w:tcPr>
            <w:tcW w:w="849" w:type="dxa"/>
            <w:vAlign w:val="bottom"/>
          </w:tcPr>
          <w:p w14:paraId="68AECA9E" w14:textId="77777777" w:rsidR="00C13AFA" w:rsidRDefault="00C13AFA" w:rsidP="00C13AFA">
            <w:pPr>
              <w:spacing w:before="40" w:after="40"/>
              <w:ind w:left="57" w:right="57"/>
              <w:jc w:val="center"/>
            </w:pPr>
            <w:r>
              <w:t>P800</w:t>
            </w:r>
          </w:p>
        </w:tc>
        <w:tc>
          <w:tcPr>
            <w:tcW w:w="890" w:type="dxa"/>
            <w:gridSpan w:val="2"/>
            <w:vAlign w:val="bottom"/>
          </w:tcPr>
          <w:p w14:paraId="149FF2AE" w14:textId="77777777" w:rsidR="00C13AFA" w:rsidRDefault="00C13AFA" w:rsidP="00C13AFA">
            <w:pPr>
              <w:spacing w:before="40" w:after="40"/>
              <w:ind w:left="57" w:right="57"/>
              <w:jc w:val="center"/>
            </w:pPr>
            <w:r>
              <w:t>PP41</w:t>
            </w:r>
          </w:p>
        </w:tc>
        <w:tc>
          <w:tcPr>
            <w:tcW w:w="937" w:type="dxa"/>
            <w:vAlign w:val="bottom"/>
          </w:tcPr>
          <w:p w14:paraId="572DCA89" w14:textId="77777777" w:rsidR="00C13AFA" w:rsidRPr="0050407E" w:rsidRDefault="00C13AFA" w:rsidP="00C13AFA">
            <w:pPr>
              <w:spacing w:before="40" w:after="40"/>
              <w:ind w:left="57" w:right="57"/>
              <w:jc w:val="center"/>
            </w:pPr>
            <w:r>
              <w:t>T1</w:t>
            </w:r>
          </w:p>
        </w:tc>
        <w:tc>
          <w:tcPr>
            <w:tcW w:w="860" w:type="dxa"/>
            <w:vAlign w:val="bottom"/>
          </w:tcPr>
          <w:p w14:paraId="12BFD4FF" w14:textId="77777777" w:rsidR="00C13AFA" w:rsidRDefault="00C13AFA" w:rsidP="00C13AFA">
            <w:pPr>
              <w:spacing w:before="40" w:after="40"/>
              <w:ind w:left="57" w:right="57"/>
              <w:jc w:val="center"/>
            </w:pPr>
            <w:r>
              <w:t>TP33</w:t>
            </w:r>
          </w:p>
        </w:tc>
      </w:tr>
    </w:tbl>
    <w:p w14:paraId="30BA8B18" w14:textId="1D222FA2" w:rsidR="00446FE5" w:rsidRPr="00C13AFA" w:rsidRDefault="00C13AFA" w:rsidP="00C13AFA">
      <w:pPr>
        <w:spacing w:before="240"/>
        <w:jc w:val="center"/>
        <w:rPr>
          <w:u w:val="single"/>
        </w:rPr>
      </w:pPr>
      <w:r>
        <w:rPr>
          <w:u w:val="single"/>
        </w:rPr>
        <w:tab/>
      </w:r>
      <w:r>
        <w:rPr>
          <w:u w:val="single"/>
        </w:rPr>
        <w:tab/>
      </w:r>
      <w:r>
        <w:rPr>
          <w:u w:val="single"/>
        </w:rPr>
        <w:tab/>
      </w:r>
    </w:p>
    <w:sectPr w:rsidR="00446FE5" w:rsidRPr="00C13AFA" w:rsidSect="00C13A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479F" w14:textId="77777777" w:rsidR="005E20FF" w:rsidRDefault="005E20FF" w:rsidP="00F95C08">
      <w:pPr>
        <w:spacing w:line="240" w:lineRule="auto"/>
      </w:pPr>
    </w:p>
  </w:endnote>
  <w:endnote w:type="continuationSeparator" w:id="0">
    <w:p w14:paraId="60F26D45" w14:textId="77777777" w:rsidR="005E20FF" w:rsidRPr="00AC3823" w:rsidRDefault="005E20FF" w:rsidP="00AC3823">
      <w:pPr>
        <w:pStyle w:val="Footer"/>
      </w:pPr>
    </w:p>
  </w:endnote>
  <w:endnote w:type="continuationNotice" w:id="1">
    <w:p w14:paraId="4FF1366D" w14:textId="77777777" w:rsidR="005E20FF" w:rsidRDefault="005E20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93A2" w14:textId="1ADCD45C" w:rsidR="00C13AFA" w:rsidRPr="00C13AFA" w:rsidRDefault="00C13AFA" w:rsidP="00C13AFA">
    <w:pPr>
      <w:pStyle w:val="Footer"/>
      <w:tabs>
        <w:tab w:val="right" w:pos="9638"/>
      </w:tabs>
    </w:pPr>
    <w:r w:rsidRPr="00C13AFA">
      <w:rPr>
        <w:b/>
        <w:sz w:val="18"/>
      </w:rPr>
      <w:fldChar w:fldCharType="begin"/>
    </w:r>
    <w:r w:rsidRPr="00C13AFA">
      <w:rPr>
        <w:b/>
        <w:sz w:val="18"/>
      </w:rPr>
      <w:instrText xml:space="preserve"> PAGE  \* MERGEFORMAT </w:instrText>
    </w:r>
    <w:r w:rsidRPr="00C13AFA">
      <w:rPr>
        <w:b/>
        <w:sz w:val="18"/>
      </w:rPr>
      <w:fldChar w:fldCharType="separate"/>
    </w:r>
    <w:r w:rsidRPr="00C13AFA">
      <w:rPr>
        <w:b/>
        <w:noProof/>
        <w:sz w:val="18"/>
      </w:rPr>
      <w:t>2</w:t>
    </w:r>
    <w:r w:rsidRPr="00C13AFA">
      <w:rPr>
        <w:b/>
        <w:sz w:val="18"/>
      </w:rPr>
      <w:fldChar w:fldCharType="end"/>
    </w:r>
    <w:r>
      <w:rPr>
        <w:b/>
        <w:sz w:val="18"/>
      </w:rPr>
      <w:tab/>
    </w:r>
    <w:r>
      <w:t>GE.22-05424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1897" w14:textId="3B006266" w:rsidR="00C13AFA" w:rsidRPr="00C13AFA" w:rsidRDefault="00C13AFA" w:rsidP="00C13AFA">
    <w:pPr>
      <w:pStyle w:val="Footer"/>
      <w:tabs>
        <w:tab w:val="right" w:pos="9638"/>
      </w:tabs>
      <w:rPr>
        <w:b/>
        <w:sz w:val="18"/>
      </w:rPr>
    </w:pPr>
    <w:r>
      <w:t>GE.22-05424</w:t>
    </w:r>
    <w:r>
      <w:tab/>
    </w:r>
    <w:r w:rsidRPr="00C13AFA">
      <w:rPr>
        <w:b/>
        <w:sz w:val="18"/>
      </w:rPr>
      <w:fldChar w:fldCharType="begin"/>
    </w:r>
    <w:r w:rsidRPr="00C13AFA">
      <w:rPr>
        <w:b/>
        <w:sz w:val="18"/>
      </w:rPr>
      <w:instrText xml:space="preserve"> PAGE  \* MERGEFORMAT </w:instrText>
    </w:r>
    <w:r w:rsidRPr="00C13AFA">
      <w:rPr>
        <w:b/>
        <w:sz w:val="18"/>
      </w:rPr>
      <w:fldChar w:fldCharType="separate"/>
    </w:r>
    <w:r w:rsidRPr="00C13AFA">
      <w:rPr>
        <w:b/>
        <w:noProof/>
        <w:sz w:val="18"/>
      </w:rPr>
      <w:t>3</w:t>
    </w:r>
    <w:r w:rsidRPr="00C13A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643A" w14:textId="41C7DDF4" w:rsidR="0068456F" w:rsidRPr="00C13AFA" w:rsidRDefault="00C13AFA" w:rsidP="00C13AF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700CF11" wp14:editId="322541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05424  (</w:t>
    </w:r>
    <w:proofErr w:type="gramEnd"/>
    <w:r>
      <w:rPr>
        <w:sz w:val="20"/>
      </w:rPr>
      <w:t>F)</w:t>
    </w:r>
    <w:r>
      <w:rPr>
        <w:noProof/>
        <w:sz w:val="20"/>
      </w:rPr>
      <w:drawing>
        <wp:anchor distT="0" distB="0" distL="114300" distR="114300" simplePos="0" relativeHeight="251660288" behindDoc="0" locked="0" layoutInCell="1" allowOverlap="1" wp14:anchorId="26BA060D" wp14:editId="60D2820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8481" w14:textId="77777777" w:rsidR="005E20FF" w:rsidRPr="00AC3823" w:rsidRDefault="005E20FF" w:rsidP="00AC3823">
      <w:pPr>
        <w:pStyle w:val="Footer"/>
        <w:tabs>
          <w:tab w:val="right" w:pos="2155"/>
        </w:tabs>
        <w:spacing w:after="80" w:line="240" w:lineRule="atLeast"/>
        <w:ind w:left="680"/>
        <w:rPr>
          <w:u w:val="single"/>
        </w:rPr>
      </w:pPr>
      <w:r>
        <w:rPr>
          <w:u w:val="single"/>
        </w:rPr>
        <w:tab/>
      </w:r>
    </w:p>
  </w:footnote>
  <w:footnote w:type="continuationSeparator" w:id="0">
    <w:p w14:paraId="1BDBD118" w14:textId="77777777" w:rsidR="005E20FF" w:rsidRPr="00AC3823" w:rsidRDefault="005E20FF" w:rsidP="00AC3823">
      <w:pPr>
        <w:pStyle w:val="Footer"/>
        <w:tabs>
          <w:tab w:val="right" w:pos="2155"/>
        </w:tabs>
        <w:spacing w:after="80" w:line="240" w:lineRule="atLeast"/>
        <w:ind w:left="680"/>
        <w:rPr>
          <w:u w:val="single"/>
        </w:rPr>
      </w:pPr>
      <w:r>
        <w:rPr>
          <w:u w:val="single"/>
        </w:rPr>
        <w:tab/>
      </w:r>
    </w:p>
  </w:footnote>
  <w:footnote w:type="continuationNotice" w:id="1">
    <w:p w14:paraId="730F4620" w14:textId="77777777" w:rsidR="005E20FF" w:rsidRPr="00AC3823" w:rsidRDefault="005E20FF">
      <w:pPr>
        <w:spacing w:line="240" w:lineRule="auto"/>
        <w:rPr>
          <w:sz w:val="2"/>
          <w:szCs w:val="2"/>
        </w:rPr>
      </w:pPr>
    </w:p>
  </w:footnote>
  <w:footnote w:id="2">
    <w:p w14:paraId="292AE070" w14:textId="64FB2687" w:rsidR="00C13AFA" w:rsidRPr="00C13AFA" w:rsidRDefault="00C13AFA">
      <w:pPr>
        <w:pStyle w:val="FootnoteText"/>
      </w:pPr>
      <w:r>
        <w:rPr>
          <w:rStyle w:val="FootnoteReference"/>
        </w:rPr>
        <w:tab/>
      </w:r>
      <w:r w:rsidRPr="00C13AFA">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EC2D" w14:textId="549C2CD9" w:rsidR="00C13AFA" w:rsidRPr="00C13AFA" w:rsidRDefault="003F0664">
    <w:pPr>
      <w:pStyle w:val="Header"/>
    </w:pPr>
    <w:r>
      <w:fldChar w:fldCharType="begin"/>
    </w:r>
    <w:r>
      <w:instrText xml:space="preserve"> TITLE  \* MERGEFORMAT </w:instrText>
    </w:r>
    <w:r>
      <w:fldChar w:fldCharType="separate"/>
    </w:r>
    <w:r>
      <w:t>ST/SG/AC.10/C.3/2022/44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F57" w14:textId="45B04A28" w:rsidR="00C13AFA" w:rsidRPr="00C13AFA" w:rsidRDefault="003F0664" w:rsidP="00C13AFA">
    <w:pPr>
      <w:pStyle w:val="Header"/>
      <w:jc w:val="right"/>
    </w:pPr>
    <w:r>
      <w:fldChar w:fldCharType="begin"/>
    </w:r>
    <w:r>
      <w:instrText xml:space="preserve"> TITLE  \* MERGEFORMAT </w:instrText>
    </w:r>
    <w:r>
      <w:fldChar w:fldCharType="separate"/>
    </w:r>
    <w:r>
      <w:t>ST/SG/AC.10/C.3/2022/44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FF"/>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23574"/>
    <w:rsid w:val="003F0664"/>
    <w:rsid w:val="00441C3B"/>
    <w:rsid w:val="00446FE5"/>
    <w:rsid w:val="00452396"/>
    <w:rsid w:val="004E468C"/>
    <w:rsid w:val="005505B7"/>
    <w:rsid w:val="00553DAC"/>
    <w:rsid w:val="00573BE5"/>
    <w:rsid w:val="00584DC4"/>
    <w:rsid w:val="00586ED3"/>
    <w:rsid w:val="00596AA9"/>
    <w:rsid w:val="005E20FF"/>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13AFA"/>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F99D1"/>
  <w15:docId w15:val="{5671436A-D529-4D56-8030-8B9ADAA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rsid w:val="00C13AF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C13AFA"/>
    <w:rPr>
      <w:rFonts w:ascii="Times New Roman" w:eastAsiaTheme="minorHAnsi" w:hAnsi="Times New Roman" w:cs="Times New Roman"/>
      <w:sz w:val="20"/>
      <w:szCs w:val="20"/>
      <w:lang w:eastAsia="en-US"/>
    </w:rPr>
  </w:style>
  <w:style w:type="paragraph" w:styleId="ListParagraph">
    <w:name w:val="List Paragraph"/>
    <w:basedOn w:val="Normal"/>
    <w:uiPriority w:val="34"/>
    <w:rsid w:val="00C13AFA"/>
    <w:pPr>
      <w:ind w:firstLineChars="200" w:firstLine="420"/>
    </w:pPr>
    <w:rPr>
      <w:rFonts w:eastAsia="SimSu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ST/SG/AC.10/C.3/2022/44</dc:title>
  <dc:subject/>
  <dc:creator>Sandrine CLERE</dc:creator>
  <cp:keywords/>
  <cp:lastModifiedBy>Laurence Berthet</cp:lastModifiedBy>
  <cp:revision>3</cp:revision>
  <cp:lastPrinted>2022-06-30T12:56:00Z</cp:lastPrinted>
  <dcterms:created xsi:type="dcterms:W3CDTF">2022-06-30T12:56:00Z</dcterms:created>
  <dcterms:modified xsi:type="dcterms:W3CDTF">2022-06-30T12:56:00Z</dcterms:modified>
</cp:coreProperties>
</file>