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E2CF704" w14:textId="77777777" w:rsidTr="00F01738">
        <w:trPr>
          <w:trHeight w:hRule="exact" w:val="851"/>
        </w:trPr>
        <w:tc>
          <w:tcPr>
            <w:tcW w:w="1276" w:type="dxa"/>
            <w:tcBorders>
              <w:bottom w:val="single" w:sz="4" w:space="0" w:color="auto"/>
            </w:tcBorders>
          </w:tcPr>
          <w:p w14:paraId="18D034B4" w14:textId="77777777" w:rsidR="00132EA9" w:rsidRPr="00DB58B5" w:rsidRDefault="00132EA9" w:rsidP="00F01738"/>
        </w:tc>
        <w:tc>
          <w:tcPr>
            <w:tcW w:w="2268" w:type="dxa"/>
            <w:tcBorders>
              <w:bottom w:val="single" w:sz="4" w:space="0" w:color="auto"/>
            </w:tcBorders>
            <w:vAlign w:val="bottom"/>
          </w:tcPr>
          <w:p w14:paraId="06828A2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F9B1F5" w14:textId="1552EEB6" w:rsidR="00132EA9" w:rsidRPr="00DB58B5" w:rsidRDefault="006C03C9" w:rsidP="006C03C9">
            <w:pPr>
              <w:jc w:val="right"/>
            </w:pPr>
            <w:r w:rsidRPr="006C03C9">
              <w:rPr>
                <w:sz w:val="40"/>
              </w:rPr>
              <w:t>ST</w:t>
            </w:r>
            <w:r>
              <w:t>/SG/AC.10/C.3/2022/41</w:t>
            </w:r>
          </w:p>
        </w:tc>
      </w:tr>
      <w:tr w:rsidR="00132EA9" w:rsidRPr="00DB58B5" w14:paraId="26DED3F5" w14:textId="77777777" w:rsidTr="00F01738">
        <w:trPr>
          <w:trHeight w:hRule="exact" w:val="2835"/>
        </w:trPr>
        <w:tc>
          <w:tcPr>
            <w:tcW w:w="1276" w:type="dxa"/>
            <w:tcBorders>
              <w:top w:val="single" w:sz="4" w:space="0" w:color="auto"/>
              <w:bottom w:val="single" w:sz="12" w:space="0" w:color="auto"/>
            </w:tcBorders>
          </w:tcPr>
          <w:p w14:paraId="1E0D4DB1" w14:textId="77777777" w:rsidR="00132EA9" w:rsidRPr="00DB58B5" w:rsidRDefault="00132EA9" w:rsidP="00F01738">
            <w:pPr>
              <w:spacing w:before="120"/>
              <w:jc w:val="center"/>
            </w:pPr>
            <w:r>
              <w:rPr>
                <w:noProof/>
                <w:lang w:eastAsia="fr-CH"/>
              </w:rPr>
              <w:drawing>
                <wp:inline distT="0" distB="0" distL="0" distR="0" wp14:anchorId="48B6E8C2" wp14:editId="2C0C24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6A2EE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ABBC3E" w14:textId="77777777" w:rsidR="00132EA9" w:rsidRDefault="006C03C9" w:rsidP="00F01738">
            <w:pPr>
              <w:spacing w:before="240"/>
            </w:pPr>
            <w:r>
              <w:t>Distr. générale</w:t>
            </w:r>
          </w:p>
          <w:p w14:paraId="12C195BA" w14:textId="7E318FF2" w:rsidR="006C03C9" w:rsidRDefault="006C03C9" w:rsidP="006C03C9">
            <w:pPr>
              <w:spacing w:line="240" w:lineRule="exact"/>
            </w:pPr>
            <w:r>
              <w:t>12 avril 2022</w:t>
            </w:r>
          </w:p>
          <w:p w14:paraId="7FC11C55" w14:textId="77777777" w:rsidR="006C03C9" w:rsidRDefault="006C03C9" w:rsidP="006C03C9">
            <w:pPr>
              <w:spacing w:line="240" w:lineRule="exact"/>
            </w:pPr>
            <w:r>
              <w:t>Français</w:t>
            </w:r>
          </w:p>
          <w:p w14:paraId="279554B1" w14:textId="25D96AAF" w:rsidR="006C03C9" w:rsidRPr="00DB58B5" w:rsidRDefault="006C03C9" w:rsidP="006C03C9">
            <w:pPr>
              <w:spacing w:line="240" w:lineRule="exact"/>
            </w:pPr>
            <w:r>
              <w:t>Original : anglais</w:t>
            </w:r>
          </w:p>
        </w:tc>
      </w:tr>
    </w:tbl>
    <w:p w14:paraId="1A0F1AE3" w14:textId="3028683D" w:rsidR="006C03C9" w:rsidRPr="00CA0680" w:rsidRDefault="006C03C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8EDDC9A" w14:textId="5180EF8A" w:rsidR="006C03C9" w:rsidRDefault="006C03C9" w:rsidP="000305D3">
      <w:pPr>
        <w:spacing w:before="120"/>
        <w:rPr>
          <w:b/>
        </w:rPr>
      </w:pPr>
      <w:r>
        <w:rPr>
          <w:b/>
        </w:rPr>
        <w:t>Sous-Comité d’experts du transport des marchandises dangereuses</w:t>
      </w:r>
    </w:p>
    <w:p w14:paraId="6BD6DA6E" w14:textId="4A427A79" w:rsidR="006C03C9" w:rsidRDefault="006C03C9" w:rsidP="000305D3">
      <w:pPr>
        <w:spacing w:before="120"/>
        <w:rPr>
          <w:b/>
        </w:rPr>
      </w:pPr>
      <w:r>
        <w:rPr>
          <w:b/>
        </w:rPr>
        <w:t>Soixantième</w:t>
      </w:r>
      <w:r w:rsidRPr="00CA0680">
        <w:rPr>
          <w:b/>
        </w:rPr>
        <w:t xml:space="preserve"> session</w:t>
      </w:r>
    </w:p>
    <w:p w14:paraId="6AC0B627" w14:textId="77777777" w:rsidR="006C03C9" w:rsidRDefault="006C03C9" w:rsidP="006C03C9">
      <w:r>
        <w:t>Genève, 27 juin-6 juillet 2022</w:t>
      </w:r>
    </w:p>
    <w:p w14:paraId="7E18E150" w14:textId="77777777" w:rsidR="006C03C9" w:rsidRDefault="006C03C9" w:rsidP="006C03C9">
      <w:r>
        <w:t>Point 3 de l’ordre du jour provisoire</w:t>
      </w:r>
    </w:p>
    <w:p w14:paraId="1B88B087" w14:textId="77777777" w:rsidR="006C03C9" w:rsidRPr="006500BA" w:rsidRDefault="006C03C9" w:rsidP="006C03C9">
      <w:r>
        <w:rPr>
          <w:b/>
        </w:rPr>
        <w:t>Inscription, classement et emballage</w:t>
      </w:r>
    </w:p>
    <w:p w14:paraId="65E8E543" w14:textId="7847912A" w:rsidR="006C03C9" w:rsidRDefault="006C03C9" w:rsidP="00624C4B">
      <w:pPr>
        <w:pStyle w:val="HChG"/>
      </w:pPr>
      <w:r>
        <w:tab/>
      </w:r>
      <w:r>
        <w:tab/>
        <w:t xml:space="preserve">Examen de l’emplacement du marquage de la spécification ONU </w:t>
      </w:r>
      <w:r w:rsidR="00624C4B">
        <w:t>−</w:t>
      </w:r>
      <w:r>
        <w:t xml:space="preserve"> proposition complémentaire à celle figurant dans le</w:t>
      </w:r>
      <w:r w:rsidR="00624C4B">
        <w:t> </w:t>
      </w:r>
      <w:r>
        <w:t>document ST/SG/AC.10/C.3/2021/52</w:t>
      </w:r>
    </w:p>
    <w:p w14:paraId="32B01A5A" w14:textId="1E114271" w:rsidR="006C03C9" w:rsidRPr="002B6CBC" w:rsidRDefault="006C03C9" w:rsidP="00624C4B">
      <w:pPr>
        <w:pStyle w:val="H1G"/>
      </w:pPr>
      <w:r>
        <w:tab/>
      </w:r>
      <w:r>
        <w:tab/>
        <w:t>Communication de l’expert de la Chine</w:t>
      </w:r>
      <w:r w:rsidR="00624C4B" w:rsidRPr="00624C4B">
        <w:rPr>
          <w:rStyle w:val="FootnoteReference"/>
          <w:b w:val="0"/>
          <w:bCs/>
          <w:sz w:val="20"/>
          <w:vertAlign w:val="baseline"/>
        </w:rPr>
        <w:footnoteReference w:customMarkFollows="1" w:id="2"/>
        <w:t>*</w:t>
      </w:r>
    </w:p>
    <w:p w14:paraId="28EFAE76" w14:textId="77777777" w:rsidR="006C03C9" w:rsidRDefault="006C03C9" w:rsidP="00624C4B">
      <w:pPr>
        <w:pStyle w:val="HChG"/>
      </w:pPr>
      <w:r>
        <w:tab/>
      </w:r>
      <w:r>
        <w:tab/>
      </w:r>
      <w:r>
        <w:tab/>
        <w:t>Introduction</w:t>
      </w:r>
    </w:p>
    <w:p w14:paraId="07EC0112" w14:textId="77777777" w:rsidR="00624C4B" w:rsidRDefault="006C03C9" w:rsidP="00624C4B">
      <w:pPr>
        <w:pStyle w:val="SingleTxtG"/>
      </w:pPr>
      <w:r>
        <w:t>1.</w:t>
      </w:r>
      <w:r>
        <w:tab/>
        <w:t>À la cinquante-neuvième session du Sous-Comité, les experts de la Chine ont présenté le document ST/SG/AC.10/C.3/2021/52, dans lequel il est proposé d’ajouter la disposition suivante</w:t>
      </w:r>
      <w:r w:rsidR="00624C4B">
        <w:t> </w:t>
      </w:r>
      <w:r>
        <w:t>: « </w:t>
      </w:r>
      <w:r>
        <w:rPr>
          <w:b/>
          <w:bCs/>
        </w:rPr>
        <w:t>Si le dessus est amovible, les marques ou une reproduction de celles-ci doivent figurer sur au moins un côté de l’emballage.</w:t>
      </w:r>
      <w:r>
        <w:t> ».</w:t>
      </w:r>
    </w:p>
    <w:p w14:paraId="4F6C2B42" w14:textId="77777777" w:rsidR="00624C4B" w:rsidRDefault="006C03C9" w:rsidP="00624C4B">
      <w:pPr>
        <w:pStyle w:val="SingleTxtG"/>
      </w:pPr>
      <w:r>
        <w:t>2.</w:t>
      </w:r>
      <w:r>
        <w:tab/>
        <w:t>Ce document officiel, ainsi que les documents informels</w:t>
      </w:r>
      <w:r w:rsidR="00624C4B">
        <w:t> </w:t>
      </w:r>
      <w:r>
        <w:t>INF.17 et INF.37 (</w:t>
      </w:r>
      <w:r w:rsidR="00624C4B">
        <w:t>cinquante</w:t>
      </w:r>
      <w:r w:rsidR="00624C4B">
        <w:noBreakHyphen/>
        <w:t xml:space="preserve">neuvième </w:t>
      </w:r>
      <w:r>
        <w:t>session), ont donné lieu à un long débat. Le Sous-Comité s’est dans l’ensemble déclaré favorable à l’objectif de la proposition d’amendements, à savoir l’apposition supplémentaire de la marque des caractéristiques ONU sur le dessus amovible des emballages.</w:t>
      </w:r>
    </w:p>
    <w:p w14:paraId="30B527B7" w14:textId="20AD9E24" w:rsidR="006C03C9" w:rsidRPr="00B9451B" w:rsidRDefault="006C03C9" w:rsidP="00624C4B">
      <w:pPr>
        <w:pStyle w:val="SingleTxtG"/>
      </w:pPr>
      <w:r>
        <w:t>3.</w:t>
      </w:r>
      <w:r>
        <w:tab/>
        <w:t>Certains experts étaient d’avis que le texte proposé, y</w:t>
      </w:r>
      <w:r w:rsidR="00624C4B">
        <w:t> </w:t>
      </w:r>
      <w:r>
        <w:t>compris la disposition transitoire, devait encore être revu. Après avoir réfléchi aux observations reçues lors de cette session, les experts de la Chine soumettent le présent document de travail actualisé en vue de son examen à la soixantième session du Sous-Comité.</w:t>
      </w:r>
    </w:p>
    <w:p w14:paraId="30C16123" w14:textId="77777777" w:rsidR="006C03C9" w:rsidRDefault="006C03C9" w:rsidP="00624C4B">
      <w:pPr>
        <w:pStyle w:val="HChG"/>
      </w:pPr>
      <w:r>
        <w:tab/>
      </w:r>
      <w:r>
        <w:tab/>
        <w:t>Proposition</w:t>
      </w:r>
    </w:p>
    <w:p w14:paraId="05B84466" w14:textId="77777777" w:rsidR="006C03C9" w:rsidRPr="0063410C" w:rsidRDefault="006C03C9" w:rsidP="00624C4B">
      <w:pPr>
        <w:pStyle w:val="SingleTxtG"/>
      </w:pPr>
      <w:r>
        <w:t>4.</w:t>
      </w:r>
      <w:r>
        <w:tab/>
        <w:t xml:space="preserve">La Chine propose de modifier le paragraphe 6.1.3.1 comme suit (les ajouts figurent en caractères </w:t>
      </w:r>
      <w:r>
        <w:rPr>
          <w:u w:val="single"/>
        </w:rPr>
        <w:t>soulignés</w:t>
      </w:r>
      <w:r>
        <w:t>) :</w:t>
      </w:r>
    </w:p>
    <w:p w14:paraId="0924B7E1" w14:textId="66D84405" w:rsidR="006C03C9" w:rsidRPr="002B205A" w:rsidRDefault="006C03C9" w:rsidP="00624C4B">
      <w:pPr>
        <w:pStyle w:val="SingleTxtG"/>
        <w:ind w:left="2835" w:hanging="1134"/>
        <w:rPr>
          <w:b/>
        </w:rPr>
      </w:pPr>
      <w:r>
        <w:t>« 6.1.3.1</w:t>
      </w:r>
      <w:r w:rsidR="00624C4B">
        <w:tab/>
      </w:r>
      <w:r>
        <w:t>Tout emballage destiné à être utilisé conformément au présent Règlement doit porter</w:t>
      </w:r>
      <w:r>
        <w:rPr>
          <w:u w:val="single"/>
        </w:rPr>
        <w:t>, sur un élément non amovible,</w:t>
      </w:r>
      <w:r>
        <w:t xml:space="preserve"> des marques durables, lisibles et, placées dans un endroit et d’une taille telle par rapport à l’emballage qu’elles soient facilement visibles. Pour les colis </w:t>
      </w:r>
      <w:r>
        <w:lastRenderedPageBreak/>
        <w:t>qui ont une masse brute de plus de 30 kg, les marques ou une reproduction de celles-ci doivent figurer sur le dessus ou le côté de l’emballage. Les lettres, les chiffres et les symboles doivent avoir au moins 12 mm de hauteur, sauf sur les emballages d’une capacité ne dépassant pas 30 l ou d’une masse nette ne dépassant pas 30 kg où leur hauteur doit être d’au moins 6 mm, ainsi que sur les emballages d’une capacité ne dépassant pas 5 l ou d’une masse nette de dépassant pas 5 kg, où ils doivent avoir des dimensions appropriées</w:t>
      </w:r>
      <w:r w:rsidRPr="002B205A">
        <w:t>.</w:t>
      </w:r>
    </w:p>
    <w:p w14:paraId="60AED667" w14:textId="650AE064" w:rsidR="006C03C9" w:rsidRDefault="006C03C9" w:rsidP="00624C4B">
      <w:pPr>
        <w:pStyle w:val="SingleTxtG"/>
        <w:ind w:left="1701"/>
        <w:rPr>
          <w:bCs/>
          <w:i/>
          <w:u w:val="single"/>
        </w:rPr>
      </w:pPr>
      <w:r>
        <w:rPr>
          <w:b/>
          <w:i/>
          <w:u w:val="single"/>
        </w:rPr>
        <w:t>NOTA</w:t>
      </w:r>
      <w:r w:rsidRPr="00624C4B">
        <w:rPr>
          <w:bCs/>
          <w:i/>
          <w:iCs/>
          <w:u w:val="single"/>
        </w:rPr>
        <w:t> :</w:t>
      </w:r>
      <w:r w:rsidRPr="00624C4B">
        <w:rPr>
          <w:bCs/>
          <w:i/>
          <w:u w:val="single"/>
        </w:rPr>
        <w:t xml:space="preserve"> </w:t>
      </w:r>
      <w:r>
        <w:rPr>
          <w:i/>
          <w:u w:val="single"/>
        </w:rPr>
        <w:t>Les dispositions du 6.1.3.1 figurant dans la vingt-deuxième édition révisée des Recommandations relatives au transport des marchandises dangereuses, Règlement type, peuvent continuer à être appliquées jusqu’au 31 décembre 2026. Les</w:t>
      </w:r>
      <w:r w:rsidR="00624C4B">
        <w:rPr>
          <w:i/>
          <w:u w:val="single"/>
        </w:rPr>
        <w:t> </w:t>
      </w:r>
      <w:r>
        <w:rPr>
          <w:i/>
          <w:u w:val="single"/>
        </w:rPr>
        <w:t>emballages fabriqués avant le 1</w:t>
      </w:r>
      <w:r>
        <w:rPr>
          <w:i/>
          <w:u w:val="single"/>
          <w:vertAlign w:val="superscript"/>
        </w:rPr>
        <w:t>er</w:t>
      </w:r>
      <w:r>
        <w:rPr>
          <w:i/>
          <w:u w:val="single"/>
        </w:rPr>
        <w:t> janvier 2027 conformément aux dispositions applicables à la date de fabrication peuvent continuer à être utilisés.</w:t>
      </w:r>
    </w:p>
    <w:p w14:paraId="16B3201C" w14:textId="2E6418F1" w:rsidR="006C03C9" w:rsidRDefault="006C03C9" w:rsidP="00624C4B">
      <w:pPr>
        <w:pStyle w:val="SingleTxtG"/>
        <w:ind w:left="2835"/>
      </w:pPr>
      <w:r>
        <w:tab/>
        <w:t>Les marques… ».</w:t>
      </w:r>
    </w:p>
    <w:p w14:paraId="1E6AA279" w14:textId="602BFC2B" w:rsidR="00446FE5" w:rsidRPr="00624C4B" w:rsidRDefault="00624C4B" w:rsidP="00624C4B">
      <w:pPr>
        <w:pStyle w:val="SingleTxtG"/>
        <w:spacing w:before="240" w:after="0"/>
        <w:jc w:val="center"/>
        <w:rPr>
          <w:u w:val="single"/>
        </w:rPr>
      </w:pPr>
      <w:r>
        <w:rPr>
          <w:u w:val="single"/>
        </w:rPr>
        <w:tab/>
      </w:r>
      <w:r>
        <w:rPr>
          <w:u w:val="single"/>
        </w:rPr>
        <w:tab/>
      </w:r>
      <w:r>
        <w:rPr>
          <w:u w:val="single"/>
        </w:rPr>
        <w:tab/>
      </w:r>
    </w:p>
    <w:sectPr w:rsidR="00446FE5" w:rsidRPr="00624C4B" w:rsidSect="006C03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F046" w14:textId="77777777" w:rsidR="005C4CDE" w:rsidRDefault="005C4CDE" w:rsidP="00F95C08">
      <w:pPr>
        <w:spacing w:line="240" w:lineRule="auto"/>
      </w:pPr>
    </w:p>
  </w:endnote>
  <w:endnote w:type="continuationSeparator" w:id="0">
    <w:p w14:paraId="66356FEA" w14:textId="77777777" w:rsidR="005C4CDE" w:rsidRPr="00AC3823" w:rsidRDefault="005C4CDE" w:rsidP="00AC3823">
      <w:pPr>
        <w:pStyle w:val="Footer"/>
      </w:pPr>
    </w:p>
  </w:endnote>
  <w:endnote w:type="continuationNotice" w:id="1">
    <w:p w14:paraId="1D8E901E" w14:textId="77777777" w:rsidR="005C4CDE" w:rsidRDefault="005C4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BB08" w14:textId="0DFFDCEB" w:rsidR="006C03C9" w:rsidRPr="006C03C9" w:rsidRDefault="006C03C9" w:rsidP="006C03C9">
    <w:pPr>
      <w:pStyle w:val="Footer"/>
      <w:tabs>
        <w:tab w:val="right" w:pos="9638"/>
      </w:tabs>
    </w:pPr>
    <w:r w:rsidRPr="006C03C9">
      <w:rPr>
        <w:b/>
        <w:sz w:val="18"/>
      </w:rPr>
      <w:fldChar w:fldCharType="begin"/>
    </w:r>
    <w:r w:rsidRPr="006C03C9">
      <w:rPr>
        <w:b/>
        <w:sz w:val="18"/>
      </w:rPr>
      <w:instrText xml:space="preserve"> PAGE  \* MERGEFORMAT </w:instrText>
    </w:r>
    <w:r w:rsidRPr="006C03C9">
      <w:rPr>
        <w:b/>
        <w:sz w:val="18"/>
      </w:rPr>
      <w:fldChar w:fldCharType="separate"/>
    </w:r>
    <w:r w:rsidRPr="006C03C9">
      <w:rPr>
        <w:b/>
        <w:noProof/>
        <w:sz w:val="18"/>
      </w:rPr>
      <w:t>2</w:t>
    </w:r>
    <w:r w:rsidRPr="006C03C9">
      <w:rPr>
        <w:b/>
        <w:sz w:val="18"/>
      </w:rPr>
      <w:fldChar w:fldCharType="end"/>
    </w:r>
    <w:r>
      <w:rPr>
        <w:b/>
        <w:sz w:val="18"/>
      </w:rPr>
      <w:tab/>
    </w:r>
    <w:r>
      <w:t>GE.22-05412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63F" w14:textId="2BC0DE34" w:rsidR="006C03C9" w:rsidRPr="006C03C9" w:rsidRDefault="006C03C9" w:rsidP="006C03C9">
    <w:pPr>
      <w:pStyle w:val="Footer"/>
      <w:tabs>
        <w:tab w:val="right" w:pos="9638"/>
      </w:tabs>
      <w:rPr>
        <w:b/>
        <w:sz w:val="18"/>
      </w:rPr>
    </w:pPr>
    <w:r>
      <w:t>GE.22-05412</w:t>
    </w:r>
    <w:r>
      <w:tab/>
    </w:r>
    <w:r w:rsidRPr="006C03C9">
      <w:rPr>
        <w:b/>
        <w:sz w:val="18"/>
      </w:rPr>
      <w:fldChar w:fldCharType="begin"/>
    </w:r>
    <w:r w:rsidRPr="006C03C9">
      <w:rPr>
        <w:b/>
        <w:sz w:val="18"/>
      </w:rPr>
      <w:instrText xml:space="preserve"> PAGE  \* MERGEFORMAT </w:instrText>
    </w:r>
    <w:r w:rsidRPr="006C03C9">
      <w:rPr>
        <w:b/>
        <w:sz w:val="18"/>
      </w:rPr>
      <w:fldChar w:fldCharType="separate"/>
    </w:r>
    <w:r w:rsidRPr="006C03C9">
      <w:rPr>
        <w:b/>
        <w:noProof/>
        <w:sz w:val="18"/>
      </w:rPr>
      <w:t>3</w:t>
    </w:r>
    <w:r w:rsidRPr="006C03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40F7" w14:textId="765E28CB" w:rsidR="0068456F" w:rsidRPr="006C03C9" w:rsidRDefault="006C03C9" w:rsidP="006C03C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90E8108" wp14:editId="6F6EE54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22-05412  (F)</w:t>
    </w:r>
    <w:r>
      <w:rPr>
        <w:noProof/>
        <w:sz w:val="20"/>
      </w:rPr>
      <w:drawing>
        <wp:anchor distT="0" distB="0" distL="114300" distR="114300" simplePos="0" relativeHeight="251660288" behindDoc="0" locked="0" layoutInCell="1" allowOverlap="1" wp14:anchorId="0C2A8E21" wp14:editId="560CA34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120522    130522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5462" w14:textId="77777777" w:rsidR="005C4CDE" w:rsidRPr="00AC3823" w:rsidRDefault="005C4CDE" w:rsidP="00AC3823">
      <w:pPr>
        <w:pStyle w:val="Footer"/>
        <w:tabs>
          <w:tab w:val="right" w:pos="2155"/>
        </w:tabs>
        <w:spacing w:after="80" w:line="240" w:lineRule="atLeast"/>
        <w:ind w:left="680"/>
        <w:rPr>
          <w:u w:val="single"/>
        </w:rPr>
      </w:pPr>
      <w:r>
        <w:rPr>
          <w:u w:val="single"/>
        </w:rPr>
        <w:tab/>
      </w:r>
    </w:p>
  </w:footnote>
  <w:footnote w:type="continuationSeparator" w:id="0">
    <w:p w14:paraId="6E266E65" w14:textId="77777777" w:rsidR="005C4CDE" w:rsidRPr="00AC3823" w:rsidRDefault="005C4CDE" w:rsidP="00AC3823">
      <w:pPr>
        <w:pStyle w:val="Footer"/>
        <w:tabs>
          <w:tab w:val="right" w:pos="2155"/>
        </w:tabs>
        <w:spacing w:after="80" w:line="240" w:lineRule="atLeast"/>
        <w:ind w:left="680"/>
        <w:rPr>
          <w:u w:val="single"/>
        </w:rPr>
      </w:pPr>
      <w:r>
        <w:rPr>
          <w:u w:val="single"/>
        </w:rPr>
        <w:tab/>
      </w:r>
    </w:p>
  </w:footnote>
  <w:footnote w:type="continuationNotice" w:id="1">
    <w:p w14:paraId="0ED8BABD" w14:textId="77777777" w:rsidR="005C4CDE" w:rsidRPr="00AC3823" w:rsidRDefault="005C4CDE">
      <w:pPr>
        <w:spacing w:line="240" w:lineRule="auto"/>
        <w:rPr>
          <w:sz w:val="2"/>
          <w:szCs w:val="2"/>
        </w:rPr>
      </w:pPr>
    </w:p>
  </w:footnote>
  <w:footnote w:id="2">
    <w:p w14:paraId="172E9E7A" w14:textId="4A7837DF" w:rsidR="00624C4B" w:rsidRPr="00624C4B" w:rsidRDefault="00624C4B">
      <w:pPr>
        <w:pStyle w:val="FootnoteText"/>
      </w:pPr>
      <w:r>
        <w:rPr>
          <w:rStyle w:val="FootnoteReference"/>
        </w:rPr>
        <w:tab/>
      </w:r>
      <w:r w:rsidRPr="00624C4B">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E32" w14:textId="44FA622B" w:rsidR="006C03C9" w:rsidRPr="006C03C9" w:rsidRDefault="00F77C2E">
    <w:pPr>
      <w:pStyle w:val="Header"/>
    </w:pPr>
    <w:r>
      <w:fldChar w:fldCharType="begin"/>
    </w:r>
    <w:r>
      <w:instrText xml:space="preserve"> TITLE  \* MERGEFORMAT </w:instrText>
    </w:r>
    <w:r>
      <w:fldChar w:fldCharType="separate"/>
    </w:r>
    <w:r>
      <w:t>ST/SG/AC.10/C.3/2022/41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1FF2" w14:textId="70AC4098" w:rsidR="006C03C9" w:rsidRPr="006C03C9" w:rsidRDefault="00F77C2E" w:rsidP="006C03C9">
    <w:pPr>
      <w:pStyle w:val="Header"/>
      <w:jc w:val="right"/>
    </w:pPr>
    <w:r>
      <w:fldChar w:fldCharType="begin"/>
    </w:r>
    <w:r>
      <w:instrText xml:space="preserve"> TITLE  \* MERGEFORMAT </w:instrText>
    </w:r>
    <w:r>
      <w:fldChar w:fldCharType="separate"/>
    </w:r>
    <w:r>
      <w:t>ST/SG/AC.10/C.3/2022/41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DE"/>
    <w:rsid w:val="00017F94"/>
    <w:rsid w:val="00023842"/>
    <w:rsid w:val="000305D3"/>
    <w:rsid w:val="000334F9"/>
    <w:rsid w:val="0007796D"/>
    <w:rsid w:val="000B7790"/>
    <w:rsid w:val="00111F2F"/>
    <w:rsid w:val="00132EA9"/>
    <w:rsid w:val="0014365E"/>
    <w:rsid w:val="00172E49"/>
    <w:rsid w:val="00176178"/>
    <w:rsid w:val="00186769"/>
    <w:rsid w:val="001B0298"/>
    <w:rsid w:val="001F525A"/>
    <w:rsid w:val="00223272"/>
    <w:rsid w:val="0024779E"/>
    <w:rsid w:val="00283190"/>
    <w:rsid w:val="002832AC"/>
    <w:rsid w:val="002B36FC"/>
    <w:rsid w:val="002D7C93"/>
    <w:rsid w:val="00441C3B"/>
    <w:rsid w:val="00446FE5"/>
    <w:rsid w:val="00452396"/>
    <w:rsid w:val="004E468C"/>
    <w:rsid w:val="005505B7"/>
    <w:rsid w:val="00573BE5"/>
    <w:rsid w:val="00584DC4"/>
    <w:rsid w:val="00586ED3"/>
    <w:rsid w:val="00596AA9"/>
    <w:rsid w:val="005C4CDE"/>
    <w:rsid w:val="00624C4B"/>
    <w:rsid w:val="0068456F"/>
    <w:rsid w:val="006A5F7E"/>
    <w:rsid w:val="006C03C9"/>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77C2E"/>
    <w:rsid w:val="00F9517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C23AA"/>
  <w15:docId w15:val="{B00C9922-F220-47A8-95A6-D1733A08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ST/SG/AC.10/C.3/2022/41</vt:lpstr>
    </vt:vector>
  </TitlesOfParts>
  <Company>DCM</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ST/SG/AC.10/C.3/2022/41</dc:title>
  <dc:subject/>
  <dc:creator>Marie DESCHAMPS</dc:creator>
  <cp:keywords/>
  <cp:lastModifiedBy>Laurence Berthet</cp:lastModifiedBy>
  <cp:revision>3</cp:revision>
  <cp:lastPrinted>2022-06-01T13:32:00Z</cp:lastPrinted>
  <dcterms:created xsi:type="dcterms:W3CDTF">2022-06-01T13:32:00Z</dcterms:created>
  <dcterms:modified xsi:type="dcterms:W3CDTF">2022-06-01T13:32:00Z</dcterms:modified>
</cp:coreProperties>
</file>