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75E76D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938F2AE" w14:textId="77777777" w:rsidR="00F35BAF" w:rsidRPr="00DB58B5" w:rsidRDefault="00F35BAF" w:rsidP="00BB664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C2EE8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4496EA" w14:textId="77777777" w:rsidR="00F35BAF" w:rsidRPr="00DB58B5" w:rsidRDefault="00BB6645" w:rsidP="00BB6645">
            <w:pPr>
              <w:jc w:val="right"/>
            </w:pPr>
            <w:r w:rsidRPr="00BB6645">
              <w:rPr>
                <w:sz w:val="40"/>
              </w:rPr>
              <w:t>ECE</w:t>
            </w:r>
            <w:r>
              <w:t>/TRANS/WP.29/2021/155/Rev.1</w:t>
            </w:r>
          </w:p>
        </w:tc>
      </w:tr>
      <w:tr w:rsidR="00F35BAF" w:rsidRPr="00DB58B5" w14:paraId="1F268F2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02A67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1367555" wp14:editId="514030F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B92D8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15398A" w14:textId="77777777" w:rsidR="00F35BAF" w:rsidRDefault="00BB6645" w:rsidP="00C97039">
            <w:pPr>
              <w:spacing w:before="240"/>
            </w:pPr>
            <w:r>
              <w:t>Distr. générale</w:t>
            </w:r>
          </w:p>
          <w:p w14:paraId="2E4D2944" w14:textId="77777777" w:rsidR="00BB6645" w:rsidRDefault="000F0ECE" w:rsidP="00BB6645">
            <w:pPr>
              <w:spacing w:line="240" w:lineRule="exact"/>
            </w:pPr>
            <w:r>
              <w:t>19</w:t>
            </w:r>
            <w:r w:rsidR="00BB6645">
              <w:t xml:space="preserve"> </w:t>
            </w:r>
            <w:r>
              <w:t>janvier</w:t>
            </w:r>
            <w:r w:rsidR="00BB6645">
              <w:t xml:space="preserve"> 202</w:t>
            </w:r>
            <w:r>
              <w:t>2</w:t>
            </w:r>
          </w:p>
          <w:p w14:paraId="6134F024" w14:textId="77777777" w:rsidR="00BB6645" w:rsidRDefault="00BB6645" w:rsidP="00BB6645">
            <w:pPr>
              <w:spacing w:line="240" w:lineRule="exact"/>
            </w:pPr>
            <w:r>
              <w:t>Français</w:t>
            </w:r>
          </w:p>
          <w:p w14:paraId="46ED7822" w14:textId="77777777" w:rsidR="00BB6645" w:rsidRPr="00DB58B5" w:rsidRDefault="00BB6645" w:rsidP="00BB6645">
            <w:pPr>
              <w:spacing w:line="240" w:lineRule="exact"/>
            </w:pPr>
            <w:r>
              <w:t>Original : anglais</w:t>
            </w:r>
          </w:p>
        </w:tc>
      </w:tr>
    </w:tbl>
    <w:p w14:paraId="254E02F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60BA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CD3872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9F3E3F1" w14:textId="77777777" w:rsidR="00BB6645" w:rsidRDefault="00BB664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60BA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C7C5E0E" w14:textId="77777777" w:rsidR="00BB6645" w:rsidRDefault="00BB6645" w:rsidP="00AF0CB5">
      <w:pPr>
        <w:spacing w:before="120" w:line="240" w:lineRule="exact"/>
        <w:rPr>
          <w:b/>
        </w:rPr>
      </w:pPr>
      <w:r w:rsidRPr="009F52F1">
        <w:rPr>
          <w:b/>
          <w:lang w:val="fr-FR"/>
        </w:rPr>
        <w:t>185</w:t>
      </w:r>
      <w:r w:rsidRPr="009F52F1">
        <w:rPr>
          <w:b/>
          <w:vertAlign w:val="superscript"/>
          <w:lang w:val="fr-FR"/>
        </w:rPr>
        <w:t>e</w:t>
      </w:r>
      <w:r w:rsidRPr="00BB6645">
        <w:rPr>
          <w:b/>
          <w:lang w:val="fr-FR"/>
        </w:rPr>
        <w:t> </w:t>
      </w:r>
      <w:r>
        <w:rPr>
          <w:b/>
        </w:rPr>
        <w:t>session</w:t>
      </w:r>
    </w:p>
    <w:p w14:paraId="0A312032" w14:textId="77777777" w:rsidR="00BB6645" w:rsidRDefault="00BB6645" w:rsidP="00AF0CB5">
      <w:pPr>
        <w:spacing w:line="240" w:lineRule="exact"/>
      </w:pPr>
      <w:r>
        <w:t xml:space="preserve">Genève, </w:t>
      </w:r>
      <w:r w:rsidRPr="009F52F1">
        <w:rPr>
          <w:lang w:val="fr-FR"/>
        </w:rPr>
        <w:t>23</w:t>
      </w:r>
      <w:r>
        <w:rPr>
          <w:lang w:val="fr-FR"/>
        </w:rPr>
        <w:t>-</w:t>
      </w:r>
      <w:r w:rsidRPr="009F52F1">
        <w:rPr>
          <w:lang w:val="fr-FR"/>
        </w:rPr>
        <w:t>25 novembre 2021</w:t>
      </w:r>
    </w:p>
    <w:p w14:paraId="19ACE13A" w14:textId="77777777" w:rsidR="00BB6645" w:rsidRDefault="00BB6645" w:rsidP="00AF0CB5">
      <w:pPr>
        <w:spacing w:line="240" w:lineRule="exact"/>
      </w:pPr>
      <w:r>
        <w:t xml:space="preserve">Point </w:t>
      </w:r>
      <w:r w:rsidRPr="00E60BAC">
        <w:rPr>
          <w:lang w:val="fr-FR"/>
        </w:rPr>
        <w:t>15.2</w:t>
      </w:r>
      <w:r w:rsidRPr="00E60BAC">
        <w:t xml:space="preserve"> de</w:t>
      </w:r>
      <w:r>
        <w:t xml:space="preserve"> l</w:t>
      </w:r>
      <w:r w:rsidR="00E60BAC">
        <w:t>’</w:t>
      </w:r>
      <w:r>
        <w:t>ordre du jour provisoire</w:t>
      </w:r>
    </w:p>
    <w:p w14:paraId="1849375A" w14:textId="77777777" w:rsidR="00BB6645" w:rsidRPr="009F52F1" w:rsidRDefault="00BB6645" w:rsidP="00BB6645">
      <w:pPr>
        <w:rPr>
          <w:b/>
          <w:lang w:val="fr-FR"/>
        </w:rPr>
      </w:pPr>
      <w:r w:rsidRPr="00797C82">
        <w:rPr>
          <w:b/>
          <w:bCs/>
          <w:lang w:val="fr-FR"/>
        </w:rPr>
        <w:t xml:space="preserve">Examen des règlements techniques à </w:t>
      </w:r>
      <w:r>
        <w:rPr>
          <w:b/>
          <w:bCs/>
          <w:lang w:val="fr-FR"/>
        </w:rPr>
        <w:t>inscrire</w:t>
      </w:r>
      <w:r w:rsidRPr="00797C8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797C82">
        <w:rPr>
          <w:b/>
          <w:bCs/>
          <w:lang w:val="fr-FR"/>
        </w:rPr>
        <w:t>dans le</w:t>
      </w:r>
      <w:r w:rsidR="000F0ECE">
        <w:rPr>
          <w:b/>
          <w:bCs/>
          <w:lang w:val="fr-FR"/>
        </w:rPr>
        <w:t xml:space="preserve"> </w:t>
      </w:r>
      <w:r w:rsidRPr="00797C82">
        <w:rPr>
          <w:b/>
          <w:bCs/>
          <w:lang w:val="fr-FR"/>
        </w:rPr>
        <w:t xml:space="preserve">Recueil des RTM </w:t>
      </w:r>
      <w:r>
        <w:rPr>
          <w:b/>
          <w:bCs/>
          <w:lang w:val="fr-FR"/>
        </w:rPr>
        <w:t xml:space="preserve">ONU </w:t>
      </w:r>
      <w:r w:rsidRPr="00797C82">
        <w:rPr>
          <w:b/>
          <w:bCs/>
          <w:lang w:val="fr-FR"/>
        </w:rPr>
        <w:t>admissibles, s</w:t>
      </w:r>
      <w:r w:rsidR="00E60BAC">
        <w:rPr>
          <w:b/>
          <w:bCs/>
          <w:lang w:val="fr-FR"/>
        </w:rPr>
        <w:t>’</w:t>
      </w:r>
      <w:r w:rsidRPr="00797C82">
        <w:rPr>
          <w:b/>
          <w:bCs/>
          <w:lang w:val="fr-FR"/>
        </w:rPr>
        <w:t>il y a lieu</w:t>
      </w:r>
    </w:p>
    <w:p w14:paraId="4BDD43E6" w14:textId="77777777" w:rsidR="00BB6645" w:rsidRPr="009F52F1" w:rsidRDefault="00BB6645" w:rsidP="009856A5">
      <w:pPr>
        <w:pStyle w:val="HChG"/>
        <w:rPr>
          <w:rFonts w:eastAsia="MS Mincho"/>
          <w:lang w:val="fr-FR"/>
        </w:rPr>
      </w:pPr>
      <w:r w:rsidRPr="009F52F1">
        <w:rPr>
          <w:lang w:val="fr-FR"/>
        </w:rPr>
        <w:tab/>
      </w:r>
      <w:r w:rsidRPr="009F52F1">
        <w:rPr>
          <w:lang w:val="fr-FR"/>
        </w:rPr>
        <w:tab/>
      </w:r>
      <w:r w:rsidRPr="00797C82">
        <w:rPr>
          <w:lang w:val="fr-FR"/>
        </w:rPr>
        <w:t xml:space="preserve">Demande </w:t>
      </w:r>
      <w:r>
        <w:rPr>
          <w:lang w:val="fr-FR"/>
        </w:rPr>
        <w:t xml:space="preserve">révisée </w:t>
      </w:r>
      <w:r w:rsidRPr="00797C82">
        <w:rPr>
          <w:lang w:val="fr-FR"/>
        </w:rPr>
        <w:t>d</w:t>
      </w:r>
      <w:r w:rsidR="00E60BAC">
        <w:rPr>
          <w:lang w:val="fr-FR"/>
        </w:rPr>
        <w:t>’</w:t>
      </w:r>
      <w:r w:rsidRPr="00797C82">
        <w:rPr>
          <w:lang w:val="fr-FR"/>
        </w:rPr>
        <w:t>inscription</w:t>
      </w:r>
      <w:r>
        <w:rPr>
          <w:lang w:val="fr-FR"/>
        </w:rPr>
        <w:t xml:space="preserve"> dans le </w:t>
      </w:r>
      <w:r w:rsidRPr="00797C82">
        <w:rPr>
          <w:lang w:val="fr-FR"/>
        </w:rPr>
        <w:t>Recueil des règlements techniques mondiaux admissibles de la procédure de contrôle</w:t>
      </w:r>
      <w:r>
        <w:rPr>
          <w:lang w:val="fr-FR"/>
        </w:rPr>
        <w:t xml:space="preserve"> </w:t>
      </w:r>
      <w:r w:rsidRPr="00797C82">
        <w:rPr>
          <w:lang w:val="fr-FR"/>
        </w:rPr>
        <w:t>de la durabilité des véhicules à deux roues</w:t>
      </w:r>
      <w:r>
        <w:rPr>
          <w:lang w:val="fr-FR"/>
        </w:rPr>
        <w:t xml:space="preserve"> </w:t>
      </w:r>
      <w:r w:rsidR="009856A5">
        <w:rPr>
          <w:lang w:val="fr-FR"/>
        </w:rPr>
        <w:br/>
      </w:r>
      <w:r w:rsidRPr="009F52F1">
        <w:rPr>
          <w:rFonts w:eastAsia="MS Mincho"/>
          <w:lang w:val="fr-FR"/>
        </w:rPr>
        <w:t>des États-Unis d</w:t>
      </w:r>
      <w:r w:rsidR="00E60BAC">
        <w:rPr>
          <w:rFonts w:eastAsia="MS Mincho"/>
          <w:lang w:val="fr-FR"/>
        </w:rPr>
        <w:t>’</w:t>
      </w:r>
      <w:r w:rsidRPr="009F52F1">
        <w:rPr>
          <w:rFonts w:eastAsia="MS Mincho"/>
          <w:lang w:val="fr-FR"/>
        </w:rPr>
        <w:t>Amérique</w:t>
      </w:r>
    </w:p>
    <w:p w14:paraId="02829DFC" w14:textId="77777777" w:rsidR="00BB6645" w:rsidRPr="009F52F1" w:rsidRDefault="00BB6645" w:rsidP="009856A5">
      <w:pPr>
        <w:pStyle w:val="H1G"/>
        <w:rPr>
          <w:szCs w:val="24"/>
          <w:lang w:val="fr-FR"/>
        </w:rPr>
      </w:pPr>
      <w:r w:rsidRPr="009F52F1">
        <w:rPr>
          <w:rFonts w:eastAsia="MS Mincho"/>
          <w:lang w:val="fr-FR"/>
        </w:rPr>
        <w:tab/>
      </w:r>
      <w:r w:rsidRPr="009F52F1">
        <w:rPr>
          <w:rFonts w:eastAsia="MS Mincho"/>
          <w:lang w:val="fr-FR"/>
        </w:rPr>
        <w:tab/>
      </w:r>
      <w:r w:rsidRPr="00797C82">
        <w:rPr>
          <w:lang w:val="fr-FR"/>
        </w:rPr>
        <w:t xml:space="preserve">Communication du représentant </w:t>
      </w:r>
      <w:r w:rsidRPr="009F52F1">
        <w:rPr>
          <w:rFonts w:eastAsia="MS Mincho"/>
          <w:lang w:val="fr-FR"/>
        </w:rPr>
        <w:t>des États-Unis d</w:t>
      </w:r>
      <w:r w:rsidR="00E60BAC">
        <w:rPr>
          <w:rFonts w:eastAsia="MS Mincho"/>
          <w:lang w:val="fr-FR"/>
        </w:rPr>
        <w:t>’</w:t>
      </w:r>
      <w:r w:rsidRPr="009F52F1">
        <w:rPr>
          <w:rFonts w:eastAsia="MS Mincho"/>
          <w:lang w:val="fr-FR"/>
        </w:rPr>
        <w:t>Amérique</w:t>
      </w:r>
      <w:r w:rsidRPr="00146EA4">
        <w:rPr>
          <w:rStyle w:val="Appelnotedebasdep"/>
          <w:rFonts w:eastAsia="MS Mincho"/>
          <w:b w:val="0"/>
          <w:bCs/>
          <w:sz w:val="20"/>
          <w:vertAlign w:val="baseline"/>
        </w:rPr>
        <w:footnoteReference w:customMarkFollows="1" w:id="2"/>
        <w:t>*</w:t>
      </w:r>
    </w:p>
    <w:p w14:paraId="67F36E56" w14:textId="77777777" w:rsidR="00F9573C" w:rsidRDefault="00BB6645" w:rsidP="009856A5">
      <w:pPr>
        <w:pStyle w:val="SingleTxtG"/>
        <w:ind w:firstLine="567"/>
        <w:rPr>
          <w:lang w:val="fr-FR"/>
        </w:rPr>
      </w:pPr>
      <w:r w:rsidRPr="00797C82">
        <w:rPr>
          <w:lang w:val="fr-FR"/>
        </w:rPr>
        <w:t xml:space="preserve">Le texte ci-après est soumis </w:t>
      </w:r>
      <w:r w:rsidRPr="009F52F1">
        <w:rPr>
          <w:lang w:val="fr-FR" w:eastAsia="ja-JP"/>
        </w:rPr>
        <w:t xml:space="preserve">par les </w:t>
      </w:r>
      <w:r w:rsidRPr="009F52F1">
        <w:rPr>
          <w:rFonts w:eastAsia="MS Mincho"/>
          <w:bCs/>
          <w:lang w:val="fr-FR"/>
        </w:rPr>
        <w:t>États-Unis d</w:t>
      </w:r>
      <w:r w:rsidR="00E60BAC">
        <w:rPr>
          <w:rFonts w:eastAsia="MS Mincho"/>
          <w:bCs/>
          <w:lang w:val="fr-FR"/>
        </w:rPr>
        <w:t>’</w:t>
      </w:r>
      <w:r w:rsidRPr="009F52F1">
        <w:rPr>
          <w:rFonts w:eastAsia="MS Mincho"/>
          <w:bCs/>
          <w:lang w:val="fr-FR"/>
        </w:rPr>
        <w:t xml:space="preserve">Amérique </w:t>
      </w:r>
      <w:r w:rsidRPr="00797C82">
        <w:rPr>
          <w:lang w:val="fr-FR"/>
        </w:rPr>
        <w:t>au Comité exécutif de l</w:t>
      </w:r>
      <w:r w:rsidR="00E60BAC">
        <w:rPr>
          <w:lang w:val="fr-FR"/>
        </w:rPr>
        <w:t>’</w:t>
      </w:r>
      <w:r w:rsidRPr="00797C82">
        <w:rPr>
          <w:lang w:val="fr-FR"/>
        </w:rPr>
        <w:t>Accord de 1998 (AC.3) pour examen</w:t>
      </w:r>
      <w:r w:rsidRPr="009F52F1">
        <w:rPr>
          <w:lang w:val="fr-FR" w:eastAsia="ja-JP"/>
        </w:rPr>
        <w:t xml:space="preserve">. </w:t>
      </w:r>
      <w:r w:rsidRPr="00797C82">
        <w:rPr>
          <w:lang w:val="fr-FR"/>
        </w:rPr>
        <w:t>Il s</w:t>
      </w:r>
      <w:r w:rsidR="00E60BAC">
        <w:rPr>
          <w:lang w:val="fr-FR"/>
        </w:rPr>
        <w:t>’</w:t>
      </w:r>
      <w:r w:rsidRPr="00797C82">
        <w:rPr>
          <w:lang w:val="fr-FR"/>
        </w:rPr>
        <w:t>agit d</w:t>
      </w:r>
      <w:r w:rsidR="00E60BAC">
        <w:rPr>
          <w:lang w:val="fr-FR"/>
        </w:rPr>
        <w:t>’</w:t>
      </w:r>
      <w:r w:rsidRPr="00797C82">
        <w:rPr>
          <w:lang w:val="fr-FR"/>
        </w:rPr>
        <w:t>une demande d</w:t>
      </w:r>
      <w:r w:rsidR="00E60BAC">
        <w:rPr>
          <w:lang w:val="fr-FR"/>
        </w:rPr>
        <w:t>’</w:t>
      </w:r>
      <w:r w:rsidRPr="00797C82">
        <w:rPr>
          <w:lang w:val="fr-FR"/>
        </w:rPr>
        <w:t>inscription de la procédure de contrôle de la durabilité des véhicu</w:t>
      </w:r>
      <w:bookmarkStart w:id="0" w:name="_GoBack"/>
      <w:bookmarkEnd w:id="0"/>
      <w:r w:rsidRPr="00797C82">
        <w:rPr>
          <w:lang w:val="fr-FR"/>
        </w:rPr>
        <w:t>les dans le Recueil des règlements techniques mondiaux admissibles. Afin qu</w:t>
      </w:r>
      <w:r w:rsidR="00E60BAC">
        <w:rPr>
          <w:lang w:val="fr-FR"/>
        </w:rPr>
        <w:t>’</w:t>
      </w:r>
      <w:r w:rsidRPr="00797C82">
        <w:rPr>
          <w:lang w:val="fr-FR"/>
        </w:rPr>
        <w:t>elle puisse être examinée par l</w:t>
      </w:r>
      <w:r w:rsidR="00E60BAC">
        <w:rPr>
          <w:lang w:val="fr-FR"/>
        </w:rPr>
        <w:t>’</w:t>
      </w:r>
      <w:r w:rsidRPr="00797C82">
        <w:rPr>
          <w:lang w:val="fr-FR"/>
        </w:rPr>
        <w:t xml:space="preserve">AC.3, </w:t>
      </w:r>
      <w:r>
        <w:rPr>
          <w:lang w:val="fr-FR"/>
        </w:rPr>
        <w:t>cette</w:t>
      </w:r>
      <w:r w:rsidRPr="00797C82">
        <w:rPr>
          <w:lang w:val="fr-FR"/>
        </w:rPr>
        <w:t xml:space="preserve"> demande est accompagnée d</w:t>
      </w:r>
      <w:r w:rsidR="00E60BAC">
        <w:rPr>
          <w:lang w:val="fr-FR"/>
        </w:rPr>
        <w:t>’</w:t>
      </w:r>
      <w:r w:rsidRPr="00797C82">
        <w:rPr>
          <w:lang w:val="fr-FR"/>
        </w:rPr>
        <w:t>une copie des règlements mentionnés (voir les paragraphes 5.2.1, 5.2.1.1 et 5.2.2 de l</w:t>
      </w:r>
      <w:r w:rsidR="00E60BAC">
        <w:rPr>
          <w:lang w:val="fr-FR"/>
        </w:rPr>
        <w:t>’</w:t>
      </w:r>
      <w:r w:rsidRPr="00797C82">
        <w:rPr>
          <w:lang w:val="fr-FR"/>
        </w:rPr>
        <w:t>article 5 de l</w:t>
      </w:r>
      <w:r w:rsidR="00E60BAC">
        <w:rPr>
          <w:lang w:val="fr-FR"/>
        </w:rPr>
        <w:t>’</w:t>
      </w:r>
      <w:r w:rsidRPr="00797C82">
        <w:rPr>
          <w:lang w:val="fr-FR"/>
        </w:rPr>
        <w:t>Accord de 1998).</w:t>
      </w:r>
    </w:p>
    <w:p w14:paraId="00DCD661" w14:textId="77777777" w:rsidR="00BB6645" w:rsidRDefault="00BB6645" w:rsidP="00BB6645">
      <w:pPr>
        <w:rPr>
          <w:lang w:val="fr-FR"/>
        </w:rPr>
      </w:pPr>
      <w:r>
        <w:rPr>
          <w:lang w:val="fr-FR"/>
        </w:rPr>
        <w:br w:type="page"/>
      </w:r>
    </w:p>
    <w:p w14:paraId="3318F864" w14:textId="77777777" w:rsidR="00BB6645" w:rsidRPr="009F52F1" w:rsidRDefault="00BB6645" w:rsidP="00BB6645">
      <w:pPr>
        <w:pStyle w:val="HChG"/>
        <w:rPr>
          <w:lang w:val="fr-FR"/>
        </w:rPr>
      </w:pPr>
      <w:r w:rsidRPr="009F52F1">
        <w:rPr>
          <w:lang w:val="fr-FR"/>
        </w:rPr>
        <w:lastRenderedPageBreak/>
        <w:tab/>
      </w:r>
      <w:r w:rsidRPr="009F52F1">
        <w:rPr>
          <w:lang w:val="fr-FR"/>
        </w:rPr>
        <w:tab/>
      </w:r>
      <w:r w:rsidRPr="00797C82">
        <w:rPr>
          <w:lang w:val="fr-FR"/>
        </w:rPr>
        <w:t>Demande d</w:t>
      </w:r>
      <w:r w:rsidR="00E60BAC">
        <w:rPr>
          <w:lang w:val="fr-FR"/>
        </w:rPr>
        <w:t>’</w:t>
      </w:r>
      <w:r w:rsidRPr="00797C82">
        <w:rPr>
          <w:lang w:val="fr-FR"/>
        </w:rPr>
        <w:t xml:space="preserve">inscription </w:t>
      </w:r>
      <w:r w:rsidRPr="00AD07FB">
        <w:rPr>
          <w:lang w:val="fr-FR"/>
        </w:rPr>
        <w:t xml:space="preserve">dans le </w:t>
      </w:r>
      <w:r w:rsidRPr="00797C82">
        <w:rPr>
          <w:lang w:val="fr-FR"/>
        </w:rPr>
        <w:t>Recueil des règlements techniques mondiaux admissibles de la procédure de contrôle de la</w:t>
      </w:r>
      <w:r>
        <w:rPr>
          <w:lang w:val="fr-FR"/>
        </w:rPr>
        <w:t> </w:t>
      </w:r>
      <w:r w:rsidRPr="00797C82">
        <w:rPr>
          <w:lang w:val="fr-FR"/>
        </w:rPr>
        <w:t xml:space="preserve">durabilité </w:t>
      </w:r>
      <w:r>
        <w:rPr>
          <w:lang w:val="fr-FR"/>
        </w:rPr>
        <w:t>des véhicules</w:t>
      </w:r>
    </w:p>
    <w:p w14:paraId="5FFDF429" w14:textId="77777777" w:rsidR="00BB6645" w:rsidRPr="009F52F1" w:rsidRDefault="00BB6645" w:rsidP="00BB6645">
      <w:pPr>
        <w:pStyle w:val="SingleTxtG"/>
        <w:rPr>
          <w:lang w:val="fr-FR"/>
        </w:rPr>
      </w:pPr>
      <w:r w:rsidRPr="009F52F1">
        <w:rPr>
          <w:lang w:val="fr-FR"/>
        </w:rPr>
        <w:t>1.</w:t>
      </w:r>
      <w:r w:rsidRPr="009F52F1">
        <w:rPr>
          <w:lang w:val="fr-FR"/>
        </w:rPr>
        <w:tab/>
        <w:t>Les États-Unis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Amérique demandent </w:t>
      </w:r>
      <w:r>
        <w:rPr>
          <w:lang w:val="fr-FR"/>
        </w:rPr>
        <w:t>l</w:t>
      </w:r>
      <w:r w:rsidR="00E60BAC">
        <w:rPr>
          <w:lang w:val="fr-FR"/>
        </w:rPr>
        <w:t>’</w:t>
      </w:r>
      <w:r w:rsidRPr="009D7C69">
        <w:rPr>
          <w:lang w:val="fr-FR"/>
        </w:rPr>
        <w:t xml:space="preserve">inscription </w:t>
      </w:r>
      <w:r>
        <w:rPr>
          <w:lang w:val="fr-FR"/>
        </w:rPr>
        <w:t>dans le</w:t>
      </w:r>
      <w:r w:rsidRPr="009D7C69">
        <w:rPr>
          <w:lang w:val="fr-FR"/>
        </w:rPr>
        <w:t xml:space="preserve"> </w:t>
      </w:r>
      <w:r w:rsidRPr="009F52F1">
        <w:rPr>
          <w:lang w:val="fr-FR"/>
        </w:rPr>
        <w:t xml:space="preserve">Recueil des règlements techniques mondiaux admissibles de </w:t>
      </w:r>
      <w:r>
        <w:rPr>
          <w:lang w:val="fr-FR"/>
        </w:rPr>
        <w:t xml:space="preserve">leur </w:t>
      </w:r>
      <w:r w:rsidRPr="009F52F1">
        <w:rPr>
          <w:lang w:val="fr-FR"/>
        </w:rPr>
        <w:t xml:space="preserve">procédure de contrôle de la durabilité </w:t>
      </w:r>
      <w:r w:rsidRPr="009D7C69">
        <w:rPr>
          <w:lang w:val="fr-FR"/>
        </w:rPr>
        <w:t>des véhicules</w:t>
      </w:r>
      <w:r w:rsidRPr="009F52F1">
        <w:rPr>
          <w:lang w:val="fr-FR"/>
        </w:rPr>
        <w:t>.</w:t>
      </w:r>
    </w:p>
    <w:p w14:paraId="2C8CBA73" w14:textId="77777777" w:rsidR="00BB6645" w:rsidRPr="00B84A7D" w:rsidRDefault="00BB6645" w:rsidP="00BB6645">
      <w:pPr>
        <w:pStyle w:val="HChG"/>
      </w:pPr>
      <w:r w:rsidRPr="00B84A7D">
        <w:tab/>
        <w:t>I.</w:t>
      </w:r>
      <w:r w:rsidRPr="00B84A7D">
        <w:tab/>
        <w:t>Contexte</w:t>
      </w:r>
    </w:p>
    <w:p w14:paraId="2DD99F00" w14:textId="77777777" w:rsidR="00BB6645" w:rsidRDefault="00BB6645" w:rsidP="00BB6645">
      <w:pPr>
        <w:pStyle w:val="SingleTxtG"/>
        <w:rPr>
          <w:color w:val="000000"/>
        </w:rPr>
      </w:pPr>
      <w:r w:rsidRPr="009F52F1">
        <w:rPr>
          <w:lang w:val="fr-FR" w:eastAsia="ja-JP"/>
        </w:rPr>
        <w:t>2.</w:t>
      </w:r>
      <w:r w:rsidRPr="009F52F1">
        <w:rPr>
          <w:lang w:val="fr-FR" w:eastAsia="ja-JP"/>
        </w:rPr>
        <w:tab/>
      </w:r>
      <w:r>
        <w:rPr>
          <w:lang w:val="fr-FR" w:eastAsia="ja-JP"/>
        </w:rPr>
        <w:t>La réglementation de l</w:t>
      </w:r>
      <w:r w:rsidR="00E60BAC">
        <w:rPr>
          <w:lang w:val="fr-FR" w:eastAsia="ja-JP"/>
        </w:rPr>
        <w:t>’</w:t>
      </w:r>
      <w:r>
        <w:rPr>
          <w:lang w:val="fr-FR" w:eastAsia="ja-JP"/>
        </w:rPr>
        <w:t>Agence de protection de l</w:t>
      </w:r>
      <w:r w:rsidR="00E60BAC">
        <w:rPr>
          <w:lang w:val="fr-FR" w:eastAsia="ja-JP"/>
        </w:rPr>
        <w:t>’</w:t>
      </w:r>
      <w:r>
        <w:rPr>
          <w:lang w:val="fr-FR" w:eastAsia="ja-JP"/>
        </w:rPr>
        <w:t xml:space="preserve">environnement (EPA) relative aux motocycles sur route (véhicules à deux ou trois roues) comporte des dispositions qui se rapportent à la durabilité. </w:t>
      </w:r>
      <w:r w:rsidRPr="009F52F1">
        <w:rPr>
          <w:lang w:val="fr-FR" w:eastAsia="ja-JP"/>
        </w:rPr>
        <w:t xml:space="preserve">Ces </w:t>
      </w:r>
      <w:r w:rsidRPr="000663C4">
        <w:rPr>
          <w:lang w:val="fr-FR" w:eastAsia="ja-JP"/>
        </w:rPr>
        <w:t xml:space="preserve">dispositions </w:t>
      </w:r>
      <w:r w:rsidRPr="009F52F1">
        <w:rPr>
          <w:lang w:val="fr-FR" w:eastAsia="ja-JP"/>
        </w:rPr>
        <w:t>sont présentées dans la section suivante.</w:t>
      </w:r>
      <w:r>
        <w:rPr>
          <w:lang w:val="fr-FR" w:eastAsia="ja-JP"/>
        </w:rPr>
        <w:t xml:space="preserve"> On en trouvera le texte original dans les sections </w:t>
      </w:r>
      <w:r w:rsidRPr="00F17E26">
        <w:t xml:space="preserve">40 CFR </w:t>
      </w:r>
      <w:r w:rsidRPr="00F17E26">
        <w:rPr>
          <w:color w:val="000000"/>
        </w:rPr>
        <w:t>86.432-78</w:t>
      </w:r>
      <w:r w:rsidR="00B42883">
        <w:rPr>
          <w:color w:val="000000"/>
        </w:rPr>
        <w:t xml:space="preserve"> </w:t>
      </w:r>
      <w:r>
        <w:rPr>
          <w:color w:val="000000"/>
        </w:rPr>
        <w:t>et</w:t>
      </w:r>
      <w:r w:rsidRPr="00F17E26">
        <w:rPr>
          <w:color w:val="000000"/>
        </w:rPr>
        <w:t xml:space="preserve"> </w:t>
      </w:r>
      <w:r w:rsidRPr="00F17E26">
        <w:t>40 CFR</w:t>
      </w:r>
      <w:r w:rsidRPr="00F17E26">
        <w:rPr>
          <w:color w:val="000000"/>
        </w:rPr>
        <w:t xml:space="preserve"> 86.427-78</w:t>
      </w:r>
      <w:r>
        <w:rPr>
          <w:color w:val="000000"/>
        </w:rPr>
        <w:t xml:space="preserve"> des textes de l</w:t>
      </w:r>
      <w:r w:rsidR="00E60BAC">
        <w:rPr>
          <w:color w:val="000000"/>
        </w:rPr>
        <w:t>’</w:t>
      </w:r>
      <w:r>
        <w:rPr>
          <w:color w:val="000000"/>
        </w:rPr>
        <w:t>EPA.</w:t>
      </w:r>
    </w:p>
    <w:p w14:paraId="10B598F2" w14:textId="77777777" w:rsidR="00BB6645" w:rsidRPr="009F52F1" w:rsidRDefault="00BB6645" w:rsidP="00BB6645">
      <w:pPr>
        <w:pStyle w:val="SingleTxtG"/>
        <w:rPr>
          <w:lang w:val="fr-FR" w:eastAsia="ja-JP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color w:val="000000"/>
        </w:rPr>
        <w:t xml:space="preserve">La </w:t>
      </w:r>
      <w:r w:rsidRPr="00B82353">
        <w:rPr>
          <w:color w:val="000000"/>
        </w:rPr>
        <w:t xml:space="preserve">Loi sur la lutte contre la pollution atmosphérique </w:t>
      </w:r>
      <w:r>
        <w:rPr>
          <w:color w:val="000000"/>
        </w:rPr>
        <w:t>(Clean Air Act) est le principal instrument fédéral portant sur la qualité de l</w:t>
      </w:r>
      <w:r w:rsidR="00E60BAC">
        <w:rPr>
          <w:color w:val="000000"/>
        </w:rPr>
        <w:t>’</w:t>
      </w:r>
      <w:r>
        <w:rPr>
          <w:color w:val="000000"/>
        </w:rPr>
        <w:t xml:space="preserve">air. </w:t>
      </w:r>
      <w:r w:rsidRPr="00BB6645">
        <w:rPr>
          <w:lang w:val="fr-FR"/>
        </w:rPr>
        <w:t>Elle</w:t>
      </w:r>
      <w:r>
        <w:rPr>
          <w:color w:val="000000"/>
        </w:rPr>
        <w:t xml:space="preserve"> a pour objet de réduire la pollution atmosphérique au niveau national. Les règlements adoptés par </w:t>
      </w:r>
      <w:r>
        <w:rPr>
          <w:lang w:val="fr-FR" w:eastAsia="ja-JP"/>
        </w:rPr>
        <w:t>l</w:t>
      </w:r>
      <w:r w:rsidR="00E60BAC">
        <w:rPr>
          <w:lang w:val="fr-FR" w:eastAsia="ja-JP"/>
        </w:rPr>
        <w:t>’</w:t>
      </w:r>
      <w:r>
        <w:rPr>
          <w:lang w:val="fr-FR" w:eastAsia="ja-JP"/>
        </w:rPr>
        <w:t>Agence de protection de l</w:t>
      </w:r>
      <w:r w:rsidR="00E60BAC">
        <w:rPr>
          <w:lang w:val="fr-FR" w:eastAsia="ja-JP"/>
        </w:rPr>
        <w:t>’</w:t>
      </w:r>
      <w:r>
        <w:rPr>
          <w:lang w:val="fr-FR" w:eastAsia="ja-JP"/>
        </w:rPr>
        <w:t>environnement dans le cadre de cette loi établissent des normes nationales pour la réduction des émissions dans le domaine des transports. Au titre de la même loi, l</w:t>
      </w:r>
      <w:r w:rsidR="00E60BAC">
        <w:rPr>
          <w:lang w:val="fr-FR" w:eastAsia="ja-JP"/>
        </w:rPr>
        <w:t>’</w:t>
      </w:r>
      <w:r>
        <w:rPr>
          <w:lang w:val="fr-FR" w:eastAsia="ja-JP"/>
        </w:rPr>
        <w:t>État de Californie est également habilité à établir des normes d</w:t>
      </w:r>
      <w:r w:rsidR="00E60BAC">
        <w:rPr>
          <w:lang w:val="fr-FR" w:eastAsia="ja-JP"/>
        </w:rPr>
        <w:t>’</w:t>
      </w:r>
      <w:r>
        <w:rPr>
          <w:lang w:val="fr-FR" w:eastAsia="ja-JP"/>
        </w:rPr>
        <w:t>émission dans certaines conditions. S</w:t>
      </w:r>
      <w:r w:rsidR="00E60BAC">
        <w:rPr>
          <w:lang w:val="fr-FR" w:eastAsia="ja-JP"/>
        </w:rPr>
        <w:t>’</w:t>
      </w:r>
      <w:r>
        <w:rPr>
          <w:lang w:val="fr-FR" w:eastAsia="ja-JP"/>
        </w:rPr>
        <w:t>agissant des procédures relatives à la durabilité, détaillées ci-après, les règlements californiens visant les motocycles sur route font référence aux dispositions pertinentes de l</w:t>
      </w:r>
      <w:r w:rsidR="00E60BAC">
        <w:rPr>
          <w:lang w:val="fr-FR" w:eastAsia="ja-JP"/>
        </w:rPr>
        <w:t>’</w:t>
      </w:r>
      <w:r>
        <w:rPr>
          <w:lang w:val="fr-FR" w:eastAsia="ja-JP"/>
        </w:rPr>
        <w:t>EPA dans le règlement sur les motocycles sur route. Le texte du règlement californien est reproduit ici par souci d</w:t>
      </w:r>
      <w:r w:rsidR="00E60BAC">
        <w:rPr>
          <w:lang w:val="fr-FR" w:eastAsia="ja-JP"/>
        </w:rPr>
        <w:t>’</w:t>
      </w:r>
      <w:r>
        <w:rPr>
          <w:lang w:val="fr-FR" w:eastAsia="ja-JP"/>
        </w:rPr>
        <w:t>exhaustivité.</w:t>
      </w:r>
    </w:p>
    <w:p w14:paraId="21B93C81" w14:textId="77777777" w:rsidR="00BB6645" w:rsidRPr="009F52F1" w:rsidRDefault="00BB6645" w:rsidP="00BB6645">
      <w:pPr>
        <w:pStyle w:val="HChG"/>
        <w:rPr>
          <w:lang w:val="fr-FR"/>
        </w:rPr>
      </w:pPr>
      <w:r w:rsidRPr="009F52F1">
        <w:rPr>
          <w:lang w:val="fr-FR"/>
        </w:rPr>
        <w:tab/>
        <w:t>II.</w:t>
      </w:r>
      <w:r w:rsidRPr="009F52F1">
        <w:rPr>
          <w:lang w:val="fr-FR"/>
        </w:rPr>
        <w:tab/>
        <w:t>Description des règlements</w:t>
      </w:r>
    </w:p>
    <w:p w14:paraId="5A52EA5E" w14:textId="77777777" w:rsidR="00BB6645" w:rsidRPr="0056005E" w:rsidRDefault="00BB6645" w:rsidP="00BB6645">
      <w:pPr>
        <w:pStyle w:val="SingleTxtG"/>
        <w:rPr>
          <w:lang w:val="fr-FR"/>
        </w:rPr>
      </w:pPr>
      <w:r w:rsidRPr="0056005E">
        <w:rPr>
          <w:lang w:val="fr-FR"/>
        </w:rPr>
        <w:t>4.</w:t>
      </w:r>
      <w:r w:rsidRPr="0056005E">
        <w:rPr>
          <w:lang w:val="fr-FR"/>
        </w:rPr>
        <w:tab/>
        <w:t>Agence de protection de l</w:t>
      </w:r>
      <w:r w:rsidR="00E60BAC">
        <w:rPr>
          <w:lang w:val="fr-FR"/>
        </w:rPr>
        <w:t>’</w:t>
      </w:r>
      <w:r w:rsidRPr="0056005E">
        <w:rPr>
          <w:lang w:val="fr-FR"/>
        </w:rPr>
        <w:t xml:space="preserve">environnement des </w:t>
      </w:r>
      <w:r w:rsidRPr="0056005E">
        <w:rPr>
          <w:lang w:val="fr-FR" w:eastAsia="ja-JP"/>
        </w:rPr>
        <w:t>États</w:t>
      </w:r>
      <w:r w:rsidRPr="0056005E">
        <w:rPr>
          <w:lang w:val="fr-FR"/>
        </w:rPr>
        <w:t>-Unis</w:t>
      </w:r>
    </w:p>
    <w:p w14:paraId="39F5F942" w14:textId="77777777" w:rsidR="00BB6645" w:rsidRPr="0056005E" w:rsidRDefault="00BB6645" w:rsidP="00BB6645">
      <w:pPr>
        <w:pStyle w:val="SingleTxtG"/>
        <w:ind w:left="1701"/>
        <w:rPr>
          <w:lang w:val="fr-FR"/>
        </w:rPr>
      </w:pPr>
      <w:r w:rsidRPr="0056005E">
        <w:rPr>
          <w:lang w:val="fr-FR"/>
        </w:rPr>
        <w:t xml:space="preserve">Extrait du </w:t>
      </w:r>
      <w:r>
        <w:rPr>
          <w:lang w:val="fr-FR"/>
        </w:rPr>
        <w:t>texte de la section 40 CFR</w:t>
      </w:r>
      <w:r w:rsidRPr="0056005E">
        <w:rPr>
          <w:lang w:val="fr-FR"/>
        </w:rPr>
        <w:t xml:space="preserve"> 86.427-78 </w:t>
      </w:r>
      <w:r w:rsidR="00B42883">
        <w:rPr>
          <w:lang w:val="fr-FR"/>
        </w:rPr>
        <w:t>−</w:t>
      </w:r>
      <w:r>
        <w:rPr>
          <w:lang w:val="fr-FR"/>
        </w:rPr>
        <w:t xml:space="preserve"> </w:t>
      </w:r>
      <w:r w:rsidRPr="0056005E">
        <w:rPr>
          <w:lang w:val="fr-FR"/>
        </w:rPr>
        <w:t>Essais d</w:t>
      </w:r>
      <w:r w:rsidR="00E60BAC">
        <w:rPr>
          <w:lang w:val="fr-FR"/>
        </w:rPr>
        <w:t>’</w:t>
      </w:r>
      <w:r w:rsidRPr="0056005E">
        <w:rPr>
          <w:lang w:val="fr-FR"/>
        </w:rPr>
        <w:t>émission :</w:t>
      </w:r>
    </w:p>
    <w:p w14:paraId="2C681C0A" w14:textId="77777777" w:rsidR="00BB6645" w:rsidRPr="009F52F1" w:rsidRDefault="00BB6645" w:rsidP="00BB6645">
      <w:pPr>
        <w:pStyle w:val="SingleTxtG"/>
        <w:ind w:left="1701"/>
        <w:rPr>
          <w:color w:val="000000"/>
          <w:lang w:val="fr-FR"/>
        </w:rPr>
      </w:pPr>
      <w:r w:rsidRPr="0056005E">
        <w:rPr>
          <w:color w:val="000000"/>
          <w:lang w:val="fr-FR"/>
        </w:rPr>
        <w:t>a)</w:t>
      </w:r>
      <w:r w:rsidRPr="0056005E">
        <w:rPr>
          <w:color w:val="000000"/>
          <w:lang w:val="fr-FR"/>
        </w:rPr>
        <w:tab/>
        <w:t>i)</w:t>
      </w:r>
      <w:r w:rsidRPr="0056005E">
        <w:rPr>
          <w:color w:val="000000"/>
          <w:lang w:val="fr-FR"/>
        </w:rPr>
        <w:tab/>
        <w:t>Chaque véhicule d</w:t>
      </w:r>
      <w:r w:rsidR="00E60BAC">
        <w:rPr>
          <w:color w:val="000000"/>
          <w:lang w:val="fr-FR"/>
        </w:rPr>
        <w:t>’</w:t>
      </w:r>
      <w:r w:rsidRPr="0056005E">
        <w:rPr>
          <w:color w:val="000000"/>
          <w:lang w:val="fr-FR"/>
        </w:rPr>
        <w:t>essai doit être conduit</w:t>
      </w:r>
      <w:r>
        <w:rPr>
          <w:color w:val="000000"/>
          <w:lang w:val="fr-FR"/>
        </w:rPr>
        <w:t>,</w:t>
      </w:r>
      <w:r w:rsidRPr="0056005E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avec </w:t>
      </w:r>
      <w:r w:rsidRPr="0056005E">
        <w:rPr>
          <w:color w:val="000000"/>
          <w:lang w:val="fr-FR"/>
        </w:rPr>
        <w:t xml:space="preserve">tous les systèmes </w:t>
      </w:r>
      <w:r>
        <w:rPr>
          <w:color w:val="000000"/>
          <w:lang w:val="fr-FR"/>
        </w:rPr>
        <w:t>antipollution</w:t>
      </w:r>
      <w:r w:rsidRPr="0056005E">
        <w:rPr>
          <w:color w:val="000000"/>
          <w:lang w:val="fr-FR"/>
        </w:rPr>
        <w:t xml:space="preserve"> </w:t>
      </w:r>
      <w:r w:rsidRPr="00BB6645">
        <w:rPr>
          <w:lang w:val="fr-FR"/>
        </w:rPr>
        <w:t>installés</w:t>
      </w:r>
      <w:r w:rsidRPr="0056005E">
        <w:rPr>
          <w:color w:val="000000"/>
          <w:lang w:val="fr-FR"/>
        </w:rPr>
        <w:t xml:space="preserve"> et </w:t>
      </w:r>
      <w:r>
        <w:rPr>
          <w:color w:val="000000"/>
          <w:lang w:val="fr-FR"/>
        </w:rPr>
        <w:t xml:space="preserve">en </w:t>
      </w:r>
      <w:r w:rsidRPr="0056005E">
        <w:rPr>
          <w:color w:val="000000"/>
          <w:lang w:val="fr-FR"/>
        </w:rPr>
        <w:t>fonction</w:t>
      </w:r>
      <w:r>
        <w:rPr>
          <w:color w:val="000000"/>
          <w:lang w:val="fr-FR"/>
        </w:rPr>
        <w:t>,</w:t>
      </w:r>
      <w:r w:rsidRPr="0056005E">
        <w:rPr>
          <w:color w:val="000000"/>
          <w:lang w:val="fr-FR"/>
        </w:rPr>
        <w:t xml:space="preserve"> sur les distances d</w:t>
      </w:r>
      <w:r w:rsidR="00E60BAC">
        <w:rPr>
          <w:color w:val="000000"/>
          <w:lang w:val="fr-FR"/>
        </w:rPr>
        <w:t>’</w:t>
      </w:r>
      <w:r w:rsidRPr="0056005E">
        <w:rPr>
          <w:color w:val="000000"/>
          <w:lang w:val="fr-FR"/>
        </w:rPr>
        <w:t xml:space="preserve">essai totales suivantes, ou sur des distances inférieures </w:t>
      </w:r>
      <w:r>
        <w:rPr>
          <w:color w:val="000000"/>
          <w:lang w:val="fr-FR"/>
        </w:rPr>
        <w:t xml:space="preserve">selon ce </w:t>
      </w:r>
      <w:r w:rsidRPr="0056005E">
        <w:rPr>
          <w:color w:val="000000"/>
          <w:lang w:val="fr-FR"/>
        </w:rPr>
        <w:t>que l</w:t>
      </w:r>
      <w:r w:rsidR="00E60BAC">
        <w:rPr>
          <w:color w:val="000000"/>
          <w:lang w:val="fr-FR"/>
        </w:rPr>
        <w:t>’</w:t>
      </w:r>
      <w:r w:rsidRPr="0056005E">
        <w:rPr>
          <w:color w:val="000000"/>
          <w:lang w:val="fr-FR"/>
        </w:rPr>
        <w:t xml:space="preserve">administrateur peut accepter </w:t>
      </w:r>
      <w:r>
        <w:rPr>
          <w:color w:val="000000"/>
          <w:lang w:val="fr-FR"/>
        </w:rPr>
        <w:t xml:space="preserve">compte tenu des </w:t>
      </w:r>
      <w:r w:rsidRPr="0056005E">
        <w:rPr>
          <w:color w:val="000000"/>
          <w:lang w:val="fr-FR"/>
        </w:rPr>
        <w:t xml:space="preserve">objectifs de la présente procédure (voir </w:t>
      </w:r>
      <w:r>
        <w:rPr>
          <w:color w:val="000000"/>
          <w:lang w:val="fr-FR"/>
        </w:rPr>
        <w:t xml:space="preserve">le texte </w:t>
      </w:r>
      <w:r w:rsidRPr="00E60BAC">
        <w:rPr>
          <w:color w:val="000000"/>
          <w:lang w:val="fr-FR"/>
        </w:rPr>
        <w:t>de la section 86.</w:t>
      </w:r>
      <w:r w:rsidRPr="0056005E">
        <w:rPr>
          <w:color w:val="000000"/>
          <w:lang w:val="fr-FR"/>
        </w:rPr>
        <w:t>419 pour l</w:t>
      </w:r>
      <w:r w:rsidR="00E60BAC">
        <w:rPr>
          <w:color w:val="000000"/>
          <w:lang w:val="fr-FR"/>
        </w:rPr>
        <w:t>’</w:t>
      </w:r>
      <w:r w:rsidRPr="0056005E">
        <w:rPr>
          <w:color w:val="000000"/>
          <w:lang w:val="fr-FR"/>
        </w:rPr>
        <w:t>explication</w:t>
      </w:r>
      <w:r w:rsidRPr="009F52F1">
        <w:rPr>
          <w:color w:val="000000"/>
          <w:lang w:val="fr-FR"/>
        </w:rPr>
        <w:t xml:space="preserve"> des classes)</w:t>
      </w:r>
      <w:r>
        <w:rPr>
          <w:color w:val="000000"/>
          <w:lang w:val="fr-FR"/>
        </w:rPr>
        <w:t>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010"/>
        <w:gridCol w:w="2107"/>
        <w:gridCol w:w="1841"/>
      </w:tblGrid>
      <w:tr w:rsidR="00BB6645" w:rsidRPr="00BB6645" w14:paraId="20C308F0" w14:textId="77777777" w:rsidTr="00BB6645">
        <w:trPr>
          <w:tblHeader/>
        </w:trPr>
        <w:tc>
          <w:tcPr>
            <w:tcW w:w="14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10874EA" w14:textId="77777777" w:rsidR="00BB6645" w:rsidRPr="00BB6645" w:rsidRDefault="00BB6645" w:rsidP="00BB6645">
            <w:pPr>
              <w:suppressAutoHyphens w:val="0"/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BB6645">
              <w:rPr>
                <w:i/>
                <w:sz w:val="16"/>
                <w:lang w:val="fr-FR"/>
              </w:rPr>
              <w:t>Classe de cylindrée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C7A0136" w14:textId="77777777" w:rsidR="00BB6645" w:rsidRPr="00BB6645" w:rsidRDefault="00BB6645" w:rsidP="00BB664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BB6645">
              <w:rPr>
                <w:i/>
                <w:sz w:val="16"/>
                <w:lang w:val="fr-FR"/>
              </w:rPr>
              <w:t>Distance d</w:t>
            </w:r>
            <w:r w:rsidR="00E60BAC">
              <w:rPr>
                <w:i/>
                <w:sz w:val="16"/>
                <w:lang w:val="fr-FR"/>
              </w:rPr>
              <w:t>’</w:t>
            </w:r>
            <w:r w:rsidRPr="00BB6645">
              <w:rPr>
                <w:i/>
                <w:sz w:val="16"/>
                <w:lang w:val="fr-FR"/>
              </w:rPr>
              <w:t>essai totale (kilomètres)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F8D440A" w14:textId="77777777" w:rsidR="00BB6645" w:rsidRPr="00BB6645" w:rsidRDefault="00BB6645" w:rsidP="00BB664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BB6645">
              <w:rPr>
                <w:i/>
                <w:sz w:val="16"/>
                <w:lang w:val="fr-FR"/>
              </w:rPr>
              <w:t>Distance d</w:t>
            </w:r>
            <w:r w:rsidR="00E60BAC">
              <w:rPr>
                <w:i/>
                <w:sz w:val="16"/>
                <w:lang w:val="fr-FR"/>
              </w:rPr>
              <w:t>’</w:t>
            </w:r>
            <w:r w:rsidRPr="00BB6645">
              <w:rPr>
                <w:i/>
                <w:sz w:val="16"/>
                <w:lang w:val="fr-FR"/>
              </w:rPr>
              <w:t>essai minimale (kilomètres)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9782227" w14:textId="77777777" w:rsidR="00BB6645" w:rsidRPr="00BB6645" w:rsidRDefault="00BB6645" w:rsidP="00BB664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BB6645">
              <w:rPr>
                <w:i/>
                <w:sz w:val="16"/>
                <w:lang w:val="fr-FR"/>
              </w:rPr>
              <w:t>Nombre minimal d</w:t>
            </w:r>
            <w:r w:rsidR="00E60BAC">
              <w:rPr>
                <w:i/>
                <w:sz w:val="16"/>
                <w:lang w:val="fr-FR"/>
              </w:rPr>
              <w:t>’</w:t>
            </w:r>
            <w:r w:rsidRPr="00BB6645">
              <w:rPr>
                <w:i/>
                <w:sz w:val="16"/>
                <w:lang w:val="fr-FR"/>
              </w:rPr>
              <w:t>essais</w:t>
            </w:r>
          </w:p>
        </w:tc>
      </w:tr>
      <w:tr w:rsidR="00BB6645" w:rsidRPr="00BB6645" w14:paraId="01BAD3B2" w14:textId="77777777" w:rsidTr="00BB6645"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53A9FB3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I</w:t>
            </w:r>
          </w:p>
        </w:tc>
        <w:tc>
          <w:tcPr>
            <w:tcW w:w="201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50D7EED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6 000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1CB2F53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2 500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7AE36C33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4</w:t>
            </w:r>
          </w:p>
        </w:tc>
      </w:tr>
      <w:tr w:rsidR="00BB6645" w:rsidRPr="00BB6645" w14:paraId="6C581A19" w14:textId="77777777" w:rsidTr="00BB6645">
        <w:tc>
          <w:tcPr>
            <w:tcW w:w="1412" w:type="dxa"/>
            <w:shd w:val="clear" w:color="auto" w:fill="auto"/>
            <w:hideMark/>
          </w:tcPr>
          <w:p w14:paraId="77580E2E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II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14:paraId="0824F599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9 000</w:t>
            </w:r>
          </w:p>
        </w:tc>
        <w:tc>
          <w:tcPr>
            <w:tcW w:w="2107" w:type="dxa"/>
            <w:shd w:val="clear" w:color="auto" w:fill="auto"/>
            <w:vAlign w:val="bottom"/>
            <w:hideMark/>
          </w:tcPr>
          <w:p w14:paraId="0CEEB4F1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2 500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14:paraId="3CA04A88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4</w:t>
            </w:r>
          </w:p>
        </w:tc>
      </w:tr>
      <w:tr w:rsidR="00BB6645" w:rsidRPr="00BB6645" w14:paraId="5F745242" w14:textId="77777777" w:rsidTr="00BB6645"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AEE10FE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III</w:t>
            </w:r>
          </w:p>
        </w:tc>
        <w:tc>
          <w:tcPr>
            <w:tcW w:w="201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A0EA6EE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15 000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F26DD50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3 500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10532A3" w14:textId="77777777" w:rsidR="00BB6645" w:rsidRPr="00BB6645" w:rsidRDefault="00BB6645" w:rsidP="00BB664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BB6645">
              <w:rPr>
                <w:sz w:val="18"/>
                <w:lang w:val="fr-FR"/>
              </w:rPr>
              <w:t>4</w:t>
            </w:r>
          </w:p>
        </w:tc>
      </w:tr>
    </w:tbl>
    <w:p w14:paraId="0C848CEA" w14:textId="77777777" w:rsidR="00BB6645" w:rsidRDefault="00BB6645" w:rsidP="00103347">
      <w:pPr>
        <w:pStyle w:val="SingleTxtG"/>
        <w:spacing w:before="120"/>
        <w:ind w:left="1701"/>
        <w:rPr>
          <w:lang w:val="fr-FR"/>
        </w:rPr>
      </w:pPr>
      <w:r w:rsidRPr="009F52F1">
        <w:rPr>
          <w:lang w:val="fr-FR"/>
        </w:rPr>
        <w:t>ii)</w:t>
      </w:r>
      <w:r w:rsidRPr="009F52F1">
        <w:rPr>
          <w:lang w:val="fr-FR"/>
        </w:rPr>
        <w:tab/>
        <w:t>Un essai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émission à zéro </w:t>
      </w:r>
      <w:r w:rsidRPr="00103347">
        <w:rPr>
          <w:color w:val="000000"/>
          <w:lang w:val="fr-FR"/>
        </w:rPr>
        <w:t>kilomètre</w:t>
      </w:r>
      <w:r w:rsidRPr="009F52F1">
        <w:rPr>
          <w:lang w:val="fr-FR"/>
        </w:rPr>
        <w:t xml:space="preserve"> </w:t>
      </w:r>
      <w:r w:rsidRPr="00B84A7D">
        <w:rPr>
          <w:color w:val="000000"/>
          <w:lang w:val="fr-FR"/>
        </w:rPr>
        <w:t>peut</w:t>
      </w:r>
      <w:r w:rsidRPr="009F52F1">
        <w:rPr>
          <w:lang w:val="fr-FR"/>
        </w:rPr>
        <w:t xml:space="preserve"> être effectué avant le début de l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accumulation </w:t>
      </w:r>
      <w:r w:rsidRPr="005C05B3">
        <w:rPr>
          <w:lang w:val="fr-FR"/>
        </w:rPr>
        <w:t>d</w:t>
      </w:r>
      <w:r w:rsidR="00E60BAC">
        <w:rPr>
          <w:lang w:val="fr-FR"/>
        </w:rPr>
        <w:t>’</w:t>
      </w:r>
      <w:r w:rsidRPr="005C05B3">
        <w:rPr>
          <w:lang w:val="fr-FR"/>
        </w:rPr>
        <w:t>heures de fonctionnement</w:t>
      </w:r>
      <w:r w:rsidRPr="009F52F1">
        <w:rPr>
          <w:lang w:val="fr-FR"/>
        </w:rPr>
        <w:t>.</w:t>
      </w:r>
    </w:p>
    <w:p w14:paraId="541EA5CD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>b)</w:t>
      </w:r>
      <w:r w:rsidRPr="009F52F1">
        <w:rPr>
          <w:lang w:val="fr-FR"/>
        </w:rPr>
        <w:tab/>
        <w:t>Tous les véhicules doivent subir au moins quatre essais d</w:t>
      </w:r>
      <w:r w:rsidR="00E60BAC">
        <w:rPr>
          <w:lang w:val="fr-FR"/>
        </w:rPr>
        <w:t>’</w:t>
      </w:r>
      <w:r w:rsidRPr="009F52F1">
        <w:rPr>
          <w:lang w:val="fr-FR"/>
        </w:rPr>
        <w:t>émission</w:t>
      </w:r>
      <w:r>
        <w:rPr>
          <w:lang w:val="fr-FR"/>
        </w:rPr>
        <w:t> </w:t>
      </w:r>
      <w:r w:rsidRPr="009F52F1">
        <w:rPr>
          <w:lang w:val="fr-FR"/>
        </w:rPr>
        <w:t xml:space="preserve">: un </w:t>
      </w:r>
      <w:r>
        <w:rPr>
          <w:lang w:val="fr-FR"/>
        </w:rPr>
        <w:t>sur</w:t>
      </w:r>
      <w:r w:rsidRPr="009F52F1">
        <w:rPr>
          <w:lang w:val="fr-FR"/>
        </w:rPr>
        <w:t xml:space="preserve"> la distance</w:t>
      </w:r>
      <w:r w:rsidRPr="000663C4">
        <w:rPr>
          <w:lang w:val="fr-FR"/>
        </w:rPr>
        <w:t xml:space="preserve"> </w:t>
      </w:r>
      <w:r w:rsidRPr="009F52F1">
        <w:rPr>
          <w:lang w:val="fr-FR"/>
        </w:rPr>
        <w:t>d</w:t>
      </w:r>
      <w:r w:rsidR="00E60BAC">
        <w:rPr>
          <w:lang w:val="fr-FR"/>
        </w:rPr>
        <w:t>’</w:t>
      </w:r>
      <w:r w:rsidRPr="009F52F1">
        <w:rPr>
          <w:lang w:val="fr-FR"/>
        </w:rPr>
        <w:t>essai</w:t>
      </w:r>
      <w:r w:rsidRPr="002C58AE">
        <w:rPr>
          <w:lang w:val="fr-FR"/>
        </w:rPr>
        <w:t xml:space="preserve"> </w:t>
      </w:r>
      <w:r w:rsidRPr="009F52F1">
        <w:rPr>
          <w:lang w:val="fr-FR"/>
        </w:rPr>
        <w:t>minimale, un avant et un après l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entretien périodique, et un </w:t>
      </w:r>
      <w:r>
        <w:rPr>
          <w:lang w:val="fr-FR"/>
        </w:rPr>
        <w:t>sur</w:t>
      </w:r>
      <w:r w:rsidRPr="009F52F1">
        <w:rPr>
          <w:lang w:val="fr-FR"/>
        </w:rPr>
        <w:t xml:space="preserve"> la distance d</w:t>
      </w:r>
      <w:r w:rsidR="00E60BAC">
        <w:rPr>
          <w:lang w:val="fr-FR"/>
        </w:rPr>
        <w:t>’</w:t>
      </w:r>
      <w:r w:rsidRPr="009F52F1">
        <w:rPr>
          <w:lang w:val="fr-FR"/>
        </w:rPr>
        <w:t>essai</w:t>
      </w:r>
      <w:r w:rsidRPr="002C58AE">
        <w:rPr>
          <w:lang w:val="fr-FR"/>
        </w:rPr>
        <w:t xml:space="preserve"> </w:t>
      </w:r>
      <w:r w:rsidRPr="009F52F1">
        <w:rPr>
          <w:lang w:val="fr-FR"/>
        </w:rPr>
        <w:t>totale. Si aucun entretien n</w:t>
      </w:r>
      <w:r w:rsidR="00E60BAC">
        <w:rPr>
          <w:lang w:val="fr-FR"/>
        </w:rPr>
        <w:t>’</w:t>
      </w:r>
      <w:r w:rsidRPr="009F52F1">
        <w:rPr>
          <w:lang w:val="fr-FR"/>
        </w:rPr>
        <w:t>est prévu, deux essais au moins seront effectués, à intervalles égaux, entre les distances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 minimale et totale. Des essais supplémentaires peuvent </w:t>
      </w:r>
      <w:r>
        <w:rPr>
          <w:lang w:val="fr-FR"/>
        </w:rPr>
        <w:t xml:space="preserve">également </w:t>
      </w:r>
      <w:r w:rsidRPr="009F52F1">
        <w:rPr>
          <w:lang w:val="fr-FR"/>
        </w:rPr>
        <w:t>être effectués</w:t>
      </w:r>
      <w:r>
        <w:rPr>
          <w:lang w:val="fr-FR"/>
        </w:rPr>
        <w:t> </w:t>
      </w:r>
      <w:r w:rsidRPr="009F52F1">
        <w:rPr>
          <w:lang w:val="fr-FR"/>
        </w:rPr>
        <w:t xml:space="preserve">; ces essais doivent </w:t>
      </w:r>
      <w:r>
        <w:rPr>
          <w:lang w:val="fr-FR"/>
        </w:rPr>
        <w:t xml:space="preserve">alors </w:t>
      </w:r>
      <w:r w:rsidRPr="009F52F1">
        <w:rPr>
          <w:lang w:val="fr-FR"/>
        </w:rPr>
        <w:t xml:space="preserve">être </w:t>
      </w:r>
      <w:r>
        <w:rPr>
          <w:lang w:val="fr-FR"/>
        </w:rPr>
        <w:t>exécutés</w:t>
      </w:r>
      <w:r w:rsidRPr="009F52F1">
        <w:rPr>
          <w:lang w:val="fr-FR"/>
        </w:rPr>
        <w:t xml:space="preserve"> à intervalles égaux et approuvés par l</w:t>
      </w:r>
      <w:r w:rsidR="00E60BAC">
        <w:rPr>
          <w:lang w:val="fr-FR"/>
        </w:rPr>
        <w:t>’</w:t>
      </w:r>
      <w:r w:rsidRPr="009F52F1">
        <w:rPr>
          <w:lang w:val="fr-FR"/>
        </w:rPr>
        <w:t>administrateur avant le début de l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accumulation </w:t>
      </w:r>
      <w:r w:rsidRPr="005C05B3">
        <w:rPr>
          <w:lang w:val="fr-FR"/>
        </w:rPr>
        <w:t>d</w:t>
      </w:r>
      <w:r w:rsidR="00E60BAC">
        <w:rPr>
          <w:lang w:val="fr-FR"/>
        </w:rPr>
        <w:t>’</w:t>
      </w:r>
      <w:r w:rsidRPr="005C05B3">
        <w:rPr>
          <w:lang w:val="fr-FR"/>
        </w:rPr>
        <w:t>heures de fonctionnement</w:t>
      </w:r>
      <w:r w:rsidRPr="009F52F1">
        <w:rPr>
          <w:lang w:val="fr-FR"/>
        </w:rPr>
        <w:t>.</w:t>
      </w:r>
      <w:r>
        <w:rPr>
          <w:lang w:val="fr-FR"/>
        </w:rPr>
        <w:t xml:space="preserve"> </w:t>
      </w:r>
    </w:p>
    <w:p w14:paraId="36CB9D8A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136A44">
        <w:rPr>
          <w:lang w:val="fr-FR"/>
        </w:rPr>
        <w:t>c</w:t>
      </w:r>
      <w:r w:rsidRPr="009F52F1">
        <w:rPr>
          <w:lang w:val="fr-FR"/>
        </w:rPr>
        <w:t>)</w:t>
      </w:r>
      <w:r w:rsidRPr="009F52F1">
        <w:rPr>
          <w:lang w:val="fr-FR"/>
        </w:rPr>
        <w:tab/>
        <w:t>Lorsque l</w:t>
      </w:r>
      <w:r w:rsidR="00E60BAC">
        <w:rPr>
          <w:lang w:val="fr-FR"/>
        </w:rPr>
        <w:t>’</w:t>
      </w:r>
      <w:r w:rsidRPr="009F52F1">
        <w:rPr>
          <w:lang w:val="fr-FR"/>
        </w:rPr>
        <w:t>administrateur accepte une distance moindre pour l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accumulation </w:t>
      </w:r>
      <w:r w:rsidRPr="005C05B3">
        <w:rPr>
          <w:lang w:val="fr-FR"/>
        </w:rPr>
        <w:t>d</w:t>
      </w:r>
      <w:r w:rsidR="00E60BAC">
        <w:rPr>
          <w:lang w:val="fr-FR"/>
        </w:rPr>
        <w:t>’</w:t>
      </w:r>
      <w:r w:rsidRPr="005C05B3">
        <w:rPr>
          <w:lang w:val="fr-FR"/>
        </w:rPr>
        <w:t>heures de fonctionnement</w:t>
      </w:r>
      <w:r w:rsidRPr="009F52F1">
        <w:rPr>
          <w:lang w:val="fr-FR"/>
        </w:rPr>
        <w:t>, il peut modifier les dispositions</w:t>
      </w:r>
      <w:r w:rsidRPr="00845ABD">
        <w:rPr>
          <w:lang w:val="fr-FR"/>
        </w:rPr>
        <w:t xml:space="preserve"> </w:t>
      </w:r>
      <w:r w:rsidRPr="009F52F1">
        <w:rPr>
          <w:lang w:val="fr-FR"/>
        </w:rPr>
        <w:t>de la présente sous-partie</w:t>
      </w:r>
      <w:r w:rsidRPr="00136A44">
        <w:rPr>
          <w:lang w:val="fr-FR"/>
        </w:rPr>
        <w:t xml:space="preserve"> </w:t>
      </w:r>
      <w:r w:rsidRPr="009F52F1">
        <w:rPr>
          <w:lang w:val="fr-FR"/>
        </w:rPr>
        <w:t>relatives à l</w:t>
      </w:r>
      <w:r w:rsidR="00E60BAC">
        <w:rPr>
          <w:lang w:val="fr-FR"/>
        </w:rPr>
        <w:t>’</w:t>
      </w:r>
      <w:r w:rsidRPr="009F52F1">
        <w:rPr>
          <w:lang w:val="fr-FR"/>
        </w:rPr>
        <w:t>entretien.</w:t>
      </w:r>
    </w:p>
    <w:p w14:paraId="3C677879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>d)</w:t>
      </w:r>
      <w:r w:rsidRPr="009F52F1">
        <w:rPr>
          <w:lang w:val="fr-FR"/>
        </w:rPr>
        <w:tab/>
        <w:t xml:space="preserve">Tous les </w:t>
      </w:r>
      <w:r>
        <w:rPr>
          <w:lang w:val="fr-FR"/>
        </w:rPr>
        <w:t>essais</w:t>
      </w:r>
      <w:r w:rsidRPr="009F52F1">
        <w:rPr>
          <w:lang w:val="fr-FR"/>
        </w:rPr>
        <w:t xml:space="preserve"> requis </w:t>
      </w:r>
      <w:r>
        <w:rPr>
          <w:lang w:val="fr-FR"/>
        </w:rPr>
        <w:t xml:space="preserve">dans </w:t>
      </w:r>
      <w:r w:rsidRPr="00845ABD">
        <w:rPr>
          <w:lang w:val="fr-FR"/>
        </w:rPr>
        <w:t xml:space="preserve">la présente </w:t>
      </w:r>
      <w:r w:rsidRPr="009F52F1">
        <w:rPr>
          <w:lang w:val="fr-FR"/>
        </w:rPr>
        <w:t>sous-partie doivent être effectués</w:t>
      </w:r>
      <w:r>
        <w:rPr>
          <w:lang w:val="fr-FR"/>
        </w:rPr>
        <w:t xml:space="preserve"> à</w:t>
      </w:r>
      <w:r w:rsidRPr="009F52F1">
        <w:rPr>
          <w:lang w:val="fr-FR"/>
        </w:rPr>
        <w:t xml:space="preserve"> une distance cumulée de 250</w:t>
      </w:r>
      <w:r w:rsidR="004D31F4">
        <w:rPr>
          <w:lang w:val="fr-FR"/>
        </w:rPr>
        <w:t> </w:t>
      </w:r>
      <w:r w:rsidRPr="009F52F1">
        <w:rPr>
          <w:lang w:val="fr-FR"/>
        </w:rPr>
        <w:t>kilomètres (155</w:t>
      </w:r>
      <w:r w:rsidR="004D31F4">
        <w:rPr>
          <w:lang w:val="fr-FR"/>
        </w:rPr>
        <w:t> </w:t>
      </w:r>
      <w:r w:rsidRPr="009F52F1">
        <w:rPr>
          <w:lang w:val="fr-FR"/>
        </w:rPr>
        <w:t>miles)</w:t>
      </w:r>
      <w:r>
        <w:rPr>
          <w:lang w:val="fr-FR"/>
        </w:rPr>
        <w:t xml:space="preserve"> au plus</w:t>
      </w:r>
      <w:r w:rsidRPr="009F52F1">
        <w:rPr>
          <w:lang w:val="fr-FR"/>
        </w:rPr>
        <w:t xml:space="preserve"> de la distance nominale à chaque point d</w:t>
      </w:r>
      <w:r w:rsidR="00E60BAC">
        <w:rPr>
          <w:lang w:val="fr-FR"/>
        </w:rPr>
        <w:t>’</w:t>
      </w:r>
      <w:r>
        <w:rPr>
          <w:lang w:val="fr-FR"/>
        </w:rPr>
        <w:t>essai</w:t>
      </w:r>
      <w:r w:rsidRPr="009F52F1">
        <w:rPr>
          <w:lang w:val="fr-FR"/>
        </w:rPr>
        <w:t>.</w:t>
      </w:r>
    </w:p>
    <w:p w14:paraId="68857C6B" w14:textId="77777777" w:rsidR="00BB6645" w:rsidRDefault="00BB6645" w:rsidP="00103347">
      <w:pPr>
        <w:pStyle w:val="SingleTxtG"/>
        <w:ind w:left="1701"/>
        <w:rPr>
          <w:lang w:val="fr-FR"/>
        </w:rPr>
      </w:pPr>
      <w:r w:rsidRPr="0056005E">
        <w:rPr>
          <w:lang w:val="fr-FR"/>
        </w:rPr>
        <w:t>e)</w:t>
      </w:r>
      <w:r w:rsidRPr="0056005E">
        <w:rPr>
          <w:lang w:val="fr-FR"/>
        </w:rPr>
        <w:tab/>
        <w:t>i)</w:t>
      </w:r>
      <w:r w:rsidRPr="0056005E">
        <w:rPr>
          <w:lang w:val="fr-FR"/>
        </w:rPr>
        <w:tab/>
        <w:t>Si un constructeur</w:t>
      </w:r>
      <w:r w:rsidRPr="009F52F1">
        <w:rPr>
          <w:lang w:val="fr-FR"/>
        </w:rPr>
        <w:t xml:space="preserve"> effectue </w:t>
      </w:r>
      <w:r>
        <w:rPr>
          <w:lang w:val="fr-FR"/>
        </w:rPr>
        <w:t xml:space="preserve">plusieurs </w:t>
      </w:r>
      <w:r w:rsidRPr="009F52F1">
        <w:rPr>
          <w:lang w:val="fr-FR"/>
        </w:rPr>
        <w:t xml:space="preserve">essais </w:t>
      </w:r>
      <w:r>
        <w:rPr>
          <w:lang w:val="fr-FR"/>
        </w:rPr>
        <w:t xml:space="preserve">en </w:t>
      </w:r>
      <w:r w:rsidRPr="009F52F1">
        <w:rPr>
          <w:lang w:val="fr-FR"/>
        </w:rPr>
        <w:t>tout point d</w:t>
      </w:r>
      <w:r w:rsidR="00E60BAC">
        <w:rPr>
          <w:lang w:val="fr-FR"/>
        </w:rPr>
        <w:t>’</w:t>
      </w:r>
      <w:r w:rsidRPr="009F52F1">
        <w:rPr>
          <w:lang w:val="fr-FR"/>
        </w:rPr>
        <w:t>essai dont les données</w:t>
      </w:r>
      <w:r>
        <w:rPr>
          <w:lang w:val="fr-FR"/>
        </w:rPr>
        <w:t xml:space="preserve"> doivent</w:t>
      </w:r>
      <w:r w:rsidRPr="009F52F1">
        <w:rPr>
          <w:lang w:val="fr-FR"/>
        </w:rPr>
        <w:t xml:space="preserve"> être utilisées </w:t>
      </w:r>
      <w:r>
        <w:rPr>
          <w:lang w:val="fr-FR"/>
        </w:rPr>
        <w:t xml:space="preserve">aux fins du </w:t>
      </w:r>
      <w:r w:rsidRPr="009F52F1">
        <w:rPr>
          <w:lang w:val="fr-FR"/>
        </w:rPr>
        <w:t>calcul du facteur de détérioration, le</w:t>
      </w:r>
      <w:r>
        <w:rPr>
          <w:lang w:val="fr-FR"/>
        </w:rPr>
        <w:t> </w:t>
      </w:r>
      <w:r w:rsidRPr="009F52F1">
        <w:rPr>
          <w:lang w:val="fr-FR"/>
        </w:rPr>
        <w:t>nombre d</w:t>
      </w:r>
      <w:r w:rsidR="00E60BAC">
        <w:rPr>
          <w:lang w:val="fr-FR"/>
        </w:rPr>
        <w:t>’</w:t>
      </w:r>
      <w:r w:rsidRPr="009F52F1">
        <w:rPr>
          <w:lang w:val="fr-FR"/>
        </w:rPr>
        <w:t>essais doit être le même à chaque point et ne</w:t>
      </w:r>
      <w:r>
        <w:rPr>
          <w:lang w:val="fr-FR"/>
        </w:rPr>
        <w:t xml:space="preserve"> doit</w:t>
      </w:r>
      <w:r w:rsidRPr="009F52F1">
        <w:rPr>
          <w:lang w:val="fr-FR"/>
        </w:rPr>
        <w:t xml:space="preserve"> </w:t>
      </w:r>
      <w:r>
        <w:rPr>
          <w:lang w:val="fr-FR"/>
        </w:rPr>
        <w:t xml:space="preserve">pas </w:t>
      </w:r>
      <w:r w:rsidRPr="009F52F1">
        <w:rPr>
          <w:lang w:val="fr-FR"/>
        </w:rPr>
        <w:t>dépasser trois essais valides, à moins que le</w:t>
      </w:r>
      <w:r>
        <w:rPr>
          <w:lang w:val="fr-FR"/>
        </w:rPr>
        <w:t>dit</w:t>
      </w:r>
      <w:r w:rsidRPr="009F52F1">
        <w:rPr>
          <w:lang w:val="fr-FR"/>
        </w:rPr>
        <w:t xml:space="preserve"> </w:t>
      </w:r>
      <w:r w:rsidRPr="00227A21">
        <w:rPr>
          <w:lang w:val="fr-FR"/>
        </w:rPr>
        <w:t xml:space="preserve">constructeur </w:t>
      </w:r>
      <w:r w:rsidRPr="009F52F1">
        <w:rPr>
          <w:lang w:val="fr-FR"/>
        </w:rPr>
        <w:t>ne choisisse de faire la moyenne des résultats des essais.</w:t>
      </w:r>
    </w:p>
    <w:p w14:paraId="6402F321" w14:textId="77777777" w:rsidR="00BB6645" w:rsidRPr="009F52F1" w:rsidRDefault="00BB6645" w:rsidP="004D31F4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ii)</w:t>
      </w:r>
      <w:r w:rsidRPr="009F52F1">
        <w:rPr>
          <w:lang w:val="fr-FR"/>
        </w:rPr>
        <w:tab/>
        <w:t xml:space="preserve">Si le </w:t>
      </w:r>
      <w:r>
        <w:rPr>
          <w:lang w:val="fr-FR"/>
        </w:rPr>
        <w:t>constructeur</w:t>
      </w:r>
      <w:r w:rsidRPr="009F52F1">
        <w:rPr>
          <w:lang w:val="fr-FR"/>
        </w:rPr>
        <w:t xml:space="preserve"> choisit de faire la moyenne des résultats d</w:t>
      </w:r>
      <w:r>
        <w:rPr>
          <w:lang w:val="fr-FR"/>
        </w:rPr>
        <w:t xml:space="preserve">es </w:t>
      </w:r>
      <w:r w:rsidRPr="009F52F1">
        <w:rPr>
          <w:lang w:val="fr-FR"/>
        </w:rPr>
        <w:t>essai</w:t>
      </w:r>
      <w:r>
        <w:rPr>
          <w:lang w:val="fr-FR"/>
        </w:rPr>
        <w:t>s effectués</w:t>
      </w:r>
      <w:r w:rsidRPr="009F52F1">
        <w:rPr>
          <w:lang w:val="fr-FR"/>
        </w:rPr>
        <w:t xml:space="preserve"> à un point d</w:t>
      </w:r>
      <w:r w:rsidR="00E60BAC">
        <w:rPr>
          <w:lang w:val="fr-FR"/>
        </w:rPr>
        <w:t>’</w:t>
      </w:r>
      <w:r w:rsidRPr="009F52F1">
        <w:rPr>
          <w:lang w:val="fr-FR"/>
        </w:rPr>
        <w:t>essai</w:t>
      </w:r>
      <w:r>
        <w:rPr>
          <w:lang w:val="fr-FR"/>
        </w:rPr>
        <w:t xml:space="preserve"> donné</w:t>
      </w:r>
      <w:r w:rsidRPr="009F52F1">
        <w:rPr>
          <w:lang w:val="fr-FR"/>
        </w:rPr>
        <w:t xml:space="preserve">, il peut </w:t>
      </w:r>
      <w:r>
        <w:rPr>
          <w:lang w:val="fr-FR"/>
        </w:rPr>
        <w:t xml:space="preserve">alors réaliser davantage </w:t>
      </w:r>
      <w:r w:rsidRPr="009F52F1">
        <w:rPr>
          <w:lang w:val="fr-FR"/>
        </w:rPr>
        <w:t>d</w:t>
      </w:r>
      <w:r w:rsidR="00E60BAC">
        <w:rPr>
          <w:lang w:val="fr-FR"/>
        </w:rPr>
        <w:t>’</w:t>
      </w:r>
      <w:r w:rsidRPr="009F52F1">
        <w:rPr>
          <w:lang w:val="fr-FR"/>
        </w:rPr>
        <w:t>essais que le nombre minim</w:t>
      </w:r>
      <w:r>
        <w:rPr>
          <w:lang w:val="fr-FR"/>
        </w:rPr>
        <w:t>al</w:t>
      </w:r>
      <w:r w:rsidRPr="009F52F1">
        <w:rPr>
          <w:lang w:val="fr-FR"/>
        </w:rPr>
        <w:t xml:space="preserve"> </w:t>
      </w:r>
      <w:r>
        <w:rPr>
          <w:lang w:val="fr-FR"/>
        </w:rPr>
        <w:t xml:space="preserve">requis </w:t>
      </w:r>
      <w:r w:rsidRPr="009F52F1">
        <w:rPr>
          <w:lang w:val="fr-FR"/>
        </w:rPr>
        <w:t>à tout autre point d</w:t>
      </w:r>
      <w:r w:rsidR="00E60BAC">
        <w:rPr>
          <w:lang w:val="fr-FR"/>
        </w:rPr>
        <w:t>’</w:t>
      </w:r>
      <w:r w:rsidRPr="009F52F1">
        <w:rPr>
          <w:lang w:val="fr-FR"/>
        </w:rPr>
        <w:t>essai.</w:t>
      </w:r>
    </w:p>
    <w:p w14:paraId="60362628" w14:textId="77777777" w:rsidR="00BB6645" w:rsidRDefault="00BB6645" w:rsidP="004D31F4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 xml:space="preserve">Les résultats </w:t>
      </w:r>
      <w:r>
        <w:rPr>
          <w:lang w:val="fr-FR"/>
        </w:rPr>
        <w:t xml:space="preserve">de plusieurs </w:t>
      </w:r>
      <w:r w:rsidRPr="009F52F1">
        <w:rPr>
          <w:lang w:val="fr-FR"/>
        </w:rPr>
        <w:t xml:space="preserve">essais doivent être moyennés pour </w:t>
      </w:r>
      <w:r>
        <w:rPr>
          <w:lang w:val="fr-FR"/>
        </w:rPr>
        <w:t>produire</w:t>
      </w:r>
      <w:r w:rsidRPr="009F52F1">
        <w:rPr>
          <w:lang w:val="fr-FR"/>
        </w:rPr>
        <w:t xml:space="preserve"> une valeur</w:t>
      </w:r>
      <w:r>
        <w:rPr>
          <w:lang w:val="fr-FR"/>
        </w:rPr>
        <w:t>, laquelle constitue</w:t>
      </w:r>
      <w:r w:rsidRPr="009F52F1">
        <w:rPr>
          <w:lang w:val="fr-FR"/>
        </w:rPr>
        <w:t xml:space="preserve"> la valeur </w:t>
      </w:r>
      <w:r>
        <w:rPr>
          <w:lang w:val="fr-FR"/>
        </w:rPr>
        <w:t>du</w:t>
      </w:r>
      <w:r w:rsidRPr="009F52F1">
        <w:rPr>
          <w:lang w:val="fr-FR"/>
        </w:rPr>
        <w:t xml:space="preserve"> point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 </w:t>
      </w:r>
      <w:r>
        <w:rPr>
          <w:lang w:val="fr-FR"/>
        </w:rPr>
        <w:t>et</w:t>
      </w:r>
      <w:r w:rsidRPr="009F52F1">
        <w:rPr>
          <w:lang w:val="fr-FR"/>
        </w:rPr>
        <w:t xml:space="preserve"> </w:t>
      </w:r>
      <w:r>
        <w:rPr>
          <w:lang w:val="fr-FR"/>
        </w:rPr>
        <w:t xml:space="preserve">sert à </w:t>
      </w:r>
      <w:r w:rsidRPr="009F52F1">
        <w:rPr>
          <w:lang w:val="fr-FR"/>
        </w:rPr>
        <w:t>calcul</w:t>
      </w:r>
      <w:r>
        <w:rPr>
          <w:lang w:val="fr-FR"/>
        </w:rPr>
        <w:t>er le</w:t>
      </w:r>
      <w:r w:rsidRPr="009F52F1">
        <w:rPr>
          <w:lang w:val="fr-FR"/>
        </w:rPr>
        <w:t xml:space="preserve"> facteur de détérioration spécifié </w:t>
      </w:r>
      <w:r w:rsidRPr="00E60BAC">
        <w:rPr>
          <w:lang w:val="fr-FR"/>
        </w:rPr>
        <w:t>dans la section 86.</w:t>
      </w:r>
      <w:r w:rsidRPr="009F52F1">
        <w:rPr>
          <w:lang w:val="fr-FR"/>
        </w:rPr>
        <w:t>432-78.</w:t>
      </w:r>
    </w:p>
    <w:p w14:paraId="1862BF53" w14:textId="77777777" w:rsidR="00BB6645" w:rsidRDefault="00BB6645" w:rsidP="004D31F4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iii)</w:t>
      </w:r>
      <w:r w:rsidRPr="009F52F1">
        <w:rPr>
          <w:lang w:val="fr-FR"/>
        </w:rPr>
        <w:tab/>
      </w:r>
      <w:r>
        <w:rPr>
          <w:lang w:val="fr-FR"/>
        </w:rPr>
        <w:t>S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il utilise cette option </w:t>
      </w:r>
      <w:r>
        <w:rPr>
          <w:lang w:val="fr-FR"/>
        </w:rPr>
        <w:t xml:space="preserve">afin de </w:t>
      </w:r>
      <w:r w:rsidRPr="009F52F1">
        <w:rPr>
          <w:lang w:val="fr-FR"/>
        </w:rPr>
        <w:t>générer des données pour un point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essai, le </w:t>
      </w:r>
      <w:r>
        <w:rPr>
          <w:lang w:val="fr-FR"/>
        </w:rPr>
        <w:t>constructeur</w:t>
      </w:r>
      <w:r w:rsidRPr="009F52F1">
        <w:rPr>
          <w:lang w:val="fr-FR"/>
        </w:rPr>
        <w:t xml:space="preserve"> doit inclure dans la moyenne toutes les données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 valides </w:t>
      </w:r>
      <w:r>
        <w:rPr>
          <w:lang w:val="fr-FR"/>
        </w:rPr>
        <w:t xml:space="preserve">produites audit </w:t>
      </w:r>
      <w:r w:rsidRPr="009F52F1">
        <w:rPr>
          <w:lang w:val="fr-FR"/>
        </w:rPr>
        <w:t>point.</w:t>
      </w:r>
    </w:p>
    <w:p w14:paraId="1F52911F" w14:textId="77777777" w:rsidR="00BB6645" w:rsidRDefault="00BB6645" w:rsidP="004D31F4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iv)</w:t>
      </w:r>
      <w:r w:rsidRPr="009F52F1">
        <w:rPr>
          <w:lang w:val="fr-FR"/>
        </w:rPr>
        <w:tab/>
        <w:t xml:space="preserve">Le constructeur doit suivre la même procédure pour tous les polluants </w:t>
      </w:r>
      <w:r>
        <w:rPr>
          <w:lang w:val="fr-FR"/>
        </w:rPr>
        <w:t xml:space="preserve">présents dans les gaz </w:t>
      </w:r>
      <w:r w:rsidRPr="009F52F1">
        <w:rPr>
          <w:lang w:val="fr-FR"/>
        </w:rPr>
        <w:t>d</w:t>
      </w:r>
      <w:r w:rsidR="00E60BAC">
        <w:rPr>
          <w:lang w:val="fr-FR"/>
        </w:rPr>
        <w:t>’</w:t>
      </w:r>
      <w:r w:rsidRPr="009F52F1">
        <w:rPr>
          <w:lang w:val="fr-FR"/>
        </w:rPr>
        <w:t>échappement.</w:t>
      </w:r>
    </w:p>
    <w:p w14:paraId="3D960E0E" w14:textId="77777777" w:rsidR="00BB6645" w:rsidRDefault="00BB6645" w:rsidP="004D31F4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v)</w:t>
      </w:r>
      <w:r w:rsidRPr="009F52F1">
        <w:rPr>
          <w:lang w:val="fr-FR"/>
        </w:rPr>
        <w:tab/>
        <w:t>Il n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y a pas lieu de faire la moyenne des résultats obtenus </w:t>
      </w:r>
      <w:r>
        <w:rPr>
          <w:lang w:val="fr-FR"/>
        </w:rPr>
        <w:t>aux</w:t>
      </w:r>
      <w:r w:rsidRPr="009F52F1">
        <w:rPr>
          <w:lang w:val="fr-FR"/>
        </w:rPr>
        <w:t xml:space="preserve"> essais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émission effectués avant et après </w:t>
      </w:r>
      <w:r>
        <w:rPr>
          <w:lang w:val="fr-FR"/>
        </w:rPr>
        <w:t xml:space="preserve">un </w:t>
      </w:r>
      <w:r w:rsidRPr="009F52F1">
        <w:rPr>
          <w:lang w:val="fr-FR"/>
        </w:rPr>
        <w:t>entretien affectant les</w:t>
      </w:r>
      <w:r>
        <w:rPr>
          <w:lang w:val="fr-FR"/>
        </w:rPr>
        <w:t>dites</w:t>
      </w:r>
      <w:r w:rsidRPr="009F52F1">
        <w:rPr>
          <w:lang w:val="fr-FR"/>
        </w:rPr>
        <w:t xml:space="preserve"> émissions.</w:t>
      </w:r>
    </w:p>
    <w:p w14:paraId="40A606FA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>f)</w:t>
      </w:r>
      <w:r w:rsidRPr="009F52F1">
        <w:rPr>
          <w:lang w:val="fr-FR"/>
        </w:rPr>
        <w:tab/>
        <w:t>L</w:t>
      </w:r>
      <w:r w:rsidR="00E60BAC">
        <w:rPr>
          <w:lang w:val="fr-FR"/>
        </w:rPr>
        <w:t>’</w:t>
      </w:r>
      <w:r>
        <w:rPr>
          <w:lang w:val="fr-FR"/>
        </w:rPr>
        <w:t>administrateur</w:t>
      </w:r>
      <w:r w:rsidRPr="009F52F1">
        <w:rPr>
          <w:lang w:val="fr-FR"/>
        </w:rPr>
        <w:t xml:space="preserve"> peut exiger qu</w:t>
      </w:r>
      <w:r w:rsidR="00E60BAC">
        <w:rPr>
          <w:lang w:val="fr-FR"/>
        </w:rPr>
        <w:t>’</w:t>
      </w:r>
      <w:r w:rsidRPr="009F52F1">
        <w:rPr>
          <w:lang w:val="fr-FR"/>
        </w:rPr>
        <w:t>un ou plusieurs des véhicules d</w:t>
      </w:r>
      <w:r w:rsidR="00E60BAC">
        <w:rPr>
          <w:lang w:val="fr-FR"/>
        </w:rPr>
        <w:t>’</w:t>
      </w:r>
      <w:r w:rsidRPr="009F52F1">
        <w:rPr>
          <w:lang w:val="fr-FR"/>
        </w:rPr>
        <w:t>essai lui soient présentés aux endroits qu</w:t>
      </w:r>
      <w:r w:rsidR="00E60BAC">
        <w:rPr>
          <w:lang w:val="fr-FR"/>
        </w:rPr>
        <w:t>’</w:t>
      </w:r>
      <w:r w:rsidRPr="009F52F1">
        <w:rPr>
          <w:lang w:val="fr-FR"/>
        </w:rPr>
        <w:t>il désigner</w:t>
      </w:r>
      <w:r>
        <w:rPr>
          <w:lang w:val="fr-FR"/>
        </w:rPr>
        <w:t>a</w:t>
      </w:r>
      <w:r w:rsidRPr="009F52F1">
        <w:rPr>
          <w:lang w:val="fr-FR"/>
        </w:rPr>
        <w:t>, afin d</w:t>
      </w:r>
      <w:r w:rsidR="00E60BAC">
        <w:rPr>
          <w:lang w:val="fr-FR"/>
        </w:rPr>
        <w:t>’</w:t>
      </w:r>
      <w:r w:rsidRPr="009F52F1">
        <w:rPr>
          <w:lang w:val="fr-FR"/>
        </w:rPr>
        <w:t>effectuer des essais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émission. </w:t>
      </w:r>
      <w:r>
        <w:rPr>
          <w:lang w:val="fr-FR"/>
        </w:rPr>
        <w:t>Il</w:t>
      </w:r>
      <w:r w:rsidRPr="009F52F1">
        <w:rPr>
          <w:lang w:val="fr-FR"/>
        </w:rPr>
        <w:t xml:space="preserve"> peut </w:t>
      </w:r>
      <w:r>
        <w:rPr>
          <w:lang w:val="fr-FR"/>
        </w:rPr>
        <w:t xml:space="preserve">faire savoir </w:t>
      </w:r>
      <w:r w:rsidRPr="009F52F1">
        <w:rPr>
          <w:lang w:val="fr-FR"/>
        </w:rPr>
        <w:t>qu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il effectuera ces essais dans les installations du constructeur, auquel cas les instruments et équipements </w:t>
      </w:r>
      <w:r>
        <w:rPr>
          <w:lang w:val="fr-FR"/>
        </w:rPr>
        <w:t>demandés</w:t>
      </w:r>
      <w:r w:rsidRPr="009F52F1">
        <w:rPr>
          <w:lang w:val="fr-FR"/>
        </w:rPr>
        <w:t xml:space="preserve"> </w:t>
      </w:r>
      <w:r>
        <w:rPr>
          <w:lang w:val="fr-FR"/>
        </w:rPr>
        <w:t xml:space="preserve">devront être </w:t>
      </w:r>
      <w:r w:rsidRPr="009F52F1">
        <w:rPr>
          <w:lang w:val="fr-FR"/>
        </w:rPr>
        <w:t>mis à disposition par le constructeur pour les essai</w:t>
      </w:r>
      <w:r>
        <w:rPr>
          <w:lang w:val="fr-FR"/>
        </w:rPr>
        <w:t>s</w:t>
      </w:r>
      <w:r w:rsidRPr="009F52F1">
        <w:rPr>
          <w:lang w:val="fr-FR"/>
        </w:rPr>
        <w:t xml:space="preserve">. </w:t>
      </w:r>
      <w:r>
        <w:rPr>
          <w:lang w:val="fr-FR"/>
        </w:rPr>
        <w:t xml:space="preserve">Les </w:t>
      </w:r>
      <w:r w:rsidRPr="009F52F1">
        <w:rPr>
          <w:lang w:val="fr-FR"/>
        </w:rPr>
        <w:t>essai</w:t>
      </w:r>
      <w:r>
        <w:rPr>
          <w:lang w:val="fr-FR"/>
        </w:rPr>
        <w:t>s</w:t>
      </w:r>
      <w:r w:rsidRPr="009F52F1">
        <w:rPr>
          <w:lang w:val="fr-FR"/>
        </w:rPr>
        <w:t xml:space="preserve"> effectué</w:t>
      </w:r>
      <w:r>
        <w:rPr>
          <w:lang w:val="fr-FR"/>
        </w:rPr>
        <w:t>s</w:t>
      </w:r>
      <w:r w:rsidRPr="009F52F1">
        <w:rPr>
          <w:lang w:val="fr-FR"/>
        </w:rPr>
        <w:t xml:space="preserve"> dans les installations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un </w:t>
      </w:r>
      <w:r>
        <w:rPr>
          <w:lang w:val="fr-FR"/>
        </w:rPr>
        <w:t>constructeur</w:t>
      </w:r>
      <w:r w:rsidRPr="009F52F1">
        <w:rPr>
          <w:lang w:val="fr-FR"/>
        </w:rPr>
        <w:t xml:space="preserve"> conformément au présent paragraphe doi</w:t>
      </w:r>
      <w:r>
        <w:rPr>
          <w:lang w:val="fr-FR"/>
        </w:rPr>
        <w:t>ven</w:t>
      </w:r>
      <w:r w:rsidRPr="009F52F1">
        <w:rPr>
          <w:lang w:val="fr-FR"/>
        </w:rPr>
        <w:t>t être programmé</w:t>
      </w:r>
      <w:r>
        <w:rPr>
          <w:lang w:val="fr-FR"/>
        </w:rPr>
        <w:t>s</w:t>
      </w:r>
      <w:r w:rsidRPr="009F52F1">
        <w:rPr>
          <w:lang w:val="fr-FR"/>
        </w:rPr>
        <w:t xml:space="preserve"> par le</w:t>
      </w:r>
      <w:r>
        <w:rPr>
          <w:lang w:val="fr-FR"/>
        </w:rPr>
        <w:t>dit</w:t>
      </w:r>
      <w:r w:rsidRPr="009F52F1">
        <w:rPr>
          <w:lang w:val="fr-FR"/>
        </w:rPr>
        <w:t xml:space="preserve"> </w:t>
      </w:r>
      <w:r>
        <w:rPr>
          <w:lang w:val="fr-FR"/>
        </w:rPr>
        <w:t>constructeur</w:t>
      </w:r>
      <w:r w:rsidRPr="009F52F1">
        <w:rPr>
          <w:lang w:val="fr-FR"/>
        </w:rPr>
        <w:t xml:space="preserve"> dans les meilleurs délais.</w:t>
      </w:r>
    </w:p>
    <w:p w14:paraId="3C668122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>g)</w:t>
      </w:r>
      <w:r w:rsidRPr="009F52F1">
        <w:rPr>
          <w:lang w:val="fr-FR"/>
        </w:rPr>
        <w:tab/>
        <w:t>Chaque fois que l</w:t>
      </w:r>
      <w:r w:rsidR="00E60BAC">
        <w:rPr>
          <w:lang w:val="fr-FR"/>
        </w:rPr>
        <w:t>’</w:t>
      </w:r>
      <w:r w:rsidRPr="009F52F1">
        <w:rPr>
          <w:lang w:val="fr-FR"/>
        </w:rPr>
        <w:t>administrateur effectue un essai sur un véhicule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essai, les résultats de </w:t>
      </w:r>
      <w:r>
        <w:rPr>
          <w:lang w:val="fr-FR"/>
        </w:rPr>
        <w:t>l</w:t>
      </w:r>
      <w:r w:rsidR="00E60BAC">
        <w:rPr>
          <w:lang w:val="fr-FR"/>
        </w:rPr>
        <w:t>’</w:t>
      </w:r>
      <w:r w:rsidRPr="009F52F1">
        <w:rPr>
          <w:lang w:val="fr-FR"/>
        </w:rPr>
        <w:t>essai</w:t>
      </w:r>
      <w:r w:rsidRPr="00205D23">
        <w:rPr>
          <w:lang w:val="fr-FR"/>
        </w:rPr>
        <w:t xml:space="preserve"> </w:t>
      </w:r>
      <w:r w:rsidRPr="009F52F1">
        <w:rPr>
          <w:lang w:val="fr-FR"/>
        </w:rPr>
        <w:t xml:space="preserve">constituent les données du véhicule </w:t>
      </w:r>
      <w:r>
        <w:rPr>
          <w:lang w:val="fr-FR"/>
        </w:rPr>
        <w:t>au</w:t>
      </w:r>
      <w:r w:rsidRPr="009F52F1">
        <w:rPr>
          <w:lang w:val="fr-FR"/>
        </w:rPr>
        <w:t xml:space="preserve"> point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 prescrit, à moins </w:t>
      </w:r>
      <w:r>
        <w:rPr>
          <w:lang w:val="fr-FR"/>
        </w:rPr>
        <w:t>que l</w:t>
      </w:r>
      <w:r w:rsidR="00E60BAC">
        <w:rPr>
          <w:lang w:val="fr-FR"/>
        </w:rPr>
        <w:t>’</w:t>
      </w:r>
      <w:r>
        <w:rPr>
          <w:lang w:val="fr-FR"/>
        </w:rPr>
        <w:t>administrateur</w:t>
      </w:r>
      <w:r w:rsidRPr="009F52F1">
        <w:rPr>
          <w:lang w:val="fr-FR"/>
        </w:rPr>
        <w:t xml:space="preserve"> </w:t>
      </w:r>
      <w:r>
        <w:rPr>
          <w:lang w:val="fr-FR"/>
        </w:rPr>
        <w:t xml:space="preserve">ne les invalide </w:t>
      </w:r>
      <w:r w:rsidRPr="009F52F1">
        <w:rPr>
          <w:lang w:val="fr-FR"/>
        </w:rPr>
        <w:t xml:space="preserve">par la suite, et les données du </w:t>
      </w:r>
      <w:r>
        <w:rPr>
          <w:lang w:val="fr-FR"/>
        </w:rPr>
        <w:t>constructeur</w:t>
      </w:r>
      <w:r w:rsidRPr="009F52F1">
        <w:rPr>
          <w:lang w:val="fr-FR"/>
        </w:rPr>
        <w:t xml:space="preserve"> pour </w:t>
      </w:r>
      <w:r>
        <w:rPr>
          <w:lang w:val="fr-FR"/>
        </w:rPr>
        <w:t xml:space="preserve">le </w:t>
      </w:r>
      <w:r w:rsidRPr="009F52F1">
        <w:rPr>
          <w:lang w:val="fr-FR"/>
        </w:rPr>
        <w:t>point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 prescrit ne sont pas utilisées </w:t>
      </w:r>
      <w:r>
        <w:rPr>
          <w:lang w:val="fr-FR"/>
        </w:rPr>
        <w:t xml:space="preserve">en vue de </w:t>
      </w:r>
      <w:r w:rsidRPr="009F52F1">
        <w:rPr>
          <w:lang w:val="fr-FR"/>
        </w:rPr>
        <w:t xml:space="preserve">déterminer la conformité aux normes </w:t>
      </w:r>
      <w:r>
        <w:rPr>
          <w:lang w:val="fr-FR"/>
        </w:rPr>
        <w:t xml:space="preserve">relatives aux </w:t>
      </w:r>
      <w:r w:rsidRPr="009F52F1">
        <w:rPr>
          <w:lang w:val="fr-FR"/>
        </w:rPr>
        <w:t>émission</w:t>
      </w:r>
      <w:r>
        <w:rPr>
          <w:lang w:val="fr-FR"/>
        </w:rPr>
        <w:t>s</w:t>
      </w:r>
      <w:r w:rsidRPr="009F52F1">
        <w:rPr>
          <w:lang w:val="fr-FR"/>
        </w:rPr>
        <w:t>.</w:t>
      </w:r>
    </w:p>
    <w:p w14:paraId="4374C6CC" w14:textId="77777777" w:rsidR="00BB6645" w:rsidRPr="009F52F1" w:rsidRDefault="00BB6645" w:rsidP="004D31F4">
      <w:pPr>
        <w:pStyle w:val="SingleTxtG"/>
        <w:ind w:left="1701"/>
        <w:rPr>
          <w:lang w:val="fr-FR"/>
        </w:rPr>
      </w:pPr>
      <w:r>
        <w:rPr>
          <w:lang w:val="fr-FR"/>
        </w:rPr>
        <w:t>(</w:t>
      </w:r>
      <w:r w:rsidRPr="009F52F1">
        <w:rPr>
          <w:lang w:val="fr-FR"/>
        </w:rPr>
        <w:t xml:space="preserve">42 FR 1126, </w:t>
      </w:r>
      <w:r>
        <w:rPr>
          <w:lang w:val="fr-FR"/>
        </w:rPr>
        <w:t xml:space="preserve">en date du </w:t>
      </w:r>
      <w:r w:rsidRPr="009F52F1">
        <w:rPr>
          <w:lang w:val="fr-FR"/>
        </w:rPr>
        <w:t xml:space="preserve">5 janvier 1977, </w:t>
      </w:r>
      <w:r w:rsidRPr="0056005E">
        <w:rPr>
          <w:lang w:val="fr-FR"/>
        </w:rPr>
        <w:t>modifié par 49 FR</w:t>
      </w:r>
      <w:r w:rsidRPr="009F52F1">
        <w:rPr>
          <w:lang w:val="fr-FR"/>
        </w:rPr>
        <w:t xml:space="preserve"> 48139,</w:t>
      </w:r>
      <w:r w:rsidRPr="00A83EA7">
        <w:t xml:space="preserve"> </w:t>
      </w:r>
      <w:r w:rsidRPr="005D45D0">
        <w:rPr>
          <w:lang w:val="fr-FR"/>
        </w:rPr>
        <w:t>en date du</w:t>
      </w:r>
      <w:r w:rsidRPr="009F52F1">
        <w:rPr>
          <w:lang w:val="fr-FR"/>
        </w:rPr>
        <w:t xml:space="preserve"> 10</w:t>
      </w:r>
      <w:r>
        <w:rPr>
          <w:lang w:val="fr-FR"/>
        </w:rPr>
        <w:t> </w:t>
      </w:r>
      <w:r w:rsidRPr="009F52F1">
        <w:rPr>
          <w:lang w:val="fr-FR"/>
        </w:rPr>
        <w:t>décembre 1984)</w:t>
      </w:r>
    </w:p>
    <w:p w14:paraId="71FB6AF4" w14:textId="77777777" w:rsidR="00BB6645" w:rsidRDefault="00BB6645" w:rsidP="00103347">
      <w:pPr>
        <w:pStyle w:val="SingleTxtG"/>
        <w:rPr>
          <w:rFonts w:asciiTheme="majorBidi" w:hAnsiTheme="majorBidi" w:cstheme="majorBidi"/>
          <w:lang w:val="fr-FR"/>
        </w:rPr>
      </w:pPr>
      <w:r w:rsidRPr="009F52F1">
        <w:rPr>
          <w:rFonts w:asciiTheme="majorBidi" w:hAnsiTheme="majorBidi" w:cstheme="majorBidi"/>
          <w:lang w:val="fr-FR"/>
        </w:rPr>
        <w:t>5.</w:t>
      </w:r>
      <w:r w:rsidRPr="009F52F1">
        <w:rPr>
          <w:rFonts w:asciiTheme="majorBidi" w:hAnsiTheme="majorBidi" w:cstheme="majorBidi"/>
          <w:lang w:val="fr-FR"/>
        </w:rPr>
        <w:tab/>
        <w:t xml:space="preserve">Extrait </w:t>
      </w:r>
      <w:r>
        <w:rPr>
          <w:rFonts w:asciiTheme="majorBidi" w:hAnsiTheme="majorBidi" w:cstheme="majorBidi"/>
          <w:lang w:val="fr-FR"/>
        </w:rPr>
        <w:t xml:space="preserve">du </w:t>
      </w:r>
      <w:r>
        <w:rPr>
          <w:lang w:val="fr-FR"/>
        </w:rPr>
        <w:t xml:space="preserve">texte de la section </w:t>
      </w:r>
      <w:r>
        <w:rPr>
          <w:rFonts w:asciiTheme="majorBidi" w:hAnsiTheme="majorBidi" w:cstheme="majorBidi"/>
          <w:lang w:val="fr-FR"/>
        </w:rPr>
        <w:t xml:space="preserve">40 CFR </w:t>
      </w:r>
      <w:r w:rsidRPr="009F52F1">
        <w:rPr>
          <w:rFonts w:asciiTheme="majorBidi" w:hAnsiTheme="majorBidi" w:cstheme="majorBidi"/>
          <w:lang w:val="fr-FR"/>
        </w:rPr>
        <w:t xml:space="preserve">86.432-78 </w:t>
      </w:r>
      <w:r w:rsidR="004D31F4">
        <w:rPr>
          <w:rFonts w:asciiTheme="majorBidi" w:hAnsiTheme="majorBidi" w:cstheme="majorBidi"/>
          <w:lang w:val="fr-FR"/>
        </w:rPr>
        <w:t>−</w:t>
      </w:r>
      <w:r>
        <w:rPr>
          <w:rFonts w:asciiTheme="majorBidi" w:hAnsiTheme="majorBidi" w:cstheme="majorBidi"/>
          <w:lang w:val="fr-FR"/>
        </w:rPr>
        <w:t xml:space="preserve"> </w:t>
      </w:r>
      <w:r w:rsidRPr="009F52F1">
        <w:rPr>
          <w:rFonts w:asciiTheme="majorBidi" w:hAnsiTheme="majorBidi" w:cstheme="majorBidi"/>
          <w:lang w:val="fr-FR"/>
        </w:rPr>
        <w:t xml:space="preserve">Facteur de </w:t>
      </w:r>
      <w:r w:rsidRPr="00B84A7D">
        <w:rPr>
          <w:lang w:val="fr-FR"/>
        </w:rPr>
        <w:t>détérioration</w:t>
      </w:r>
    </w:p>
    <w:p w14:paraId="55431397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>a)</w:t>
      </w:r>
      <w:r w:rsidRPr="009F52F1">
        <w:rPr>
          <w:lang w:val="fr-FR"/>
        </w:rPr>
        <w:tab/>
        <w:t xml:space="preserve">Les facteurs de </w:t>
      </w:r>
      <w:r w:rsidRPr="00103347">
        <w:rPr>
          <w:rFonts w:asciiTheme="majorBidi" w:hAnsiTheme="majorBidi" w:cstheme="majorBidi"/>
          <w:lang w:val="fr-FR"/>
        </w:rPr>
        <w:t>détérioration</w:t>
      </w:r>
      <w:r w:rsidRPr="009F52F1">
        <w:rPr>
          <w:lang w:val="fr-FR"/>
        </w:rPr>
        <w:t xml:space="preserve"> sont </w:t>
      </w:r>
      <w:r>
        <w:rPr>
          <w:lang w:val="fr-FR"/>
        </w:rPr>
        <w:t>calcul</w:t>
      </w:r>
      <w:r w:rsidRPr="009F52F1">
        <w:rPr>
          <w:lang w:val="fr-FR"/>
        </w:rPr>
        <w:t>és pour chaque véhicule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 à partir des résultats des </w:t>
      </w:r>
      <w:r w:rsidRPr="00103347">
        <w:rPr>
          <w:rFonts w:asciiTheme="majorBidi" w:hAnsiTheme="majorBidi" w:cstheme="majorBidi"/>
          <w:lang w:val="fr-FR"/>
        </w:rPr>
        <w:t>essais</w:t>
      </w:r>
      <w:r w:rsidRPr="009F52F1">
        <w:rPr>
          <w:lang w:val="fr-FR"/>
        </w:rPr>
        <w:t xml:space="preserve">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émission. Un facteur distinct doit être </w:t>
      </w:r>
      <w:r>
        <w:rPr>
          <w:lang w:val="fr-FR"/>
        </w:rPr>
        <w:t>calculé</w:t>
      </w:r>
      <w:r w:rsidRPr="009F52F1">
        <w:rPr>
          <w:lang w:val="fr-FR"/>
        </w:rPr>
        <w:t xml:space="preserve"> pour chaque polluant. Les données à utiliser pour le calcul de ces facteurs sont les suivantes</w:t>
      </w:r>
      <w:r>
        <w:rPr>
          <w:lang w:val="fr-FR"/>
        </w:rPr>
        <w:t> </w:t>
      </w:r>
      <w:r w:rsidRPr="009F52F1">
        <w:rPr>
          <w:lang w:val="fr-FR"/>
        </w:rPr>
        <w:t>:</w:t>
      </w:r>
    </w:p>
    <w:p w14:paraId="095378ED" w14:textId="77777777" w:rsidR="00BB6645" w:rsidRDefault="00BB6645" w:rsidP="00103347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i)</w:t>
      </w:r>
      <w:r w:rsidRPr="009F52F1">
        <w:rPr>
          <w:lang w:val="fr-FR"/>
        </w:rPr>
        <w:tab/>
        <w:t xml:space="preserve">Les résultats de tous les essais valides effectués par le </w:t>
      </w:r>
      <w:r>
        <w:rPr>
          <w:lang w:val="fr-FR"/>
        </w:rPr>
        <w:t>constructeur</w:t>
      </w:r>
      <w:r w:rsidRPr="009F52F1">
        <w:rPr>
          <w:lang w:val="fr-FR"/>
        </w:rPr>
        <w:t xml:space="preserve"> ou l</w:t>
      </w:r>
      <w:r w:rsidR="00E60BAC">
        <w:rPr>
          <w:lang w:val="fr-FR"/>
        </w:rPr>
        <w:t>’</w:t>
      </w:r>
      <w:r w:rsidRPr="009F52F1">
        <w:rPr>
          <w:lang w:val="fr-FR"/>
        </w:rPr>
        <w:t>administrateur aux intervalles d</w:t>
      </w:r>
      <w:r w:rsidR="00E60BAC">
        <w:rPr>
          <w:lang w:val="fr-FR"/>
        </w:rPr>
        <w:t>’</w:t>
      </w:r>
      <w:r w:rsidRPr="009F52F1">
        <w:rPr>
          <w:lang w:val="fr-FR"/>
        </w:rPr>
        <w:t>essai prévus.</w:t>
      </w:r>
    </w:p>
    <w:p w14:paraId="6252D33E" w14:textId="77777777" w:rsidR="00BB6645" w:rsidRDefault="00BB6645" w:rsidP="00103347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ii)</w:t>
      </w:r>
      <w:r w:rsidRPr="009F52F1">
        <w:rPr>
          <w:lang w:val="fr-FR"/>
        </w:rPr>
        <w:tab/>
        <w:t>Les résultats des essais effectués avant et après l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entretien programmé, sauf </w:t>
      </w:r>
      <w:r>
        <w:rPr>
          <w:lang w:val="fr-FR"/>
        </w:rPr>
        <w:t xml:space="preserve">ceux </w:t>
      </w:r>
      <w:r w:rsidRPr="009F52F1">
        <w:rPr>
          <w:lang w:val="fr-FR"/>
        </w:rPr>
        <w:t>express</w:t>
      </w:r>
      <w:r>
        <w:rPr>
          <w:lang w:val="fr-FR"/>
        </w:rPr>
        <w:t>ément</w:t>
      </w:r>
      <w:r w:rsidRPr="00E139E5">
        <w:rPr>
          <w:lang w:val="fr-FR"/>
        </w:rPr>
        <w:t xml:space="preserve"> </w:t>
      </w:r>
      <w:r w:rsidRPr="009F52F1">
        <w:rPr>
          <w:lang w:val="fr-FR"/>
        </w:rPr>
        <w:t>exclus par l</w:t>
      </w:r>
      <w:r w:rsidR="00E60BAC">
        <w:rPr>
          <w:lang w:val="fr-FR"/>
        </w:rPr>
        <w:t>’</w:t>
      </w:r>
      <w:r w:rsidRPr="009F52F1">
        <w:rPr>
          <w:lang w:val="fr-FR"/>
        </w:rPr>
        <w:t>administrateur.</w:t>
      </w:r>
    </w:p>
    <w:p w14:paraId="1E7EE5BD" w14:textId="77777777" w:rsidR="00BB6645" w:rsidRDefault="00BB6645" w:rsidP="00103347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iii)</w:t>
      </w:r>
      <w:r w:rsidRPr="009F52F1">
        <w:rPr>
          <w:lang w:val="fr-FR"/>
        </w:rPr>
        <w:tab/>
        <w:t>Les résultats des essais effectués avant et après un entretien non programmé, si l</w:t>
      </w:r>
      <w:r w:rsidR="00E60BAC">
        <w:rPr>
          <w:lang w:val="fr-FR"/>
        </w:rPr>
        <w:t>’</w:t>
      </w:r>
      <w:r w:rsidRPr="009F52F1">
        <w:rPr>
          <w:lang w:val="fr-FR"/>
        </w:rPr>
        <w:t>approbation de l</w:t>
      </w:r>
      <w:r w:rsidR="00E60BAC">
        <w:rPr>
          <w:lang w:val="fr-FR"/>
        </w:rPr>
        <w:t>’</w:t>
      </w:r>
      <w:r w:rsidRPr="009F52F1">
        <w:rPr>
          <w:lang w:val="fr-FR"/>
        </w:rPr>
        <w:t>entretien par l</w:t>
      </w:r>
      <w:r w:rsidR="00E60BAC">
        <w:rPr>
          <w:lang w:val="fr-FR"/>
        </w:rPr>
        <w:t>’</w:t>
      </w:r>
      <w:r>
        <w:rPr>
          <w:lang w:val="fr-FR"/>
        </w:rPr>
        <w:t>administrateur</w:t>
      </w:r>
      <w:r w:rsidRPr="009F52F1">
        <w:rPr>
          <w:lang w:val="fr-FR"/>
        </w:rPr>
        <w:t xml:space="preserve"> était conditionnée par l</w:t>
      </w:r>
      <w:r w:rsidR="00E60BAC">
        <w:rPr>
          <w:lang w:val="fr-FR"/>
        </w:rPr>
        <w:t>’</w:t>
      </w:r>
      <w:r w:rsidRPr="009F52F1">
        <w:rPr>
          <w:lang w:val="fr-FR"/>
        </w:rPr>
        <w:t>utilisation des données dans le calcul du facteur de détérioration.</w:t>
      </w:r>
    </w:p>
    <w:p w14:paraId="054052F0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>b)</w:t>
      </w:r>
      <w:r w:rsidRPr="009F52F1">
        <w:rPr>
          <w:lang w:val="fr-FR"/>
        </w:rPr>
        <w:tab/>
      </w:r>
      <w:r>
        <w:rPr>
          <w:lang w:val="fr-FR"/>
        </w:rPr>
        <w:t>A</w:t>
      </w:r>
      <w:r w:rsidRPr="009F52F1">
        <w:rPr>
          <w:lang w:val="fr-FR"/>
        </w:rPr>
        <w:t>ux fins de la présente section</w:t>
      </w:r>
      <w:r>
        <w:rPr>
          <w:lang w:val="fr-FR"/>
        </w:rPr>
        <w:t>, l</w:t>
      </w:r>
      <w:r w:rsidRPr="009F52F1">
        <w:rPr>
          <w:lang w:val="fr-FR"/>
        </w:rPr>
        <w:t xml:space="preserve">es résultats </w:t>
      </w:r>
      <w:r>
        <w:rPr>
          <w:lang w:val="fr-FR"/>
        </w:rPr>
        <w:t>d</w:t>
      </w:r>
      <w:r w:rsidR="00E60BAC">
        <w:rPr>
          <w:lang w:val="fr-FR"/>
        </w:rPr>
        <w:t>’</w:t>
      </w:r>
      <w:r w:rsidRPr="009F52F1">
        <w:rPr>
          <w:lang w:val="fr-FR"/>
        </w:rPr>
        <w:t>émissions inférieurs à 0,10</w:t>
      </w:r>
      <w:r w:rsidR="004D31F4">
        <w:rPr>
          <w:lang w:val="fr-FR"/>
        </w:rPr>
        <w:t> </w:t>
      </w:r>
      <w:r w:rsidRPr="009F52F1">
        <w:rPr>
          <w:lang w:val="fr-FR"/>
        </w:rPr>
        <w:t>g/km sont considérés comme</w:t>
      </w:r>
      <w:r>
        <w:rPr>
          <w:lang w:val="fr-FR"/>
        </w:rPr>
        <w:t xml:space="preserve"> égaux à</w:t>
      </w:r>
      <w:r w:rsidRPr="009F52F1">
        <w:rPr>
          <w:lang w:val="fr-FR"/>
        </w:rPr>
        <w:t xml:space="preserve"> 0,10</w:t>
      </w:r>
      <w:r w:rsidR="004D31F4">
        <w:rPr>
          <w:lang w:val="fr-FR"/>
        </w:rPr>
        <w:t> </w:t>
      </w:r>
      <w:r w:rsidRPr="009F52F1">
        <w:rPr>
          <w:lang w:val="fr-FR"/>
        </w:rPr>
        <w:t>g/km.</w:t>
      </w:r>
    </w:p>
    <w:p w14:paraId="0FBA7B69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>c)</w:t>
      </w:r>
      <w:r w:rsidRPr="009F52F1">
        <w:rPr>
          <w:lang w:val="fr-FR"/>
        </w:rPr>
        <w:tab/>
        <w:t>Les résultats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 pour chaque polluant sont tracés en fonction </w:t>
      </w:r>
      <w:r w:rsidRPr="005C05B3">
        <w:rPr>
          <w:lang w:val="fr-FR"/>
        </w:rPr>
        <w:t>d</w:t>
      </w:r>
      <w:r>
        <w:rPr>
          <w:lang w:val="fr-FR"/>
        </w:rPr>
        <w:t xml:space="preserve">es </w:t>
      </w:r>
      <w:r w:rsidRPr="005C05B3">
        <w:rPr>
          <w:lang w:val="fr-FR"/>
        </w:rPr>
        <w:t xml:space="preserve">heures de fonctionnement </w:t>
      </w:r>
      <w:r w:rsidRPr="009F52F1">
        <w:rPr>
          <w:lang w:val="fr-FR"/>
        </w:rPr>
        <w:t>accumulé</w:t>
      </w:r>
      <w:r>
        <w:rPr>
          <w:lang w:val="fr-FR"/>
        </w:rPr>
        <w:t>es</w:t>
      </w:r>
      <w:r w:rsidRPr="009F52F1">
        <w:rPr>
          <w:lang w:val="fr-FR"/>
        </w:rPr>
        <w:t xml:space="preserve"> au début de l</w:t>
      </w:r>
      <w:r w:rsidR="00E60BAC">
        <w:rPr>
          <w:lang w:val="fr-FR"/>
        </w:rPr>
        <w:t>’</w:t>
      </w:r>
      <w:r w:rsidRPr="009F52F1">
        <w:rPr>
          <w:lang w:val="fr-FR"/>
        </w:rPr>
        <w:t>essai d</w:t>
      </w:r>
      <w:r w:rsidR="00E60BAC">
        <w:rPr>
          <w:lang w:val="fr-FR"/>
        </w:rPr>
        <w:t>’</w:t>
      </w:r>
      <w:r w:rsidRPr="009F52F1">
        <w:rPr>
          <w:lang w:val="fr-FR"/>
        </w:rPr>
        <w:t>émission,</w:t>
      </w:r>
      <w:r>
        <w:rPr>
          <w:lang w:val="fr-FR"/>
        </w:rPr>
        <w:t xml:space="preserve"> le </w:t>
      </w:r>
      <w:r w:rsidRPr="009F52F1">
        <w:rPr>
          <w:lang w:val="fr-FR"/>
        </w:rPr>
        <w:t>kilomètre le plus proche</w:t>
      </w:r>
      <w:r>
        <w:rPr>
          <w:lang w:val="fr-FR"/>
        </w:rPr>
        <w:t xml:space="preserve"> étant retenu</w:t>
      </w:r>
      <w:r w:rsidRPr="009F52F1">
        <w:rPr>
          <w:lang w:val="fr-FR"/>
        </w:rPr>
        <w:t xml:space="preserve">. Ces résultats doivent être corrélés à une ligne droite, </w:t>
      </w:r>
      <w:r>
        <w:rPr>
          <w:lang w:val="fr-FR"/>
        </w:rPr>
        <w:t xml:space="preserve">qui est </w:t>
      </w:r>
      <w:r w:rsidRPr="009F52F1">
        <w:rPr>
          <w:lang w:val="fr-FR"/>
        </w:rPr>
        <w:t>ajustée par la méthode des moindres carrés.</w:t>
      </w:r>
    </w:p>
    <w:p w14:paraId="001D23CB" w14:textId="77777777" w:rsidR="00BB6645" w:rsidRPr="009F52F1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>d)</w:t>
      </w:r>
      <w:r w:rsidRPr="009F52F1">
        <w:rPr>
          <w:lang w:val="fr-FR"/>
        </w:rPr>
        <w:tab/>
        <w:t>Un facteur de détérioration des émissions de gaz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échappement </w:t>
      </w:r>
      <w:r>
        <w:rPr>
          <w:lang w:val="fr-FR"/>
        </w:rPr>
        <w:t>est</w:t>
      </w:r>
      <w:r w:rsidRPr="009F52F1">
        <w:rPr>
          <w:lang w:val="fr-FR"/>
        </w:rPr>
        <w:t xml:space="preserve"> calculé en divisant les émissions prévues</w:t>
      </w:r>
      <w:r>
        <w:rPr>
          <w:lang w:val="fr-FR"/>
        </w:rPr>
        <w:t xml:space="preserve"> pour</w:t>
      </w:r>
      <w:r w:rsidRPr="009F52F1">
        <w:rPr>
          <w:lang w:val="fr-FR"/>
        </w:rPr>
        <w:t xml:space="preserve"> la distance de vie utile par les émissions prévues </w:t>
      </w:r>
      <w:r>
        <w:rPr>
          <w:lang w:val="fr-FR"/>
        </w:rPr>
        <w:t>pour</w:t>
      </w:r>
      <w:r w:rsidRPr="009F52F1">
        <w:rPr>
          <w:lang w:val="fr-FR"/>
        </w:rPr>
        <w:t xml:space="preserve"> la distance d</w:t>
      </w:r>
      <w:r w:rsidR="00E60BAC">
        <w:rPr>
          <w:lang w:val="fr-FR"/>
        </w:rPr>
        <w:t>’</w:t>
      </w:r>
      <w:r w:rsidRPr="009F52F1">
        <w:rPr>
          <w:lang w:val="fr-FR"/>
        </w:rPr>
        <w:t>essai</w:t>
      </w:r>
      <w:r w:rsidRPr="00463C77">
        <w:rPr>
          <w:lang w:val="fr-FR"/>
        </w:rPr>
        <w:t xml:space="preserve"> </w:t>
      </w:r>
      <w:r w:rsidRPr="009F52F1">
        <w:rPr>
          <w:lang w:val="fr-FR"/>
        </w:rPr>
        <w:t>totale. Les émissions</w:t>
      </w:r>
      <w:r>
        <w:rPr>
          <w:lang w:val="fr-FR"/>
        </w:rPr>
        <w:t xml:space="preserve"> escomptées</w:t>
      </w:r>
      <w:r w:rsidRPr="009F52F1">
        <w:rPr>
          <w:lang w:val="fr-FR"/>
        </w:rPr>
        <w:t xml:space="preserve"> sont obtenues à partir de la corrélation </w:t>
      </w:r>
      <w:r>
        <w:rPr>
          <w:lang w:val="fr-FR"/>
        </w:rPr>
        <w:t>produite</w:t>
      </w:r>
      <w:r w:rsidRPr="009F52F1">
        <w:rPr>
          <w:lang w:val="fr-FR"/>
        </w:rPr>
        <w:t xml:space="preserve"> au paragraphe</w:t>
      </w:r>
      <w:r>
        <w:rPr>
          <w:lang w:val="fr-FR"/>
        </w:rPr>
        <w:t> </w:t>
      </w:r>
      <w:r w:rsidRPr="009F52F1">
        <w:rPr>
          <w:lang w:val="fr-FR"/>
        </w:rPr>
        <w:t xml:space="preserve">c) de </w:t>
      </w:r>
      <w:r>
        <w:rPr>
          <w:lang w:val="fr-FR"/>
        </w:rPr>
        <w:t>la présente</w:t>
      </w:r>
      <w:r w:rsidRPr="009F52F1">
        <w:rPr>
          <w:lang w:val="fr-FR"/>
        </w:rPr>
        <w:t xml:space="preserve"> section.</w:t>
      </w:r>
    </w:p>
    <w:p w14:paraId="78F2E282" w14:textId="77777777" w:rsidR="00BB6645" w:rsidRPr="009F52F1" w:rsidRDefault="00BB6645" w:rsidP="004D31F4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Facteur</w:t>
      </w:r>
      <w:r w:rsidRPr="00A83EA7">
        <w:t xml:space="preserve"> </w:t>
      </w:r>
      <w:r w:rsidRPr="00F11BED">
        <w:rPr>
          <w:lang w:val="fr-FR"/>
        </w:rPr>
        <w:t>de détérioration</w:t>
      </w:r>
      <w:r w:rsidRPr="009F52F1">
        <w:rPr>
          <w:lang w:val="fr-FR"/>
        </w:rPr>
        <w:t xml:space="preserve"> = </w:t>
      </w:r>
      <w:r>
        <w:rPr>
          <w:lang w:val="fr-FR"/>
        </w:rPr>
        <w:t>É</w:t>
      </w:r>
      <w:r w:rsidRPr="009F52F1">
        <w:rPr>
          <w:lang w:val="fr-FR"/>
        </w:rPr>
        <w:t xml:space="preserve">missions prévues </w:t>
      </w:r>
      <w:r>
        <w:rPr>
          <w:lang w:val="fr-FR"/>
        </w:rPr>
        <w:t>po</w:t>
      </w:r>
      <w:r w:rsidRPr="009F52F1">
        <w:rPr>
          <w:lang w:val="fr-FR"/>
        </w:rPr>
        <w:t>ur la distance</w:t>
      </w:r>
      <w:r>
        <w:rPr>
          <w:lang w:val="fr-FR"/>
        </w:rPr>
        <w:t xml:space="preserve"> de vie utile/É</w:t>
      </w:r>
      <w:r w:rsidRPr="009F52F1">
        <w:rPr>
          <w:lang w:val="fr-FR"/>
        </w:rPr>
        <w:t xml:space="preserve">missions prévues </w:t>
      </w:r>
      <w:r>
        <w:rPr>
          <w:lang w:val="fr-FR"/>
        </w:rPr>
        <w:t>pou</w:t>
      </w:r>
      <w:r w:rsidRPr="009F52F1">
        <w:rPr>
          <w:lang w:val="fr-FR"/>
        </w:rPr>
        <w:t>r la distance d</w:t>
      </w:r>
      <w:r w:rsidR="00E60BAC">
        <w:rPr>
          <w:lang w:val="fr-FR"/>
        </w:rPr>
        <w:t>’</w:t>
      </w:r>
      <w:r w:rsidRPr="009F52F1">
        <w:rPr>
          <w:lang w:val="fr-FR"/>
        </w:rPr>
        <w:t>essai</w:t>
      </w:r>
      <w:r w:rsidRPr="00F11BED">
        <w:rPr>
          <w:lang w:val="fr-FR"/>
        </w:rPr>
        <w:t xml:space="preserve"> </w:t>
      </w:r>
      <w:r w:rsidRPr="009F52F1">
        <w:rPr>
          <w:lang w:val="fr-FR"/>
        </w:rPr>
        <w:t>totale.</w:t>
      </w:r>
    </w:p>
    <w:p w14:paraId="18E8852C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 xml:space="preserve">Ces valeurs interpolées et extrapolées sont </w:t>
      </w:r>
      <w:r>
        <w:rPr>
          <w:lang w:val="fr-FR"/>
        </w:rPr>
        <w:t>calculées jusqu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à </w:t>
      </w:r>
      <w:r>
        <w:rPr>
          <w:lang w:val="fr-FR"/>
        </w:rPr>
        <w:t xml:space="preserve">la </w:t>
      </w:r>
      <w:r w:rsidRPr="009F52F1">
        <w:rPr>
          <w:lang w:val="fr-FR"/>
        </w:rPr>
        <w:t>quatr</w:t>
      </w:r>
      <w:r>
        <w:rPr>
          <w:lang w:val="fr-FR"/>
        </w:rPr>
        <w:t>ièm</w:t>
      </w:r>
      <w:r w:rsidRPr="009F52F1">
        <w:rPr>
          <w:lang w:val="fr-FR"/>
        </w:rPr>
        <w:t xml:space="preserve">e </w:t>
      </w:r>
      <w:r>
        <w:rPr>
          <w:lang w:val="fr-FR"/>
        </w:rPr>
        <w:t xml:space="preserve">décimale </w:t>
      </w:r>
      <w:r w:rsidRPr="009F52F1">
        <w:rPr>
          <w:lang w:val="fr-FR"/>
        </w:rPr>
        <w:t>avant d</w:t>
      </w:r>
      <w:r w:rsidR="00E60BAC">
        <w:rPr>
          <w:lang w:val="fr-FR"/>
        </w:rPr>
        <w:t>’</w:t>
      </w:r>
      <w:r w:rsidRPr="009F52F1">
        <w:rPr>
          <w:lang w:val="fr-FR"/>
        </w:rPr>
        <w:t>être divisées l</w:t>
      </w:r>
      <w:r w:rsidR="00E60BAC">
        <w:rPr>
          <w:lang w:val="fr-FR"/>
        </w:rPr>
        <w:t>’</w:t>
      </w:r>
      <w:r w:rsidRPr="009F52F1">
        <w:rPr>
          <w:lang w:val="fr-FR"/>
        </w:rPr>
        <w:t>une par l</w:t>
      </w:r>
      <w:r w:rsidR="00E60BAC">
        <w:rPr>
          <w:lang w:val="fr-FR"/>
        </w:rPr>
        <w:t>’</w:t>
      </w:r>
      <w:r w:rsidRPr="009F52F1">
        <w:rPr>
          <w:lang w:val="fr-FR"/>
        </w:rPr>
        <w:t>autre pour déterminer le facteur de détérioration. Les résultats sont arrondis à</w:t>
      </w:r>
      <w:r>
        <w:rPr>
          <w:lang w:val="fr-FR"/>
        </w:rPr>
        <w:t xml:space="preserve"> la</w:t>
      </w:r>
      <w:r w:rsidRPr="009F52F1">
        <w:rPr>
          <w:lang w:val="fr-FR"/>
        </w:rPr>
        <w:t xml:space="preserve"> trois</w:t>
      </w:r>
      <w:r>
        <w:rPr>
          <w:lang w:val="fr-FR"/>
        </w:rPr>
        <w:t>ième</w:t>
      </w:r>
      <w:r w:rsidRPr="009F52F1">
        <w:rPr>
          <w:lang w:val="fr-FR"/>
        </w:rPr>
        <w:t xml:space="preserve"> </w:t>
      </w:r>
      <w:r w:rsidRPr="009F0652">
        <w:rPr>
          <w:lang w:val="fr-FR"/>
        </w:rPr>
        <w:t>décimale</w:t>
      </w:r>
      <w:r w:rsidRPr="009F52F1">
        <w:rPr>
          <w:lang w:val="fr-FR"/>
        </w:rPr>
        <w:t>.</w:t>
      </w:r>
    </w:p>
    <w:p w14:paraId="2B49B916" w14:textId="77777777" w:rsidR="00BB6645" w:rsidRDefault="00BB6645" w:rsidP="00103347">
      <w:pPr>
        <w:pStyle w:val="SingleTxtG"/>
        <w:ind w:firstLine="567"/>
        <w:rPr>
          <w:lang w:val="fr-FR"/>
        </w:rPr>
      </w:pPr>
      <w:r w:rsidRPr="009F52F1">
        <w:rPr>
          <w:lang w:val="fr-FR"/>
        </w:rPr>
        <w:t>e)</w:t>
      </w:r>
      <w:r w:rsidRPr="009F52F1">
        <w:rPr>
          <w:lang w:val="fr-FR"/>
        </w:rPr>
        <w:tab/>
        <w:t xml:space="preserve">Les facteurs de détérioration calculés </w:t>
      </w:r>
      <w:r>
        <w:rPr>
          <w:lang w:val="fr-FR"/>
        </w:rPr>
        <w:t>qui sont</w:t>
      </w:r>
      <w:r w:rsidRPr="009F52F1">
        <w:rPr>
          <w:lang w:val="fr-FR"/>
        </w:rPr>
        <w:t xml:space="preserve"> inférieurs à 1</w:t>
      </w:r>
      <w:r w:rsidR="004D31F4">
        <w:rPr>
          <w:lang w:val="fr-FR"/>
        </w:rPr>
        <w:t> </w:t>
      </w:r>
      <w:r w:rsidRPr="009F52F1">
        <w:rPr>
          <w:lang w:val="fr-FR"/>
        </w:rPr>
        <w:t>000</w:t>
      </w:r>
      <w:r w:rsidR="004D31F4">
        <w:rPr>
          <w:lang w:val="fr-FR"/>
        </w:rPr>
        <w:t> </w:t>
      </w:r>
      <w:r w:rsidRPr="009F52F1">
        <w:rPr>
          <w:lang w:val="fr-FR"/>
        </w:rPr>
        <w:t xml:space="preserve">sont </w:t>
      </w:r>
      <w:r>
        <w:rPr>
          <w:lang w:val="fr-FR"/>
        </w:rPr>
        <w:t>réputés égaux à</w:t>
      </w:r>
      <w:r w:rsidRPr="009F52F1">
        <w:rPr>
          <w:lang w:val="fr-FR"/>
        </w:rPr>
        <w:t xml:space="preserve"> 1</w:t>
      </w:r>
      <w:r w:rsidR="004D31F4">
        <w:rPr>
          <w:lang w:val="fr-FR"/>
        </w:rPr>
        <w:t> </w:t>
      </w:r>
      <w:r w:rsidRPr="009F52F1">
        <w:rPr>
          <w:lang w:val="fr-FR"/>
        </w:rPr>
        <w:t>000.</w:t>
      </w:r>
    </w:p>
    <w:p w14:paraId="464E3B23" w14:textId="77777777" w:rsidR="00BB6645" w:rsidRDefault="00BB6645" w:rsidP="00103347">
      <w:pPr>
        <w:pStyle w:val="SingleTxtG"/>
        <w:ind w:left="1701"/>
        <w:rPr>
          <w:lang w:val="fr-FR"/>
        </w:rPr>
      </w:pPr>
      <w:r w:rsidRPr="0056005E">
        <w:rPr>
          <w:lang w:val="fr-FR"/>
        </w:rPr>
        <w:t>f)</w:t>
      </w:r>
      <w:r w:rsidRPr="0056005E">
        <w:rPr>
          <w:lang w:val="fr-FR"/>
        </w:rPr>
        <w:tab/>
        <w:t>i)</w:t>
      </w:r>
      <w:r w:rsidRPr="0056005E">
        <w:rPr>
          <w:lang w:val="fr-FR"/>
        </w:rPr>
        <w:tab/>
        <w:t>Le constructeur</w:t>
      </w:r>
      <w:r w:rsidRPr="009F52F1">
        <w:rPr>
          <w:lang w:val="fr-FR"/>
        </w:rPr>
        <w:t xml:space="preserve"> a la possibilité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appliquer une procédure </w:t>
      </w:r>
      <w:r>
        <w:rPr>
          <w:lang w:val="fr-FR"/>
        </w:rPr>
        <w:t>concernant les</w:t>
      </w:r>
      <w:r w:rsidRPr="009F52F1">
        <w:rPr>
          <w:lang w:val="fr-FR"/>
        </w:rPr>
        <w:t xml:space="preserve"> points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 </w:t>
      </w:r>
      <w:r w:rsidRPr="00C3644D">
        <w:rPr>
          <w:lang w:val="fr-FR"/>
        </w:rPr>
        <w:t xml:space="preserve">considérés comme </w:t>
      </w:r>
      <w:r w:rsidRPr="009F52F1">
        <w:rPr>
          <w:lang w:val="fr-FR"/>
        </w:rPr>
        <w:t>aberrants aux données sur la durabilité dans le cadre de son programme d</w:t>
      </w:r>
      <w:r w:rsidR="00E60BAC">
        <w:rPr>
          <w:lang w:val="fr-FR"/>
        </w:rPr>
        <w:t>’</w:t>
      </w:r>
      <w:r w:rsidRPr="009F52F1">
        <w:rPr>
          <w:lang w:val="fr-FR"/>
        </w:rPr>
        <w:t>essais de certification pour une année modèle donnée.</w:t>
      </w:r>
    </w:p>
    <w:p w14:paraId="423F85C1" w14:textId="77777777" w:rsidR="00BB6645" w:rsidRDefault="00BB6645" w:rsidP="00103347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ii)</w:t>
      </w:r>
      <w:r w:rsidRPr="009F52F1">
        <w:rPr>
          <w:lang w:val="fr-FR"/>
        </w:rPr>
        <w:tab/>
        <w:t xml:space="preserve">La procédure relative aux valeurs aberrantes </w:t>
      </w:r>
      <w:r>
        <w:rPr>
          <w:lang w:val="fr-FR"/>
        </w:rPr>
        <w:t xml:space="preserve">est indiquée </w:t>
      </w:r>
      <w:r w:rsidRPr="009F52F1">
        <w:rPr>
          <w:lang w:val="fr-FR"/>
        </w:rPr>
        <w:t>par l</w:t>
      </w:r>
      <w:r w:rsidR="00E60BAC">
        <w:rPr>
          <w:lang w:val="fr-FR"/>
        </w:rPr>
        <w:t>’</w:t>
      </w:r>
      <w:r w:rsidRPr="009F52F1">
        <w:rPr>
          <w:lang w:val="fr-FR"/>
        </w:rPr>
        <w:t>administrateur.</w:t>
      </w:r>
    </w:p>
    <w:p w14:paraId="19FB275D" w14:textId="77777777" w:rsidR="00BB6645" w:rsidRDefault="00BB6645" w:rsidP="00103347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iii)</w:t>
      </w:r>
      <w:r w:rsidRPr="009F52F1">
        <w:rPr>
          <w:lang w:val="fr-FR"/>
        </w:rPr>
        <w:tab/>
        <w:t>Pour tout polluant, les points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essai des données de durabilité qui sont considérés comme aberrants ne sont pas inclus dans la détermination des facteurs de détérioration si le </w:t>
      </w:r>
      <w:r>
        <w:rPr>
          <w:lang w:val="fr-FR"/>
        </w:rPr>
        <w:t>constructeur</w:t>
      </w:r>
      <w:r w:rsidRPr="009F52F1">
        <w:rPr>
          <w:lang w:val="fr-FR"/>
        </w:rPr>
        <w:t xml:space="preserve"> a </w:t>
      </w:r>
      <w:r>
        <w:rPr>
          <w:lang w:val="fr-FR"/>
        </w:rPr>
        <w:t>fait ce choix</w:t>
      </w:r>
      <w:r w:rsidRPr="009F52F1">
        <w:rPr>
          <w:lang w:val="fr-FR"/>
        </w:rPr>
        <w:t>.</w:t>
      </w:r>
    </w:p>
    <w:p w14:paraId="5321E3FD" w14:textId="77777777" w:rsidR="00BB6645" w:rsidRDefault="00BB6645" w:rsidP="00103347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iv)</w:t>
      </w:r>
      <w:r w:rsidRPr="009F52F1">
        <w:rPr>
          <w:lang w:val="fr-FR"/>
        </w:rPr>
        <w:tab/>
        <w:t>Le constructeur</w:t>
      </w:r>
      <w:r>
        <w:rPr>
          <w:lang w:val="fr-FR"/>
        </w:rPr>
        <w:t xml:space="preserve"> indique</w:t>
      </w:r>
      <w:r w:rsidRPr="009F52F1">
        <w:rPr>
          <w:lang w:val="fr-FR"/>
        </w:rPr>
        <w:t xml:space="preserve"> à l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administrateur, avant la certification de la première famille de moteurs pour </w:t>
      </w:r>
      <w:r>
        <w:rPr>
          <w:lang w:val="fr-FR"/>
        </w:rPr>
        <w:t>l</w:t>
      </w:r>
      <w:r w:rsidR="00E60BAC">
        <w:rPr>
          <w:lang w:val="fr-FR"/>
        </w:rPr>
        <w:t>’</w:t>
      </w:r>
      <w:r w:rsidRPr="009F52F1">
        <w:rPr>
          <w:lang w:val="fr-FR"/>
        </w:rPr>
        <w:t>année modèle</w:t>
      </w:r>
      <w:r>
        <w:rPr>
          <w:lang w:val="fr-FR"/>
        </w:rPr>
        <w:t xml:space="preserve"> concernée</w:t>
      </w:r>
      <w:r w:rsidRPr="009F52F1">
        <w:rPr>
          <w:lang w:val="fr-FR"/>
        </w:rPr>
        <w:t>, s</w:t>
      </w:r>
      <w:r w:rsidR="00E60BAC">
        <w:rPr>
          <w:lang w:val="fr-FR"/>
        </w:rPr>
        <w:t>’</w:t>
      </w:r>
      <w:r w:rsidRPr="009F52F1">
        <w:rPr>
          <w:lang w:val="fr-FR"/>
        </w:rPr>
        <w:t>il a l</w:t>
      </w:r>
      <w:r w:rsidR="00E60BAC">
        <w:rPr>
          <w:lang w:val="fr-FR"/>
        </w:rPr>
        <w:t>’</w:t>
      </w:r>
      <w:r w:rsidRPr="009F52F1">
        <w:rPr>
          <w:lang w:val="fr-FR"/>
        </w:rPr>
        <w:t>intention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utiliser la procédure </w:t>
      </w:r>
      <w:r w:rsidRPr="00F11BED">
        <w:rPr>
          <w:lang w:val="fr-FR"/>
        </w:rPr>
        <w:t>relative aux valeurs aberrantes</w:t>
      </w:r>
      <w:r w:rsidRPr="009F52F1">
        <w:rPr>
          <w:lang w:val="fr-FR"/>
        </w:rPr>
        <w:t>.</w:t>
      </w:r>
    </w:p>
    <w:p w14:paraId="56344C82" w14:textId="77777777" w:rsidR="00BB6645" w:rsidRDefault="00BB6645" w:rsidP="00103347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v)</w:t>
      </w:r>
      <w:r w:rsidRPr="009F52F1">
        <w:rPr>
          <w:lang w:val="fr-FR"/>
        </w:rPr>
        <w:tab/>
        <w:t>Le constructeur ne peut pas</w:t>
      </w:r>
      <w:r>
        <w:rPr>
          <w:lang w:val="fr-FR"/>
        </w:rPr>
        <w:t xml:space="preserve"> changer de </w:t>
      </w:r>
      <w:r w:rsidRPr="009F52F1">
        <w:rPr>
          <w:lang w:val="fr-FR"/>
        </w:rPr>
        <w:t>procédure</w:t>
      </w:r>
      <w:r>
        <w:rPr>
          <w:lang w:val="fr-FR"/>
        </w:rPr>
        <w:t xml:space="preserve"> à l</w:t>
      </w:r>
      <w:r w:rsidR="00E60BAC">
        <w:rPr>
          <w:lang w:val="fr-FR"/>
        </w:rPr>
        <w:t>’</w:t>
      </w:r>
      <w:r>
        <w:rPr>
          <w:lang w:val="fr-FR"/>
        </w:rPr>
        <w:t>issue de</w:t>
      </w:r>
      <w:r w:rsidRPr="009F52F1">
        <w:rPr>
          <w:lang w:val="fr-FR"/>
        </w:rPr>
        <w:t xml:space="preserve"> la certification de la première famille de moteurs de l</w:t>
      </w:r>
      <w:r w:rsidR="00E60BAC">
        <w:rPr>
          <w:lang w:val="fr-FR"/>
        </w:rPr>
        <w:t>’</w:t>
      </w:r>
      <w:r w:rsidRPr="009F52F1">
        <w:rPr>
          <w:lang w:val="fr-FR"/>
        </w:rPr>
        <w:t>année modèle.</w:t>
      </w:r>
    </w:p>
    <w:p w14:paraId="2F67EAC6" w14:textId="77777777" w:rsidR="00BB6645" w:rsidRDefault="00BB6645" w:rsidP="00103347">
      <w:pPr>
        <w:pStyle w:val="SingleTxtG"/>
        <w:ind w:left="1701"/>
        <w:rPr>
          <w:lang w:val="fr-FR"/>
        </w:rPr>
      </w:pPr>
      <w:r w:rsidRPr="009F52F1">
        <w:rPr>
          <w:lang w:val="fr-FR"/>
        </w:rPr>
        <w:t>vi)</w:t>
      </w:r>
      <w:r>
        <w:rPr>
          <w:lang w:val="fr-FR"/>
        </w:rPr>
        <w:tab/>
      </w:r>
      <w:r w:rsidRPr="009F52F1">
        <w:rPr>
          <w:lang w:val="fr-FR"/>
        </w:rPr>
        <w:t xml:space="preserve">Lorsque le </w:t>
      </w:r>
      <w:r>
        <w:rPr>
          <w:lang w:val="fr-FR"/>
        </w:rPr>
        <w:t>constructeur</w:t>
      </w:r>
      <w:r w:rsidRPr="009F52F1">
        <w:rPr>
          <w:lang w:val="fr-FR"/>
        </w:rPr>
        <w:t xml:space="preserve"> choisit d</w:t>
      </w:r>
      <w:r w:rsidR="00E60BAC">
        <w:rPr>
          <w:lang w:val="fr-FR"/>
        </w:rPr>
        <w:t>’</w:t>
      </w:r>
      <w:r w:rsidRPr="009F52F1">
        <w:rPr>
          <w:lang w:val="fr-FR"/>
        </w:rPr>
        <w:t xml:space="preserve">appliquer la procédure </w:t>
      </w:r>
      <w:r w:rsidRPr="00F11BED">
        <w:rPr>
          <w:lang w:val="fr-FR"/>
        </w:rPr>
        <w:t xml:space="preserve">relative aux valeurs aberrantes </w:t>
      </w:r>
      <w:r w:rsidRPr="00E60BAC">
        <w:rPr>
          <w:lang w:val="fr-FR"/>
        </w:rPr>
        <w:t xml:space="preserve">à un ensemble de données contenant des données qui ont été moyennées conformément </w:t>
      </w:r>
      <w:r w:rsidR="00E60BAC" w:rsidRPr="00E60BAC">
        <w:rPr>
          <w:lang w:val="fr-FR"/>
        </w:rPr>
        <w:t>à l</w:t>
      </w:r>
      <w:r w:rsidR="00E60BAC">
        <w:rPr>
          <w:lang w:val="fr-FR"/>
        </w:rPr>
        <w:t>’</w:t>
      </w:r>
      <w:r w:rsidR="00E60BAC" w:rsidRPr="00E60BAC">
        <w:rPr>
          <w:lang w:val="fr-FR"/>
        </w:rPr>
        <w:t>alinéa </w:t>
      </w:r>
      <w:r w:rsidR="00E60BAC" w:rsidRPr="00E60BAC">
        <w:rPr>
          <w:lang w:val="fr-FR"/>
        </w:rPr>
        <w:t>e)</w:t>
      </w:r>
      <w:r w:rsidR="00E60BAC" w:rsidRPr="00E60BAC">
        <w:rPr>
          <w:lang w:val="fr-FR"/>
        </w:rPr>
        <w:t xml:space="preserve"> de la section </w:t>
      </w:r>
      <w:r w:rsidRPr="00E60BAC">
        <w:rPr>
          <w:lang w:val="fr-FR"/>
        </w:rPr>
        <w:t>86.427-</w:t>
      </w:r>
      <w:r w:rsidRPr="009F52F1">
        <w:rPr>
          <w:lang w:val="fr-FR"/>
        </w:rPr>
        <w:t>78, la</w:t>
      </w:r>
      <w:r>
        <w:rPr>
          <w:lang w:val="fr-FR"/>
        </w:rPr>
        <w:t>dite</w:t>
      </w:r>
      <w:r w:rsidRPr="009F52F1">
        <w:rPr>
          <w:lang w:val="fr-FR"/>
        </w:rPr>
        <w:t xml:space="preserve"> procédure</w:t>
      </w:r>
      <w:r w:rsidRPr="00F11BED">
        <w:rPr>
          <w:lang w:val="fr-FR"/>
        </w:rPr>
        <w:t xml:space="preserve"> </w:t>
      </w:r>
      <w:r w:rsidRPr="009F52F1">
        <w:rPr>
          <w:lang w:val="fr-FR"/>
        </w:rPr>
        <w:t>doit être</w:t>
      </w:r>
      <w:r>
        <w:rPr>
          <w:lang w:val="fr-FR"/>
        </w:rPr>
        <w:t xml:space="preserve"> exécutée</w:t>
      </w:r>
      <w:r w:rsidRPr="009F52F1">
        <w:rPr>
          <w:lang w:val="fr-FR"/>
        </w:rPr>
        <w:t xml:space="preserve"> avant de calculer la moyenne des données.</w:t>
      </w:r>
    </w:p>
    <w:p w14:paraId="40A675B6" w14:textId="77777777" w:rsidR="00BB6645" w:rsidRPr="009F52F1" w:rsidRDefault="00BB6645" w:rsidP="00596C93">
      <w:pPr>
        <w:pStyle w:val="SingleTxtG"/>
        <w:ind w:left="1701"/>
        <w:rPr>
          <w:lang w:val="fr-FR"/>
        </w:rPr>
      </w:pPr>
      <w:r>
        <w:rPr>
          <w:lang w:val="fr-FR"/>
        </w:rPr>
        <w:t>(</w:t>
      </w:r>
      <w:r w:rsidRPr="009F52F1">
        <w:rPr>
          <w:lang w:val="fr-FR"/>
        </w:rPr>
        <w:t xml:space="preserve">42 FR 1126, </w:t>
      </w:r>
      <w:r>
        <w:rPr>
          <w:lang w:val="fr-FR"/>
        </w:rPr>
        <w:t xml:space="preserve">en date du </w:t>
      </w:r>
      <w:r w:rsidRPr="009F52F1">
        <w:rPr>
          <w:lang w:val="fr-FR"/>
        </w:rPr>
        <w:t>5 janv</w:t>
      </w:r>
      <w:r>
        <w:rPr>
          <w:lang w:val="fr-FR"/>
        </w:rPr>
        <w:t>ier</w:t>
      </w:r>
      <w:r w:rsidRPr="009F52F1">
        <w:rPr>
          <w:lang w:val="fr-FR"/>
        </w:rPr>
        <w:t xml:space="preserve"> </w:t>
      </w:r>
      <w:r w:rsidRPr="0056005E">
        <w:rPr>
          <w:lang w:val="fr-FR"/>
        </w:rPr>
        <w:t>1977, modifié par 42 FR 56737</w:t>
      </w:r>
      <w:r w:rsidRPr="009F52F1">
        <w:rPr>
          <w:lang w:val="fr-FR"/>
        </w:rPr>
        <w:t xml:space="preserve">, </w:t>
      </w:r>
      <w:r>
        <w:rPr>
          <w:lang w:val="fr-FR"/>
        </w:rPr>
        <w:t xml:space="preserve">en date du </w:t>
      </w:r>
      <w:r w:rsidRPr="009F52F1">
        <w:rPr>
          <w:lang w:val="fr-FR"/>
        </w:rPr>
        <w:t>28</w:t>
      </w:r>
      <w:r>
        <w:rPr>
          <w:lang w:val="fr-FR"/>
        </w:rPr>
        <w:t> </w:t>
      </w:r>
      <w:r w:rsidRPr="009F52F1">
        <w:rPr>
          <w:lang w:val="fr-FR"/>
        </w:rPr>
        <w:t>oct</w:t>
      </w:r>
      <w:r>
        <w:rPr>
          <w:lang w:val="fr-FR"/>
        </w:rPr>
        <w:t>obre</w:t>
      </w:r>
      <w:r w:rsidRPr="009F52F1">
        <w:rPr>
          <w:lang w:val="fr-FR"/>
        </w:rPr>
        <w:t xml:space="preserve"> 1977</w:t>
      </w:r>
      <w:r>
        <w:rPr>
          <w:lang w:val="fr-FR"/>
        </w:rPr>
        <w:t>,</w:t>
      </w:r>
      <w:r w:rsidRPr="009F52F1">
        <w:rPr>
          <w:lang w:val="fr-FR"/>
        </w:rPr>
        <w:t xml:space="preserve"> 49 FR 48139, </w:t>
      </w:r>
      <w:r w:rsidRPr="00F11BED">
        <w:rPr>
          <w:lang w:val="fr-FR"/>
        </w:rPr>
        <w:t xml:space="preserve">en date du </w:t>
      </w:r>
      <w:r w:rsidRPr="009F52F1">
        <w:rPr>
          <w:lang w:val="fr-FR"/>
        </w:rPr>
        <w:t>10 déc</w:t>
      </w:r>
      <w:r>
        <w:rPr>
          <w:lang w:val="fr-FR"/>
        </w:rPr>
        <w:t>embre</w:t>
      </w:r>
      <w:r w:rsidRPr="009F52F1">
        <w:rPr>
          <w:lang w:val="fr-FR"/>
        </w:rPr>
        <w:t xml:space="preserve"> 1984</w:t>
      </w:r>
      <w:r>
        <w:rPr>
          <w:lang w:val="fr-FR"/>
        </w:rPr>
        <w:t xml:space="preserve">, et </w:t>
      </w:r>
      <w:r w:rsidRPr="009F52F1">
        <w:rPr>
          <w:lang w:val="fr-FR"/>
        </w:rPr>
        <w:t xml:space="preserve">81 FR 73979, </w:t>
      </w:r>
      <w:r w:rsidRPr="00F11BED">
        <w:rPr>
          <w:lang w:val="fr-FR"/>
        </w:rPr>
        <w:t xml:space="preserve">en date du </w:t>
      </w:r>
      <w:r w:rsidRPr="009F52F1">
        <w:rPr>
          <w:lang w:val="fr-FR"/>
        </w:rPr>
        <w:t>25 oct</w:t>
      </w:r>
      <w:r>
        <w:rPr>
          <w:lang w:val="fr-FR"/>
        </w:rPr>
        <w:t>obre</w:t>
      </w:r>
      <w:r w:rsidRPr="009F52F1">
        <w:rPr>
          <w:lang w:val="fr-FR"/>
        </w:rPr>
        <w:t xml:space="preserve"> 2016)</w:t>
      </w:r>
    </w:p>
    <w:p w14:paraId="4CFEA168" w14:textId="77777777" w:rsidR="00BB6645" w:rsidRPr="009F52F1" w:rsidRDefault="00BB6645" w:rsidP="009856A5">
      <w:pPr>
        <w:pStyle w:val="HChG"/>
        <w:rPr>
          <w:lang w:val="fr-FR"/>
        </w:rPr>
      </w:pPr>
      <w:r w:rsidRPr="009F52F1">
        <w:rPr>
          <w:lang w:val="fr-FR"/>
        </w:rPr>
        <w:tab/>
        <w:t>III.</w:t>
      </w:r>
      <w:r w:rsidRPr="009F52F1">
        <w:rPr>
          <w:lang w:val="fr-FR"/>
        </w:rPr>
        <w:tab/>
        <w:t>Documents connexes</w:t>
      </w:r>
    </w:p>
    <w:p w14:paraId="5F82E7E6" w14:textId="77777777" w:rsidR="00BB6645" w:rsidRPr="009F52F1" w:rsidRDefault="00103347" w:rsidP="00103347">
      <w:pPr>
        <w:pStyle w:val="SingleTxtG"/>
        <w:rPr>
          <w:lang w:val="fr-FR"/>
        </w:rPr>
      </w:pPr>
      <w:r>
        <w:rPr>
          <w:lang w:val="fr-FR"/>
        </w:rPr>
        <w:t>6</w:t>
      </w:r>
      <w:r w:rsidR="00BB6645" w:rsidRPr="009F52F1">
        <w:rPr>
          <w:lang w:val="fr-FR" w:eastAsia="ja-JP"/>
        </w:rPr>
        <w:t>.</w:t>
      </w:r>
      <w:r w:rsidR="00BB6645" w:rsidRPr="009F52F1">
        <w:rPr>
          <w:lang w:val="fr-FR" w:eastAsia="ja-JP"/>
        </w:rPr>
        <w:tab/>
      </w:r>
      <w:r w:rsidR="00BB6645" w:rsidRPr="009F52F1">
        <w:rPr>
          <w:lang w:val="fr-FR"/>
        </w:rPr>
        <w:t xml:space="preserve">40 </w:t>
      </w:r>
      <w:r w:rsidR="00BB6645" w:rsidRPr="00E60BAC">
        <w:rPr>
          <w:lang w:val="fr-FR"/>
        </w:rPr>
        <w:t>CFR 86.427</w:t>
      </w:r>
      <w:r w:rsidR="00BB6645" w:rsidRPr="009F52F1">
        <w:rPr>
          <w:lang w:val="fr-FR"/>
        </w:rPr>
        <w:t>-78 Essais d</w:t>
      </w:r>
      <w:r w:rsidR="00E60BAC">
        <w:rPr>
          <w:lang w:val="fr-FR"/>
        </w:rPr>
        <w:t>’</w:t>
      </w:r>
      <w:r w:rsidR="00BB6645" w:rsidRPr="009F52F1">
        <w:rPr>
          <w:lang w:val="fr-FR"/>
        </w:rPr>
        <w:t xml:space="preserve">émission </w:t>
      </w:r>
      <w:r w:rsidR="00BB6645">
        <w:rPr>
          <w:lang w:val="fr-FR"/>
        </w:rPr>
        <w:t>−</w:t>
      </w:r>
      <w:r w:rsidR="00BB6645" w:rsidRPr="009F52F1">
        <w:rPr>
          <w:lang w:val="fr-FR"/>
        </w:rPr>
        <w:t xml:space="preserve"> Code </w:t>
      </w:r>
      <w:r w:rsidR="00BB6645" w:rsidRPr="00212558">
        <w:t>des</w:t>
      </w:r>
      <w:r w:rsidR="00BB6645" w:rsidRPr="009F52F1">
        <w:rPr>
          <w:lang w:val="fr-FR"/>
        </w:rPr>
        <w:t xml:space="preserve"> règlements fédéraux (ecfr.io)</w:t>
      </w:r>
    </w:p>
    <w:p w14:paraId="3C074995" w14:textId="77777777" w:rsidR="00BB6645" w:rsidRPr="009F52F1" w:rsidRDefault="00103347" w:rsidP="00103347">
      <w:pPr>
        <w:pStyle w:val="SingleTxtG"/>
        <w:rPr>
          <w:lang w:val="fr-FR"/>
        </w:rPr>
      </w:pPr>
      <w:r>
        <w:rPr>
          <w:lang w:val="fr-FR"/>
        </w:rPr>
        <w:t>7</w:t>
      </w:r>
      <w:r w:rsidR="00BB6645" w:rsidRPr="009F52F1">
        <w:rPr>
          <w:lang w:val="fr-FR"/>
        </w:rPr>
        <w:t>.</w:t>
      </w:r>
      <w:r w:rsidR="00BB6645" w:rsidRPr="009F52F1">
        <w:rPr>
          <w:lang w:val="fr-FR"/>
        </w:rPr>
        <w:tab/>
        <w:t xml:space="preserve">40 </w:t>
      </w:r>
      <w:r w:rsidR="00BB6645" w:rsidRPr="00E60BAC">
        <w:rPr>
          <w:lang w:val="fr-FR"/>
        </w:rPr>
        <w:t>CFR 86.432</w:t>
      </w:r>
      <w:r w:rsidR="00BB6645" w:rsidRPr="009F52F1">
        <w:rPr>
          <w:lang w:val="fr-FR"/>
        </w:rPr>
        <w:t xml:space="preserve">-78 Facteur de détérioration </w:t>
      </w:r>
      <w:r w:rsidR="00BB6645">
        <w:rPr>
          <w:lang w:val="fr-FR"/>
        </w:rPr>
        <w:t>−</w:t>
      </w:r>
      <w:r w:rsidR="00BB6645" w:rsidRPr="009F52F1">
        <w:rPr>
          <w:lang w:val="fr-FR"/>
        </w:rPr>
        <w:t xml:space="preserve"> Code des règlements fédéraux (ecfr.io)</w:t>
      </w:r>
    </w:p>
    <w:p w14:paraId="7E9EA999" w14:textId="77777777" w:rsidR="00BB6645" w:rsidRDefault="00103347" w:rsidP="00103347">
      <w:pPr>
        <w:pStyle w:val="SingleTxtG"/>
        <w:rPr>
          <w:lang w:val="fr-FR"/>
        </w:rPr>
      </w:pPr>
      <w:r>
        <w:rPr>
          <w:lang w:val="fr-FR"/>
        </w:rPr>
        <w:t>8</w:t>
      </w:r>
      <w:r w:rsidR="00BB6645" w:rsidRPr="009F52F1">
        <w:rPr>
          <w:lang w:val="fr-FR"/>
        </w:rPr>
        <w:t>.</w:t>
      </w:r>
      <w:r w:rsidR="00BB6645" w:rsidRPr="009F52F1">
        <w:rPr>
          <w:lang w:val="fr-FR"/>
        </w:rPr>
        <w:tab/>
        <w:t>13 CCR § 1958 § 1958. Normes d</w:t>
      </w:r>
      <w:r w:rsidR="00E60BAC">
        <w:rPr>
          <w:lang w:val="fr-FR"/>
        </w:rPr>
        <w:t>’</w:t>
      </w:r>
      <w:r w:rsidR="00BB6645" w:rsidRPr="009F52F1">
        <w:rPr>
          <w:lang w:val="fr-FR"/>
        </w:rPr>
        <w:t xml:space="preserve">émission </w:t>
      </w:r>
      <w:r w:rsidR="00BB6645">
        <w:rPr>
          <w:lang w:val="fr-FR"/>
        </w:rPr>
        <w:t xml:space="preserve">pour les </w:t>
      </w:r>
      <w:r w:rsidR="00BB6645" w:rsidRPr="009F52F1">
        <w:rPr>
          <w:lang w:val="fr-FR"/>
        </w:rPr>
        <w:t>gaz d</w:t>
      </w:r>
      <w:r w:rsidR="00E60BAC">
        <w:rPr>
          <w:lang w:val="fr-FR"/>
        </w:rPr>
        <w:t>’</w:t>
      </w:r>
      <w:r w:rsidR="00BB6645" w:rsidRPr="009F52F1">
        <w:rPr>
          <w:lang w:val="fr-FR"/>
        </w:rPr>
        <w:t>échappement et procédures d</w:t>
      </w:r>
      <w:r w:rsidR="00E60BAC">
        <w:rPr>
          <w:lang w:val="fr-FR"/>
        </w:rPr>
        <w:t>’</w:t>
      </w:r>
      <w:r w:rsidR="00BB6645" w:rsidRPr="009F52F1">
        <w:rPr>
          <w:lang w:val="fr-FR"/>
        </w:rPr>
        <w:t xml:space="preserve">essai </w:t>
      </w:r>
      <w:r w:rsidR="00BB6645">
        <w:rPr>
          <w:lang w:val="fr-FR"/>
        </w:rPr>
        <w:t>−</w:t>
      </w:r>
      <w:r w:rsidR="00BB6645" w:rsidRPr="009F52F1">
        <w:rPr>
          <w:lang w:val="fr-FR"/>
        </w:rPr>
        <w:t xml:space="preserve"> Motocycles et moteurs de motocycles fabriqués à partir du 1</w:t>
      </w:r>
      <w:r w:rsidR="00BB6645" w:rsidRPr="00597D92">
        <w:rPr>
          <w:vertAlign w:val="superscript"/>
          <w:lang w:val="fr-FR"/>
        </w:rPr>
        <w:t>er</w:t>
      </w:r>
      <w:r w:rsidR="00BB6645">
        <w:rPr>
          <w:lang w:val="fr-FR"/>
        </w:rPr>
        <w:t> </w:t>
      </w:r>
      <w:r w:rsidR="00BB6645" w:rsidRPr="009F52F1">
        <w:rPr>
          <w:lang w:val="fr-FR"/>
        </w:rPr>
        <w:t>janvier 1978.</w:t>
      </w:r>
    </w:p>
    <w:p w14:paraId="27DD55EF" w14:textId="77777777" w:rsidR="009856A5" w:rsidRPr="009856A5" w:rsidRDefault="009856A5" w:rsidP="009856A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56A5" w:rsidRPr="009856A5" w:rsidSect="00BB66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8555" w14:textId="77777777" w:rsidR="004F3EE3" w:rsidRDefault="004F3EE3" w:rsidP="00F95C08">
      <w:pPr>
        <w:spacing w:line="240" w:lineRule="auto"/>
      </w:pPr>
    </w:p>
  </w:endnote>
  <w:endnote w:type="continuationSeparator" w:id="0">
    <w:p w14:paraId="0B3EE097" w14:textId="77777777" w:rsidR="004F3EE3" w:rsidRPr="00AC3823" w:rsidRDefault="004F3EE3" w:rsidP="00AC3823">
      <w:pPr>
        <w:pStyle w:val="Pieddepage"/>
      </w:pPr>
    </w:p>
  </w:endnote>
  <w:endnote w:type="continuationNotice" w:id="1">
    <w:p w14:paraId="161C276E" w14:textId="77777777" w:rsidR="004F3EE3" w:rsidRDefault="004F3E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4AC3" w14:textId="77777777" w:rsidR="00BB6645" w:rsidRPr="00BB6645" w:rsidRDefault="00BB6645" w:rsidP="00BB6645">
    <w:pPr>
      <w:pStyle w:val="Pieddepage"/>
      <w:tabs>
        <w:tab w:val="right" w:pos="9638"/>
      </w:tabs>
    </w:pPr>
    <w:r w:rsidRPr="00BB6645">
      <w:rPr>
        <w:b/>
        <w:sz w:val="18"/>
      </w:rPr>
      <w:fldChar w:fldCharType="begin"/>
    </w:r>
    <w:r w:rsidRPr="00BB6645">
      <w:rPr>
        <w:b/>
        <w:sz w:val="18"/>
      </w:rPr>
      <w:instrText xml:space="preserve"> PAGE  \* MERGEFORMAT </w:instrText>
    </w:r>
    <w:r w:rsidRPr="00BB6645">
      <w:rPr>
        <w:b/>
        <w:sz w:val="18"/>
      </w:rPr>
      <w:fldChar w:fldCharType="separate"/>
    </w:r>
    <w:r w:rsidRPr="00BB6645">
      <w:rPr>
        <w:b/>
        <w:noProof/>
        <w:sz w:val="18"/>
      </w:rPr>
      <w:t>2</w:t>
    </w:r>
    <w:r w:rsidRPr="00BB6645">
      <w:rPr>
        <w:b/>
        <w:sz w:val="18"/>
      </w:rPr>
      <w:fldChar w:fldCharType="end"/>
    </w:r>
    <w:r>
      <w:rPr>
        <w:b/>
        <w:sz w:val="18"/>
      </w:rPr>
      <w:tab/>
    </w:r>
    <w:r>
      <w:t>GE.22-00621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8B25" w14:textId="77777777" w:rsidR="00BB6645" w:rsidRPr="00BB6645" w:rsidRDefault="00BB6645" w:rsidP="00BB6645">
    <w:pPr>
      <w:pStyle w:val="Pieddepage"/>
      <w:tabs>
        <w:tab w:val="right" w:pos="9638"/>
      </w:tabs>
      <w:rPr>
        <w:b/>
        <w:sz w:val="18"/>
      </w:rPr>
    </w:pPr>
    <w:r>
      <w:t>GE.22-00621</w:t>
    </w:r>
    <w:r>
      <w:tab/>
    </w:r>
    <w:r w:rsidRPr="00BB6645">
      <w:rPr>
        <w:b/>
        <w:sz w:val="18"/>
      </w:rPr>
      <w:fldChar w:fldCharType="begin"/>
    </w:r>
    <w:r w:rsidRPr="00BB6645">
      <w:rPr>
        <w:b/>
        <w:sz w:val="18"/>
      </w:rPr>
      <w:instrText xml:space="preserve"> PAGE  \* MERGEFORMAT </w:instrText>
    </w:r>
    <w:r w:rsidRPr="00BB6645">
      <w:rPr>
        <w:b/>
        <w:sz w:val="18"/>
      </w:rPr>
      <w:fldChar w:fldCharType="separate"/>
    </w:r>
    <w:r w:rsidRPr="00BB6645">
      <w:rPr>
        <w:b/>
        <w:noProof/>
        <w:sz w:val="18"/>
      </w:rPr>
      <w:t>3</w:t>
    </w:r>
    <w:r w:rsidRPr="00BB66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1DCF" w14:textId="77777777" w:rsidR="007F20FA" w:rsidRPr="00BB6645" w:rsidRDefault="00BB6645" w:rsidP="00BB664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6D05F69" wp14:editId="22E90C3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22-00621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F79649" wp14:editId="2B4D51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6A5">
      <w:rPr>
        <w:sz w:val="20"/>
      </w:rPr>
      <w:t xml:space="preserve">    020622    020622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495D4" w14:textId="77777777" w:rsidR="004F3EE3" w:rsidRPr="00AC3823" w:rsidRDefault="004F3E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918EEA" w14:textId="77777777" w:rsidR="004F3EE3" w:rsidRPr="00AC3823" w:rsidRDefault="004F3E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C100ED" w14:textId="77777777" w:rsidR="004F3EE3" w:rsidRPr="00AC3823" w:rsidRDefault="004F3EE3">
      <w:pPr>
        <w:spacing w:line="240" w:lineRule="auto"/>
        <w:rPr>
          <w:sz w:val="2"/>
          <w:szCs w:val="2"/>
        </w:rPr>
      </w:pPr>
    </w:p>
  </w:footnote>
  <w:footnote w:id="2">
    <w:p w14:paraId="5030F3E8" w14:textId="77777777" w:rsidR="00BB6645" w:rsidRPr="00146EA4" w:rsidRDefault="00BB6645" w:rsidP="00BB6645">
      <w:pPr>
        <w:pStyle w:val="Notedebasdepage"/>
      </w:pPr>
      <w:r>
        <w:rPr>
          <w:rStyle w:val="Appelnotedebasdep"/>
        </w:rPr>
        <w:tab/>
      </w:r>
      <w:r w:rsidRPr="00146EA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</w:t>
      </w:r>
      <w:r w:rsidR="00E60BAC">
        <w:rPr>
          <w:lang w:val="fr-FR"/>
        </w:rPr>
        <w:t>’</w:t>
      </w:r>
      <w:r>
        <w:rPr>
          <w:lang w:val="fr-FR"/>
        </w:rPr>
        <w:t>il figure dans le projet de budget-programme pour 2021 (A/75/</w:t>
      </w:r>
      <w:r w:rsidRPr="00E60BAC">
        <w:rPr>
          <w:lang w:val="fr-FR"/>
        </w:rPr>
        <w:t>6 (</w:t>
      </w:r>
      <w:r w:rsidR="00E60BAC">
        <w:rPr>
          <w:lang w:val="fr-FR"/>
        </w:rPr>
        <w:t>Sect</w:t>
      </w:r>
      <w:r w:rsidRPr="00E60BAC">
        <w:rPr>
          <w:lang w:val="fr-FR"/>
        </w:rPr>
        <w:t>. 20), par.</w:t>
      </w:r>
      <w:r>
        <w:rPr>
          <w:lang w:val="fr-FR"/>
        </w:rPr>
        <w:t> 20.51), le Forum mondial a pour mission d</w:t>
      </w:r>
      <w:r w:rsidR="00E60BAC">
        <w:rPr>
          <w:lang w:val="fr-FR"/>
        </w:rPr>
        <w:t>’</w:t>
      </w:r>
      <w:r>
        <w:rPr>
          <w:lang w:val="fr-FR"/>
        </w:rPr>
        <w:t>élaborer, d</w:t>
      </w:r>
      <w:r w:rsidR="00E60BAC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E60BAC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1AB4" w14:textId="3CA35EE7" w:rsidR="00BB6645" w:rsidRPr="00BB6645" w:rsidRDefault="00BB6645">
    <w:pPr>
      <w:pStyle w:val="En-tte"/>
    </w:pPr>
    <w:fldSimple w:instr=" TITLE  \* MERGEFORMAT ">
      <w:r w:rsidR="0007275B">
        <w:t>ECE/TRANS/WP.29/2021/155/Rev.1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CDA7" w14:textId="628BE3D6" w:rsidR="00BB6645" w:rsidRPr="00BB6645" w:rsidRDefault="00BB6645" w:rsidP="00BB6645">
    <w:pPr>
      <w:pStyle w:val="En-tte"/>
      <w:jc w:val="right"/>
    </w:pPr>
    <w:fldSimple w:instr=" TITLE  \* MERGEFORMAT ">
      <w:r w:rsidR="0007275B">
        <w:t>ECE/TRANS/WP.29/2021/155/Rev.1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E3"/>
    <w:rsid w:val="00017F94"/>
    <w:rsid w:val="00023842"/>
    <w:rsid w:val="000334F9"/>
    <w:rsid w:val="00045FEB"/>
    <w:rsid w:val="0007275B"/>
    <w:rsid w:val="0007796D"/>
    <w:rsid w:val="000B7790"/>
    <w:rsid w:val="000F0ECE"/>
    <w:rsid w:val="00103347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57A6"/>
    <w:rsid w:val="00421996"/>
    <w:rsid w:val="00441C3B"/>
    <w:rsid w:val="00446FE5"/>
    <w:rsid w:val="00452396"/>
    <w:rsid w:val="00477EB2"/>
    <w:rsid w:val="004837D8"/>
    <w:rsid w:val="004D31F4"/>
    <w:rsid w:val="004E2EED"/>
    <w:rsid w:val="004E468C"/>
    <w:rsid w:val="004F3EE3"/>
    <w:rsid w:val="005505B7"/>
    <w:rsid w:val="00573BE5"/>
    <w:rsid w:val="00586ED3"/>
    <w:rsid w:val="00596AA9"/>
    <w:rsid w:val="00596C9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856A5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41A5"/>
    <w:rsid w:val="00B42883"/>
    <w:rsid w:val="00B45F2E"/>
    <w:rsid w:val="00B765F7"/>
    <w:rsid w:val="00B77993"/>
    <w:rsid w:val="00BA0CA9"/>
    <w:rsid w:val="00BB6645"/>
    <w:rsid w:val="00C02897"/>
    <w:rsid w:val="00C97039"/>
    <w:rsid w:val="00D3439C"/>
    <w:rsid w:val="00D7622E"/>
    <w:rsid w:val="00DB1831"/>
    <w:rsid w:val="00DD3BFD"/>
    <w:rsid w:val="00DF6678"/>
    <w:rsid w:val="00E0299A"/>
    <w:rsid w:val="00E60BAC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E0B835"/>
  <w15:docId w15:val="{3A35C8C9-9DA3-4E0B-B219-7BB75459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0E42C-0AB0-4596-8F1C-BEAD7879308C}"/>
</file>

<file path=customXml/itemProps2.xml><?xml version="1.0" encoding="utf-8"?>
<ds:datastoreItem xmlns:ds="http://schemas.openxmlformats.org/officeDocument/2006/customXml" ds:itemID="{E28B2524-320A-4A26-A2AE-43266FD8BD3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1306</Words>
  <Characters>9142</Characters>
  <Application>Microsoft Office Word</Application>
  <DocSecurity>0</DocSecurity>
  <Lines>761</Lines>
  <Paragraphs>417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ECE/TRANS/WP.29/2021/155/Rev.1</vt:lpstr>
      <vt:lpstr>    Demande révisée d’inscription dans le Recueil des règlements techniques mondia</vt:lpstr>
      <vt:lpstr>        Communication du représentant des États-Unis d’Amérique*</vt:lpstr>
      <vt:lpstr>    Demande d’inscription dans le Recueil des règlements techniques mondiaux admis</vt:lpstr>
      <vt:lpstr>    I.	Contexte</vt:lpstr>
      <vt:lpstr>    II.	Description des règlements</vt:lpstr>
      <vt:lpstr>    III.	Documents connexes</vt:lpstr>
    </vt:vector>
  </TitlesOfParts>
  <Company>DCM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ECE/TRANS/WP.29/2021/155/Rev.1</dc:title>
  <dc:subject/>
  <dc:creator>Julien OKRZESIK</dc:creator>
  <cp:keywords/>
  <cp:lastModifiedBy>Julien Okrzesik</cp:lastModifiedBy>
  <cp:revision>3</cp:revision>
  <cp:lastPrinted>2022-06-02T12:13:00Z</cp:lastPrinted>
  <dcterms:created xsi:type="dcterms:W3CDTF">2022-06-02T12:13:00Z</dcterms:created>
  <dcterms:modified xsi:type="dcterms:W3CDTF">2022-06-02T12:13:00Z</dcterms:modified>
</cp:coreProperties>
</file>