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25E12CF" w14:textId="77777777" w:rsidTr="00C97039">
        <w:trPr>
          <w:trHeight w:hRule="exact" w:val="851"/>
        </w:trPr>
        <w:tc>
          <w:tcPr>
            <w:tcW w:w="1276" w:type="dxa"/>
            <w:tcBorders>
              <w:bottom w:val="single" w:sz="4" w:space="0" w:color="auto"/>
            </w:tcBorders>
          </w:tcPr>
          <w:p w14:paraId="18F5CD8A" w14:textId="77777777" w:rsidR="00F35BAF" w:rsidRPr="00DB58B5" w:rsidRDefault="00F35BAF" w:rsidP="00C97039"/>
        </w:tc>
        <w:tc>
          <w:tcPr>
            <w:tcW w:w="2268" w:type="dxa"/>
            <w:tcBorders>
              <w:bottom w:val="single" w:sz="4" w:space="0" w:color="auto"/>
            </w:tcBorders>
            <w:vAlign w:val="bottom"/>
          </w:tcPr>
          <w:p w14:paraId="28DAF24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8DBB79" w14:textId="3D1BED1E" w:rsidR="00F35BAF" w:rsidRPr="00DB58B5" w:rsidRDefault="00512CD3" w:rsidP="00512CD3">
            <w:pPr>
              <w:jc w:val="right"/>
            </w:pPr>
            <w:r w:rsidRPr="00512CD3">
              <w:rPr>
                <w:sz w:val="40"/>
              </w:rPr>
              <w:t>ECE</w:t>
            </w:r>
            <w:r>
              <w:t>/TRANS/WP.15/AC.2/2022/49</w:t>
            </w:r>
          </w:p>
        </w:tc>
      </w:tr>
      <w:tr w:rsidR="00F35BAF" w:rsidRPr="00DB58B5" w14:paraId="4EC6A291" w14:textId="77777777" w:rsidTr="00C97039">
        <w:trPr>
          <w:trHeight w:hRule="exact" w:val="2835"/>
        </w:trPr>
        <w:tc>
          <w:tcPr>
            <w:tcW w:w="1276" w:type="dxa"/>
            <w:tcBorders>
              <w:top w:val="single" w:sz="4" w:space="0" w:color="auto"/>
              <w:bottom w:val="single" w:sz="12" w:space="0" w:color="auto"/>
            </w:tcBorders>
          </w:tcPr>
          <w:p w14:paraId="2E0460CC" w14:textId="77777777" w:rsidR="00F35BAF" w:rsidRPr="00DB58B5" w:rsidRDefault="00F35BAF" w:rsidP="00C97039">
            <w:pPr>
              <w:spacing w:before="120"/>
              <w:jc w:val="center"/>
            </w:pPr>
            <w:r>
              <w:rPr>
                <w:noProof/>
                <w:lang w:eastAsia="fr-CH"/>
              </w:rPr>
              <w:drawing>
                <wp:inline distT="0" distB="0" distL="0" distR="0" wp14:anchorId="619B6B0D" wp14:editId="2266C8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02448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2E110C" w14:textId="77777777" w:rsidR="00F35BAF" w:rsidRDefault="00512CD3" w:rsidP="00C97039">
            <w:pPr>
              <w:spacing w:before="240"/>
            </w:pPr>
            <w:r>
              <w:t>Distr. générale</w:t>
            </w:r>
          </w:p>
          <w:p w14:paraId="075B1F7B" w14:textId="1D59EB89" w:rsidR="00512CD3" w:rsidRDefault="00512CD3" w:rsidP="00512CD3">
            <w:pPr>
              <w:spacing w:line="240" w:lineRule="exact"/>
            </w:pPr>
            <w:r>
              <w:t>9 juin 2022</w:t>
            </w:r>
          </w:p>
          <w:p w14:paraId="31E536FB" w14:textId="77777777" w:rsidR="00512CD3" w:rsidRDefault="00512CD3" w:rsidP="00512CD3">
            <w:pPr>
              <w:spacing w:line="240" w:lineRule="exact"/>
            </w:pPr>
            <w:r>
              <w:t>Français</w:t>
            </w:r>
          </w:p>
          <w:p w14:paraId="670BE7C0" w14:textId="28C3CBE5" w:rsidR="00512CD3" w:rsidRPr="00DB58B5" w:rsidRDefault="00512CD3" w:rsidP="00512CD3">
            <w:pPr>
              <w:spacing w:line="240" w:lineRule="exact"/>
            </w:pPr>
            <w:r>
              <w:t>Original : anglais</w:t>
            </w:r>
          </w:p>
        </w:tc>
      </w:tr>
    </w:tbl>
    <w:p w14:paraId="35576B25" w14:textId="77777777" w:rsidR="007F20FA" w:rsidRPr="000312C0" w:rsidRDefault="007F20FA" w:rsidP="007F20FA">
      <w:pPr>
        <w:spacing w:before="120"/>
        <w:rPr>
          <w:b/>
          <w:sz w:val="28"/>
          <w:szCs w:val="28"/>
        </w:rPr>
      </w:pPr>
      <w:r w:rsidRPr="000312C0">
        <w:rPr>
          <w:b/>
          <w:sz w:val="28"/>
          <w:szCs w:val="28"/>
        </w:rPr>
        <w:t>Commission économique pour l’Europe</w:t>
      </w:r>
    </w:p>
    <w:p w14:paraId="75B63571" w14:textId="77777777" w:rsidR="007F20FA" w:rsidRDefault="007F20FA" w:rsidP="007F20FA">
      <w:pPr>
        <w:spacing w:before="120"/>
        <w:rPr>
          <w:sz w:val="28"/>
          <w:szCs w:val="28"/>
        </w:rPr>
      </w:pPr>
      <w:r w:rsidRPr="00685843">
        <w:rPr>
          <w:sz w:val="28"/>
          <w:szCs w:val="28"/>
        </w:rPr>
        <w:t>Comité des transports intérieurs</w:t>
      </w:r>
    </w:p>
    <w:p w14:paraId="2AAF323B" w14:textId="77777777" w:rsidR="000A32E2" w:rsidRPr="009E01B8" w:rsidRDefault="000A32E2"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1E26D1E9" w14:textId="384CD2FD" w:rsidR="000A32E2" w:rsidRPr="004812F5" w:rsidRDefault="000A32E2" w:rsidP="00AF0CB5">
      <w:pPr>
        <w:spacing w:before="120"/>
        <w:rPr>
          <w:b/>
        </w:rPr>
      </w:pPr>
      <w:r w:rsidRPr="004812F5">
        <w:rPr>
          <w:b/>
          <w:lang w:val="fr-FR"/>
        </w:rPr>
        <w:t xml:space="preserve">Réunion commune d’experts </w:t>
      </w:r>
      <w:r>
        <w:rPr>
          <w:b/>
          <w:lang w:val="fr-FR"/>
        </w:rPr>
        <w:t xml:space="preserve">du </w:t>
      </w:r>
      <w:r w:rsidRPr="004812F5">
        <w:rPr>
          <w:b/>
          <w:lang w:val="fr-FR"/>
        </w:rPr>
        <w:t>Règlement annexé</w:t>
      </w:r>
      <w:r>
        <w:rPr>
          <w:b/>
          <w:lang w:val="fr-FR"/>
        </w:rPr>
        <w:t xml:space="preserve"> </w:t>
      </w:r>
      <w:r w:rsidRPr="004812F5">
        <w:rPr>
          <w:b/>
          <w:lang w:val="fr-FR"/>
        </w:rPr>
        <w:t>à l’Accord européen</w:t>
      </w:r>
      <w:r>
        <w:rPr>
          <w:b/>
          <w:lang w:val="fr-FR"/>
        </w:rPr>
        <w:t xml:space="preserve"> </w:t>
      </w:r>
      <w:r>
        <w:rPr>
          <w:b/>
          <w:lang w:val="fr-FR"/>
        </w:rPr>
        <w:br/>
      </w:r>
      <w:r w:rsidRPr="004812F5">
        <w:rPr>
          <w:b/>
          <w:lang w:val="fr-FR"/>
        </w:rPr>
        <w:t>relatif au transport international</w:t>
      </w:r>
      <w:r>
        <w:rPr>
          <w:b/>
          <w:lang w:val="fr-FR"/>
        </w:rPr>
        <w:t xml:space="preserve"> </w:t>
      </w:r>
      <w:r w:rsidRPr="004812F5">
        <w:rPr>
          <w:b/>
          <w:lang w:val="fr-FR"/>
        </w:rPr>
        <w:t xml:space="preserve">des marchandises </w:t>
      </w:r>
      <w:r w:rsidRPr="004812F5">
        <w:rPr>
          <w:b/>
          <w:bCs/>
          <w:iCs/>
          <w:lang w:val="fr-FR"/>
        </w:rPr>
        <w:t xml:space="preserve">dangereuses </w:t>
      </w:r>
      <w:r>
        <w:rPr>
          <w:b/>
          <w:bCs/>
          <w:iCs/>
          <w:lang w:val="fr-FR"/>
        </w:rPr>
        <w:br/>
      </w:r>
      <w:r w:rsidRPr="004812F5">
        <w:rPr>
          <w:b/>
          <w:bCs/>
          <w:iCs/>
          <w:lang w:val="fr-FR"/>
        </w:rPr>
        <w:t>par voies</w:t>
      </w:r>
      <w:r>
        <w:rPr>
          <w:b/>
          <w:bCs/>
          <w:iCs/>
          <w:lang w:val="fr-FR"/>
        </w:rPr>
        <w:t xml:space="preserve"> </w:t>
      </w:r>
      <w:r w:rsidRPr="004812F5">
        <w:rPr>
          <w:b/>
          <w:bCs/>
          <w:iCs/>
          <w:lang w:val="fr-FR"/>
        </w:rPr>
        <w:t>de navigation</w:t>
      </w:r>
      <w:r>
        <w:rPr>
          <w:b/>
          <w:bCs/>
          <w:iCs/>
          <w:lang w:val="fr-FR"/>
        </w:rPr>
        <w:t xml:space="preserve"> </w:t>
      </w:r>
      <w:r w:rsidRPr="004812F5">
        <w:rPr>
          <w:b/>
          <w:bCs/>
          <w:iCs/>
          <w:lang w:val="fr-FR"/>
        </w:rPr>
        <w:t xml:space="preserve">intérieures (ADN) </w:t>
      </w:r>
      <w:r>
        <w:rPr>
          <w:b/>
          <w:bCs/>
          <w:iCs/>
          <w:lang w:val="fr-FR"/>
        </w:rPr>
        <w:br/>
      </w:r>
      <w:r w:rsidRPr="004812F5">
        <w:rPr>
          <w:b/>
          <w:bCs/>
          <w:lang w:val="fr-FR"/>
        </w:rPr>
        <w:t>(Comité de sécurité de l’ADN)</w:t>
      </w:r>
    </w:p>
    <w:p w14:paraId="524F8E44" w14:textId="14C574C1" w:rsidR="000A32E2" w:rsidRPr="00234E40" w:rsidRDefault="000A32E2" w:rsidP="00AF0CB5">
      <w:pPr>
        <w:spacing w:before="120"/>
        <w:rPr>
          <w:b/>
        </w:rPr>
      </w:pPr>
      <w:r>
        <w:rPr>
          <w:b/>
        </w:rPr>
        <w:t xml:space="preserve">Quarantième </w:t>
      </w:r>
      <w:r w:rsidRPr="00234E40">
        <w:rPr>
          <w:b/>
        </w:rPr>
        <w:t>session</w:t>
      </w:r>
    </w:p>
    <w:p w14:paraId="5111B080" w14:textId="45E52192" w:rsidR="000A32E2" w:rsidRDefault="000A32E2" w:rsidP="00AF0CB5">
      <w:r>
        <w:t>Genève, 22-26 août 2022</w:t>
      </w:r>
    </w:p>
    <w:p w14:paraId="2EAD0A9F" w14:textId="2207D8DE" w:rsidR="000A32E2" w:rsidRDefault="000A32E2" w:rsidP="00AF0CB5">
      <w:r w:rsidRPr="00B93E72">
        <w:t>Point</w:t>
      </w:r>
      <w:r>
        <w:t> 3 c)</w:t>
      </w:r>
      <w:r w:rsidRPr="00B93E72">
        <w:t xml:space="preserve"> de l’ordre du jour provisoire</w:t>
      </w:r>
    </w:p>
    <w:p w14:paraId="5ACAF22F" w14:textId="4435EE99" w:rsidR="000A32E2" w:rsidRPr="000A32E2" w:rsidRDefault="000A32E2" w:rsidP="000A32E2">
      <w:pPr>
        <w:rPr>
          <w:b/>
          <w:bCs/>
          <w:spacing w:val="-3"/>
        </w:rPr>
      </w:pPr>
      <w:r>
        <w:rPr>
          <w:b/>
          <w:bCs/>
          <w:lang w:val="fr-FR"/>
        </w:rPr>
        <w:t xml:space="preserve">Mise en œuvre de l’Accord européen relatif au transport international </w:t>
      </w:r>
      <w:r>
        <w:rPr>
          <w:b/>
          <w:bCs/>
          <w:lang w:val="fr-FR"/>
        </w:rPr>
        <w:br/>
      </w:r>
      <w:r w:rsidRPr="000A32E2">
        <w:rPr>
          <w:b/>
          <w:bCs/>
          <w:spacing w:val="-3"/>
          <w:lang w:val="fr-FR"/>
        </w:rPr>
        <w:t>des marchandises dangereuses par voies de navigation intérieures (ADN)</w:t>
      </w:r>
      <w:r w:rsidRPr="000A32E2">
        <w:rPr>
          <w:b/>
          <w:bCs/>
          <w:spacing w:val="-3"/>
          <w:lang w:val="fr-FR"/>
        </w:rPr>
        <w:t> </w:t>
      </w:r>
      <w:r w:rsidRPr="000A32E2">
        <w:rPr>
          <w:b/>
          <w:bCs/>
          <w:spacing w:val="-3"/>
          <w:lang w:val="fr-FR"/>
        </w:rPr>
        <w:t>:</w:t>
      </w:r>
      <w:r>
        <w:rPr>
          <w:b/>
          <w:bCs/>
          <w:spacing w:val="-3"/>
        </w:rPr>
        <w:t xml:space="preserve"> </w:t>
      </w:r>
      <w:r>
        <w:rPr>
          <w:b/>
          <w:bCs/>
          <w:spacing w:val="-3"/>
        </w:rPr>
        <w:br/>
      </w:r>
      <w:r>
        <w:rPr>
          <w:b/>
          <w:bCs/>
          <w:lang w:val="fr-FR"/>
        </w:rPr>
        <w:t>Interprétation du Règlement annexé à l’ADN</w:t>
      </w:r>
    </w:p>
    <w:p w14:paraId="36B9CA6B" w14:textId="77777777" w:rsidR="000A32E2" w:rsidRPr="00DB4902" w:rsidRDefault="000A32E2" w:rsidP="000A32E2">
      <w:pPr>
        <w:pStyle w:val="HChG"/>
      </w:pPr>
      <w:r>
        <w:rPr>
          <w:lang w:val="fr-FR"/>
        </w:rPr>
        <w:tab/>
      </w:r>
      <w:r>
        <w:rPr>
          <w:lang w:val="fr-FR"/>
        </w:rPr>
        <w:tab/>
        <w:t xml:space="preserve">Surveillance du chargement et du déchargement, surveillance depuis la </w:t>
      </w:r>
      <w:bookmarkStart w:id="0" w:name="_Hlk53046188"/>
      <w:bookmarkEnd w:id="0"/>
      <w:r>
        <w:rPr>
          <w:lang w:val="fr-FR"/>
        </w:rPr>
        <w:t>terre</w:t>
      </w:r>
    </w:p>
    <w:p w14:paraId="1F286A72" w14:textId="6F944ACF" w:rsidR="000A32E2" w:rsidRPr="000A32E2" w:rsidRDefault="000A32E2" w:rsidP="000A32E2">
      <w:pPr>
        <w:pStyle w:val="H1G"/>
        <w:rPr>
          <w:vertAlign w:val="superscript"/>
          <w:lang w:val="fr-FR"/>
        </w:rPr>
      </w:pPr>
      <w:r>
        <w:rPr>
          <w:lang w:val="fr-FR"/>
        </w:rPr>
        <w:tab/>
      </w:r>
      <w:r>
        <w:rPr>
          <w:lang w:val="fr-FR"/>
        </w:rPr>
        <w:tab/>
        <w:t>Communication du Gouvernement néerlandais</w:t>
      </w:r>
      <w:r w:rsidRPr="000A32E2">
        <w:rPr>
          <w:rStyle w:val="Appelnotedebasdep"/>
          <w:b w:val="0"/>
          <w:bCs/>
          <w:sz w:val="20"/>
          <w:vertAlign w:val="baseline"/>
        </w:rPr>
        <w:footnoteReference w:customMarkFollows="1" w:id="2"/>
        <w:t>*</w:t>
      </w:r>
      <w:r w:rsidRPr="000A32E2">
        <w:rPr>
          <w:b w:val="0"/>
          <w:bCs/>
          <w:sz w:val="20"/>
          <w:vertAlign w:val="superscript"/>
        </w:rPr>
        <w:t xml:space="preserve">, </w:t>
      </w:r>
      <w:r w:rsidRPr="000A32E2">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A32E2" w14:paraId="437ED59D" w14:textId="77777777">
        <w:trPr>
          <w:jc w:val="center"/>
        </w:trPr>
        <w:tc>
          <w:tcPr>
            <w:tcW w:w="9637" w:type="dxa"/>
            <w:shd w:val="clear" w:color="auto" w:fill="auto"/>
          </w:tcPr>
          <w:p w14:paraId="407E2C86" w14:textId="77777777" w:rsidR="000A32E2" w:rsidRDefault="000A32E2">
            <w:pPr>
              <w:spacing w:before="240" w:after="120"/>
              <w:ind w:left="255"/>
              <w:rPr>
                <w:i/>
                <w:sz w:val="24"/>
              </w:rPr>
            </w:pPr>
            <w:r>
              <w:rPr>
                <w:i/>
                <w:sz w:val="24"/>
              </w:rPr>
              <w:t>Résumé</w:t>
            </w:r>
          </w:p>
        </w:tc>
      </w:tr>
      <w:tr w:rsidR="000A32E2" w14:paraId="6B1C78CD" w14:textId="77777777">
        <w:trPr>
          <w:jc w:val="center"/>
        </w:trPr>
        <w:tc>
          <w:tcPr>
            <w:tcW w:w="9637" w:type="dxa"/>
            <w:shd w:val="clear" w:color="auto" w:fill="auto"/>
          </w:tcPr>
          <w:p w14:paraId="73D5C611" w14:textId="692AF244" w:rsidR="000A32E2" w:rsidRDefault="000A32E2" w:rsidP="000A32E2">
            <w:pPr>
              <w:pStyle w:val="SingleTxtG"/>
              <w:tabs>
                <w:tab w:val="left" w:pos="3393"/>
              </w:tabs>
              <w:ind w:left="255"/>
            </w:pPr>
            <w:r w:rsidRPr="000A32E2">
              <w:rPr>
                <w:b/>
                <w:bCs/>
              </w:rPr>
              <w:t>Résumé analytique</w:t>
            </w:r>
            <w:r>
              <w:t> :</w:t>
            </w:r>
            <w:r>
              <w:tab/>
              <w:t>Aucun</w:t>
            </w:r>
          </w:p>
        </w:tc>
      </w:tr>
      <w:tr w:rsidR="000A32E2" w14:paraId="434C29F3" w14:textId="77777777">
        <w:trPr>
          <w:jc w:val="center"/>
        </w:trPr>
        <w:tc>
          <w:tcPr>
            <w:tcW w:w="9637" w:type="dxa"/>
            <w:shd w:val="clear" w:color="auto" w:fill="auto"/>
          </w:tcPr>
          <w:p w14:paraId="39E5E342" w14:textId="5BDC1483" w:rsidR="000A32E2" w:rsidRDefault="000A32E2" w:rsidP="000A32E2">
            <w:pPr>
              <w:pStyle w:val="SingleTxtG"/>
              <w:tabs>
                <w:tab w:val="left" w:pos="3393"/>
              </w:tabs>
              <w:ind w:left="255"/>
            </w:pPr>
            <w:r w:rsidRPr="000A32E2">
              <w:rPr>
                <w:b/>
                <w:bCs/>
              </w:rPr>
              <w:t>Mesure à prendre</w:t>
            </w:r>
            <w:r>
              <w:t> :</w:t>
            </w:r>
            <w:r>
              <w:tab/>
              <w:t>Aucune</w:t>
            </w:r>
          </w:p>
        </w:tc>
      </w:tr>
      <w:tr w:rsidR="000A32E2" w14:paraId="2FABB2F0" w14:textId="77777777">
        <w:trPr>
          <w:jc w:val="center"/>
        </w:trPr>
        <w:tc>
          <w:tcPr>
            <w:tcW w:w="9637" w:type="dxa"/>
            <w:shd w:val="clear" w:color="auto" w:fill="auto"/>
          </w:tcPr>
          <w:p w14:paraId="53E2678F" w14:textId="23EDE38A" w:rsidR="000A32E2" w:rsidRDefault="000A32E2" w:rsidP="000A32E2">
            <w:pPr>
              <w:pStyle w:val="SingleTxtG"/>
              <w:tabs>
                <w:tab w:val="left" w:pos="3393"/>
              </w:tabs>
              <w:ind w:left="3402" w:right="567" w:hanging="3147"/>
              <w:jc w:val="left"/>
            </w:pPr>
            <w:r w:rsidRPr="000A32E2">
              <w:rPr>
                <w:b/>
                <w:bCs/>
              </w:rPr>
              <w:t>Documents connexes</w:t>
            </w:r>
            <w:r>
              <w:t xml:space="preserve"> : </w:t>
            </w:r>
            <w:r>
              <w:tab/>
            </w:r>
            <w:r w:rsidRPr="000A32E2">
              <w:t>ECE</w:t>
            </w:r>
            <w:r>
              <w:rPr>
                <w:lang w:val="fr-FR"/>
              </w:rPr>
              <w:t>/TRANS/WP.15/AC.2/2015/18 (Pays-Bas)</w:t>
            </w:r>
            <w:r>
              <w:rPr>
                <w:lang w:val="fr-FR"/>
              </w:rPr>
              <w:t xml:space="preserve"> </w:t>
            </w:r>
            <w:r>
              <w:rPr>
                <w:lang w:val="fr-FR"/>
              </w:rPr>
              <w:br/>
            </w:r>
            <w:r>
              <w:rPr>
                <w:lang w:val="fr-FR"/>
              </w:rPr>
              <w:t>ECE/TRANS/WP.15/AC.2/2015/32 (Allemagne)</w:t>
            </w:r>
            <w:r>
              <w:rPr>
                <w:lang w:val="fr-FR"/>
              </w:rPr>
              <w:t xml:space="preserve"> </w:t>
            </w:r>
            <w:r>
              <w:rPr>
                <w:lang w:val="fr-FR"/>
              </w:rPr>
              <w:br/>
            </w:r>
            <w:r>
              <w:rPr>
                <w:lang w:val="fr-FR"/>
              </w:rPr>
              <w:t>ECE/TRANS/WP.15/AC.2/56, par.</w:t>
            </w:r>
            <w:r>
              <w:rPr>
                <w:lang w:val="fr-FR"/>
              </w:rPr>
              <w:t> </w:t>
            </w:r>
            <w:r>
              <w:rPr>
                <w:lang w:val="fr-FR"/>
              </w:rPr>
              <w:t xml:space="preserve">16 à 19 </w:t>
            </w:r>
            <w:r>
              <w:rPr>
                <w:lang w:val="fr-FR"/>
              </w:rPr>
              <w:t>−</w:t>
            </w:r>
            <w:r>
              <w:rPr>
                <w:lang w:val="fr-FR"/>
              </w:rPr>
              <w:t xml:space="preserve"> Rapport sur les</w:t>
            </w:r>
            <w:r>
              <w:rPr>
                <w:lang w:val="fr-FR"/>
              </w:rPr>
              <w:t xml:space="preserve"> </w:t>
            </w:r>
            <w:r>
              <w:rPr>
                <w:lang w:val="fr-FR"/>
              </w:rPr>
              <w:t>travaux de la vingt-septième session</w:t>
            </w:r>
          </w:p>
        </w:tc>
      </w:tr>
      <w:tr w:rsidR="000A32E2" w14:paraId="1D285026" w14:textId="77777777">
        <w:trPr>
          <w:jc w:val="center"/>
        </w:trPr>
        <w:tc>
          <w:tcPr>
            <w:tcW w:w="9637" w:type="dxa"/>
            <w:shd w:val="clear" w:color="auto" w:fill="auto"/>
          </w:tcPr>
          <w:p w14:paraId="3E534FC7" w14:textId="77777777" w:rsidR="000A32E2" w:rsidRDefault="000A32E2"/>
        </w:tc>
      </w:tr>
    </w:tbl>
    <w:p w14:paraId="3B32BF55" w14:textId="77777777" w:rsidR="000A32E2" w:rsidRPr="00DB4902" w:rsidRDefault="000A32E2" w:rsidP="000A32E2">
      <w:pPr>
        <w:pStyle w:val="HChG"/>
      </w:pPr>
      <w:r w:rsidRPr="00DB4902">
        <w:tab/>
      </w:r>
      <w:r w:rsidRPr="00DB4902">
        <w:tab/>
        <w:t>Introduction</w:t>
      </w:r>
    </w:p>
    <w:p w14:paraId="24E2E484" w14:textId="096578AA" w:rsidR="000A32E2" w:rsidRDefault="000A32E2" w:rsidP="000A32E2">
      <w:pPr>
        <w:pStyle w:val="SingleTxtG"/>
      </w:pPr>
      <w:r>
        <w:rPr>
          <w:lang w:val="fr-FR"/>
        </w:rPr>
        <w:t>1.</w:t>
      </w:r>
      <w:r>
        <w:rPr>
          <w:lang w:val="fr-FR"/>
        </w:rPr>
        <w:tab/>
        <w:t>À sa vingt-septième session, le Comité de sécurité de l’ADN avait examiné trois interprétations nationales présentées par les Pays-Bas. L’une des interprétations adoptées par le Comité de sécurité de l’ADN portait sur la surveillance des opérations de chargement et de déchargement (8.6.3, question</w:t>
      </w:r>
      <w:r>
        <w:rPr>
          <w:lang w:val="fr-FR"/>
        </w:rPr>
        <w:t> </w:t>
      </w:r>
      <w:r>
        <w:rPr>
          <w:lang w:val="fr-FR"/>
        </w:rPr>
        <w:t>10) (sous 7.2.4.25.5 sur le site Web de la CEE).</w:t>
      </w:r>
    </w:p>
    <w:p w14:paraId="2F655E1E" w14:textId="761BD280" w:rsidR="000A32E2" w:rsidRDefault="000A32E2" w:rsidP="000A32E2">
      <w:pPr>
        <w:pStyle w:val="SingleTxtG"/>
      </w:pPr>
      <w:r>
        <w:rPr>
          <w:lang w:val="fr-FR"/>
        </w:rPr>
        <w:lastRenderedPageBreak/>
        <w:t>2.</w:t>
      </w:r>
      <w:r>
        <w:rPr>
          <w:lang w:val="fr-FR"/>
        </w:rPr>
        <w:tab/>
        <w:t>Cette interprétation concerne la surveillance des opérations de chargement et de déchargement à bord et à terre. La surveillance à terre peut être effectuée grâce à des moyens techniques (auxiliaires) et doit être exécutée par le remplisseur/déchargeur. Selon cette interprétation, la surveillance à terre doit porter sur un rayon d’au moins 3 mètres autour du collecteur utilisé pour le chargement ou le déchargement. Dans la pratique, cela signifie que, dans de nombreux cas, la surveillance à terre est limitée à la zone d’un rayon de 3</w:t>
      </w:r>
      <w:r>
        <w:rPr>
          <w:lang w:val="fr-FR"/>
        </w:rPr>
        <w:t> </w:t>
      </w:r>
      <w:r>
        <w:rPr>
          <w:lang w:val="fr-FR"/>
        </w:rPr>
        <w:t>mètres autour du collecteur.</w:t>
      </w:r>
    </w:p>
    <w:p w14:paraId="5ED86749" w14:textId="77777777" w:rsidR="000A32E2" w:rsidRPr="00870442" w:rsidRDefault="000A32E2" w:rsidP="000A32E2">
      <w:pPr>
        <w:pStyle w:val="SingleTxtG"/>
      </w:pPr>
      <w:r>
        <w:rPr>
          <w:lang w:val="fr-FR"/>
        </w:rPr>
        <w:t>3.</w:t>
      </w:r>
      <w:r>
        <w:rPr>
          <w:lang w:val="fr-FR"/>
        </w:rPr>
        <w:tab/>
        <w:t>L’organe néerlandais chargé des inspections a constaté que tous les incidents survenant lors du chargement et du déchargement ne se produisaient pas dans la zone d’un rayon de 3 mètres autour du collecteur utilisé pour le chargement ou le déchargement. Lorsqu’un incident se produit au-delà de cette zone d’un rayon de 3 mètres, les personnes chargées de la surveillance à terre ne le voient pas. Les interventions risquent alors d’être retardées, ce qui peut entraîner des déversements de plus grande ampleur. De plus, l’incident est alors constaté par la personne à bord du bateau, qui est susceptible d’être plus directement exposée à la substance déversée et qui pourrait donc réagir en paniquant, faire un malaise et/ou se blesser (en glissant sur le produit déversé).</w:t>
      </w:r>
    </w:p>
    <w:p w14:paraId="2EFF32D0" w14:textId="2D07CBBF" w:rsidR="000A32E2" w:rsidRDefault="000A32E2" w:rsidP="000A32E2">
      <w:pPr>
        <w:pStyle w:val="SingleTxtG"/>
      </w:pPr>
      <w:r>
        <w:rPr>
          <w:lang w:val="fr-FR"/>
        </w:rPr>
        <w:t>4.</w:t>
      </w:r>
      <w:r>
        <w:rPr>
          <w:lang w:val="fr-FR"/>
        </w:rPr>
        <w:tab/>
        <w:t>La délégation néerlandaise souhaiterait déterminer, avec les États membres du Comité de sécurité de l’ADN, si la zone de surveillance à terre doit être élargie afin de permettre de détecter également les déversements au-delà du rayon de 3</w:t>
      </w:r>
      <w:r>
        <w:rPr>
          <w:lang w:val="fr-FR"/>
        </w:rPr>
        <w:t> </w:t>
      </w:r>
      <w:r>
        <w:rPr>
          <w:lang w:val="fr-FR"/>
        </w:rPr>
        <w:t>mètres autour du collecteur. Grâce à cette modification, le temps de réaction pourrait être raccourci, ce qui permettrait de limiter les déversements. Plus important encore, les incidents seraient plus susceptibles d’être remarqués par des personnes plus éloignées de l’endroit où ils se produisent, ce qui réduirait les risques d’exposition et les réactions de panique, et permettrait de prendre des décisions de manière plus sereine en cas d’incident.</w:t>
      </w:r>
    </w:p>
    <w:p w14:paraId="0F4D207E" w14:textId="77777777" w:rsidR="000A32E2" w:rsidRDefault="000A32E2" w:rsidP="000A32E2">
      <w:pPr>
        <w:pStyle w:val="SingleTxtG"/>
      </w:pPr>
      <w:r>
        <w:rPr>
          <w:lang w:val="fr-FR"/>
        </w:rPr>
        <w:t>5.</w:t>
      </w:r>
      <w:r>
        <w:rPr>
          <w:lang w:val="fr-FR"/>
        </w:rPr>
        <w:tab/>
        <w:t>L’interprétation concernée figure à l’annexe de la présente proposition (8.6.3 de l’ADN).</w:t>
      </w:r>
    </w:p>
    <w:p w14:paraId="538BEC81" w14:textId="6DE342E4" w:rsidR="000A32E2" w:rsidRDefault="000A32E2" w:rsidP="000A32E2">
      <w:pPr>
        <w:pStyle w:val="SingleTxtG"/>
        <w:rPr>
          <w:lang w:val="fr-FR"/>
        </w:rPr>
      </w:pPr>
      <w:r>
        <w:rPr>
          <w:lang w:val="fr-FR"/>
        </w:rPr>
        <w:t>6.</w:t>
      </w:r>
      <w:r>
        <w:rPr>
          <w:lang w:val="fr-FR"/>
        </w:rPr>
        <w:tab/>
        <w:t>Si le Comité de sécurité de l’ADN souscrit à l’avis de la délégation néerlandaise selon lequel la surveillance à terre doit être étendue au-delà de la zone entourant directement le collecteur, l’interprétation actuelle doit être modifiée. Toutefois, il pourrait également être nécessaire de modifier la question</w:t>
      </w:r>
      <w:r>
        <w:rPr>
          <w:lang w:val="fr-FR"/>
        </w:rPr>
        <w:t> </w:t>
      </w:r>
      <w:r>
        <w:rPr>
          <w:lang w:val="fr-FR"/>
        </w:rPr>
        <w:t>10 du 8.6.3 de l’ADN et l’explication y afférente. La</w:t>
      </w:r>
      <w:r>
        <w:rPr>
          <w:lang w:val="fr-FR"/>
        </w:rPr>
        <w:t> </w:t>
      </w:r>
      <w:r>
        <w:rPr>
          <w:lang w:val="fr-FR"/>
        </w:rPr>
        <w:t>délégation néerlandaise est disposée à élaborer un document dans lequel figureraient des propositions pertinentes concernant la modification de l’interprétation et/ou de l’ADN.</w:t>
      </w:r>
    </w:p>
    <w:p w14:paraId="34C772B4" w14:textId="27715DAB" w:rsidR="000A32E2" w:rsidRDefault="000A32E2" w:rsidP="000A32E2">
      <w:pPr>
        <w:pStyle w:val="SingleTxtG"/>
        <w:rPr>
          <w:lang w:val="fr-FR"/>
        </w:rPr>
      </w:pPr>
      <w:r>
        <w:rPr>
          <w:lang w:val="fr-FR"/>
        </w:rPr>
        <w:br w:type="page"/>
      </w:r>
    </w:p>
    <w:p w14:paraId="2095ECE8" w14:textId="77777777" w:rsidR="000A32E2" w:rsidRDefault="000A32E2" w:rsidP="000A32E2">
      <w:pPr>
        <w:pStyle w:val="HChG"/>
      </w:pPr>
      <w:r>
        <w:rPr>
          <w:lang w:val="fr-FR"/>
        </w:rPr>
        <w:lastRenderedPageBreak/>
        <w:t>Annexe</w:t>
      </w:r>
    </w:p>
    <w:p w14:paraId="32AE51CE" w14:textId="77777777" w:rsidR="000A32E2" w:rsidRPr="00327C4D" w:rsidRDefault="000A32E2" w:rsidP="000A32E2">
      <w:pPr>
        <w:pStyle w:val="HChG"/>
      </w:pPr>
      <w:r>
        <w:rPr>
          <w:lang w:val="fr-FR"/>
        </w:rPr>
        <w:tab/>
      </w:r>
      <w:r>
        <w:rPr>
          <w:lang w:val="fr-FR"/>
        </w:rPr>
        <w:tab/>
        <w:t>Surveillance</w:t>
      </w:r>
    </w:p>
    <w:tbl>
      <w:tblPr>
        <w:tblW w:w="7370" w:type="dxa"/>
        <w:tblInd w:w="1134" w:type="dxa"/>
        <w:tblLayout w:type="fixed"/>
        <w:tblCellMar>
          <w:left w:w="0" w:type="dxa"/>
          <w:right w:w="0" w:type="dxa"/>
        </w:tblCellMar>
        <w:tblLook w:val="01E0" w:firstRow="1" w:lastRow="1" w:firstColumn="1" w:lastColumn="1" w:noHBand="0" w:noVBand="0"/>
      </w:tblPr>
      <w:tblGrid>
        <w:gridCol w:w="1276"/>
        <w:gridCol w:w="3119"/>
        <w:gridCol w:w="2975"/>
      </w:tblGrid>
      <w:tr w:rsidR="000A32E2" w:rsidRPr="000A32E2" w14:paraId="0290F90D" w14:textId="77777777" w:rsidTr="000A32E2">
        <w:trPr>
          <w:tblHeader/>
        </w:trPr>
        <w:tc>
          <w:tcPr>
            <w:tcW w:w="1276" w:type="dxa"/>
            <w:tcBorders>
              <w:top w:val="single" w:sz="4" w:space="0" w:color="auto"/>
              <w:bottom w:val="single" w:sz="12" w:space="0" w:color="auto"/>
            </w:tcBorders>
            <w:shd w:val="clear" w:color="auto" w:fill="auto"/>
            <w:vAlign w:val="bottom"/>
          </w:tcPr>
          <w:p w14:paraId="64851749" w14:textId="77777777" w:rsidR="000A32E2" w:rsidRPr="000A32E2" w:rsidRDefault="000A32E2" w:rsidP="000A32E2">
            <w:pPr>
              <w:spacing w:before="80" w:after="80" w:line="200" w:lineRule="exact"/>
              <w:ind w:right="113"/>
              <w:rPr>
                <w:i/>
                <w:sz w:val="16"/>
              </w:rPr>
            </w:pPr>
            <w:r w:rsidRPr="000A32E2">
              <w:rPr>
                <w:i/>
                <w:sz w:val="16"/>
                <w:lang w:val="fr-FR"/>
              </w:rPr>
              <w:t>Disposition</w:t>
            </w:r>
          </w:p>
        </w:tc>
        <w:tc>
          <w:tcPr>
            <w:tcW w:w="3119" w:type="dxa"/>
            <w:tcBorders>
              <w:top w:val="single" w:sz="4" w:space="0" w:color="auto"/>
              <w:bottom w:val="single" w:sz="12" w:space="0" w:color="auto"/>
            </w:tcBorders>
            <w:shd w:val="clear" w:color="auto" w:fill="auto"/>
            <w:vAlign w:val="bottom"/>
          </w:tcPr>
          <w:p w14:paraId="60DB4859" w14:textId="77777777" w:rsidR="000A32E2" w:rsidRPr="000A32E2" w:rsidRDefault="000A32E2" w:rsidP="000A32E2">
            <w:pPr>
              <w:spacing w:before="80" w:after="80" w:line="200" w:lineRule="exact"/>
              <w:ind w:right="113"/>
              <w:rPr>
                <w:i/>
                <w:sz w:val="16"/>
              </w:rPr>
            </w:pPr>
            <w:r w:rsidRPr="000A32E2">
              <w:rPr>
                <w:i/>
                <w:sz w:val="16"/>
                <w:lang w:val="fr-FR"/>
              </w:rPr>
              <w:t>Texte de l’ADN</w:t>
            </w:r>
          </w:p>
        </w:tc>
        <w:tc>
          <w:tcPr>
            <w:tcW w:w="2975" w:type="dxa"/>
            <w:tcBorders>
              <w:top w:val="single" w:sz="4" w:space="0" w:color="auto"/>
              <w:bottom w:val="single" w:sz="12" w:space="0" w:color="auto"/>
            </w:tcBorders>
            <w:shd w:val="clear" w:color="auto" w:fill="auto"/>
            <w:vAlign w:val="bottom"/>
          </w:tcPr>
          <w:p w14:paraId="57736FB3" w14:textId="77777777" w:rsidR="000A32E2" w:rsidRPr="000A32E2" w:rsidRDefault="000A32E2" w:rsidP="000A32E2">
            <w:pPr>
              <w:spacing w:before="80" w:after="80" w:line="200" w:lineRule="exact"/>
              <w:ind w:right="113"/>
              <w:rPr>
                <w:i/>
                <w:sz w:val="16"/>
              </w:rPr>
            </w:pPr>
            <w:r w:rsidRPr="000A32E2">
              <w:rPr>
                <w:i/>
                <w:sz w:val="16"/>
                <w:lang w:val="fr-FR"/>
              </w:rPr>
              <w:t>Interprétation</w:t>
            </w:r>
          </w:p>
        </w:tc>
      </w:tr>
      <w:tr w:rsidR="000A32E2" w:rsidRPr="000A32E2" w14:paraId="279B6A2C" w14:textId="77777777" w:rsidTr="000A32E2">
        <w:trPr>
          <w:trHeight w:hRule="exact" w:val="113"/>
        </w:trPr>
        <w:tc>
          <w:tcPr>
            <w:tcW w:w="1276" w:type="dxa"/>
            <w:tcBorders>
              <w:top w:val="single" w:sz="12" w:space="0" w:color="auto"/>
            </w:tcBorders>
            <w:shd w:val="clear" w:color="auto" w:fill="auto"/>
          </w:tcPr>
          <w:p w14:paraId="7E0F2044" w14:textId="77777777" w:rsidR="000A32E2" w:rsidRPr="000A32E2" w:rsidRDefault="000A32E2" w:rsidP="000A32E2">
            <w:pPr>
              <w:spacing w:before="40" w:after="120"/>
              <w:ind w:right="113"/>
              <w:rPr>
                <w:lang w:val="fr-FR"/>
              </w:rPr>
            </w:pPr>
          </w:p>
        </w:tc>
        <w:tc>
          <w:tcPr>
            <w:tcW w:w="3119" w:type="dxa"/>
            <w:tcBorders>
              <w:top w:val="single" w:sz="12" w:space="0" w:color="auto"/>
            </w:tcBorders>
            <w:shd w:val="clear" w:color="auto" w:fill="auto"/>
          </w:tcPr>
          <w:p w14:paraId="2555CD63" w14:textId="77777777" w:rsidR="000A32E2" w:rsidRPr="000A32E2" w:rsidRDefault="000A32E2" w:rsidP="000A32E2">
            <w:pPr>
              <w:spacing w:before="40" w:after="120"/>
              <w:ind w:right="113"/>
              <w:rPr>
                <w:lang w:val="fr-FR"/>
              </w:rPr>
            </w:pPr>
          </w:p>
        </w:tc>
        <w:tc>
          <w:tcPr>
            <w:tcW w:w="2975" w:type="dxa"/>
            <w:tcBorders>
              <w:top w:val="single" w:sz="12" w:space="0" w:color="auto"/>
            </w:tcBorders>
            <w:shd w:val="clear" w:color="auto" w:fill="auto"/>
          </w:tcPr>
          <w:p w14:paraId="67B50C08" w14:textId="77777777" w:rsidR="000A32E2" w:rsidRPr="000A32E2" w:rsidRDefault="000A32E2" w:rsidP="000A32E2">
            <w:pPr>
              <w:spacing w:before="40" w:after="120"/>
              <w:ind w:right="113"/>
              <w:rPr>
                <w:lang w:val="fr-FR"/>
              </w:rPr>
            </w:pPr>
          </w:p>
        </w:tc>
      </w:tr>
      <w:tr w:rsidR="000A32E2" w:rsidRPr="000A32E2" w14:paraId="72AD6EA8" w14:textId="77777777" w:rsidTr="000A32E2">
        <w:tc>
          <w:tcPr>
            <w:tcW w:w="1276" w:type="dxa"/>
            <w:tcBorders>
              <w:bottom w:val="single" w:sz="12" w:space="0" w:color="auto"/>
            </w:tcBorders>
            <w:shd w:val="clear" w:color="auto" w:fill="auto"/>
          </w:tcPr>
          <w:p w14:paraId="0EAF2518" w14:textId="63244E8B" w:rsidR="000A32E2" w:rsidRPr="000A32E2" w:rsidRDefault="000A32E2" w:rsidP="000A32E2">
            <w:pPr>
              <w:spacing w:before="40" w:after="120"/>
              <w:ind w:right="113"/>
              <w:rPr>
                <w:rFonts w:eastAsia="Verdana"/>
              </w:rPr>
            </w:pPr>
            <w:r w:rsidRPr="000A32E2">
              <w:rPr>
                <w:lang w:val="fr-FR"/>
              </w:rPr>
              <w:t>8.6.3, question 10 (voir aussi 1.4.3.3</w:t>
            </w:r>
            <w:r w:rsidRPr="000A32E2">
              <w:rPr>
                <w:lang w:val="fr-FR"/>
              </w:rPr>
              <w:t> </w:t>
            </w:r>
            <w:r w:rsidRPr="000A32E2">
              <w:rPr>
                <w:lang w:val="fr-FR"/>
              </w:rPr>
              <w:t>u) et 1.4.3.7.1</w:t>
            </w:r>
            <w:r w:rsidRPr="000A32E2">
              <w:rPr>
                <w:lang w:val="fr-FR"/>
              </w:rPr>
              <w:t> </w:t>
            </w:r>
            <w:r w:rsidRPr="000A32E2">
              <w:rPr>
                <w:lang w:val="fr-FR"/>
              </w:rPr>
              <w:t>l))</w:t>
            </w:r>
          </w:p>
        </w:tc>
        <w:tc>
          <w:tcPr>
            <w:tcW w:w="3119" w:type="dxa"/>
            <w:tcBorders>
              <w:bottom w:val="single" w:sz="12" w:space="0" w:color="auto"/>
            </w:tcBorders>
            <w:shd w:val="clear" w:color="auto" w:fill="auto"/>
          </w:tcPr>
          <w:p w14:paraId="702EB421" w14:textId="3BE9A9C3" w:rsidR="000A32E2" w:rsidRPr="000A32E2" w:rsidRDefault="000A32E2" w:rsidP="000A32E2">
            <w:pPr>
              <w:spacing w:before="40" w:after="120"/>
              <w:ind w:right="113"/>
              <w:rPr>
                <w:rFonts w:eastAsia="Verdana"/>
              </w:rPr>
            </w:pPr>
            <w:r w:rsidRPr="000A32E2">
              <w:rPr>
                <w:lang w:val="fr-FR"/>
              </w:rPr>
              <w:t>Une surveillance appropriée permanente est-elle assurée pour toute la durée du chargement ou du</w:t>
            </w:r>
            <w:r>
              <w:rPr>
                <w:lang w:val="fr-FR"/>
              </w:rPr>
              <w:t> </w:t>
            </w:r>
            <w:r w:rsidRPr="000A32E2">
              <w:rPr>
                <w:lang w:val="fr-FR"/>
              </w:rPr>
              <w:t>déchargement</w:t>
            </w:r>
            <w:r w:rsidRPr="000A32E2">
              <w:rPr>
                <w:lang w:val="fr-FR"/>
              </w:rPr>
              <w:t> </w:t>
            </w:r>
            <w:r w:rsidRPr="000A32E2">
              <w:rPr>
                <w:lang w:val="fr-FR"/>
              </w:rPr>
              <w:t>?</w:t>
            </w:r>
          </w:p>
        </w:tc>
        <w:tc>
          <w:tcPr>
            <w:tcW w:w="2975" w:type="dxa"/>
            <w:tcBorders>
              <w:bottom w:val="single" w:sz="12" w:space="0" w:color="auto"/>
            </w:tcBorders>
            <w:shd w:val="clear" w:color="auto" w:fill="auto"/>
          </w:tcPr>
          <w:p w14:paraId="4AC13F7D" w14:textId="77777777" w:rsidR="000A32E2" w:rsidRPr="000A32E2" w:rsidRDefault="000A32E2" w:rsidP="000A32E2">
            <w:pPr>
              <w:spacing w:before="40" w:after="120"/>
              <w:ind w:right="113"/>
              <w:rPr>
                <w:rFonts w:eastAsia="Verdana"/>
              </w:rPr>
            </w:pPr>
            <w:r w:rsidRPr="000A32E2">
              <w:rPr>
                <w:lang w:val="fr-FR"/>
              </w:rPr>
              <w:t>Pendant les opérations de chargement et de déchargement, une surveillance appropriée doit être assurée sans interruption, c’est-à-dire de façon permanente.</w:t>
            </w:r>
          </w:p>
        </w:tc>
      </w:tr>
    </w:tbl>
    <w:p w14:paraId="027B117B" w14:textId="77777777" w:rsidR="000A32E2" w:rsidRDefault="000A32E2" w:rsidP="000A32E2">
      <w:pPr>
        <w:pStyle w:val="HChG"/>
      </w:pPr>
      <w:r>
        <w:rPr>
          <w:lang w:val="fr-FR"/>
        </w:rPr>
        <w:tab/>
      </w:r>
      <w:r>
        <w:rPr>
          <w:lang w:val="fr-FR"/>
        </w:rPr>
        <w:tab/>
        <w:t>Explication</w:t>
      </w:r>
    </w:p>
    <w:p w14:paraId="465A4545" w14:textId="77777777" w:rsidR="000A32E2" w:rsidRPr="00386C14" w:rsidRDefault="000A32E2" w:rsidP="000A32E2">
      <w:pPr>
        <w:pStyle w:val="SingleTxtG"/>
        <w:rPr>
          <w:rFonts w:eastAsia="Verdana"/>
        </w:rPr>
      </w:pPr>
      <w:r>
        <w:rPr>
          <w:lang w:val="fr-FR"/>
        </w:rPr>
        <w:t>1.</w:t>
      </w:r>
      <w:r>
        <w:rPr>
          <w:lang w:val="fr-FR"/>
        </w:rPr>
        <w:tab/>
        <w:t>Le chargement ou le déchargement doit être surveillé aussi bien à bord qu’à terre de manière à empêcher tout risque d’incident dans la zone des tuyauteries à cargaison reliant le bateau et l’installations à terre.</w:t>
      </w:r>
    </w:p>
    <w:p w14:paraId="10203AA5" w14:textId="77777777" w:rsidR="000A32E2" w:rsidRPr="00386C14" w:rsidRDefault="000A32E2" w:rsidP="000A32E2">
      <w:pPr>
        <w:pStyle w:val="SingleTxtG"/>
        <w:rPr>
          <w:rFonts w:eastAsia="Verdana"/>
        </w:rPr>
      </w:pPr>
      <w:r>
        <w:rPr>
          <w:lang w:val="fr-FR"/>
        </w:rPr>
        <w:t>2.</w:t>
      </w:r>
      <w:r>
        <w:rPr>
          <w:lang w:val="fr-FR"/>
        </w:rPr>
        <w:tab/>
        <w:t>Lorsque la surveillance est effectuée grâce à des moyens techniques (auxiliaires), il doit être convenu entre l’installation à terre et le bateau de quelle manière la surveillance est assurée.</w:t>
      </w:r>
    </w:p>
    <w:p w14:paraId="3F767680" w14:textId="77777777" w:rsidR="000A32E2" w:rsidRPr="00386C14" w:rsidRDefault="000A32E2" w:rsidP="000A32E2">
      <w:pPr>
        <w:pStyle w:val="SingleTxtG"/>
        <w:rPr>
          <w:rFonts w:eastAsia="Verdana"/>
        </w:rPr>
      </w:pPr>
      <w:r>
        <w:rPr>
          <w:lang w:val="fr-FR"/>
        </w:rPr>
        <w:t>3.</w:t>
      </w:r>
      <w:r>
        <w:rPr>
          <w:lang w:val="fr-FR"/>
        </w:rPr>
        <w:tab/>
        <w:t xml:space="preserve">L’efficacité de la surveillance doit être assurée, ce qui suppose que la surveillance tant à bord qu’à terre doit permettre de remarquer immédiatement tout incident et ce, </w:t>
      </w:r>
      <w:r w:rsidRPr="005217B3">
        <w:rPr>
          <w:u w:val="single"/>
          <w:lang w:val="fr-FR"/>
        </w:rPr>
        <w:t>en toutes circonstances</w:t>
      </w:r>
      <w:r>
        <w:rPr>
          <w:lang w:val="fr-FR"/>
        </w:rPr>
        <w:t>.</w:t>
      </w:r>
    </w:p>
    <w:p w14:paraId="3EACECEF" w14:textId="5AA9A7A4" w:rsidR="000A32E2" w:rsidRDefault="000A32E2" w:rsidP="000A32E2">
      <w:pPr>
        <w:pStyle w:val="SingleTxtG"/>
        <w:rPr>
          <w:u w:val="single"/>
        </w:rPr>
      </w:pPr>
      <w:r>
        <w:rPr>
          <w:lang w:val="fr-FR"/>
        </w:rPr>
        <w:t>4.</w:t>
      </w:r>
      <w:r>
        <w:rPr>
          <w:lang w:val="fr-FR"/>
        </w:rPr>
        <w:tab/>
        <w:t>La surveillance à terre doit être effectuée par le remplisseur/déchargeur des citernes à cargaison et porter sur la zone comprise entre le raccordement des conduites d’évacuation de gaz (à bord) aux conduites de retour de gaz (à terre) et le raccordement des conduites d’évacuation de gaz (à bord) au collecteur utilisé, y</w:t>
      </w:r>
      <w:r>
        <w:rPr>
          <w:lang w:val="fr-FR"/>
        </w:rPr>
        <w:t> </w:t>
      </w:r>
      <w:r>
        <w:rPr>
          <w:lang w:val="fr-FR"/>
        </w:rPr>
        <w:t>compris sur la zone d’un rayon d’au moins 3</w:t>
      </w:r>
      <w:r>
        <w:rPr>
          <w:lang w:val="fr-FR"/>
        </w:rPr>
        <w:t> </w:t>
      </w:r>
      <w:r>
        <w:rPr>
          <w:lang w:val="fr-FR"/>
        </w:rPr>
        <w:t>mètres autour du collecteur.</w:t>
      </w:r>
    </w:p>
    <w:p w14:paraId="0B0A5DE6" w14:textId="77777777" w:rsidR="000A32E2" w:rsidRDefault="000A32E2" w:rsidP="000A32E2">
      <w:pPr>
        <w:pStyle w:val="HChG"/>
      </w:pPr>
      <w:r>
        <w:tab/>
      </w:r>
      <w:r>
        <w:tab/>
      </w:r>
      <w:r w:rsidRPr="00250601">
        <w:t>Justification</w:t>
      </w:r>
    </w:p>
    <w:p w14:paraId="27C10890" w14:textId="77777777" w:rsidR="000A32E2" w:rsidRPr="00386C14" w:rsidRDefault="000A32E2" w:rsidP="000A32E2">
      <w:pPr>
        <w:pStyle w:val="SingleTxtG"/>
      </w:pPr>
      <w:r>
        <w:rPr>
          <w:lang w:val="fr-FR"/>
        </w:rPr>
        <w:t>5.</w:t>
      </w:r>
      <w:r>
        <w:rPr>
          <w:lang w:val="fr-FR"/>
        </w:rPr>
        <w:tab/>
        <w:t>Pour les cargaisons liquides, il est essentiel de surveiller l’ensemble des opérations de chargement et de déchargement. Tout risque de perte imminente de cargaison devrait être détecté immédiatement et entraîner des mesures appropriées.</w:t>
      </w:r>
    </w:p>
    <w:p w14:paraId="33724525" w14:textId="2586B75E" w:rsidR="000A32E2" w:rsidRPr="00386C14" w:rsidRDefault="000A32E2" w:rsidP="000A32E2">
      <w:pPr>
        <w:pStyle w:val="SingleTxtG"/>
      </w:pPr>
      <w:r>
        <w:rPr>
          <w:lang w:val="fr-FR"/>
        </w:rPr>
        <w:t>6.</w:t>
      </w:r>
      <w:r>
        <w:rPr>
          <w:lang w:val="fr-FR"/>
        </w:rPr>
        <w:tab/>
        <w:t>La responsabilité de cette surveillance incombe à la fois à l’équipage à bord du bateau et au personnel de l’installation à terre chargé du chargement ou du déchargement.</w:t>
      </w:r>
    </w:p>
    <w:p w14:paraId="4B9CF4AA" w14:textId="018DD4FF" w:rsidR="000A32E2" w:rsidRDefault="000A32E2" w:rsidP="000A32E2">
      <w:pPr>
        <w:pStyle w:val="SingleTxtG"/>
        <w:rPr>
          <w:lang w:val="fr-FR"/>
        </w:rPr>
      </w:pPr>
      <w:r>
        <w:rPr>
          <w:lang w:val="fr-FR"/>
        </w:rPr>
        <w:t>7.</w:t>
      </w:r>
      <w:r>
        <w:rPr>
          <w:lang w:val="fr-FR"/>
        </w:rPr>
        <w:tab/>
        <w:t>La surveillance devrait donc être assurée en permanence tout au long des opérations de chargement et de déchargement.</w:t>
      </w:r>
    </w:p>
    <w:p w14:paraId="3930F2E9" w14:textId="27486F1D" w:rsidR="000A32E2" w:rsidRPr="000A32E2" w:rsidRDefault="000A32E2" w:rsidP="000A32E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A32E2" w:rsidRPr="000A32E2" w:rsidSect="00512C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CD27" w14:textId="77777777" w:rsidR="00A66064" w:rsidRDefault="00A66064" w:rsidP="00F95C08">
      <w:pPr>
        <w:spacing w:line="240" w:lineRule="auto"/>
      </w:pPr>
    </w:p>
  </w:endnote>
  <w:endnote w:type="continuationSeparator" w:id="0">
    <w:p w14:paraId="5002E7E0" w14:textId="77777777" w:rsidR="00A66064" w:rsidRPr="00AC3823" w:rsidRDefault="00A66064" w:rsidP="00AC3823">
      <w:pPr>
        <w:pStyle w:val="Pieddepage"/>
      </w:pPr>
    </w:p>
  </w:endnote>
  <w:endnote w:type="continuationNotice" w:id="1">
    <w:p w14:paraId="2CE02216" w14:textId="77777777" w:rsidR="00A66064" w:rsidRDefault="00A66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D768" w14:textId="0B15C787" w:rsidR="00512CD3" w:rsidRPr="00512CD3" w:rsidRDefault="00512CD3" w:rsidP="00512CD3">
    <w:pPr>
      <w:pStyle w:val="Pieddepage"/>
      <w:tabs>
        <w:tab w:val="right" w:pos="9638"/>
      </w:tabs>
    </w:pPr>
    <w:r w:rsidRPr="00512CD3">
      <w:rPr>
        <w:b/>
        <w:sz w:val="18"/>
      </w:rPr>
      <w:fldChar w:fldCharType="begin"/>
    </w:r>
    <w:r w:rsidRPr="00512CD3">
      <w:rPr>
        <w:b/>
        <w:sz w:val="18"/>
      </w:rPr>
      <w:instrText xml:space="preserve"> PAGE  \* MERGEFORMAT </w:instrText>
    </w:r>
    <w:r w:rsidRPr="00512CD3">
      <w:rPr>
        <w:b/>
        <w:sz w:val="18"/>
      </w:rPr>
      <w:fldChar w:fldCharType="separate"/>
    </w:r>
    <w:r w:rsidRPr="00512CD3">
      <w:rPr>
        <w:b/>
        <w:noProof/>
        <w:sz w:val="18"/>
      </w:rPr>
      <w:t>2</w:t>
    </w:r>
    <w:r w:rsidRPr="00512CD3">
      <w:rPr>
        <w:b/>
        <w:sz w:val="18"/>
      </w:rPr>
      <w:fldChar w:fldCharType="end"/>
    </w:r>
    <w:r>
      <w:rPr>
        <w:b/>
        <w:sz w:val="18"/>
      </w:rPr>
      <w:tab/>
    </w:r>
    <w:r>
      <w:t>GE.22-08921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09F4" w14:textId="588A713D" w:rsidR="00512CD3" w:rsidRPr="00512CD3" w:rsidRDefault="00512CD3" w:rsidP="00512CD3">
    <w:pPr>
      <w:pStyle w:val="Pieddepage"/>
      <w:tabs>
        <w:tab w:val="right" w:pos="9638"/>
      </w:tabs>
      <w:rPr>
        <w:b/>
        <w:sz w:val="18"/>
      </w:rPr>
    </w:pPr>
    <w:r>
      <w:t>GE.22-08921</w:t>
    </w:r>
    <w:r>
      <w:tab/>
    </w:r>
    <w:r w:rsidRPr="00512CD3">
      <w:rPr>
        <w:b/>
        <w:sz w:val="18"/>
      </w:rPr>
      <w:fldChar w:fldCharType="begin"/>
    </w:r>
    <w:r w:rsidRPr="00512CD3">
      <w:rPr>
        <w:b/>
        <w:sz w:val="18"/>
      </w:rPr>
      <w:instrText xml:space="preserve"> PAGE  \* MERGEFORMAT </w:instrText>
    </w:r>
    <w:r w:rsidRPr="00512CD3">
      <w:rPr>
        <w:b/>
        <w:sz w:val="18"/>
      </w:rPr>
      <w:fldChar w:fldCharType="separate"/>
    </w:r>
    <w:r w:rsidRPr="00512CD3">
      <w:rPr>
        <w:b/>
        <w:noProof/>
        <w:sz w:val="18"/>
      </w:rPr>
      <w:t>3</w:t>
    </w:r>
    <w:r w:rsidRPr="00512C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62A3" w14:textId="5AEDF30E" w:rsidR="007F20FA" w:rsidRPr="00512CD3" w:rsidRDefault="00512CD3" w:rsidP="00512CD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0C28B37" wp14:editId="32E1CEE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22-08921  (F)</w:t>
    </w:r>
    <w:r>
      <w:rPr>
        <w:noProof/>
        <w:sz w:val="20"/>
      </w:rPr>
      <w:drawing>
        <wp:anchor distT="0" distB="0" distL="114300" distR="114300" simplePos="0" relativeHeight="251660288" behindDoc="0" locked="0" layoutInCell="1" allowOverlap="1" wp14:anchorId="55FA51D2" wp14:editId="6A82285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150622    150622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726B" w14:textId="77777777" w:rsidR="00A66064" w:rsidRPr="00AC3823" w:rsidRDefault="00A66064" w:rsidP="00AC3823">
      <w:pPr>
        <w:pStyle w:val="Pieddepage"/>
        <w:tabs>
          <w:tab w:val="right" w:pos="2155"/>
        </w:tabs>
        <w:spacing w:after="80" w:line="240" w:lineRule="atLeast"/>
        <w:ind w:left="680"/>
        <w:rPr>
          <w:u w:val="single"/>
        </w:rPr>
      </w:pPr>
      <w:r>
        <w:rPr>
          <w:u w:val="single"/>
        </w:rPr>
        <w:tab/>
      </w:r>
    </w:p>
  </w:footnote>
  <w:footnote w:type="continuationSeparator" w:id="0">
    <w:p w14:paraId="697594B1" w14:textId="77777777" w:rsidR="00A66064" w:rsidRPr="00AC3823" w:rsidRDefault="00A66064" w:rsidP="00AC3823">
      <w:pPr>
        <w:pStyle w:val="Pieddepage"/>
        <w:tabs>
          <w:tab w:val="right" w:pos="2155"/>
        </w:tabs>
        <w:spacing w:after="80" w:line="240" w:lineRule="atLeast"/>
        <w:ind w:left="680"/>
        <w:rPr>
          <w:u w:val="single"/>
        </w:rPr>
      </w:pPr>
      <w:r>
        <w:rPr>
          <w:u w:val="single"/>
        </w:rPr>
        <w:tab/>
      </w:r>
    </w:p>
  </w:footnote>
  <w:footnote w:type="continuationNotice" w:id="1">
    <w:p w14:paraId="5C76B9BC" w14:textId="77777777" w:rsidR="00A66064" w:rsidRPr="00AC3823" w:rsidRDefault="00A66064">
      <w:pPr>
        <w:spacing w:line="240" w:lineRule="auto"/>
        <w:rPr>
          <w:sz w:val="2"/>
          <w:szCs w:val="2"/>
        </w:rPr>
      </w:pPr>
    </w:p>
  </w:footnote>
  <w:footnote w:id="2">
    <w:p w14:paraId="752742A5" w14:textId="6FC375DA" w:rsidR="000A32E2" w:rsidRPr="000A32E2" w:rsidRDefault="000A32E2">
      <w:pPr>
        <w:pStyle w:val="Notedebasdepage"/>
      </w:pPr>
      <w:r>
        <w:rPr>
          <w:rStyle w:val="Appelnotedebasdep"/>
        </w:rPr>
        <w:tab/>
      </w:r>
      <w:r w:rsidRPr="000A32E2">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Pr>
          <w:lang w:val="fr-FR"/>
        </w:rPr>
        <w:noBreakHyphen/>
        <w:t>ZKR/ADN/WP.15/AC.2/2022/49.</w:t>
      </w:r>
    </w:p>
  </w:footnote>
  <w:footnote w:id="3">
    <w:p w14:paraId="444C8456" w14:textId="388D1279" w:rsidR="000A32E2" w:rsidRPr="000A32E2" w:rsidRDefault="000A32E2">
      <w:pPr>
        <w:pStyle w:val="Notedebasdepage"/>
      </w:pPr>
      <w:r>
        <w:rPr>
          <w:rStyle w:val="Appelnotedebasdep"/>
        </w:rPr>
        <w:tab/>
      </w:r>
      <w:r w:rsidRPr="000A32E2">
        <w:rPr>
          <w:rStyle w:val="Appelnotedebasdep"/>
          <w:sz w:val="20"/>
          <w:vertAlign w:val="baseline"/>
        </w:rPr>
        <w:t>**</w:t>
      </w:r>
      <w:r>
        <w:rPr>
          <w:rStyle w:val="Appelnotedebasdep"/>
          <w:sz w:val="20"/>
          <w:vertAlign w:val="baseline"/>
        </w:rPr>
        <w:tab/>
      </w:r>
      <w:r>
        <w:rPr>
          <w:lang w:val="fr-FR"/>
        </w:rPr>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D28" w14:textId="37A87E5C" w:rsidR="00512CD3" w:rsidRPr="00512CD3" w:rsidRDefault="00512CD3">
    <w:pPr>
      <w:pStyle w:val="En-tte"/>
    </w:pPr>
    <w:fldSimple w:instr=" TITLE  \* MERGEFORMAT ">
      <w:r>
        <w:t>ECE/TRANS/WP.15/AC.2/2022/49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466" w14:textId="4E91D8D4" w:rsidR="00512CD3" w:rsidRPr="00512CD3" w:rsidRDefault="00512CD3" w:rsidP="00512CD3">
    <w:pPr>
      <w:pStyle w:val="En-tte"/>
      <w:jc w:val="right"/>
    </w:pPr>
    <w:fldSimple w:instr=" TITLE  \* MERGEFORMAT ">
      <w:r>
        <w:t>ECE/TRANS/WP.15/AC.2/2022/49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64"/>
    <w:rsid w:val="00017F94"/>
    <w:rsid w:val="00023842"/>
    <w:rsid w:val="000334F9"/>
    <w:rsid w:val="00045FEB"/>
    <w:rsid w:val="0007796D"/>
    <w:rsid w:val="000A32E2"/>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2CD3"/>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66064"/>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45E5B"/>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224C4E"/>
  <w15:docId w15:val="{E70C9265-399C-476D-A2C8-760975FC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0A32E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5858F-16F6-4D75-81D8-D21B8BA7701C}"/>
</file>

<file path=customXml/itemProps2.xml><?xml version="1.0" encoding="utf-8"?>
<ds:datastoreItem xmlns:ds="http://schemas.openxmlformats.org/officeDocument/2006/customXml" ds:itemID="{30AFD99F-9063-441D-96BC-7EF111381B3B}"/>
</file>

<file path=docProps/app.xml><?xml version="1.0" encoding="utf-8"?>
<Properties xmlns="http://schemas.openxmlformats.org/officeDocument/2006/extended-properties" xmlns:vt="http://schemas.openxmlformats.org/officeDocument/2006/docPropsVTypes">
  <Template>ECE_TRANS.dotm</Template>
  <TotalTime>1</TotalTime>
  <Pages>3</Pages>
  <Words>914</Words>
  <Characters>5204</Characters>
  <Application>Microsoft Office Word</Application>
  <DocSecurity>0</DocSecurity>
  <Lines>117</Lines>
  <Paragraphs>45</Paragraphs>
  <ScaleCrop>false</ScaleCrop>
  <HeadingPairs>
    <vt:vector size="2" baseType="variant">
      <vt:variant>
        <vt:lpstr>Titre</vt:lpstr>
      </vt:variant>
      <vt:variant>
        <vt:i4>1</vt:i4>
      </vt:variant>
    </vt:vector>
  </HeadingPairs>
  <TitlesOfParts>
    <vt:vector size="1" baseType="lpstr">
      <vt:lpstr>ECE/TRANS/WP.15/AC.2/2022/49</vt:lpstr>
    </vt:vector>
  </TitlesOfParts>
  <Company>DCM</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ECE/TRANS/WP.15/AC.2/2022/49</dc:title>
  <dc:subject/>
  <dc:creator>Marie DESCHAMPS</dc:creator>
  <cp:keywords/>
  <cp:lastModifiedBy>Marie Deschamps</cp:lastModifiedBy>
  <cp:revision>2</cp:revision>
  <cp:lastPrinted>2014-05-14T10:59:00Z</cp:lastPrinted>
  <dcterms:created xsi:type="dcterms:W3CDTF">2022-06-15T09:01:00Z</dcterms:created>
  <dcterms:modified xsi:type="dcterms:W3CDTF">2022-06-15T09:01:00Z</dcterms:modified>
</cp:coreProperties>
</file>