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C91D1C" w14:textId="77777777" w:rsidTr="00B20551">
        <w:trPr>
          <w:cantSplit/>
          <w:trHeight w:hRule="exact" w:val="851"/>
        </w:trPr>
        <w:tc>
          <w:tcPr>
            <w:tcW w:w="1276" w:type="dxa"/>
            <w:tcBorders>
              <w:bottom w:val="single" w:sz="4" w:space="0" w:color="auto"/>
            </w:tcBorders>
            <w:vAlign w:val="bottom"/>
          </w:tcPr>
          <w:p w14:paraId="7F8652EF" w14:textId="77777777" w:rsidR="009E6CB7" w:rsidRDefault="009E6CB7" w:rsidP="00B20551">
            <w:pPr>
              <w:spacing w:after="80"/>
            </w:pPr>
          </w:p>
        </w:tc>
        <w:tc>
          <w:tcPr>
            <w:tcW w:w="2268" w:type="dxa"/>
            <w:tcBorders>
              <w:bottom w:val="single" w:sz="4" w:space="0" w:color="auto"/>
            </w:tcBorders>
            <w:vAlign w:val="bottom"/>
          </w:tcPr>
          <w:p w14:paraId="5F28873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D94F6F" w14:textId="787324DA" w:rsidR="009E6CB7" w:rsidRPr="00D47EEA" w:rsidRDefault="00392784" w:rsidP="00392784">
            <w:pPr>
              <w:jc w:val="right"/>
            </w:pPr>
            <w:r w:rsidRPr="00392784">
              <w:rPr>
                <w:sz w:val="40"/>
              </w:rPr>
              <w:t>ECE</w:t>
            </w:r>
            <w:r>
              <w:t>/TRANS/WP.15/AC.2/2022/49</w:t>
            </w:r>
          </w:p>
        </w:tc>
      </w:tr>
      <w:tr w:rsidR="009E6CB7" w14:paraId="6E62F60E" w14:textId="77777777" w:rsidTr="00B20551">
        <w:trPr>
          <w:cantSplit/>
          <w:trHeight w:hRule="exact" w:val="2835"/>
        </w:trPr>
        <w:tc>
          <w:tcPr>
            <w:tcW w:w="1276" w:type="dxa"/>
            <w:tcBorders>
              <w:top w:val="single" w:sz="4" w:space="0" w:color="auto"/>
              <w:bottom w:val="single" w:sz="12" w:space="0" w:color="auto"/>
            </w:tcBorders>
          </w:tcPr>
          <w:p w14:paraId="0D6E6F1A" w14:textId="77777777" w:rsidR="009E6CB7" w:rsidRDefault="00686A48" w:rsidP="00B20551">
            <w:pPr>
              <w:spacing w:before="120"/>
            </w:pPr>
            <w:r>
              <w:rPr>
                <w:noProof/>
                <w:lang w:val="fr-CH" w:eastAsia="fr-CH"/>
              </w:rPr>
              <w:drawing>
                <wp:inline distT="0" distB="0" distL="0" distR="0" wp14:anchorId="5C401741" wp14:editId="21C8F2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A8E73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5B8DED" w14:textId="77777777" w:rsidR="009E6CB7" w:rsidRDefault="00392784" w:rsidP="00392784">
            <w:pPr>
              <w:spacing w:before="240" w:line="240" w:lineRule="exact"/>
            </w:pPr>
            <w:r>
              <w:t>Distr.: General</w:t>
            </w:r>
          </w:p>
          <w:p w14:paraId="5E27A85B" w14:textId="01EBF66A" w:rsidR="00392784" w:rsidRDefault="00CA7353" w:rsidP="00392784">
            <w:pPr>
              <w:spacing w:line="240" w:lineRule="exact"/>
            </w:pPr>
            <w:r>
              <w:t>9</w:t>
            </w:r>
            <w:r w:rsidR="00392784">
              <w:t xml:space="preserve"> June 2022</w:t>
            </w:r>
          </w:p>
          <w:p w14:paraId="733B055B" w14:textId="77777777" w:rsidR="00392784" w:rsidRDefault="00392784" w:rsidP="00392784">
            <w:pPr>
              <w:spacing w:line="240" w:lineRule="exact"/>
            </w:pPr>
          </w:p>
          <w:p w14:paraId="4ABA768E" w14:textId="3A49643A" w:rsidR="00392784" w:rsidRDefault="00392784" w:rsidP="00392784">
            <w:pPr>
              <w:spacing w:line="240" w:lineRule="exact"/>
            </w:pPr>
            <w:r>
              <w:t>Original: English</w:t>
            </w:r>
          </w:p>
        </w:tc>
      </w:tr>
    </w:tbl>
    <w:p w14:paraId="18A8824C" w14:textId="28D4A8D1" w:rsidR="00891A4B" w:rsidRDefault="00891A4B" w:rsidP="00392784">
      <w:pPr>
        <w:spacing w:before="120"/>
        <w:rPr>
          <w:b/>
          <w:sz w:val="28"/>
          <w:szCs w:val="28"/>
        </w:rPr>
      </w:pPr>
      <w:r w:rsidRPr="00AB134D">
        <w:rPr>
          <w:b/>
          <w:sz w:val="28"/>
          <w:szCs w:val="28"/>
        </w:rPr>
        <w:t>Economic Commission for Europe</w:t>
      </w:r>
    </w:p>
    <w:p w14:paraId="2BB7981C" w14:textId="77777777" w:rsidR="007214B1" w:rsidRDefault="007214B1" w:rsidP="007214B1">
      <w:pPr>
        <w:spacing w:before="120"/>
        <w:rPr>
          <w:sz w:val="28"/>
          <w:szCs w:val="28"/>
        </w:rPr>
      </w:pPr>
      <w:r>
        <w:rPr>
          <w:sz w:val="28"/>
          <w:szCs w:val="28"/>
        </w:rPr>
        <w:t>Inland Transport Committee</w:t>
      </w:r>
    </w:p>
    <w:p w14:paraId="3D533CBE" w14:textId="77777777" w:rsidR="007214B1" w:rsidRDefault="007214B1" w:rsidP="007214B1">
      <w:pPr>
        <w:spacing w:before="120" w:after="120"/>
        <w:rPr>
          <w:b/>
          <w:sz w:val="24"/>
          <w:szCs w:val="24"/>
        </w:rPr>
      </w:pPr>
      <w:r w:rsidRPr="003C69AB">
        <w:rPr>
          <w:b/>
          <w:sz w:val="24"/>
          <w:szCs w:val="24"/>
        </w:rPr>
        <w:t>Working Party on the Transport of Dangerous Goods</w:t>
      </w:r>
    </w:p>
    <w:p w14:paraId="3D4E254F" w14:textId="77777777" w:rsidR="007214B1" w:rsidRPr="003C69AB" w:rsidRDefault="007214B1" w:rsidP="007214B1">
      <w:pPr>
        <w:spacing w:after="120"/>
        <w:rPr>
          <w:b/>
          <w:bCs/>
        </w:rPr>
      </w:pPr>
      <w:r w:rsidRPr="003C69AB">
        <w:rPr>
          <w:b/>
          <w:bCs/>
        </w:rPr>
        <w:t>Joint Meeting of Experts on the Regulations annexed to the</w:t>
      </w:r>
      <w:r w:rsidRPr="003C69AB">
        <w:rPr>
          <w:b/>
          <w:bCs/>
        </w:rPr>
        <w:br/>
        <w:t>European Agreement concerning the International Carriage</w:t>
      </w:r>
      <w:r w:rsidRPr="003C69AB">
        <w:rPr>
          <w:b/>
          <w:bCs/>
        </w:rPr>
        <w:br/>
        <w:t>of Dangerous Goods by Inland Waterways (ADN)</w:t>
      </w:r>
      <w:r w:rsidRPr="003C69AB">
        <w:rPr>
          <w:b/>
          <w:bCs/>
        </w:rPr>
        <w:br/>
        <w:t>(ADN Safety Committee)</w:t>
      </w:r>
    </w:p>
    <w:p w14:paraId="79FA0AD5" w14:textId="77777777" w:rsidR="007214B1" w:rsidRPr="003C69AB" w:rsidRDefault="007214B1" w:rsidP="007214B1">
      <w:pPr>
        <w:rPr>
          <w:b/>
          <w:bCs/>
        </w:rPr>
      </w:pPr>
      <w:r>
        <w:rPr>
          <w:b/>
          <w:bCs/>
        </w:rPr>
        <w:t>Fortieth</w:t>
      </w:r>
      <w:r w:rsidRPr="003C69AB">
        <w:rPr>
          <w:b/>
          <w:bCs/>
        </w:rPr>
        <w:t xml:space="preserve"> session</w:t>
      </w:r>
    </w:p>
    <w:p w14:paraId="087E83FE" w14:textId="77777777" w:rsidR="007214B1" w:rsidRPr="00DB4902" w:rsidRDefault="007214B1" w:rsidP="007214B1">
      <w:r w:rsidRPr="00DB4902">
        <w:t xml:space="preserve">Geneva, </w:t>
      </w:r>
      <w:r>
        <w:t>22</w:t>
      </w:r>
      <w:r w:rsidRPr="00DB4902">
        <w:t>–</w:t>
      </w:r>
      <w:r>
        <w:t>26</w:t>
      </w:r>
      <w:r w:rsidRPr="00DB4902">
        <w:t xml:space="preserve"> </w:t>
      </w:r>
      <w:r>
        <w:t>August</w:t>
      </w:r>
      <w:r w:rsidRPr="00DB4902">
        <w:t xml:space="preserve"> 202</w:t>
      </w:r>
      <w:r>
        <w:t>2</w:t>
      </w:r>
    </w:p>
    <w:p w14:paraId="789A6F6D" w14:textId="372662ED" w:rsidR="007214B1" w:rsidRPr="00DB4902" w:rsidRDefault="007214B1" w:rsidP="007214B1">
      <w:r w:rsidRPr="00DB4902">
        <w:t xml:space="preserve">Item </w:t>
      </w:r>
      <w:r w:rsidR="005F4A69">
        <w:t>3</w:t>
      </w:r>
      <w:r w:rsidRPr="00DB4902">
        <w:t xml:space="preserve"> (</w:t>
      </w:r>
      <w:r w:rsidR="00316ED4">
        <w:t>c</w:t>
      </w:r>
      <w:r w:rsidRPr="00DB4902">
        <w:t>) of the provisional agenda</w:t>
      </w:r>
    </w:p>
    <w:p w14:paraId="57B1A5BA" w14:textId="545F1219" w:rsidR="007214B1" w:rsidRPr="002A6594" w:rsidRDefault="002A6594" w:rsidP="007214B1">
      <w:pPr>
        <w:rPr>
          <w:b/>
          <w:bCs/>
        </w:rPr>
      </w:pPr>
      <w:r w:rsidRPr="002A6594">
        <w:rPr>
          <w:b/>
          <w:bCs/>
        </w:rPr>
        <w:t>Implementation of the European Agreement concerning</w:t>
      </w:r>
      <w:r>
        <w:rPr>
          <w:b/>
          <w:bCs/>
        </w:rPr>
        <w:t xml:space="preserve"> </w:t>
      </w:r>
      <w:r w:rsidRPr="002A6594">
        <w:rPr>
          <w:b/>
          <w:bCs/>
        </w:rPr>
        <w:t xml:space="preserve">the International Carriage of </w:t>
      </w:r>
      <w:r>
        <w:rPr>
          <w:b/>
          <w:bCs/>
        </w:rPr>
        <w:br/>
      </w:r>
      <w:r w:rsidR="00A1166F" w:rsidRPr="002A6594">
        <w:rPr>
          <w:b/>
          <w:bCs/>
        </w:rPr>
        <w:t xml:space="preserve">Dangerous </w:t>
      </w:r>
      <w:r w:rsidRPr="002A6594">
        <w:rPr>
          <w:b/>
          <w:bCs/>
        </w:rPr>
        <w:t>Goods by Inland Waterways (ADN)</w:t>
      </w:r>
      <w:r w:rsidR="007214B1" w:rsidRPr="002A6594">
        <w:rPr>
          <w:b/>
          <w:bCs/>
        </w:rPr>
        <w:t>:</w:t>
      </w:r>
    </w:p>
    <w:p w14:paraId="552FB799" w14:textId="2EA05BA2" w:rsidR="007214B1" w:rsidRPr="000E4539" w:rsidRDefault="000E4539" w:rsidP="007214B1">
      <w:pPr>
        <w:rPr>
          <w:b/>
          <w:bCs/>
        </w:rPr>
      </w:pPr>
      <w:r w:rsidRPr="000E4539">
        <w:rPr>
          <w:b/>
          <w:bCs/>
        </w:rPr>
        <w:t>interpretation of the Regulations annexed to ADN</w:t>
      </w:r>
    </w:p>
    <w:p w14:paraId="1447A581" w14:textId="7E88C932" w:rsidR="000341CF" w:rsidRPr="00DB4902" w:rsidRDefault="000341CF" w:rsidP="000341CF">
      <w:pPr>
        <w:pStyle w:val="HChG"/>
      </w:pPr>
      <w:r>
        <w:tab/>
      </w:r>
      <w:r>
        <w:tab/>
        <w:t>Supervision of loading and unloading, supervision from the shore</w:t>
      </w:r>
      <w:bookmarkStart w:id="0" w:name="_Hlk53046188"/>
      <w:bookmarkEnd w:id="0"/>
    </w:p>
    <w:p w14:paraId="1BA5016F" w14:textId="4B615048" w:rsidR="000341CF" w:rsidRDefault="000341CF" w:rsidP="000341CF">
      <w:pPr>
        <w:pStyle w:val="H1G"/>
        <w:rPr>
          <w:sz w:val="20"/>
        </w:rPr>
      </w:pPr>
      <w:r w:rsidRPr="00DB4902">
        <w:tab/>
      </w:r>
      <w:r w:rsidRPr="00DB4902">
        <w:tab/>
        <w:t xml:space="preserve">Transmitted by the Government of </w:t>
      </w:r>
      <w:r>
        <w:t>the Netherlands</w:t>
      </w:r>
      <w:r w:rsidR="00A25B27" w:rsidRPr="00A25B27">
        <w:rPr>
          <w:rStyle w:val="FootnoteReference"/>
          <w:sz w:val="20"/>
          <w:vertAlign w:val="baseline"/>
        </w:rPr>
        <w:footnoteReference w:customMarkFollows="1" w:id="2"/>
        <w:t>*</w:t>
      </w:r>
      <w:r w:rsidR="008C27F3" w:rsidRPr="002C5458">
        <w:rPr>
          <w:sz w:val="20"/>
          <w:vertAlign w:val="superscript"/>
        </w:rPr>
        <w:t>,</w:t>
      </w:r>
      <w:r w:rsidR="0024521F" w:rsidRPr="0024521F">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82FB4" w14:paraId="722B20F3" w14:textId="77777777" w:rsidTr="00AA2C26">
        <w:trPr>
          <w:jc w:val="center"/>
        </w:trPr>
        <w:tc>
          <w:tcPr>
            <w:tcW w:w="9629" w:type="dxa"/>
            <w:shd w:val="clear" w:color="auto" w:fill="auto"/>
          </w:tcPr>
          <w:p w14:paraId="4AC4923E" w14:textId="77777777" w:rsidR="00282FB4" w:rsidRPr="00C6263E" w:rsidRDefault="00282FB4" w:rsidP="00AA2C26">
            <w:pPr>
              <w:spacing w:before="240" w:after="120"/>
              <w:ind w:left="255"/>
              <w:rPr>
                <w:i/>
                <w:sz w:val="24"/>
              </w:rPr>
            </w:pPr>
            <w:r w:rsidRPr="00C6263E">
              <w:rPr>
                <w:i/>
                <w:sz w:val="24"/>
              </w:rPr>
              <w:t>Summary</w:t>
            </w:r>
          </w:p>
        </w:tc>
      </w:tr>
      <w:tr w:rsidR="00282FB4" w14:paraId="37AA1EF2" w14:textId="77777777" w:rsidTr="00AA2C26">
        <w:trPr>
          <w:jc w:val="center"/>
        </w:trPr>
        <w:tc>
          <w:tcPr>
            <w:tcW w:w="9629" w:type="dxa"/>
            <w:shd w:val="clear" w:color="auto" w:fill="auto"/>
          </w:tcPr>
          <w:p w14:paraId="7B9BEE9A" w14:textId="77777777" w:rsidR="00282FB4" w:rsidRPr="00231933" w:rsidRDefault="00282FB4" w:rsidP="00AA2C26">
            <w:pPr>
              <w:tabs>
                <w:tab w:val="left" w:pos="284"/>
              </w:tabs>
              <w:spacing w:before="120"/>
              <w:ind w:left="2835" w:right="139" w:hanging="2835"/>
              <w:rPr>
                <w:bCs/>
              </w:rPr>
            </w:pPr>
            <w:r w:rsidRPr="00434FEC">
              <w:rPr>
                <w:b/>
              </w:rPr>
              <w:tab/>
              <w:t>Executive summary:</w:t>
            </w:r>
            <w:r w:rsidRPr="00434FEC">
              <w:rPr>
                <w:b/>
              </w:rPr>
              <w:tab/>
            </w:r>
            <w:r w:rsidRPr="00231933">
              <w:rPr>
                <w:bCs/>
              </w:rPr>
              <w:t>None</w:t>
            </w:r>
          </w:p>
          <w:p w14:paraId="281D928B" w14:textId="77777777" w:rsidR="00282FB4" w:rsidRPr="00231933" w:rsidRDefault="00282FB4" w:rsidP="00AA2C26">
            <w:pPr>
              <w:tabs>
                <w:tab w:val="left" w:pos="284"/>
              </w:tabs>
              <w:spacing w:before="120"/>
              <w:ind w:left="2835" w:right="139" w:hanging="2835"/>
              <w:rPr>
                <w:bCs/>
              </w:rPr>
            </w:pPr>
            <w:r>
              <w:rPr>
                <w:b/>
              </w:rPr>
              <w:tab/>
            </w:r>
            <w:r w:rsidRPr="00434FEC">
              <w:rPr>
                <w:b/>
              </w:rPr>
              <w:t>Action to be taken</w:t>
            </w:r>
            <w:r w:rsidRPr="00124693">
              <w:rPr>
                <w:b/>
              </w:rPr>
              <w:t>:</w:t>
            </w:r>
            <w:r w:rsidRPr="00434FEC">
              <w:rPr>
                <w:b/>
              </w:rPr>
              <w:tab/>
            </w:r>
            <w:r w:rsidRPr="00231933">
              <w:rPr>
                <w:bCs/>
              </w:rPr>
              <w:t>None</w:t>
            </w:r>
          </w:p>
          <w:p w14:paraId="55BA7335" w14:textId="77777777" w:rsidR="00282FB4" w:rsidRDefault="00282FB4" w:rsidP="00282FB4">
            <w:pPr>
              <w:tabs>
                <w:tab w:val="left" w:pos="284"/>
              </w:tabs>
              <w:spacing w:before="120"/>
              <w:ind w:left="2835" w:right="139" w:hanging="2835"/>
            </w:pPr>
            <w:r>
              <w:rPr>
                <w:b/>
                <w:iCs/>
              </w:rPr>
              <w:tab/>
            </w:r>
            <w:r w:rsidRPr="00434FEC">
              <w:rPr>
                <w:b/>
              </w:rPr>
              <w:t>Related</w:t>
            </w:r>
            <w:r w:rsidRPr="00124693">
              <w:rPr>
                <w:b/>
                <w:iCs/>
              </w:rPr>
              <w:t xml:space="preserve"> </w:t>
            </w:r>
            <w:r w:rsidRPr="0037022E">
              <w:rPr>
                <w:b/>
              </w:rPr>
              <w:t>do</w:t>
            </w:r>
            <w:r>
              <w:rPr>
                <w:b/>
              </w:rPr>
              <w:t>c</w:t>
            </w:r>
            <w:r w:rsidRPr="0037022E">
              <w:rPr>
                <w:b/>
              </w:rPr>
              <w:t>uments</w:t>
            </w:r>
            <w:r w:rsidRPr="00124693">
              <w:rPr>
                <w:bCs/>
              </w:rPr>
              <w:t>:</w:t>
            </w:r>
            <w:r w:rsidRPr="00124693">
              <w:tab/>
            </w:r>
            <w:r w:rsidRPr="002F60B9">
              <w:t>ECE/TRANS/WP.15/AC.2/2015/18</w:t>
            </w:r>
            <w:r>
              <w:t xml:space="preserve"> (The Netherlands)</w:t>
            </w:r>
          </w:p>
          <w:p w14:paraId="6CE2A8F2" w14:textId="77777777" w:rsidR="00282FB4" w:rsidRDefault="00282FB4" w:rsidP="00282FB4">
            <w:pPr>
              <w:ind w:left="2258" w:firstLine="567"/>
            </w:pPr>
            <w:r w:rsidRPr="002F60B9">
              <w:t>ECE/TRANS/WP.15/AC.2/2015/</w:t>
            </w:r>
            <w:r>
              <w:t>32 (Germany)</w:t>
            </w:r>
          </w:p>
          <w:p w14:paraId="4AE4F028" w14:textId="5613090F" w:rsidR="00282FB4" w:rsidRDefault="00282FB4" w:rsidP="00524CD3">
            <w:pPr>
              <w:ind w:left="2825"/>
            </w:pPr>
            <w:r w:rsidRPr="002F60B9">
              <w:t>ECE/TRANS/WP.15/AC.2/56</w:t>
            </w:r>
            <w:r>
              <w:t>, paras</w:t>
            </w:r>
            <w:r w:rsidR="00D632F1">
              <w:t>.</w:t>
            </w:r>
            <w:r>
              <w:t xml:space="preserve"> 16-19 </w:t>
            </w:r>
            <w:r w:rsidRPr="006A72FF">
              <w:t xml:space="preserve">– </w:t>
            </w:r>
            <w:r w:rsidRPr="00551280">
              <w:t xml:space="preserve">Report of the </w:t>
            </w:r>
            <w:r w:rsidR="007814C8" w:rsidRPr="00551280">
              <w:t>twenty-seventh</w:t>
            </w:r>
            <w:r w:rsidRPr="00551280">
              <w:t xml:space="preserve"> </w:t>
            </w:r>
            <w:r w:rsidR="009934C3">
              <w:t>s</w:t>
            </w:r>
            <w:r w:rsidRPr="00551280">
              <w:t>ession</w:t>
            </w:r>
          </w:p>
          <w:p w14:paraId="332F4656" w14:textId="0C94FE1A" w:rsidR="00D70323" w:rsidRDefault="00D70323" w:rsidP="00524CD3">
            <w:pPr>
              <w:ind w:left="2825"/>
            </w:pPr>
          </w:p>
        </w:tc>
      </w:tr>
    </w:tbl>
    <w:p w14:paraId="1F13843B" w14:textId="77777777" w:rsidR="00282FB4" w:rsidRPr="00282FB4" w:rsidRDefault="00282FB4" w:rsidP="00282FB4"/>
    <w:p w14:paraId="3778E872" w14:textId="77777777" w:rsidR="000341CF" w:rsidRPr="00DB4902" w:rsidRDefault="000341CF" w:rsidP="000341CF">
      <w:pPr>
        <w:pStyle w:val="HChG"/>
      </w:pPr>
      <w:r w:rsidRPr="00DB4902">
        <w:tab/>
      </w:r>
      <w:r w:rsidRPr="00DB4902">
        <w:tab/>
        <w:t>Introduction</w:t>
      </w:r>
    </w:p>
    <w:p w14:paraId="347A226D" w14:textId="7CEBF8E5" w:rsidR="000341CF" w:rsidRDefault="000341CF" w:rsidP="000341CF">
      <w:pPr>
        <w:pStyle w:val="SingleTxtG"/>
      </w:pPr>
      <w:r w:rsidRPr="00DB4902">
        <w:t>1.</w:t>
      </w:r>
      <w:r w:rsidRPr="00DB4902">
        <w:tab/>
      </w:r>
      <w:r>
        <w:t xml:space="preserve">During the twenty-seventh session of the ADN Safety Committee, three national interpretations from the Netherlands were discussed. One of the interpretations adopted by the ADN Safety Committee was the interpretation </w:t>
      </w:r>
      <w:r w:rsidR="00E83233">
        <w:t>on</w:t>
      </w:r>
      <w:r>
        <w:t xml:space="preserve"> the supervision during loading and unloading operations, 8.6.3, question 10 (under 7.2.4.25.5 on the UNECE website).</w:t>
      </w:r>
    </w:p>
    <w:p w14:paraId="4C876E3D" w14:textId="77777777" w:rsidR="000341CF" w:rsidRDefault="000341CF" w:rsidP="000341CF">
      <w:pPr>
        <w:pStyle w:val="SingleTxtG"/>
      </w:pPr>
      <w:r>
        <w:lastRenderedPageBreak/>
        <w:t>2.</w:t>
      </w:r>
      <w:r>
        <w:tab/>
        <w:t>The interpretation concerns the supervision during the loading and unloading on board and on the shore. Supervision from the shore can be done using (additional) technical means, and has to be executed by the filler/unloader. The supervision from the shore, according to the interpretation, has to include a radius of at least 3 meters around the manifold through which the loading or unloading takes place. In the practice this means that supervision from the shore in many cases is limited to the 3 meters around the manifold.</w:t>
      </w:r>
    </w:p>
    <w:p w14:paraId="029CEE4F" w14:textId="6EBC3F89" w:rsidR="000341CF" w:rsidRPr="00870442" w:rsidRDefault="000341CF" w:rsidP="000341CF">
      <w:pPr>
        <w:pStyle w:val="SingleTxtG"/>
        <w:rPr>
          <w:lang w:val="en-US"/>
        </w:rPr>
      </w:pPr>
      <w:r>
        <w:t>3.</w:t>
      </w:r>
      <w:r>
        <w:tab/>
        <w:t>The Dutch inspectorate has found that not all incidents, that occur during loading and unloading, occur within the area of 3 meters surrounding the manifold through which the loading and unloading takes place. When an incident occurs outside the 3 meters surrounding the manifold, the incident is not noticed through supervision from the shore. This potentially leads to delayed response during these incidents, which can lead to larger spills. Moreover, the incident must therefore be noticed by the person on board the vessel, who is likely to be more directly exposed to the spilled substance, and could therefore react in panic, become unwell, and/or become injured (slipping in spilled product).</w:t>
      </w:r>
    </w:p>
    <w:p w14:paraId="596EFF80" w14:textId="4273031C" w:rsidR="000341CF" w:rsidRDefault="000341CF" w:rsidP="000341CF">
      <w:pPr>
        <w:pStyle w:val="SingleTxtG"/>
      </w:pPr>
      <w:r>
        <w:t>4.</w:t>
      </w:r>
      <w:r>
        <w:tab/>
        <w:t xml:space="preserve">The Dutch delegation would like to discuss, among the </w:t>
      </w:r>
      <w:r w:rsidR="00C334D7">
        <w:t>states members</w:t>
      </w:r>
      <w:r>
        <w:t xml:space="preserve"> of the ADN Safety Committee, whether the area of supervision form the shore side should be enlarged to enable the shore supervision to also notice spills outside the </w:t>
      </w:r>
      <w:r w:rsidR="009F7BBB">
        <w:t>3-meter</w:t>
      </w:r>
      <w:r>
        <w:t xml:space="preserve"> radius from the manifold. This could potentially shorten reaction times, resulting in smaller spills. More important, incidents are more likely to be noticed by persons farther removed from the incident, decreasing the chances of personal exposure and panic reactions, leading to more level-headed decision making in the response to incidents.</w:t>
      </w:r>
    </w:p>
    <w:p w14:paraId="124CB130" w14:textId="77777777" w:rsidR="000341CF" w:rsidRDefault="000341CF" w:rsidP="000341CF">
      <w:pPr>
        <w:pStyle w:val="SingleTxtG"/>
      </w:pPr>
      <w:r>
        <w:t>5.</w:t>
      </w:r>
      <w:r>
        <w:tab/>
        <w:t>The relevant interpretation is included in the annex to this proposal, ADN 8.6.3.</w:t>
      </w:r>
    </w:p>
    <w:p w14:paraId="23364732" w14:textId="42EEAFB4" w:rsidR="000341CF" w:rsidRDefault="000341CF" w:rsidP="000341CF">
      <w:pPr>
        <w:ind w:left="1134" w:right="1089"/>
        <w:jc w:val="both"/>
      </w:pPr>
      <w:r>
        <w:t>6.</w:t>
      </w:r>
      <w:r>
        <w:tab/>
        <w:t xml:space="preserve">If the </w:t>
      </w:r>
      <w:r w:rsidR="0076181B">
        <w:t xml:space="preserve">ADN </w:t>
      </w:r>
      <w:r w:rsidR="00C334D7">
        <w:t xml:space="preserve">Safety </w:t>
      </w:r>
      <w:r w:rsidR="0076181B">
        <w:t>Committee agrees</w:t>
      </w:r>
      <w:r>
        <w:t xml:space="preserve"> with the Dutch delegation that supervision from the shore should be increased beyond the area immediately surrounding the manifold, the standing interpretation should be amended</w:t>
      </w:r>
      <w:r w:rsidR="00AC47FC">
        <w:t>.</w:t>
      </w:r>
      <w:r>
        <w:t xml:space="preserve"> However, it might also be necessary to amend ADN 8.6.3, question 10 and its explanation as well. The Dutch delegation is willing to prepare a </w:t>
      </w:r>
      <w:r w:rsidR="00775637">
        <w:t xml:space="preserve">document </w:t>
      </w:r>
      <w:r>
        <w:t xml:space="preserve">with adequate proposals to </w:t>
      </w:r>
      <w:r w:rsidRPr="002C4A09">
        <w:t>amend the interpretation and/or the ADN.</w:t>
      </w:r>
      <w:r>
        <w:t xml:space="preserve"> </w:t>
      </w:r>
    </w:p>
    <w:p w14:paraId="77513DE6" w14:textId="77777777" w:rsidR="005C1557" w:rsidRDefault="005C1557" w:rsidP="000341CF">
      <w:pPr>
        <w:ind w:left="1134" w:right="1089"/>
        <w:jc w:val="both"/>
        <w:sectPr w:rsidR="005C1557" w:rsidSect="0039278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393B9266" w14:textId="789803C8" w:rsidR="005C1557" w:rsidRDefault="005C1557" w:rsidP="0080399D">
      <w:pPr>
        <w:pStyle w:val="HChG"/>
      </w:pPr>
      <w:r>
        <w:lastRenderedPageBreak/>
        <w:t>Annex</w:t>
      </w:r>
    </w:p>
    <w:p w14:paraId="2C1C54CD" w14:textId="0D26A181" w:rsidR="00327C4D" w:rsidRPr="00327C4D" w:rsidRDefault="00F46271" w:rsidP="00327C4D">
      <w:pPr>
        <w:pStyle w:val="HChG"/>
      </w:pPr>
      <w:r>
        <w:tab/>
      </w:r>
      <w:r>
        <w:tab/>
      </w:r>
      <w:r w:rsidR="00327C4D">
        <w:t>Supervision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6"/>
        <w:gridCol w:w="3119"/>
        <w:gridCol w:w="2975"/>
      </w:tblGrid>
      <w:tr w:rsidR="006A6901" w:rsidRPr="00386C14" w14:paraId="56B82B28" w14:textId="77777777" w:rsidTr="00551280">
        <w:trPr>
          <w:trHeight w:hRule="exact" w:val="299"/>
        </w:trPr>
        <w:tc>
          <w:tcPr>
            <w:tcW w:w="1276" w:type="dxa"/>
            <w:tcBorders>
              <w:top w:val="single" w:sz="4" w:space="0" w:color="auto"/>
              <w:bottom w:val="single" w:sz="12" w:space="0" w:color="auto"/>
            </w:tcBorders>
            <w:shd w:val="clear" w:color="auto" w:fill="auto"/>
          </w:tcPr>
          <w:p w14:paraId="0CC1B58B" w14:textId="77777777" w:rsidR="006A6901" w:rsidRPr="00551280" w:rsidRDefault="006A6901" w:rsidP="00551280">
            <w:pPr>
              <w:pStyle w:val="TableParagraph"/>
              <w:widowControl/>
              <w:spacing w:before="80" w:after="80" w:line="200" w:lineRule="exact"/>
              <w:ind w:left="104" w:right="113"/>
              <w:rPr>
                <w:rFonts w:ascii="Times New Roman" w:hAnsi="Times New Roman"/>
                <w:i/>
                <w:sz w:val="16"/>
                <w:szCs w:val="20"/>
              </w:rPr>
            </w:pPr>
            <w:r w:rsidRPr="00250601">
              <w:rPr>
                <w:rFonts w:ascii="Times New Roman" w:hAnsi="Times New Roman"/>
                <w:i/>
                <w:sz w:val="16"/>
                <w:szCs w:val="20"/>
              </w:rPr>
              <w:t>Provision</w:t>
            </w:r>
          </w:p>
        </w:tc>
        <w:tc>
          <w:tcPr>
            <w:tcW w:w="3119" w:type="dxa"/>
            <w:tcBorders>
              <w:top w:val="single" w:sz="4" w:space="0" w:color="auto"/>
              <w:bottom w:val="single" w:sz="12" w:space="0" w:color="auto"/>
            </w:tcBorders>
            <w:shd w:val="clear" w:color="auto" w:fill="auto"/>
          </w:tcPr>
          <w:p w14:paraId="7E5E558E" w14:textId="77777777" w:rsidR="006A6901" w:rsidRPr="00551280" w:rsidRDefault="006A6901" w:rsidP="00551280">
            <w:pPr>
              <w:pStyle w:val="TableParagraph"/>
              <w:widowControl/>
              <w:spacing w:before="80" w:after="80" w:line="200" w:lineRule="exact"/>
              <w:ind w:left="104" w:right="113"/>
              <w:rPr>
                <w:rFonts w:ascii="Times New Roman" w:hAnsi="Times New Roman"/>
                <w:i/>
                <w:sz w:val="16"/>
                <w:szCs w:val="20"/>
              </w:rPr>
            </w:pPr>
            <w:r w:rsidRPr="00551280">
              <w:rPr>
                <w:rFonts w:ascii="Times New Roman" w:hAnsi="Times New Roman"/>
                <w:i/>
                <w:sz w:val="16"/>
                <w:szCs w:val="20"/>
              </w:rPr>
              <w:t>ADN text</w:t>
            </w:r>
          </w:p>
        </w:tc>
        <w:tc>
          <w:tcPr>
            <w:tcW w:w="2975" w:type="dxa"/>
            <w:tcBorders>
              <w:top w:val="single" w:sz="4" w:space="0" w:color="auto"/>
              <w:bottom w:val="single" w:sz="12" w:space="0" w:color="auto"/>
            </w:tcBorders>
            <w:shd w:val="clear" w:color="auto" w:fill="auto"/>
          </w:tcPr>
          <w:p w14:paraId="04053468" w14:textId="77777777" w:rsidR="006A6901" w:rsidRPr="00551280" w:rsidRDefault="006A6901" w:rsidP="00551280">
            <w:pPr>
              <w:pStyle w:val="TableParagraph"/>
              <w:widowControl/>
              <w:spacing w:before="80" w:after="80" w:line="200" w:lineRule="exact"/>
              <w:ind w:left="104" w:right="113"/>
              <w:rPr>
                <w:rFonts w:ascii="Times New Roman" w:hAnsi="Times New Roman"/>
                <w:i/>
                <w:sz w:val="16"/>
                <w:szCs w:val="20"/>
              </w:rPr>
            </w:pPr>
            <w:r w:rsidRPr="00551280">
              <w:rPr>
                <w:rFonts w:ascii="Times New Roman" w:hAnsi="Times New Roman"/>
                <w:i/>
                <w:sz w:val="16"/>
                <w:szCs w:val="20"/>
              </w:rPr>
              <w:t>Interpretation</w:t>
            </w:r>
          </w:p>
        </w:tc>
      </w:tr>
      <w:tr w:rsidR="006A6901" w:rsidRPr="00386C14" w14:paraId="4692211F" w14:textId="77777777" w:rsidTr="00551280">
        <w:trPr>
          <w:trHeight w:val="1251"/>
        </w:trPr>
        <w:tc>
          <w:tcPr>
            <w:tcW w:w="1276" w:type="dxa"/>
            <w:tcBorders>
              <w:top w:val="single" w:sz="12" w:space="0" w:color="auto"/>
              <w:bottom w:val="single" w:sz="4" w:space="0" w:color="auto"/>
            </w:tcBorders>
            <w:shd w:val="clear" w:color="auto" w:fill="auto"/>
          </w:tcPr>
          <w:p w14:paraId="725C9244" w14:textId="3442161B" w:rsidR="006A6901" w:rsidRPr="0009347D" w:rsidRDefault="006A6901" w:rsidP="00AA2C26">
            <w:pPr>
              <w:pStyle w:val="TableParagraph"/>
              <w:widowControl/>
              <w:spacing w:before="40" w:after="120" w:line="220" w:lineRule="exact"/>
              <w:ind w:right="113"/>
              <w:rPr>
                <w:rFonts w:ascii="Times New Roman" w:eastAsia="Verdana" w:hAnsi="Times New Roman"/>
                <w:sz w:val="20"/>
                <w:szCs w:val="20"/>
              </w:rPr>
            </w:pPr>
            <w:r w:rsidRPr="0009347D">
              <w:rPr>
                <w:rFonts w:ascii="Times New Roman" w:eastAsia="Verdana" w:hAnsi="Times New Roman"/>
                <w:sz w:val="20"/>
                <w:szCs w:val="20"/>
              </w:rPr>
              <w:t xml:space="preserve">8.6.3, question 10, also relevant: 1.4.3.3 </w:t>
            </w:r>
            <w:r w:rsidR="001C6FE0">
              <w:rPr>
                <w:rFonts w:ascii="Times New Roman" w:eastAsia="Verdana" w:hAnsi="Times New Roman"/>
                <w:sz w:val="20"/>
                <w:szCs w:val="20"/>
              </w:rPr>
              <w:t>(</w:t>
            </w:r>
            <w:r w:rsidRPr="0009347D">
              <w:rPr>
                <w:rFonts w:ascii="Times New Roman" w:eastAsia="Verdana" w:hAnsi="Times New Roman"/>
                <w:sz w:val="20"/>
                <w:szCs w:val="20"/>
              </w:rPr>
              <w:t>u</w:t>
            </w:r>
            <w:r w:rsidR="001C6FE0">
              <w:rPr>
                <w:rFonts w:ascii="Times New Roman" w:eastAsia="Verdana" w:hAnsi="Times New Roman"/>
                <w:sz w:val="20"/>
                <w:szCs w:val="20"/>
              </w:rPr>
              <w:t>)</w:t>
            </w:r>
            <w:r w:rsidRPr="0009347D">
              <w:rPr>
                <w:rFonts w:ascii="Times New Roman" w:eastAsia="Verdana" w:hAnsi="Times New Roman"/>
                <w:sz w:val="20"/>
                <w:szCs w:val="20"/>
              </w:rPr>
              <w:t xml:space="preserve"> 1.4.3.7.1.l</w:t>
            </w:r>
          </w:p>
        </w:tc>
        <w:tc>
          <w:tcPr>
            <w:tcW w:w="3119" w:type="dxa"/>
            <w:tcBorders>
              <w:top w:val="single" w:sz="12" w:space="0" w:color="auto"/>
              <w:bottom w:val="single" w:sz="4" w:space="0" w:color="auto"/>
            </w:tcBorders>
            <w:shd w:val="clear" w:color="auto" w:fill="auto"/>
          </w:tcPr>
          <w:p w14:paraId="64643AC1" w14:textId="77777777" w:rsidR="006A6901" w:rsidRPr="0009347D" w:rsidRDefault="006A6901" w:rsidP="00AA2C26">
            <w:pPr>
              <w:pStyle w:val="TableParagraph"/>
              <w:widowControl/>
              <w:spacing w:before="40" w:after="120" w:line="220" w:lineRule="exact"/>
              <w:ind w:right="113"/>
              <w:rPr>
                <w:rFonts w:ascii="Times New Roman" w:eastAsia="Verdana" w:hAnsi="Times New Roman"/>
                <w:sz w:val="20"/>
                <w:szCs w:val="20"/>
              </w:rPr>
            </w:pPr>
            <w:r w:rsidRPr="0009347D">
              <w:rPr>
                <w:rFonts w:ascii="Times New Roman" w:eastAsia="Verdana" w:hAnsi="Times New Roman"/>
                <w:sz w:val="20"/>
                <w:szCs w:val="20"/>
              </w:rPr>
              <w:t>Is continuous and suitable supervision of loading/unloading ensured for the whole period of the operation?</w:t>
            </w:r>
          </w:p>
        </w:tc>
        <w:tc>
          <w:tcPr>
            <w:tcW w:w="2975" w:type="dxa"/>
            <w:tcBorders>
              <w:top w:val="single" w:sz="12" w:space="0" w:color="auto"/>
              <w:bottom w:val="single" w:sz="4" w:space="0" w:color="auto"/>
            </w:tcBorders>
            <w:shd w:val="clear" w:color="auto" w:fill="auto"/>
          </w:tcPr>
          <w:p w14:paraId="742EE849" w14:textId="77777777" w:rsidR="006A6901" w:rsidRPr="00386C14" w:rsidRDefault="006A6901" w:rsidP="00AA2C26">
            <w:pPr>
              <w:pStyle w:val="TableParagraph"/>
              <w:widowControl/>
              <w:spacing w:before="40" w:after="120" w:line="220" w:lineRule="exact"/>
              <w:ind w:right="113"/>
              <w:rPr>
                <w:rFonts w:ascii="Times New Roman" w:eastAsia="Verdana" w:hAnsi="Times New Roman"/>
                <w:sz w:val="20"/>
                <w:szCs w:val="20"/>
              </w:rPr>
            </w:pPr>
            <w:r w:rsidRPr="0009347D">
              <w:rPr>
                <w:rFonts w:ascii="Times New Roman" w:eastAsia="Verdana" w:hAnsi="Times New Roman"/>
                <w:sz w:val="20"/>
                <w:szCs w:val="20"/>
              </w:rPr>
              <w:t xml:space="preserve">During loading / unloading effective supervision is to be insured without interruption, </w:t>
            </w:r>
            <w:proofErr w:type="spellStart"/>
            <w:r w:rsidRPr="0009347D">
              <w:rPr>
                <w:rFonts w:ascii="Times New Roman" w:eastAsia="Verdana" w:hAnsi="Times New Roman"/>
                <w:sz w:val="20"/>
                <w:szCs w:val="20"/>
              </w:rPr>
              <w:t>ie</w:t>
            </w:r>
            <w:proofErr w:type="spellEnd"/>
            <w:r w:rsidRPr="0009347D">
              <w:rPr>
                <w:rFonts w:ascii="Times New Roman" w:eastAsia="Verdana" w:hAnsi="Times New Roman"/>
                <w:sz w:val="20"/>
                <w:szCs w:val="20"/>
              </w:rPr>
              <w:t>. permanently.</w:t>
            </w:r>
          </w:p>
        </w:tc>
      </w:tr>
    </w:tbl>
    <w:p w14:paraId="364CE251" w14:textId="13F202C5" w:rsidR="00F46271" w:rsidRDefault="00550961" w:rsidP="00550961">
      <w:pPr>
        <w:pStyle w:val="HChG"/>
      </w:pPr>
      <w:r>
        <w:tab/>
      </w:r>
      <w:r>
        <w:tab/>
      </w:r>
      <w:r w:rsidR="00F46271" w:rsidRPr="00250601">
        <w:t>Explanation</w:t>
      </w:r>
    </w:p>
    <w:p w14:paraId="3904679C" w14:textId="0BA8663B" w:rsidR="00F46271" w:rsidRPr="00386C14" w:rsidRDefault="00C64D4D" w:rsidP="00550961">
      <w:pPr>
        <w:pStyle w:val="SingleTxtG"/>
        <w:rPr>
          <w:rFonts w:eastAsia="Verdana"/>
        </w:rPr>
      </w:pPr>
      <w:r>
        <w:rPr>
          <w:rFonts w:eastAsia="Verdana"/>
        </w:rPr>
        <w:t>1.</w:t>
      </w:r>
      <w:r>
        <w:rPr>
          <w:rFonts w:eastAsia="Verdana"/>
        </w:rPr>
        <w:tab/>
      </w:r>
      <w:r w:rsidR="00F46271" w:rsidRPr="00386C14">
        <w:rPr>
          <w:rFonts w:eastAsia="Verdana"/>
        </w:rPr>
        <w:t>The supervision of loading and unloading operations both on board and on shore has to be executed in such a manner that dangers which may occur in the vicinity of the cargo piping between ship and shore are noticed immediately.</w:t>
      </w:r>
    </w:p>
    <w:p w14:paraId="79079818" w14:textId="0868F4A1" w:rsidR="00F46271" w:rsidRPr="00386C14" w:rsidRDefault="00C64D4D" w:rsidP="00550961">
      <w:pPr>
        <w:pStyle w:val="SingleTxtG"/>
        <w:rPr>
          <w:rFonts w:eastAsia="Verdana"/>
        </w:rPr>
      </w:pPr>
      <w:r>
        <w:rPr>
          <w:rFonts w:eastAsia="Verdana"/>
        </w:rPr>
        <w:t>2.</w:t>
      </w:r>
      <w:r>
        <w:rPr>
          <w:rFonts w:eastAsia="Verdana"/>
        </w:rPr>
        <w:tab/>
      </w:r>
      <w:r w:rsidR="00F46271" w:rsidRPr="00386C14">
        <w:rPr>
          <w:rFonts w:eastAsia="Verdana"/>
        </w:rPr>
        <w:t>When the supervision is executed using (additional) technical means, the shore installation and the vessel have to reach agreement on how this is guaranteed.</w:t>
      </w:r>
    </w:p>
    <w:p w14:paraId="3362DB6A" w14:textId="3EDC66D1" w:rsidR="00F46271" w:rsidRPr="00386C14" w:rsidRDefault="00C64D4D" w:rsidP="00550961">
      <w:pPr>
        <w:pStyle w:val="SingleTxtG"/>
        <w:rPr>
          <w:rFonts w:eastAsia="Verdana"/>
        </w:rPr>
      </w:pPr>
      <w:r>
        <w:rPr>
          <w:rFonts w:eastAsia="Verdana"/>
        </w:rPr>
        <w:t>3.</w:t>
      </w:r>
      <w:r>
        <w:rPr>
          <w:rFonts w:eastAsia="Verdana"/>
        </w:rPr>
        <w:tab/>
      </w:r>
      <w:r w:rsidR="00F46271" w:rsidRPr="00386C14">
        <w:rPr>
          <w:rFonts w:eastAsia="Verdana"/>
        </w:rPr>
        <w:t xml:space="preserve">The effectiveness of the supervision has to be assured. This means that supervision from the vessel and from the shore is arranged in such a way that hazards that can arise are noticed immediately, and </w:t>
      </w:r>
      <w:r w:rsidR="00F46271" w:rsidRPr="00386C14">
        <w:rPr>
          <w:rFonts w:eastAsia="Verdana"/>
          <w:u w:val="single"/>
        </w:rPr>
        <w:t>under all circumstances</w:t>
      </w:r>
      <w:r w:rsidR="00F46271" w:rsidRPr="00386C14">
        <w:rPr>
          <w:rFonts w:eastAsia="Verdana"/>
        </w:rPr>
        <w:t>.</w:t>
      </w:r>
    </w:p>
    <w:p w14:paraId="3EFADD31" w14:textId="6E6594CB" w:rsidR="00F46271" w:rsidRDefault="00C64D4D" w:rsidP="00550961">
      <w:pPr>
        <w:pStyle w:val="SingleTxtG"/>
        <w:rPr>
          <w:u w:val="single"/>
        </w:rPr>
      </w:pPr>
      <w:r>
        <w:rPr>
          <w:rFonts w:eastAsia="Verdana"/>
        </w:rPr>
        <w:t>4.</w:t>
      </w:r>
      <w:r>
        <w:rPr>
          <w:rFonts w:eastAsia="Verdana"/>
        </w:rPr>
        <w:tab/>
      </w:r>
      <w:r w:rsidR="00F46271" w:rsidRPr="00386C14">
        <w:rPr>
          <w:rFonts w:eastAsia="Verdana"/>
        </w:rPr>
        <w:t>Supervision from the shore has to be executed by the filler/unloader of cargo tanks in the area between the connection of the venting piping (on board) with the vapour return piping (on shore) and the connection of the venting piping (on board) to the manifold in use, including a radius of at leas</w:t>
      </w:r>
      <w:r w:rsidR="00F46271">
        <w:rPr>
          <w:rFonts w:eastAsia="Verdana"/>
        </w:rPr>
        <w:t>t 3 meters around the manifold</w:t>
      </w:r>
    </w:p>
    <w:p w14:paraId="2819499B" w14:textId="12FC4048" w:rsidR="00F46271" w:rsidRDefault="00550961" w:rsidP="00550961">
      <w:pPr>
        <w:pStyle w:val="HChG"/>
      </w:pPr>
      <w:r>
        <w:tab/>
      </w:r>
      <w:r>
        <w:tab/>
      </w:r>
      <w:r w:rsidR="00F46271" w:rsidRPr="00250601">
        <w:t>Justification</w:t>
      </w:r>
    </w:p>
    <w:p w14:paraId="791E991D" w14:textId="2AA81981" w:rsidR="00F46271" w:rsidRPr="00386C14" w:rsidRDefault="00C64D4D" w:rsidP="00550961">
      <w:pPr>
        <w:pStyle w:val="SingleTxtG"/>
        <w:rPr>
          <w:lang w:val="en-US"/>
        </w:rPr>
      </w:pPr>
      <w:r>
        <w:rPr>
          <w:lang w:val="en-US"/>
        </w:rPr>
        <w:t>5.</w:t>
      </w:r>
      <w:r>
        <w:rPr>
          <w:lang w:val="en-US"/>
        </w:rPr>
        <w:tab/>
      </w:r>
      <w:r w:rsidR="00F46271" w:rsidRPr="00386C14">
        <w:rPr>
          <w:lang w:val="en-US"/>
        </w:rPr>
        <w:t>Supervision of the complete process of loading and unloading of a liquid cargo is essential. Any imminent possibility of loss of cargo should be detected immediately, and appropriate measures should be taken.</w:t>
      </w:r>
    </w:p>
    <w:p w14:paraId="25E4F41C" w14:textId="362EB083" w:rsidR="00F46271" w:rsidRPr="00386C14" w:rsidRDefault="00C64D4D" w:rsidP="00550961">
      <w:pPr>
        <w:pStyle w:val="SingleTxtG"/>
        <w:rPr>
          <w:lang w:val="en-US"/>
        </w:rPr>
      </w:pPr>
      <w:r>
        <w:rPr>
          <w:lang w:val="en-US"/>
        </w:rPr>
        <w:t>6.</w:t>
      </w:r>
      <w:r>
        <w:rPr>
          <w:lang w:val="en-US"/>
        </w:rPr>
        <w:tab/>
      </w:r>
      <w:r w:rsidR="00F46271" w:rsidRPr="00386C14">
        <w:rPr>
          <w:lang w:val="en-US"/>
        </w:rPr>
        <w:t xml:space="preserve">This supervision is the shared responsibility of both the crew on board the vessel and the shore facility that loads or unloads the cargo. </w:t>
      </w:r>
    </w:p>
    <w:p w14:paraId="214BEF0D" w14:textId="20DFA5A3" w:rsidR="00F46271" w:rsidRDefault="00C64D4D" w:rsidP="00550961">
      <w:pPr>
        <w:pStyle w:val="SingleTxtG"/>
        <w:rPr>
          <w:u w:val="single"/>
        </w:rPr>
      </w:pPr>
      <w:r>
        <w:rPr>
          <w:lang w:val="en-US"/>
        </w:rPr>
        <w:t>7.</w:t>
      </w:r>
      <w:r>
        <w:rPr>
          <w:lang w:val="en-US"/>
        </w:rPr>
        <w:tab/>
      </w:r>
      <w:r w:rsidR="00F46271" w:rsidRPr="00386C14">
        <w:rPr>
          <w:lang w:val="en-US"/>
        </w:rPr>
        <w:t>Supervision should therefore be carried out continuously during loadi</w:t>
      </w:r>
      <w:r w:rsidR="00F46271">
        <w:rPr>
          <w:lang w:val="en-US"/>
        </w:rPr>
        <w:t>ng and/or unloading procedures.</w:t>
      </w:r>
    </w:p>
    <w:p w14:paraId="26938558" w14:textId="3E92FDA4" w:rsidR="00AF7E9F" w:rsidRPr="007F4FF0" w:rsidRDefault="007F4FF0" w:rsidP="007F4FF0">
      <w:pPr>
        <w:spacing w:before="240"/>
        <w:jc w:val="center"/>
        <w:rPr>
          <w:u w:val="single"/>
        </w:rPr>
      </w:pPr>
      <w:r>
        <w:rPr>
          <w:u w:val="single"/>
        </w:rPr>
        <w:tab/>
      </w:r>
      <w:r>
        <w:rPr>
          <w:u w:val="single"/>
        </w:rPr>
        <w:tab/>
      </w:r>
      <w:r>
        <w:rPr>
          <w:u w:val="single"/>
        </w:rPr>
        <w:tab/>
      </w:r>
    </w:p>
    <w:sectPr w:rsidR="00AF7E9F" w:rsidRPr="007F4FF0" w:rsidSect="005C155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1F92" w14:textId="77777777" w:rsidR="00DC3F16" w:rsidRDefault="00DC3F16"/>
  </w:endnote>
  <w:endnote w:type="continuationSeparator" w:id="0">
    <w:p w14:paraId="6C49D6FE" w14:textId="77777777" w:rsidR="00DC3F16" w:rsidRDefault="00DC3F16"/>
  </w:endnote>
  <w:endnote w:type="continuationNotice" w:id="1">
    <w:p w14:paraId="3F7F640E" w14:textId="77777777" w:rsidR="00DC3F16" w:rsidRDefault="00DC3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9328" w14:textId="6E92E63D" w:rsidR="00392784" w:rsidRPr="00392784" w:rsidRDefault="00392784" w:rsidP="00392784">
    <w:pPr>
      <w:pStyle w:val="Footer"/>
      <w:tabs>
        <w:tab w:val="right" w:pos="9638"/>
      </w:tabs>
      <w:rPr>
        <w:sz w:val="18"/>
      </w:rPr>
    </w:pPr>
    <w:r w:rsidRPr="00392784">
      <w:rPr>
        <w:b/>
        <w:sz w:val="18"/>
      </w:rPr>
      <w:fldChar w:fldCharType="begin"/>
    </w:r>
    <w:r w:rsidRPr="00392784">
      <w:rPr>
        <w:b/>
        <w:sz w:val="18"/>
      </w:rPr>
      <w:instrText xml:space="preserve"> PAGE  \* MERGEFORMAT </w:instrText>
    </w:r>
    <w:r w:rsidRPr="00392784">
      <w:rPr>
        <w:b/>
        <w:sz w:val="18"/>
      </w:rPr>
      <w:fldChar w:fldCharType="separate"/>
    </w:r>
    <w:r w:rsidRPr="00392784">
      <w:rPr>
        <w:b/>
        <w:noProof/>
        <w:sz w:val="18"/>
      </w:rPr>
      <w:t>2</w:t>
    </w:r>
    <w:r w:rsidRPr="003927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BFD4" w14:textId="64351C0D" w:rsidR="00392784" w:rsidRPr="00392784" w:rsidRDefault="00392784" w:rsidP="00392784">
    <w:pPr>
      <w:pStyle w:val="Footer"/>
      <w:tabs>
        <w:tab w:val="right" w:pos="9638"/>
      </w:tabs>
      <w:rPr>
        <w:b/>
        <w:sz w:val="18"/>
      </w:rPr>
    </w:pPr>
    <w:r>
      <w:tab/>
    </w:r>
    <w:r w:rsidRPr="00392784">
      <w:rPr>
        <w:b/>
        <w:sz w:val="18"/>
      </w:rPr>
      <w:fldChar w:fldCharType="begin"/>
    </w:r>
    <w:r w:rsidRPr="00392784">
      <w:rPr>
        <w:b/>
        <w:sz w:val="18"/>
      </w:rPr>
      <w:instrText xml:space="preserve"> PAGE  \* MERGEFORMAT </w:instrText>
    </w:r>
    <w:r w:rsidRPr="00392784">
      <w:rPr>
        <w:b/>
        <w:sz w:val="18"/>
      </w:rPr>
      <w:fldChar w:fldCharType="separate"/>
    </w:r>
    <w:r w:rsidRPr="00392784">
      <w:rPr>
        <w:b/>
        <w:noProof/>
        <w:sz w:val="18"/>
      </w:rPr>
      <w:t>3</w:t>
    </w:r>
    <w:r w:rsidRPr="00392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3CB" w14:textId="78A13209" w:rsidR="0079623A" w:rsidRDefault="0079623A" w:rsidP="0079623A">
    <w:pPr>
      <w:pStyle w:val="Footer"/>
    </w:pPr>
    <w:r w:rsidRPr="0027112F">
      <w:rPr>
        <w:noProof/>
        <w:lang w:val="en-US"/>
      </w:rPr>
      <w:drawing>
        <wp:anchor distT="0" distB="0" distL="114300" distR="114300" simplePos="0" relativeHeight="251659264" behindDoc="0" locked="1" layoutInCell="1" allowOverlap="1" wp14:anchorId="19C0B453" wp14:editId="10D28E1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0979E1" w14:textId="1014084C" w:rsidR="0079623A" w:rsidRPr="0079623A" w:rsidRDefault="0079623A" w:rsidP="0079623A">
    <w:pPr>
      <w:pStyle w:val="Footer"/>
      <w:ind w:right="1134"/>
      <w:rPr>
        <w:sz w:val="20"/>
      </w:rPr>
    </w:pPr>
    <w:r>
      <w:rPr>
        <w:sz w:val="20"/>
      </w:rPr>
      <w:t>GE.22-08921(E)</w:t>
    </w:r>
    <w:r>
      <w:rPr>
        <w:noProof/>
        <w:sz w:val="20"/>
      </w:rPr>
      <w:drawing>
        <wp:anchor distT="0" distB="0" distL="114300" distR="114300" simplePos="0" relativeHeight="251660288" behindDoc="0" locked="0" layoutInCell="1" allowOverlap="1" wp14:anchorId="278957E8" wp14:editId="337DA27F">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A64D" w14:textId="77777777" w:rsidR="00DC3F16" w:rsidRPr="000B175B" w:rsidRDefault="00DC3F16" w:rsidP="000B175B">
      <w:pPr>
        <w:tabs>
          <w:tab w:val="right" w:pos="2155"/>
        </w:tabs>
        <w:spacing w:after="80"/>
        <w:ind w:left="680"/>
        <w:rPr>
          <w:u w:val="single"/>
        </w:rPr>
      </w:pPr>
      <w:r>
        <w:rPr>
          <w:u w:val="single"/>
        </w:rPr>
        <w:tab/>
      </w:r>
    </w:p>
  </w:footnote>
  <w:footnote w:type="continuationSeparator" w:id="0">
    <w:p w14:paraId="1E2C9C24" w14:textId="77777777" w:rsidR="00DC3F16" w:rsidRPr="00FC68B7" w:rsidRDefault="00DC3F16" w:rsidP="00FC68B7">
      <w:pPr>
        <w:tabs>
          <w:tab w:val="left" w:pos="2155"/>
        </w:tabs>
        <w:spacing w:after="80"/>
        <w:ind w:left="680"/>
        <w:rPr>
          <w:u w:val="single"/>
        </w:rPr>
      </w:pPr>
      <w:r>
        <w:rPr>
          <w:u w:val="single"/>
        </w:rPr>
        <w:tab/>
      </w:r>
    </w:p>
  </w:footnote>
  <w:footnote w:type="continuationNotice" w:id="1">
    <w:p w14:paraId="26153AA3" w14:textId="77777777" w:rsidR="00DC3F16" w:rsidRDefault="00DC3F16"/>
  </w:footnote>
  <w:footnote w:id="2">
    <w:p w14:paraId="4AC92EC1" w14:textId="43442A5C" w:rsidR="00A25B27" w:rsidRPr="00A25B27" w:rsidRDefault="00A25B27">
      <w:pPr>
        <w:pStyle w:val="FootnoteText"/>
        <w:rPr>
          <w:lang w:val="en-US"/>
        </w:rPr>
      </w:pPr>
      <w:r>
        <w:rPr>
          <w:rStyle w:val="FootnoteReference"/>
        </w:rPr>
        <w:tab/>
      </w:r>
      <w:r w:rsidRPr="00A25B27">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w:t>
      </w:r>
      <w:r w:rsidRPr="0057383D">
        <w:t>/2022/4</w:t>
      </w:r>
      <w:r w:rsidR="00C353D7">
        <w:t>9</w:t>
      </w:r>
      <w:r w:rsidRPr="0057383D">
        <w:t>.</w:t>
      </w:r>
    </w:p>
  </w:footnote>
  <w:footnote w:id="3">
    <w:p w14:paraId="6F51B591" w14:textId="22E1147B" w:rsidR="0024521F" w:rsidRPr="0024521F" w:rsidRDefault="0024521F">
      <w:pPr>
        <w:pStyle w:val="FootnoteText"/>
        <w:rPr>
          <w:lang w:val="en-US"/>
        </w:rPr>
      </w:pPr>
      <w:r>
        <w:rPr>
          <w:rStyle w:val="FootnoteReference"/>
        </w:rPr>
        <w:tab/>
      </w:r>
      <w:r w:rsidRPr="0024521F">
        <w:rPr>
          <w:rStyle w:val="FootnoteReference"/>
          <w:sz w:val="20"/>
          <w:vertAlign w:val="baseline"/>
        </w:rPr>
        <w:t>**</w:t>
      </w:r>
      <w:r>
        <w:rPr>
          <w:rStyle w:val="FootnoteReference"/>
          <w:sz w:val="20"/>
          <w:vertAlign w:val="baseline"/>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9E8D" w14:textId="377956A8" w:rsidR="00392784" w:rsidRPr="00A36B51" w:rsidRDefault="00A36B51" w:rsidP="00A36B51">
    <w:pPr>
      <w:pStyle w:val="Header"/>
    </w:pPr>
    <w:r w:rsidRPr="00A36B51">
      <w:t>ECE/TRANS/WP.15/AC.2/2022/49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A59F" w14:textId="2A99D672" w:rsidR="00392784" w:rsidRPr="00392784" w:rsidRDefault="00A36B51" w:rsidP="00392784">
    <w:pPr>
      <w:pStyle w:val="Header"/>
      <w:jc w:val="right"/>
    </w:pPr>
    <w:r w:rsidRPr="00A36B51">
      <w:t>ECE/TRANS/WP.15/AC.2/2022/49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84"/>
    <w:rsid w:val="00002A7D"/>
    <w:rsid w:val="000038A8"/>
    <w:rsid w:val="00006790"/>
    <w:rsid w:val="000211BF"/>
    <w:rsid w:val="00027624"/>
    <w:rsid w:val="00032B2C"/>
    <w:rsid w:val="000341CF"/>
    <w:rsid w:val="00050F6B"/>
    <w:rsid w:val="000678CD"/>
    <w:rsid w:val="00072C8C"/>
    <w:rsid w:val="00081CE0"/>
    <w:rsid w:val="00084D30"/>
    <w:rsid w:val="00090320"/>
    <w:rsid w:val="000931C0"/>
    <w:rsid w:val="0009347D"/>
    <w:rsid w:val="000A2E09"/>
    <w:rsid w:val="000B175B"/>
    <w:rsid w:val="000B3A0F"/>
    <w:rsid w:val="000E0415"/>
    <w:rsid w:val="000E1F03"/>
    <w:rsid w:val="000E4539"/>
    <w:rsid w:val="000E499D"/>
    <w:rsid w:val="000F7715"/>
    <w:rsid w:val="00144510"/>
    <w:rsid w:val="00146D88"/>
    <w:rsid w:val="00156B99"/>
    <w:rsid w:val="00166124"/>
    <w:rsid w:val="00184DDA"/>
    <w:rsid w:val="001900CD"/>
    <w:rsid w:val="001910BF"/>
    <w:rsid w:val="001A0452"/>
    <w:rsid w:val="001A7D57"/>
    <w:rsid w:val="001B4B04"/>
    <w:rsid w:val="001B5875"/>
    <w:rsid w:val="001C4B9C"/>
    <w:rsid w:val="001C6663"/>
    <w:rsid w:val="001C6FE0"/>
    <w:rsid w:val="001C7895"/>
    <w:rsid w:val="001D26DF"/>
    <w:rsid w:val="001F1599"/>
    <w:rsid w:val="001F19C4"/>
    <w:rsid w:val="002043F0"/>
    <w:rsid w:val="00211E0B"/>
    <w:rsid w:val="002267FF"/>
    <w:rsid w:val="00232575"/>
    <w:rsid w:val="0024521F"/>
    <w:rsid w:val="00247258"/>
    <w:rsid w:val="00250601"/>
    <w:rsid w:val="00257CAC"/>
    <w:rsid w:val="00257FAF"/>
    <w:rsid w:val="0027237A"/>
    <w:rsid w:val="00282FB4"/>
    <w:rsid w:val="002974E9"/>
    <w:rsid w:val="002A62B7"/>
    <w:rsid w:val="002A6594"/>
    <w:rsid w:val="002A7F94"/>
    <w:rsid w:val="002B109A"/>
    <w:rsid w:val="002B1549"/>
    <w:rsid w:val="002C5458"/>
    <w:rsid w:val="002C6D45"/>
    <w:rsid w:val="002D6E53"/>
    <w:rsid w:val="002F046D"/>
    <w:rsid w:val="002F3023"/>
    <w:rsid w:val="00301764"/>
    <w:rsid w:val="0031244E"/>
    <w:rsid w:val="00316ED4"/>
    <w:rsid w:val="0032222E"/>
    <w:rsid w:val="003229D8"/>
    <w:rsid w:val="00327C4D"/>
    <w:rsid w:val="00336C97"/>
    <w:rsid w:val="00337F88"/>
    <w:rsid w:val="00342432"/>
    <w:rsid w:val="0035223F"/>
    <w:rsid w:val="00352D4B"/>
    <w:rsid w:val="0035638C"/>
    <w:rsid w:val="003643A5"/>
    <w:rsid w:val="00392784"/>
    <w:rsid w:val="003A46BB"/>
    <w:rsid w:val="003A4EC7"/>
    <w:rsid w:val="003A7295"/>
    <w:rsid w:val="003B1F60"/>
    <w:rsid w:val="003C2CC4"/>
    <w:rsid w:val="003D37A6"/>
    <w:rsid w:val="003D4B23"/>
    <w:rsid w:val="003E278A"/>
    <w:rsid w:val="00413520"/>
    <w:rsid w:val="004325CB"/>
    <w:rsid w:val="00440A07"/>
    <w:rsid w:val="00455FD7"/>
    <w:rsid w:val="00462880"/>
    <w:rsid w:val="0046540B"/>
    <w:rsid w:val="00476F24"/>
    <w:rsid w:val="004B31AD"/>
    <w:rsid w:val="004C55B0"/>
    <w:rsid w:val="004E3337"/>
    <w:rsid w:val="004F6BA0"/>
    <w:rsid w:val="00503BEA"/>
    <w:rsid w:val="00524CD3"/>
    <w:rsid w:val="00533616"/>
    <w:rsid w:val="00535ABA"/>
    <w:rsid w:val="0053768B"/>
    <w:rsid w:val="005420F2"/>
    <w:rsid w:val="0054285C"/>
    <w:rsid w:val="00550961"/>
    <w:rsid w:val="00551280"/>
    <w:rsid w:val="00562EDD"/>
    <w:rsid w:val="00584173"/>
    <w:rsid w:val="00595520"/>
    <w:rsid w:val="005A44B9"/>
    <w:rsid w:val="005B1BA0"/>
    <w:rsid w:val="005B3DB3"/>
    <w:rsid w:val="005C1557"/>
    <w:rsid w:val="005D15CA"/>
    <w:rsid w:val="005F08DF"/>
    <w:rsid w:val="005F3066"/>
    <w:rsid w:val="005F3E61"/>
    <w:rsid w:val="005F4A69"/>
    <w:rsid w:val="00604DDD"/>
    <w:rsid w:val="006115CC"/>
    <w:rsid w:val="00611FC4"/>
    <w:rsid w:val="006176FB"/>
    <w:rsid w:val="00630FCB"/>
    <w:rsid w:val="0064099C"/>
    <w:rsid w:val="00640B26"/>
    <w:rsid w:val="0065766B"/>
    <w:rsid w:val="006770B2"/>
    <w:rsid w:val="00686A48"/>
    <w:rsid w:val="006940E1"/>
    <w:rsid w:val="006A3C72"/>
    <w:rsid w:val="006A6901"/>
    <w:rsid w:val="006A72FF"/>
    <w:rsid w:val="006A7392"/>
    <w:rsid w:val="006B03A1"/>
    <w:rsid w:val="006B67D9"/>
    <w:rsid w:val="006C5535"/>
    <w:rsid w:val="006D0589"/>
    <w:rsid w:val="006E564B"/>
    <w:rsid w:val="006E7154"/>
    <w:rsid w:val="007003CD"/>
    <w:rsid w:val="0070701E"/>
    <w:rsid w:val="007214B1"/>
    <w:rsid w:val="0072632A"/>
    <w:rsid w:val="007358E8"/>
    <w:rsid w:val="00736ECE"/>
    <w:rsid w:val="00743281"/>
    <w:rsid w:val="0074533B"/>
    <w:rsid w:val="0076181B"/>
    <w:rsid w:val="007643BC"/>
    <w:rsid w:val="00774DE3"/>
    <w:rsid w:val="00775637"/>
    <w:rsid w:val="00780C68"/>
    <w:rsid w:val="007814C8"/>
    <w:rsid w:val="007959FE"/>
    <w:rsid w:val="0079623A"/>
    <w:rsid w:val="007A0CF1"/>
    <w:rsid w:val="007A7FA0"/>
    <w:rsid w:val="007B6BA5"/>
    <w:rsid w:val="007C3390"/>
    <w:rsid w:val="007C42D8"/>
    <w:rsid w:val="007C4F4B"/>
    <w:rsid w:val="007D7362"/>
    <w:rsid w:val="007E4B03"/>
    <w:rsid w:val="007F4FF0"/>
    <w:rsid w:val="007F5CE2"/>
    <w:rsid w:val="007F6611"/>
    <w:rsid w:val="0080399D"/>
    <w:rsid w:val="00810BAC"/>
    <w:rsid w:val="008175E9"/>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27F3"/>
    <w:rsid w:val="008C2E57"/>
    <w:rsid w:val="008C4835"/>
    <w:rsid w:val="008D045E"/>
    <w:rsid w:val="008D3F25"/>
    <w:rsid w:val="008D4D82"/>
    <w:rsid w:val="008E0E46"/>
    <w:rsid w:val="008E7116"/>
    <w:rsid w:val="008F143B"/>
    <w:rsid w:val="008F3882"/>
    <w:rsid w:val="008F4B7C"/>
    <w:rsid w:val="00926E47"/>
    <w:rsid w:val="00947162"/>
    <w:rsid w:val="00960A2F"/>
    <w:rsid w:val="009610D0"/>
    <w:rsid w:val="0096375C"/>
    <w:rsid w:val="009662E6"/>
    <w:rsid w:val="0097095E"/>
    <w:rsid w:val="00974C03"/>
    <w:rsid w:val="0098592B"/>
    <w:rsid w:val="00985FC4"/>
    <w:rsid w:val="00990766"/>
    <w:rsid w:val="00991261"/>
    <w:rsid w:val="009934C3"/>
    <w:rsid w:val="009964C4"/>
    <w:rsid w:val="009A73C4"/>
    <w:rsid w:val="009A7B81"/>
    <w:rsid w:val="009C1622"/>
    <w:rsid w:val="009C520B"/>
    <w:rsid w:val="009D01C0"/>
    <w:rsid w:val="009D6A08"/>
    <w:rsid w:val="009E0A16"/>
    <w:rsid w:val="009E6CB7"/>
    <w:rsid w:val="009E7970"/>
    <w:rsid w:val="009F2EAC"/>
    <w:rsid w:val="009F57E3"/>
    <w:rsid w:val="009F7BBB"/>
    <w:rsid w:val="00A10F4F"/>
    <w:rsid w:val="00A11067"/>
    <w:rsid w:val="00A1166F"/>
    <w:rsid w:val="00A1704A"/>
    <w:rsid w:val="00A25B27"/>
    <w:rsid w:val="00A32252"/>
    <w:rsid w:val="00A341A7"/>
    <w:rsid w:val="00A36B51"/>
    <w:rsid w:val="00A425EB"/>
    <w:rsid w:val="00A56728"/>
    <w:rsid w:val="00A72F22"/>
    <w:rsid w:val="00A733BC"/>
    <w:rsid w:val="00A748A6"/>
    <w:rsid w:val="00A76A69"/>
    <w:rsid w:val="00A879A4"/>
    <w:rsid w:val="00A96BC1"/>
    <w:rsid w:val="00AA0FF8"/>
    <w:rsid w:val="00AA2C26"/>
    <w:rsid w:val="00AB03F2"/>
    <w:rsid w:val="00AB134D"/>
    <w:rsid w:val="00AC0F2C"/>
    <w:rsid w:val="00AC47FC"/>
    <w:rsid w:val="00AC502A"/>
    <w:rsid w:val="00AF58C1"/>
    <w:rsid w:val="00AF7E9F"/>
    <w:rsid w:val="00B04A3F"/>
    <w:rsid w:val="00B06643"/>
    <w:rsid w:val="00B15055"/>
    <w:rsid w:val="00B20551"/>
    <w:rsid w:val="00B30179"/>
    <w:rsid w:val="00B33FC7"/>
    <w:rsid w:val="00B37B15"/>
    <w:rsid w:val="00B45C02"/>
    <w:rsid w:val="00B70B63"/>
    <w:rsid w:val="00B72A1E"/>
    <w:rsid w:val="00B81E12"/>
    <w:rsid w:val="00B83B0C"/>
    <w:rsid w:val="00BA0561"/>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334D7"/>
    <w:rsid w:val="00C353D7"/>
    <w:rsid w:val="00C463DD"/>
    <w:rsid w:val="00C6124E"/>
    <w:rsid w:val="00C64D4D"/>
    <w:rsid w:val="00C745C3"/>
    <w:rsid w:val="00C978F5"/>
    <w:rsid w:val="00CA24A4"/>
    <w:rsid w:val="00CA34BB"/>
    <w:rsid w:val="00CA7353"/>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6675"/>
    <w:rsid w:val="00D5669F"/>
    <w:rsid w:val="00D5693E"/>
    <w:rsid w:val="00D57D04"/>
    <w:rsid w:val="00D632F1"/>
    <w:rsid w:val="00D70323"/>
    <w:rsid w:val="00D704E5"/>
    <w:rsid w:val="00D72727"/>
    <w:rsid w:val="00D978C6"/>
    <w:rsid w:val="00DA0956"/>
    <w:rsid w:val="00DA357F"/>
    <w:rsid w:val="00DA3E12"/>
    <w:rsid w:val="00DC0D4D"/>
    <w:rsid w:val="00DC18AD"/>
    <w:rsid w:val="00DC3F16"/>
    <w:rsid w:val="00DF61DE"/>
    <w:rsid w:val="00DF7CAE"/>
    <w:rsid w:val="00E147C2"/>
    <w:rsid w:val="00E22D5B"/>
    <w:rsid w:val="00E423C0"/>
    <w:rsid w:val="00E6414C"/>
    <w:rsid w:val="00E7260F"/>
    <w:rsid w:val="00E83233"/>
    <w:rsid w:val="00E8702D"/>
    <w:rsid w:val="00E905F4"/>
    <w:rsid w:val="00E916A9"/>
    <w:rsid w:val="00E916DE"/>
    <w:rsid w:val="00E925AD"/>
    <w:rsid w:val="00E96630"/>
    <w:rsid w:val="00EC2245"/>
    <w:rsid w:val="00ED18DC"/>
    <w:rsid w:val="00ED6201"/>
    <w:rsid w:val="00ED7A2A"/>
    <w:rsid w:val="00EF1D7F"/>
    <w:rsid w:val="00F0137E"/>
    <w:rsid w:val="00F025F9"/>
    <w:rsid w:val="00F21786"/>
    <w:rsid w:val="00F3742B"/>
    <w:rsid w:val="00F41FDB"/>
    <w:rsid w:val="00F46271"/>
    <w:rsid w:val="00F56D63"/>
    <w:rsid w:val="00F609A9"/>
    <w:rsid w:val="00F80C99"/>
    <w:rsid w:val="00F867EC"/>
    <w:rsid w:val="00F87626"/>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CF8BC89"/>
  <w15:docId w15:val="{56A79926-3717-40E7-872F-3440DE78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basedOn w:val="DefaultParagraphFont"/>
    <w:link w:val="SingleTxtG"/>
    <w:qFormat/>
    <w:rsid w:val="000341CF"/>
    <w:rPr>
      <w:lang w:val="en-GB"/>
    </w:rPr>
  </w:style>
  <w:style w:type="character" w:customStyle="1" w:styleId="FootnoteTextChar">
    <w:name w:val="Footnote Text Char"/>
    <w:aliases w:val="5_G Char"/>
    <w:basedOn w:val="DefaultParagraphFont"/>
    <w:link w:val="FootnoteText"/>
    <w:rsid w:val="0024521F"/>
    <w:rPr>
      <w:sz w:val="18"/>
      <w:lang w:val="en-GB"/>
    </w:rPr>
  </w:style>
  <w:style w:type="paragraph" w:styleId="BodyText">
    <w:name w:val="Body Text"/>
    <w:basedOn w:val="Normal"/>
    <w:next w:val="Normal"/>
    <w:link w:val="BodyTextChar"/>
    <w:uiPriority w:val="1"/>
    <w:qFormat/>
    <w:rsid w:val="006A6901"/>
    <w:rPr>
      <w:lang w:eastAsia="en-US"/>
    </w:rPr>
  </w:style>
  <w:style w:type="character" w:customStyle="1" w:styleId="BodyTextChar">
    <w:name w:val="Body Text Char"/>
    <w:basedOn w:val="DefaultParagraphFont"/>
    <w:link w:val="BodyText"/>
    <w:uiPriority w:val="1"/>
    <w:rsid w:val="006A6901"/>
    <w:rPr>
      <w:lang w:val="en-GB" w:eastAsia="en-US"/>
    </w:rPr>
  </w:style>
  <w:style w:type="paragraph" w:customStyle="1" w:styleId="TableParagraph">
    <w:name w:val="Table Paragraph"/>
    <w:basedOn w:val="Normal"/>
    <w:uiPriority w:val="1"/>
    <w:qFormat/>
    <w:rsid w:val="006A6901"/>
    <w:pPr>
      <w:widowControl w:val="0"/>
      <w:suppressAutoHyphens w:val="0"/>
      <w:spacing w:line="240" w:lineRule="auto"/>
    </w:pPr>
    <w:rPr>
      <w:rFonts w:ascii="Calibri" w:eastAsia="Calibri" w:hAnsi="Calibri"/>
      <w:sz w:val="22"/>
      <w:szCs w:val="22"/>
      <w:lang w:val="en-US" w:eastAsia="en-US"/>
    </w:rPr>
  </w:style>
  <w:style w:type="character" w:styleId="CommentReference">
    <w:name w:val="annotation reference"/>
    <w:basedOn w:val="DefaultParagraphFont"/>
    <w:semiHidden/>
    <w:unhideWhenUsed/>
    <w:rsid w:val="0046540B"/>
    <w:rPr>
      <w:sz w:val="16"/>
      <w:szCs w:val="16"/>
    </w:rPr>
  </w:style>
  <w:style w:type="paragraph" w:styleId="CommentText">
    <w:name w:val="annotation text"/>
    <w:basedOn w:val="Normal"/>
    <w:link w:val="CommentTextChar"/>
    <w:semiHidden/>
    <w:unhideWhenUsed/>
    <w:rsid w:val="0046540B"/>
    <w:pPr>
      <w:spacing w:line="240" w:lineRule="auto"/>
    </w:pPr>
  </w:style>
  <w:style w:type="character" w:customStyle="1" w:styleId="CommentTextChar">
    <w:name w:val="Comment Text Char"/>
    <w:basedOn w:val="DefaultParagraphFont"/>
    <w:link w:val="CommentText"/>
    <w:semiHidden/>
    <w:rsid w:val="0046540B"/>
    <w:rPr>
      <w:lang w:val="en-GB"/>
    </w:rPr>
  </w:style>
  <w:style w:type="paragraph" w:styleId="CommentSubject">
    <w:name w:val="annotation subject"/>
    <w:basedOn w:val="CommentText"/>
    <w:next w:val="CommentText"/>
    <w:link w:val="CommentSubjectChar"/>
    <w:semiHidden/>
    <w:unhideWhenUsed/>
    <w:rsid w:val="0046540B"/>
    <w:rPr>
      <w:b/>
      <w:bCs/>
    </w:rPr>
  </w:style>
  <w:style w:type="character" w:customStyle="1" w:styleId="CommentSubjectChar">
    <w:name w:val="Comment Subject Char"/>
    <w:basedOn w:val="CommentTextChar"/>
    <w:link w:val="CommentSubject"/>
    <w:semiHidden/>
    <w:rsid w:val="0046540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17132-1E9A-454C-8C0C-6FDFEF522E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A088AB8-B1CA-4477-89D7-456CC938281F}">
  <ds:schemaRefs>
    <ds:schemaRef ds:uri="http://schemas.microsoft.com/sharepoint/v3/contenttype/forms"/>
  </ds:schemaRefs>
</ds:datastoreItem>
</file>

<file path=customXml/itemProps3.xml><?xml version="1.0" encoding="utf-8"?>
<ds:datastoreItem xmlns:ds="http://schemas.openxmlformats.org/officeDocument/2006/customXml" ds:itemID="{9396FFFA-CCF4-48DC-9D84-B4B0E0D96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4649</Characters>
  <Application>Microsoft Office Word</Application>
  <DocSecurity>0</DocSecurity>
  <Lines>106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ECE/TRANS/WP.15/AC.2/2022/49</dc:title>
  <dc:subject>2208921</dc:subject>
  <dc:creator>ND</dc:creator>
  <cp:keywords/>
  <dc:description/>
  <cp:lastModifiedBy>Edna Kay</cp:lastModifiedBy>
  <cp:revision>2</cp:revision>
  <cp:lastPrinted>2009-02-18T09:36:00Z</cp:lastPrinted>
  <dcterms:created xsi:type="dcterms:W3CDTF">2022-06-10T07:38:00Z</dcterms:created>
  <dcterms:modified xsi:type="dcterms:W3CDTF">2022-06-10T07:38:00Z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