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650B175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FC442D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D051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3C276B5" w14:textId="1E6B0A02" w:rsidR="001433FD" w:rsidRPr="009A03B3" w:rsidRDefault="009A03B3" w:rsidP="009A03B3">
            <w:pPr>
              <w:jc w:val="right"/>
            </w:pPr>
            <w:r w:rsidRPr="009A03B3">
              <w:rPr>
                <w:sz w:val="40"/>
              </w:rPr>
              <w:t>ECE</w:t>
            </w:r>
            <w:r>
              <w:t>/TRANS/WP.15/AC.2/2022/33</w:t>
            </w:r>
          </w:p>
        </w:tc>
      </w:tr>
      <w:tr w:rsidR="001433FD" w:rsidRPr="00DB58B5" w14:paraId="14A21281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B495B9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14B7034" wp14:editId="461C1A5C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E080DF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BCBA5E" w14:textId="77777777" w:rsidR="0001207F" w:rsidRDefault="00F4180D" w:rsidP="00F4180D">
            <w:pPr>
              <w:spacing w:before="240" w:line="240" w:lineRule="exact"/>
            </w:pPr>
            <w:r>
              <w:t>Distr. générale</w:t>
            </w:r>
          </w:p>
          <w:p w14:paraId="40464E79" w14:textId="5314FD84" w:rsidR="00F4180D" w:rsidRDefault="0098600C" w:rsidP="00F4180D">
            <w:pPr>
              <w:spacing w:line="240" w:lineRule="exact"/>
            </w:pPr>
            <w:r>
              <w:t>23</w:t>
            </w:r>
            <w:r w:rsidR="00F4180D">
              <w:t xml:space="preserve"> mai 2022</w:t>
            </w:r>
          </w:p>
          <w:p w14:paraId="643D617E" w14:textId="77777777" w:rsidR="00F4180D" w:rsidRDefault="00F4180D" w:rsidP="00F4180D">
            <w:pPr>
              <w:spacing w:line="240" w:lineRule="exact"/>
            </w:pPr>
          </w:p>
          <w:p w14:paraId="21D21CA8" w14:textId="77777777" w:rsidR="00F4180D" w:rsidRPr="00DB58B5" w:rsidRDefault="00F4180D" w:rsidP="00F4180D">
            <w:pPr>
              <w:spacing w:line="240" w:lineRule="exact"/>
            </w:pPr>
            <w:r>
              <w:t>Original : français</w:t>
            </w:r>
          </w:p>
        </w:tc>
      </w:tr>
    </w:tbl>
    <w:p w14:paraId="28AC9E8E" w14:textId="3EE78A95" w:rsidR="00564657" w:rsidRDefault="00564657" w:rsidP="00F4180D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CD9907A" w14:textId="77777777" w:rsidR="00F4180D" w:rsidRDefault="00F4180D" w:rsidP="00F4180D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31885FE1" w14:textId="77777777" w:rsidR="00F4180D" w:rsidRPr="00B128F0" w:rsidRDefault="00F4180D" w:rsidP="00F4180D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57D3001F" w14:textId="77777777" w:rsidR="00F4180D" w:rsidRDefault="00F4180D" w:rsidP="00F4180D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54B886BE" w14:textId="77777777" w:rsidR="00F4180D" w:rsidRPr="003D48C7" w:rsidRDefault="00F4180D" w:rsidP="00F4180D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46160CED" w14:textId="77777777" w:rsidR="00F4180D" w:rsidRPr="003D48C7" w:rsidRDefault="00F4180D" w:rsidP="00F4180D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56FABB22" w14:textId="77777777" w:rsidR="00F4180D" w:rsidRDefault="00F4180D" w:rsidP="00F4180D">
      <w:r w:rsidRPr="00501791">
        <w:t xml:space="preserve">Point </w:t>
      </w:r>
      <w:r>
        <w:t>4 b)</w:t>
      </w:r>
      <w:r w:rsidRPr="00501791">
        <w:t xml:space="preserve"> de l’ordre du jour provisoire</w:t>
      </w:r>
    </w:p>
    <w:p w14:paraId="6BE9FBCA" w14:textId="77777777" w:rsidR="00F4180D" w:rsidRPr="00CB6AED" w:rsidRDefault="00F4180D" w:rsidP="00F4180D">
      <w:pPr>
        <w:rPr>
          <w:b/>
          <w:bCs/>
          <w:lang w:val="fr-FR"/>
        </w:rPr>
      </w:pPr>
      <w:r w:rsidRPr="009B549A">
        <w:rPr>
          <w:b/>
          <w:bCs/>
          <w:lang w:val="fr-FR"/>
        </w:rPr>
        <w:t>Propositions</w:t>
      </w:r>
      <w:r>
        <w:rPr>
          <w:b/>
          <w:bCs/>
          <w:lang w:val="fr-FR"/>
        </w:rPr>
        <w:t xml:space="preserve"> </w:t>
      </w:r>
      <w:r w:rsidRPr="009B549A">
        <w:rPr>
          <w:b/>
          <w:bCs/>
          <w:lang w:val="fr-FR"/>
        </w:rPr>
        <w:t>d’amendements au Règlement annexé à l’ADN :</w:t>
      </w:r>
      <w:r w:rsidRPr="002E0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6AED">
        <w:rPr>
          <w:b/>
          <w:bCs/>
          <w:lang w:val="fr-FR"/>
        </w:rPr>
        <w:t>autres propositions</w:t>
      </w:r>
    </w:p>
    <w:p w14:paraId="488CE74A" w14:textId="5EE19A78" w:rsidR="00F4180D" w:rsidRPr="005C18E4" w:rsidRDefault="002F6E94" w:rsidP="002F6E9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4180D" w:rsidRPr="005C18E4">
        <w:rPr>
          <w:lang w:val="fr-FR"/>
        </w:rPr>
        <w:t>Section 6.1.4 - Véhicules ferroviaires à transporter, adaptation à la version allemande</w:t>
      </w:r>
    </w:p>
    <w:p w14:paraId="6091E9F5" w14:textId="77777777" w:rsidR="00F4180D" w:rsidRPr="005C18E4" w:rsidRDefault="00F4180D" w:rsidP="002F6E94">
      <w:pPr>
        <w:pStyle w:val="H1G"/>
        <w:rPr>
          <w:rFonts w:eastAsia="Calibri"/>
          <w:lang w:val="fr-FR"/>
        </w:rPr>
      </w:pPr>
      <w:r w:rsidRPr="005C18E4">
        <w:rPr>
          <w:rFonts w:eastAsia="Calibri"/>
          <w:lang w:val="fr-FR"/>
        </w:rPr>
        <w:tab/>
      </w:r>
      <w:r w:rsidRPr="005C18E4">
        <w:rPr>
          <w:rFonts w:eastAsia="Calibri"/>
          <w:lang w:val="fr-FR"/>
        </w:rPr>
        <w:tab/>
        <w:t>Communication du Gouvernement de l’Allemagne</w:t>
      </w:r>
      <w:r w:rsidRPr="00C77874">
        <w:rPr>
          <w:rFonts w:eastAsia="Calibri"/>
          <w:bCs/>
          <w:vertAlign w:val="superscript"/>
          <w:lang w:val="fr-FR"/>
        </w:rPr>
        <w:footnoteReference w:customMarkFollows="1" w:id="2"/>
        <w:t>*,</w:t>
      </w:r>
      <w:r w:rsidRPr="00C77874">
        <w:rPr>
          <w:rFonts w:eastAsia="Calibri"/>
          <w:vertAlign w:val="superscript"/>
          <w:lang w:val="fr-FR"/>
        </w:rPr>
        <w:t xml:space="preserve"> </w:t>
      </w:r>
      <w:r w:rsidRPr="00C77874">
        <w:rPr>
          <w:rFonts w:eastAsia="Calibri"/>
          <w:bCs/>
          <w:vertAlign w:val="superscript"/>
          <w:lang w:val="fr-FR"/>
        </w:rPr>
        <w:footnoteReference w:customMarkFollows="1" w:id="3"/>
        <w:t>**</w:t>
      </w:r>
    </w:p>
    <w:p w14:paraId="58C9414E" w14:textId="77777777" w:rsidR="00F4180D" w:rsidRPr="005C18E4" w:rsidRDefault="00F4180D" w:rsidP="002F6E94">
      <w:pPr>
        <w:pStyle w:val="HChG"/>
        <w:rPr>
          <w:lang w:val="fr-FR"/>
        </w:rPr>
      </w:pPr>
      <w:r w:rsidRPr="005C18E4">
        <w:rPr>
          <w:lang w:val="fr-FR"/>
        </w:rPr>
        <w:tab/>
      </w:r>
      <w:r w:rsidRPr="005C18E4">
        <w:rPr>
          <w:lang w:val="fr-FR"/>
        </w:rPr>
        <w:tab/>
        <w:t>Introduction</w:t>
      </w:r>
    </w:p>
    <w:p w14:paraId="3BDB3D5B" w14:textId="140E3247" w:rsidR="00F4180D" w:rsidRDefault="00F4180D" w:rsidP="002F6E94">
      <w:pPr>
        <w:pStyle w:val="SingleTxtG"/>
        <w:rPr>
          <w:lang w:val="fr-FR"/>
        </w:rPr>
      </w:pPr>
      <w:r w:rsidRPr="005C18E4">
        <w:rPr>
          <w:lang w:val="fr-FR"/>
        </w:rPr>
        <w:t>1.</w:t>
      </w:r>
      <w:r w:rsidRPr="005C18E4">
        <w:rPr>
          <w:lang w:val="fr-FR"/>
        </w:rPr>
        <w:tab/>
        <w:t>Dans les versions anglaise et française (et peut-être russe), l'énumération des véhicules ferroviaires qui doivent satisfaire aux prescriptions du RID ne correspond pas à celle de la version allemande :</w:t>
      </w:r>
    </w:p>
    <w:tbl>
      <w:tblPr>
        <w:tblStyle w:val="Grilledutableau"/>
        <w:tblW w:w="765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7F3C7B" w14:paraId="420624B0" w14:textId="77777777" w:rsidTr="007F3C7B">
        <w:tc>
          <w:tcPr>
            <w:tcW w:w="2550" w:type="dxa"/>
          </w:tcPr>
          <w:p w14:paraId="46012B4E" w14:textId="3C03AA63" w:rsidR="007645A9" w:rsidRDefault="00434954" w:rsidP="00467D58">
            <w:pPr>
              <w:pStyle w:val="SingleTxtG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  <w:tc>
          <w:tcPr>
            <w:tcW w:w="2550" w:type="dxa"/>
          </w:tcPr>
          <w:p w14:paraId="35E7261B" w14:textId="2F02BCE5" w:rsidR="007645A9" w:rsidRDefault="005C0956" w:rsidP="00467D58">
            <w:pPr>
              <w:pStyle w:val="SingleTxtG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Fr</w:t>
            </w:r>
            <w:r w:rsidR="00434954">
              <w:rPr>
                <w:lang w:val="fr-FR"/>
              </w:rPr>
              <w:t>ançais</w:t>
            </w:r>
          </w:p>
        </w:tc>
        <w:tc>
          <w:tcPr>
            <w:tcW w:w="2550" w:type="dxa"/>
          </w:tcPr>
          <w:p w14:paraId="7FAD9A51" w14:textId="146F1BC8" w:rsidR="007645A9" w:rsidRDefault="00434954" w:rsidP="00467D58">
            <w:pPr>
              <w:pStyle w:val="SingleTxtG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Allemand</w:t>
            </w:r>
          </w:p>
        </w:tc>
      </w:tr>
      <w:tr w:rsidR="007F3C7B" w:rsidRPr="008A0570" w14:paraId="2C8519B7" w14:textId="77777777" w:rsidTr="007F3C7B">
        <w:tc>
          <w:tcPr>
            <w:tcW w:w="2550" w:type="dxa"/>
          </w:tcPr>
          <w:p w14:paraId="25037AF4" w14:textId="658E267C" w:rsidR="005C0956" w:rsidRPr="001F66B2" w:rsidRDefault="005C0956" w:rsidP="001F66B2">
            <w:pPr>
              <w:ind w:left="136" w:right="136"/>
              <w:rPr>
                <w:lang w:val="en-GB"/>
              </w:rPr>
            </w:pPr>
            <w:r w:rsidRPr="002944F4">
              <w:rPr>
                <w:lang w:val="en-GB"/>
              </w:rPr>
              <w:t>6.1.4</w:t>
            </w:r>
            <w:r w:rsidRPr="002944F4">
              <w:rPr>
                <w:lang w:val="en-GB"/>
              </w:rPr>
              <w:tab/>
              <w:t xml:space="preserve">Tank wagons, </w:t>
            </w:r>
            <w:r w:rsidRPr="002944F4">
              <w:rPr>
                <w:b/>
                <w:lang w:val="en-GB"/>
              </w:rPr>
              <w:t>with fixed or demountable tanks</w:t>
            </w:r>
            <w:r w:rsidRPr="002944F4">
              <w:rPr>
                <w:lang w:val="en-GB"/>
              </w:rPr>
              <w:t xml:space="preserve"> and battery-wagons shall meet the requirements of Chapter 6.8 of the RID.</w:t>
            </w:r>
          </w:p>
        </w:tc>
        <w:tc>
          <w:tcPr>
            <w:tcW w:w="2550" w:type="dxa"/>
          </w:tcPr>
          <w:p w14:paraId="11909D76" w14:textId="264C8123" w:rsidR="005C0956" w:rsidRDefault="005C0956" w:rsidP="001F66B2">
            <w:pPr>
              <w:ind w:left="138" w:right="134"/>
              <w:rPr>
                <w:lang w:val="fr-FR"/>
              </w:rPr>
            </w:pPr>
            <w:r w:rsidRPr="002944F4">
              <w:rPr>
                <w:lang w:val="fr-FR"/>
              </w:rPr>
              <w:t>6.1.4</w:t>
            </w:r>
            <w:r w:rsidRPr="002944F4">
              <w:rPr>
                <w:lang w:val="fr-FR"/>
              </w:rPr>
              <w:tab/>
              <w:t xml:space="preserve">Les wagons-citernes, </w:t>
            </w:r>
            <w:r w:rsidRPr="002944F4">
              <w:rPr>
                <w:b/>
                <w:lang w:val="fr-FR"/>
              </w:rPr>
              <w:t>avec citerne fixe ou citerne amovible</w:t>
            </w:r>
            <w:r w:rsidRPr="002944F4">
              <w:rPr>
                <w:lang w:val="fr-FR"/>
              </w:rPr>
              <w:t xml:space="preserve"> et les wagons-batteries doivent répondre aux prescriptions du chapitre 6.8 du RID.</w:t>
            </w:r>
          </w:p>
        </w:tc>
        <w:tc>
          <w:tcPr>
            <w:tcW w:w="2550" w:type="dxa"/>
          </w:tcPr>
          <w:p w14:paraId="73F581E5" w14:textId="47F46B58" w:rsidR="005C0956" w:rsidRPr="008A0570" w:rsidRDefault="005C0956" w:rsidP="001F66B2">
            <w:pPr>
              <w:ind w:left="139" w:right="133"/>
              <w:rPr>
                <w:lang w:val="de-CH"/>
              </w:rPr>
            </w:pPr>
            <w:r w:rsidRPr="008A0570">
              <w:rPr>
                <w:lang w:val="de-CH"/>
              </w:rPr>
              <w:t>6.1.4</w:t>
            </w:r>
            <w:r w:rsidRPr="008A0570">
              <w:rPr>
                <w:lang w:val="de-CH"/>
              </w:rPr>
              <w:tab/>
            </w:r>
            <w:r w:rsidR="004B6820" w:rsidRPr="008A0570">
              <w:rPr>
                <w:lang w:val="de-CH"/>
              </w:rPr>
              <w:t>Kesselwagen</w:t>
            </w:r>
            <w:r w:rsidR="00BD37E4" w:rsidRPr="008A0570">
              <w:rPr>
                <w:lang w:val="de-CH"/>
              </w:rPr>
              <w:t>,</w:t>
            </w:r>
            <w:r w:rsidR="004B6820" w:rsidRPr="008A0570">
              <w:rPr>
                <w:lang w:val="de-CH"/>
              </w:rPr>
              <w:t xml:space="preserve"> </w:t>
            </w:r>
            <w:r w:rsidR="004B6820" w:rsidRPr="008A0570">
              <w:rPr>
                <w:b/>
                <w:bCs/>
                <w:lang w:val="de-CH"/>
              </w:rPr>
              <w:t>abnehmbare Tanks</w:t>
            </w:r>
            <w:r w:rsidR="004B6820" w:rsidRPr="008A0570">
              <w:rPr>
                <w:lang w:val="de-CH"/>
              </w:rPr>
              <w:t xml:space="preserve"> </w:t>
            </w:r>
            <w:r w:rsidR="00761D72" w:rsidRPr="008A0570">
              <w:rPr>
                <w:lang w:val="de-CH"/>
              </w:rPr>
              <w:t xml:space="preserve">and Batteriewagen müssen den Vorschriften des Kapitels 6.8 des RID </w:t>
            </w:r>
            <w:r w:rsidR="00B24F8E" w:rsidRPr="008A0570">
              <w:rPr>
                <w:lang w:val="de-CH"/>
              </w:rPr>
              <w:t>entsprechen</w:t>
            </w:r>
            <w:r w:rsidRPr="008A0570">
              <w:rPr>
                <w:lang w:val="de-CH"/>
              </w:rPr>
              <w:t>.</w:t>
            </w:r>
          </w:p>
        </w:tc>
      </w:tr>
    </w:tbl>
    <w:p w14:paraId="67E7A260" w14:textId="77777777" w:rsidR="00F4180D" w:rsidRPr="002944F4" w:rsidRDefault="00F4180D" w:rsidP="00477129">
      <w:pPr>
        <w:pStyle w:val="HChG"/>
        <w:rPr>
          <w:lang w:val="fr-FR"/>
        </w:rPr>
      </w:pPr>
      <w:r w:rsidRPr="008A0570">
        <w:rPr>
          <w:lang w:val="de-CH"/>
        </w:rPr>
        <w:lastRenderedPageBreak/>
        <w:tab/>
      </w:r>
      <w:r w:rsidRPr="002944F4">
        <w:rPr>
          <w:lang w:val="fr-FR"/>
        </w:rPr>
        <w:t>I.</w:t>
      </w:r>
      <w:r w:rsidRPr="002944F4">
        <w:rPr>
          <w:lang w:val="fr-FR"/>
        </w:rPr>
        <w:tab/>
        <w:t>Proposition</w:t>
      </w:r>
    </w:p>
    <w:p w14:paraId="7FCBE06B" w14:textId="365B2B31" w:rsidR="00F4180D" w:rsidRPr="002944F4" w:rsidRDefault="00AB57B2" w:rsidP="00477129">
      <w:pPr>
        <w:pStyle w:val="SingleTxtG"/>
        <w:rPr>
          <w:lang w:val="fr-FR"/>
        </w:rPr>
      </w:pPr>
      <w:r>
        <w:rPr>
          <w:lang w:val="fr-FR"/>
        </w:rPr>
        <w:t>2</w:t>
      </w:r>
      <w:r w:rsidR="00F4180D" w:rsidRPr="002944F4">
        <w:rPr>
          <w:lang w:val="fr-FR"/>
        </w:rPr>
        <w:t>.</w:t>
      </w:r>
      <w:r w:rsidR="00F4180D" w:rsidRPr="002944F4">
        <w:rPr>
          <w:lang w:val="fr-FR"/>
        </w:rPr>
        <w:tab/>
      </w:r>
      <w:r w:rsidR="009C13CF">
        <w:rPr>
          <w:lang w:val="fr-FR"/>
        </w:rPr>
        <w:t>A</w:t>
      </w:r>
      <w:r w:rsidR="00F4180D" w:rsidRPr="002944F4">
        <w:rPr>
          <w:lang w:val="fr-FR"/>
        </w:rPr>
        <w:t>u 6.1.4</w:t>
      </w:r>
      <w:r w:rsidR="00F4180D">
        <w:rPr>
          <w:lang w:val="fr-FR"/>
        </w:rPr>
        <w:t>,</w:t>
      </w:r>
      <w:r w:rsidR="00F4180D" w:rsidRPr="002944F4">
        <w:rPr>
          <w:lang w:val="fr-FR"/>
        </w:rPr>
        <w:t xml:space="preserve"> remplacer « avec citerne fixe ou citerne amovible » par : « les citernes amovibles ».</w:t>
      </w:r>
    </w:p>
    <w:p w14:paraId="41BAB4C0" w14:textId="6294CC5E" w:rsidR="00F4180D" w:rsidRPr="002944F4" w:rsidRDefault="009C13CF" w:rsidP="00477129">
      <w:pPr>
        <w:pStyle w:val="SingleTxtG"/>
        <w:rPr>
          <w:lang w:val="fr-FR"/>
        </w:rPr>
      </w:pPr>
      <w:r>
        <w:rPr>
          <w:lang w:val="fr-FR"/>
        </w:rPr>
        <w:t>3</w:t>
      </w:r>
      <w:r w:rsidR="00F4180D" w:rsidRPr="002944F4">
        <w:rPr>
          <w:lang w:val="fr-FR"/>
        </w:rPr>
        <w:t>.</w:t>
      </w:r>
      <w:r w:rsidR="00F4180D" w:rsidRPr="002944F4">
        <w:rPr>
          <w:lang w:val="fr-FR"/>
        </w:rPr>
        <w:tab/>
        <w:t>L'Allemagne invite le Secrétariat à vérifier également la version russe.</w:t>
      </w:r>
    </w:p>
    <w:p w14:paraId="32B4FCEC" w14:textId="77777777" w:rsidR="00F4180D" w:rsidRPr="002944F4" w:rsidRDefault="00F4180D" w:rsidP="0086228F">
      <w:pPr>
        <w:pStyle w:val="HChG"/>
        <w:rPr>
          <w:lang w:val="fr-FR"/>
        </w:rPr>
      </w:pPr>
      <w:r w:rsidRPr="002944F4">
        <w:rPr>
          <w:lang w:val="fr-FR"/>
        </w:rPr>
        <w:tab/>
        <w:t>II.</w:t>
      </w:r>
      <w:r w:rsidRPr="002944F4">
        <w:rPr>
          <w:lang w:val="fr-FR"/>
        </w:rPr>
        <w:tab/>
      </w:r>
      <w:r w:rsidRPr="0086228F">
        <w:t>Justification</w:t>
      </w:r>
    </w:p>
    <w:p w14:paraId="6457B509" w14:textId="01711CA0" w:rsidR="00F4180D" w:rsidRPr="002944F4" w:rsidRDefault="007C6AC3" w:rsidP="00477129">
      <w:pPr>
        <w:pStyle w:val="SingleTxtG"/>
        <w:rPr>
          <w:lang w:val="fr-FR"/>
        </w:rPr>
      </w:pPr>
      <w:r>
        <w:rPr>
          <w:lang w:val="fr-FR"/>
        </w:rPr>
        <w:t>4</w:t>
      </w:r>
      <w:r w:rsidR="00F4180D" w:rsidRPr="002944F4">
        <w:rPr>
          <w:lang w:val="fr-FR"/>
        </w:rPr>
        <w:t>.</w:t>
      </w:r>
      <w:r w:rsidR="00F4180D" w:rsidRPr="002944F4">
        <w:rPr>
          <w:lang w:val="fr-FR"/>
        </w:rPr>
        <w:tab/>
        <w:t>La proposition de modification repose sur une concertation avec le secrétaire de l'Organisation internationale des chemins de fer (OTIF) responsable du RID. Le RID ne mentionne pas de « citernes fixes ».</w:t>
      </w:r>
    </w:p>
    <w:p w14:paraId="1F6A1872" w14:textId="0312DC51" w:rsidR="00F4180D" w:rsidRPr="00477129" w:rsidRDefault="00477129" w:rsidP="004771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180D" w:rsidRPr="00477129" w:rsidSect="00F4180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BBA3" w14:textId="77777777" w:rsidR="009C064D" w:rsidRDefault="009C064D" w:rsidP="00F95C08">
      <w:pPr>
        <w:spacing w:line="240" w:lineRule="auto"/>
      </w:pPr>
    </w:p>
  </w:endnote>
  <w:endnote w:type="continuationSeparator" w:id="0">
    <w:p w14:paraId="11549E6E" w14:textId="77777777" w:rsidR="009C064D" w:rsidRPr="00AC3823" w:rsidRDefault="009C064D" w:rsidP="00AC3823">
      <w:pPr>
        <w:pStyle w:val="Pieddepage"/>
      </w:pPr>
    </w:p>
  </w:endnote>
  <w:endnote w:type="continuationNotice" w:id="1">
    <w:p w14:paraId="430C4CBB" w14:textId="77777777" w:rsidR="009C064D" w:rsidRDefault="009C06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033B" w14:textId="77777777" w:rsidR="00F4180D" w:rsidRPr="00F4180D" w:rsidRDefault="00F4180D" w:rsidP="00F4180D">
    <w:pPr>
      <w:pStyle w:val="Pieddepage"/>
      <w:tabs>
        <w:tab w:val="right" w:pos="9638"/>
      </w:tabs>
      <w:rPr>
        <w:sz w:val="18"/>
      </w:rPr>
    </w:pPr>
    <w:r w:rsidRPr="00F4180D">
      <w:rPr>
        <w:b/>
        <w:sz w:val="18"/>
      </w:rPr>
      <w:fldChar w:fldCharType="begin"/>
    </w:r>
    <w:r w:rsidRPr="00F4180D">
      <w:rPr>
        <w:b/>
        <w:sz w:val="18"/>
      </w:rPr>
      <w:instrText xml:space="preserve"> PAGE  \* MERGEFORMAT </w:instrText>
    </w:r>
    <w:r w:rsidRPr="00F4180D">
      <w:rPr>
        <w:b/>
        <w:sz w:val="18"/>
      </w:rPr>
      <w:fldChar w:fldCharType="separate"/>
    </w:r>
    <w:r w:rsidRPr="00F4180D">
      <w:rPr>
        <w:b/>
        <w:noProof/>
        <w:sz w:val="18"/>
      </w:rPr>
      <w:t>2</w:t>
    </w:r>
    <w:r w:rsidRPr="00F4180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4F7A" w14:textId="77777777" w:rsidR="00F4180D" w:rsidRPr="00F4180D" w:rsidRDefault="00F4180D" w:rsidP="00F4180D">
    <w:pPr>
      <w:pStyle w:val="Pieddepage"/>
      <w:tabs>
        <w:tab w:val="right" w:pos="9638"/>
      </w:tabs>
      <w:rPr>
        <w:b/>
        <w:sz w:val="18"/>
      </w:rPr>
    </w:pPr>
    <w:r>
      <w:tab/>
    </w:r>
    <w:r w:rsidRPr="00F4180D">
      <w:rPr>
        <w:b/>
        <w:sz w:val="18"/>
      </w:rPr>
      <w:fldChar w:fldCharType="begin"/>
    </w:r>
    <w:r w:rsidRPr="00F4180D">
      <w:rPr>
        <w:b/>
        <w:sz w:val="18"/>
      </w:rPr>
      <w:instrText xml:space="preserve"> PAGE  \* MERGEFORMAT </w:instrText>
    </w:r>
    <w:r w:rsidRPr="00F4180D">
      <w:rPr>
        <w:b/>
        <w:sz w:val="18"/>
      </w:rPr>
      <w:fldChar w:fldCharType="separate"/>
    </w:r>
    <w:r w:rsidRPr="00F4180D">
      <w:rPr>
        <w:b/>
        <w:noProof/>
        <w:sz w:val="18"/>
      </w:rPr>
      <w:t>3</w:t>
    </w:r>
    <w:r w:rsidRPr="00F418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8949" w14:textId="2DF96CF4" w:rsidR="000D3EE9" w:rsidRPr="009A03B3" w:rsidRDefault="009A03B3" w:rsidP="009A03B3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GE.22-07700  (F)</w:t>
    </w:r>
    <w:bookmarkStart w:id="1" w:name="_GoBack"/>
    <w:bookmarkEnd w:id="1"/>
    <w:r>
      <w:rPr>
        <w:sz w:val="20"/>
      </w:rPr>
      <w:tab/>
    </w:r>
    <w:r w:rsidRPr="009A03B3">
      <w:rPr>
        <w:noProof/>
        <w:sz w:val="20"/>
        <w:lang w:eastAsia="fr-CH"/>
      </w:rPr>
      <w:drawing>
        <wp:inline distT="0" distB="0" distL="0" distR="0" wp14:anchorId="632D40AB" wp14:editId="5A16CB31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1E391C0B" wp14:editId="18DE554F">
          <wp:extent cx="637540" cy="6375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9B13" w14:textId="77777777" w:rsidR="009C064D" w:rsidRPr="00AC3823" w:rsidRDefault="009C064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786A98" w14:textId="77777777" w:rsidR="009C064D" w:rsidRPr="00AC3823" w:rsidRDefault="009C064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683216" w14:textId="77777777" w:rsidR="009C064D" w:rsidRPr="00AC3823" w:rsidRDefault="009C064D">
      <w:pPr>
        <w:spacing w:line="240" w:lineRule="auto"/>
        <w:rPr>
          <w:sz w:val="2"/>
          <w:szCs w:val="2"/>
        </w:rPr>
      </w:pPr>
    </w:p>
  </w:footnote>
  <w:footnote w:id="2">
    <w:p w14:paraId="13C9092B" w14:textId="75A7E822" w:rsidR="00F4180D" w:rsidRPr="002944F4" w:rsidRDefault="00F4180D" w:rsidP="00F4180D">
      <w:pPr>
        <w:pStyle w:val="Notedebasdepage"/>
        <w:rPr>
          <w:sz w:val="16"/>
          <w:szCs w:val="16"/>
          <w:lang w:val="fr-FR"/>
        </w:rPr>
      </w:pPr>
      <w:r w:rsidRPr="002944F4">
        <w:rPr>
          <w:rStyle w:val="Appelnotedebasdep"/>
          <w:lang w:val="fr-FR"/>
        </w:rPr>
        <w:tab/>
      </w:r>
      <w:r w:rsidRPr="002944F4">
        <w:rPr>
          <w:rStyle w:val="Appelnotedebasdep"/>
          <w:sz w:val="20"/>
          <w:lang w:val="fr-FR"/>
        </w:rPr>
        <w:t>*</w:t>
      </w:r>
      <w:r w:rsidRPr="002944F4">
        <w:rPr>
          <w:rStyle w:val="Appelnotedebasdep"/>
          <w:sz w:val="20"/>
          <w:lang w:val="fr-FR"/>
        </w:rPr>
        <w:tab/>
      </w:r>
      <w:r w:rsidRPr="002944F4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 w:rsidR="00EE2B89">
        <w:rPr>
          <w:sz w:val="16"/>
          <w:szCs w:val="16"/>
          <w:lang w:val="fr-FR"/>
        </w:rPr>
        <w:t>33</w:t>
      </w:r>
    </w:p>
  </w:footnote>
  <w:footnote w:id="3">
    <w:p w14:paraId="22716381" w14:textId="541B7DD8" w:rsidR="00F4180D" w:rsidRPr="002944F4" w:rsidRDefault="00F4180D" w:rsidP="00F4180D">
      <w:pPr>
        <w:pStyle w:val="Notedebasdepage"/>
        <w:rPr>
          <w:sz w:val="16"/>
          <w:szCs w:val="16"/>
          <w:lang w:val="fr-FR"/>
        </w:rPr>
      </w:pPr>
      <w:r w:rsidRPr="002944F4">
        <w:rPr>
          <w:rStyle w:val="Appelnotedebasdep"/>
          <w:lang w:val="fr-FR"/>
        </w:rPr>
        <w:tab/>
      </w:r>
      <w:r w:rsidRPr="002944F4">
        <w:rPr>
          <w:rStyle w:val="Appelnotedebasdep"/>
          <w:sz w:val="20"/>
          <w:lang w:val="fr-FR"/>
        </w:rPr>
        <w:t>**</w:t>
      </w:r>
      <w:r w:rsidRPr="002944F4">
        <w:rPr>
          <w:rStyle w:val="Appelnotedebasdep"/>
          <w:sz w:val="20"/>
          <w:lang w:val="fr-FR"/>
        </w:rPr>
        <w:tab/>
      </w:r>
      <w:r w:rsidR="00466D91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6160" w14:textId="78B5ECEE" w:rsidR="00F4180D" w:rsidRPr="00F4180D" w:rsidRDefault="009C064D">
    <w:pPr>
      <w:pStyle w:val="En-tte"/>
    </w:pPr>
    <w:fldSimple w:instr=" TITLE  \* MERGEFORMAT ">
      <w:r w:rsidR="008A0570">
        <w:t>ECE/TRANS/WP.15/AC.2/2022/33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2AEF" w14:textId="5B23078B" w:rsidR="00F4180D" w:rsidRPr="00F4180D" w:rsidRDefault="009C064D" w:rsidP="00F4180D">
    <w:pPr>
      <w:pStyle w:val="En-tte"/>
      <w:jc w:val="right"/>
    </w:pPr>
    <w:fldSimple w:instr=" TITLE  \* MERGEFORMAT ">
      <w:r w:rsidR="008A0570">
        <w:t>ECE/TRANS/WP.15/AC.2/2022/33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0D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66161"/>
    <w:rsid w:val="00176178"/>
    <w:rsid w:val="001A064B"/>
    <w:rsid w:val="001D400F"/>
    <w:rsid w:val="001D6C19"/>
    <w:rsid w:val="001F525A"/>
    <w:rsid w:val="001F66B2"/>
    <w:rsid w:val="00223272"/>
    <w:rsid w:val="00240333"/>
    <w:rsid w:val="0024779E"/>
    <w:rsid w:val="002832AC"/>
    <w:rsid w:val="002834A0"/>
    <w:rsid w:val="002B7C0B"/>
    <w:rsid w:val="002D7C93"/>
    <w:rsid w:val="002F6E94"/>
    <w:rsid w:val="00343829"/>
    <w:rsid w:val="0037241C"/>
    <w:rsid w:val="00434954"/>
    <w:rsid w:val="00441C3B"/>
    <w:rsid w:val="00446B0A"/>
    <w:rsid w:val="00446FE5"/>
    <w:rsid w:val="00452396"/>
    <w:rsid w:val="0045320C"/>
    <w:rsid w:val="00466D91"/>
    <w:rsid w:val="00467D58"/>
    <w:rsid w:val="00477129"/>
    <w:rsid w:val="0048397D"/>
    <w:rsid w:val="004B6820"/>
    <w:rsid w:val="004E468C"/>
    <w:rsid w:val="004F2920"/>
    <w:rsid w:val="005316B0"/>
    <w:rsid w:val="005505B7"/>
    <w:rsid w:val="00564657"/>
    <w:rsid w:val="00573BE5"/>
    <w:rsid w:val="00586ED3"/>
    <w:rsid w:val="00596AA9"/>
    <w:rsid w:val="005B4DAF"/>
    <w:rsid w:val="005C0956"/>
    <w:rsid w:val="0063124D"/>
    <w:rsid w:val="00656BA5"/>
    <w:rsid w:val="006B247D"/>
    <w:rsid w:val="006E2F73"/>
    <w:rsid w:val="006E4F05"/>
    <w:rsid w:val="00703D0F"/>
    <w:rsid w:val="00706363"/>
    <w:rsid w:val="0071601D"/>
    <w:rsid w:val="00761D72"/>
    <w:rsid w:val="007645A9"/>
    <w:rsid w:val="00765E6D"/>
    <w:rsid w:val="007847E2"/>
    <w:rsid w:val="007A62E6"/>
    <w:rsid w:val="007C6AC3"/>
    <w:rsid w:val="007F3C7B"/>
    <w:rsid w:val="007F5FA8"/>
    <w:rsid w:val="0080684C"/>
    <w:rsid w:val="008204DA"/>
    <w:rsid w:val="0083123A"/>
    <w:rsid w:val="0086228F"/>
    <w:rsid w:val="00871C75"/>
    <w:rsid w:val="008767E8"/>
    <w:rsid w:val="008776DC"/>
    <w:rsid w:val="008A0570"/>
    <w:rsid w:val="00915979"/>
    <w:rsid w:val="00954000"/>
    <w:rsid w:val="009705C8"/>
    <w:rsid w:val="0098600C"/>
    <w:rsid w:val="009A03B3"/>
    <w:rsid w:val="009B317F"/>
    <w:rsid w:val="009C064D"/>
    <w:rsid w:val="009C13CF"/>
    <w:rsid w:val="009C1CF4"/>
    <w:rsid w:val="009F02C9"/>
    <w:rsid w:val="00A30353"/>
    <w:rsid w:val="00A5581B"/>
    <w:rsid w:val="00A604ED"/>
    <w:rsid w:val="00A62D91"/>
    <w:rsid w:val="00A90D54"/>
    <w:rsid w:val="00AA113A"/>
    <w:rsid w:val="00AB57B2"/>
    <w:rsid w:val="00AC3823"/>
    <w:rsid w:val="00AE323C"/>
    <w:rsid w:val="00B00181"/>
    <w:rsid w:val="00B00B0D"/>
    <w:rsid w:val="00B07F65"/>
    <w:rsid w:val="00B24F8E"/>
    <w:rsid w:val="00B30069"/>
    <w:rsid w:val="00B50E25"/>
    <w:rsid w:val="00B64918"/>
    <w:rsid w:val="00B765F7"/>
    <w:rsid w:val="00BA0CA9"/>
    <w:rsid w:val="00BD37E4"/>
    <w:rsid w:val="00C02897"/>
    <w:rsid w:val="00C211AB"/>
    <w:rsid w:val="00C73C80"/>
    <w:rsid w:val="00C7616F"/>
    <w:rsid w:val="00C77874"/>
    <w:rsid w:val="00C971BE"/>
    <w:rsid w:val="00CB16B5"/>
    <w:rsid w:val="00CE0608"/>
    <w:rsid w:val="00D3439C"/>
    <w:rsid w:val="00D44CF3"/>
    <w:rsid w:val="00D70306"/>
    <w:rsid w:val="00DA6C5E"/>
    <w:rsid w:val="00DB1831"/>
    <w:rsid w:val="00DD2B46"/>
    <w:rsid w:val="00DD3BFD"/>
    <w:rsid w:val="00DF431C"/>
    <w:rsid w:val="00DF6678"/>
    <w:rsid w:val="00E118FF"/>
    <w:rsid w:val="00E939CE"/>
    <w:rsid w:val="00EE2B89"/>
    <w:rsid w:val="00EE3F47"/>
    <w:rsid w:val="00EF2E22"/>
    <w:rsid w:val="00F0592C"/>
    <w:rsid w:val="00F4180D"/>
    <w:rsid w:val="00F43289"/>
    <w:rsid w:val="00F660DF"/>
    <w:rsid w:val="00F95C08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44D5A"/>
  <w15:docId w15:val="{756FCA3E-107F-4296-9BBB-BE40970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E11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18F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8F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9BFFD-A0C3-4085-87B0-160F188960D8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7A55D4C1-8C3E-4890-AF09-EF80D6A721D6}"/>
</file>

<file path=customXml/itemProps3.xml><?xml version="1.0" encoding="utf-8"?>
<ds:datastoreItem xmlns:ds="http://schemas.openxmlformats.org/officeDocument/2006/customXml" ds:itemID="{03F9E9EF-E4A1-4006-BE09-114638A35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1565</Characters>
  <Application>Microsoft Office Word</Application>
  <DocSecurity>0</DocSecurity>
  <Lines>57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ECE/TRANS/WP.15/AC.2/2022/33</vt:lpstr>
      <vt:lpstr/>
    </vt:vector>
  </TitlesOfParts>
  <Company>DCM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ECE/TRANS/WP.15/AC.2/2022/33</dc:title>
  <dc:subject>FINAL</dc:subject>
  <dc:creator>ND</dc:creator>
  <cp:keywords/>
  <dc:description/>
  <cp:lastModifiedBy>Sandrine Clere</cp:lastModifiedBy>
  <cp:revision>3</cp:revision>
  <cp:lastPrinted>2022-05-23T10:02:00Z</cp:lastPrinted>
  <dcterms:created xsi:type="dcterms:W3CDTF">2022-05-23T10:02:00Z</dcterms:created>
  <dcterms:modified xsi:type="dcterms:W3CDTF">2022-05-23T10:02:00Z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