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774F5E" w14:paraId="10FC5F86" w14:textId="77777777" w:rsidTr="000D1B89">
        <w:trPr>
          <w:cantSplit/>
          <w:trHeight w:hRule="exact" w:val="851"/>
        </w:trPr>
        <w:tc>
          <w:tcPr>
            <w:tcW w:w="1276" w:type="dxa"/>
            <w:tcBorders>
              <w:bottom w:val="single" w:sz="4" w:space="0" w:color="auto"/>
            </w:tcBorders>
            <w:vAlign w:val="bottom"/>
          </w:tcPr>
          <w:p w14:paraId="35B91C98" w14:textId="77777777" w:rsidR="00717266" w:rsidRPr="00774F5E" w:rsidRDefault="00717266" w:rsidP="000D1B89">
            <w:pPr>
              <w:spacing w:after="80"/>
            </w:pPr>
          </w:p>
        </w:tc>
        <w:tc>
          <w:tcPr>
            <w:tcW w:w="2268" w:type="dxa"/>
            <w:tcBorders>
              <w:bottom w:val="single" w:sz="4" w:space="0" w:color="auto"/>
            </w:tcBorders>
            <w:vAlign w:val="bottom"/>
          </w:tcPr>
          <w:p w14:paraId="198AC2DF" w14:textId="77777777" w:rsidR="00717266" w:rsidRPr="00774F5E" w:rsidRDefault="00717266" w:rsidP="000D1B89">
            <w:pPr>
              <w:spacing w:after="80" w:line="300" w:lineRule="exact"/>
              <w:rPr>
                <w:b/>
                <w:sz w:val="24"/>
                <w:szCs w:val="24"/>
              </w:rPr>
            </w:pPr>
            <w:r w:rsidRPr="00774F5E">
              <w:rPr>
                <w:sz w:val="28"/>
                <w:szCs w:val="28"/>
              </w:rPr>
              <w:t>United Nations</w:t>
            </w:r>
          </w:p>
        </w:tc>
        <w:tc>
          <w:tcPr>
            <w:tcW w:w="6095" w:type="dxa"/>
            <w:gridSpan w:val="2"/>
            <w:tcBorders>
              <w:bottom w:val="single" w:sz="4" w:space="0" w:color="auto"/>
            </w:tcBorders>
            <w:vAlign w:val="bottom"/>
          </w:tcPr>
          <w:p w14:paraId="7B629BB5" w14:textId="77777777" w:rsidR="00717266" w:rsidRPr="00774F5E" w:rsidRDefault="006D6659" w:rsidP="006D6659">
            <w:pPr>
              <w:suppressAutoHyphens w:val="0"/>
              <w:spacing w:after="20"/>
              <w:jc w:val="right"/>
            </w:pPr>
            <w:r w:rsidRPr="00774F5E">
              <w:rPr>
                <w:sz w:val="40"/>
              </w:rPr>
              <w:t>ECE</w:t>
            </w:r>
            <w:r w:rsidRPr="00774F5E">
              <w:t>/TRANS/WP.15/AC.2/2022/26</w:t>
            </w:r>
          </w:p>
        </w:tc>
      </w:tr>
      <w:tr w:rsidR="00717266" w:rsidRPr="00774F5E" w14:paraId="70DA7C7F" w14:textId="77777777" w:rsidTr="000D1B89">
        <w:trPr>
          <w:cantSplit/>
          <w:trHeight w:hRule="exact" w:val="2835"/>
        </w:trPr>
        <w:tc>
          <w:tcPr>
            <w:tcW w:w="1276" w:type="dxa"/>
            <w:tcBorders>
              <w:top w:val="single" w:sz="4" w:space="0" w:color="auto"/>
              <w:bottom w:val="single" w:sz="12" w:space="0" w:color="auto"/>
            </w:tcBorders>
          </w:tcPr>
          <w:p w14:paraId="3CE95964" w14:textId="77777777" w:rsidR="00717266" w:rsidRPr="00774F5E" w:rsidRDefault="00717266" w:rsidP="000D1B89">
            <w:pPr>
              <w:spacing w:before="120"/>
            </w:pPr>
            <w:r w:rsidRPr="00774F5E">
              <w:rPr>
                <w:noProof/>
                <w:lang w:eastAsia="fr-CH"/>
              </w:rPr>
              <w:drawing>
                <wp:inline distT="0" distB="0" distL="0" distR="0" wp14:anchorId="2DEEA2D2" wp14:editId="36E919D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1736A1" w14:textId="77777777" w:rsidR="00717266" w:rsidRPr="00774F5E" w:rsidRDefault="00717266" w:rsidP="000D1B89">
            <w:pPr>
              <w:spacing w:before="120" w:line="420" w:lineRule="exact"/>
              <w:rPr>
                <w:sz w:val="40"/>
                <w:szCs w:val="40"/>
              </w:rPr>
            </w:pPr>
            <w:r w:rsidRPr="00774F5E">
              <w:rPr>
                <w:b/>
                <w:sz w:val="40"/>
                <w:szCs w:val="40"/>
              </w:rPr>
              <w:t>Economic and Social Council</w:t>
            </w:r>
          </w:p>
        </w:tc>
        <w:tc>
          <w:tcPr>
            <w:tcW w:w="2835" w:type="dxa"/>
            <w:tcBorders>
              <w:top w:val="single" w:sz="4" w:space="0" w:color="auto"/>
              <w:bottom w:val="single" w:sz="12" w:space="0" w:color="auto"/>
            </w:tcBorders>
          </w:tcPr>
          <w:p w14:paraId="1897AE82" w14:textId="77777777" w:rsidR="00717266" w:rsidRPr="00774F5E" w:rsidRDefault="006D6659" w:rsidP="006D6659">
            <w:pPr>
              <w:spacing w:before="240"/>
            </w:pPr>
            <w:r w:rsidRPr="00774F5E">
              <w:t>Distr.: General</w:t>
            </w:r>
          </w:p>
          <w:p w14:paraId="0E0E79E9" w14:textId="77777777" w:rsidR="006D6659" w:rsidRPr="00774F5E" w:rsidRDefault="006D6659" w:rsidP="006D6659">
            <w:pPr>
              <w:suppressAutoHyphens w:val="0"/>
            </w:pPr>
            <w:r w:rsidRPr="00774F5E">
              <w:t>15 May 2022</w:t>
            </w:r>
          </w:p>
          <w:p w14:paraId="5C679A76" w14:textId="722231B6" w:rsidR="006D6659" w:rsidRPr="00774F5E" w:rsidRDefault="006D6659" w:rsidP="006D6659">
            <w:pPr>
              <w:suppressAutoHyphens w:val="0"/>
            </w:pPr>
            <w:r w:rsidRPr="00774F5E">
              <w:t>English</w:t>
            </w:r>
          </w:p>
          <w:p w14:paraId="0D9D9143" w14:textId="77777777" w:rsidR="006D6659" w:rsidRPr="00774F5E" w:rsidRDefault="006D6659" w:rsidP="006D6659">
            <w:pPr>
              <w:suppressAutoHyphens w:val="0"/>
            </w:pPr>
            <w:r w:rsidRPr="00774F5E">
              <w:t>Original: French</w:t>
            </w:r>
          </w:p>
        </w:tc>
      </w:tr>
    </w:tbl>
    <w:p w14:paraId="051C06CA" w14:textId="77777777" w:rsidR="006D6659" w:rsidRPr="00774F5E" w:rsidRDefault="006D6659" w:rsidP="006D6659">
      <w:pPr>
        <w:spacing w:before="120"/>
        <w:rPr>
          <w:b/>
          <w:sz w:val="28"/>
          <w:szCs w:val="28"/>
        </w:rPr>
      </w:pPr>
      <w:r w:rsidRPr="00774F5E">
        <w:rPr>
          <w:b/>
          <w:sz w:val="28"/>
          <w:szCs w:val="28"/>
        </w:rPr>
        <w:t>Economic Commission for Europe</w:t>
      </w:r>
    </w:p>
    <w:p w14:paraId="1F3D14E1" w14:textId="77777777" w:rsidR="006D6659" w:rsidRPr="00774F5E" w:rsidRDefault="006D6659" w:rsidP="006D6659">
      <w:pPr>
        <w:spacing w:before="120"/>
        <w:rPr>
          <w:b/>
          <w:sz w:val="24"/>
          <w:szCs w:val="24"/>
        </w:rPr>
      </w:pPr>
      <w:r w:rsidRPr="00774F5E">
        <w:rPr>
          <w:sz w:val="28"/>
          <w:szCs w:val="28"/>
        </w:rPr>
        <w:t>Inland Transport Committee</w:t>
      </w:r>
      <w:r w:rsidRPr="00774F5E">
        <w:rPr>
          <w:b/>
          <w:sz w:val="24"/>
          <w:szCs w:val="24"/>
        </w:rPr>
        <w:t xml:space="preserve"> </w:t>
      </w:r>
    </w:p>
    <w:p w14:paraId="0556B6A3" w14:textId="77777777" w:rsidR="006D6659" w:rsidRPr="00774F5E" w:rsidRDefault="006D6659" w:rsidP="006D6659">
      <w:pPr>
        <w:spacing w:before="120"/>
        <w:rPr>
          <w:b/>
          <w:sz w:val="24"/>
          <w:szCs w:val="24"/>
        </w:rPr>
      </w:pPr>
      <w:r w:rsidRPr="00774F5E">
        <w:rPr>
          <w:b/>
          <w:sz w:val="24"/>
          <w:szCs w:val="24"/>
        </w:rPr>
        <w:t>Working Party on the Transport of Dangerous Goods</w:t>
      </w:r>
    </w:p>
    <w:p w14:paraId="6AA935D9" w14:textId="77777777" w:rsidR="006D6659" w:rsidRPr="00774F5E" w:rsidRDefault="006D6659" w:rsidP="006D6659">
      <w:pPr>
        <w:spacing w:before="120"/>
        <w:rPr>
          <w:b/>
        </w:rPr>
      </w:pPr>
      <w:bookmarkStart w:id="0" w:name="_Hlk57122394"/>
      <w:r w:rsidRPr="00774F5E">
        <w:rPr>
          <w:b/>
        </w:rPr>
        <w:t xml:space="preserve">Joint Meeting of Experts on the Regulations annexed to the </w:t>
      </w:r>
      <w:r w:rsidRPr="00774F5E">
        <w:rPr>
          <w:b/>
        </w:rPr>
        <w:br/>
      </w:r>
      <w:bookmarkEnd w:id="0"/>
      <w:r w:rsidRPr="00774F5E">
        <w:rPr>
          <w:b/>
        </w:rPr>
        <w:t xml:space="preserve">European Agreement concerning the International Carriage </w:t>
      </w:r>
      <w:r w:rsidRPr="00774F5E">
        <w:rPr>
          <w:b/>
        </w:rPr>
        <w:br/>
        <w:t xml:space="preserve">of Dangerous Goods by Inland Waterways (ADN) </w:t>
      </w:r>
      <w:r w:rsidRPr="00774F5E">
        <w:rPr>
          <w:b/>
        </w:rPr>
        <w:br/>
        <w:t>(ADN Safety Committee)</w:t>
      </w:r>
    </w:p>
    <w:p w14:paraId="7883AD3B" w14:textId="77777777" w:rsidR="006D6659" w:rsidRPr="00774F5E" w:rsidRDefault="006D6659" w:rsidP="006D6659">
      <w:pPr>
        <w:spacing w:before="120"/>
        <w:rPr>
          <w:b/>
        </w:rPr>
      </w:pPr>
      <w:r w:rsidRPr="00774F5E">
        <w:rPr>
          <w:b/>
        </w:rPr>
        <w:t>Fortieth session</w:t>
      </w:r>
    </w:p>
    <w:p w14:paraId="6E99A3BF" w14:textId="77777777" w:rsidR="006D6659" w:rsidRPr="00774F5E" w:rsidRDefault="006D6659" w:rsidP="006D6659">
      <w:r w:rsidRPr="00774F5E">
        <w:t>Geneva, 22–26 August 2022</w:t>
      </w:r>
    </w:p>
    <w:p w14:paraId="172BC535" w14:textId="77777777" w:rsidR="006D6659" w:rsidRPr="00774F5E" w:rsidRDefault="006D6659" w:rsidP="006D6659">
      <w:r w:rsidRPr="00774F5E">
        <w:t>Item 4 (b) of the provisional agenda</w:t>
      </w:r>
    </w:p>
    <w:p w14:paraId="05394E9C" w14:textId="77777777" w:rsidR="006D6659" w:rsidRPr="00774F5E" w:rsidRDefault="006D6659" w:rsidP="006D6659">
      <w:pPr>
        <w:rPr>
          <w:b/>
          <w:bCs/>
        </w:rPr>
      </w:pPr>
      <w:r w:rsidRPr="00774F5E">
        <w:rPr>
          <w:b/>
          <w:bCs/>
        </w:rPr>
        <w:t>Proposals for amendments to the Regulations annexed to ADN:</w:t>
      </w:r>
      <w:r w:rsidRPr="00774F5E">
        <w:rPr>
          <w:b/>
          <w:sz w:val="28"/>
          <w:szCs w:val="28"/>
        </w:rPr>
        <w:t xml:space="preserve"> </w:t>
      </w:r>
      <w:r w:rsidRPr="00774F5E">
        <w:rPr>
          <w:b/>
          <w:sz w:val="28"/>
          <w:szCs w:val="28"/>
        </w:rPr>
        <w:br/>
      </w:r>
      <w:r w:rsidRPr="00774F5E">
        <w:rPr>
          <w:b/>
          <w:bCs/>
        </w:rPr>
        <w:t>Other proposals</w:t>
      </w:r>
    </w:p>
    <w:p w14:paraId="02896DAC" w14:textId="77777777" w:rsidR="006D6659" w:rsidRPr="00774F5E" w:rsidRDefault="006D6659" w:rsidP="006D6659">
      <w:pPr>
        <w:pStyle w:val="HChG"/>
      </w:pPr>
      <w:r w:rsidRPr="00774F5E">
        <w:tab/>
      </w:r>
      <w:r w:rsidRPr="00774F5E">
        <w:tab/>
        <w:t>In 1.6.7.2.2, correction of the transitional provisions relating to 8.1.2.3</w:t>
      </w:r>
    </w:p>
    <w:p w14:paraId="6D411F65" w14:textId="77777777" w:rsidR="006D6659" w:rsidRPr="00774F5E" w:rsidRDefault="006D6659" w:rsidP="006D6659">
      <w:pPr>
        <w:pStyle w:val="H1G"/>
        <w:rPr>
          <w:rFonts w:eastAsia="Calibri"/>
        </w:rPr>
      </w:pPr>
      <w:r w:rsidRPr="00774F5E">
        <w:rPr>
          <w:rFonts w:eastAsia="Calibri"/>
        </w:rPr>
        <w:tab/>
      </w:r>
      <w:r w:rsidRPr="00774F5E">
        <w:rPr>
          <w:rFonts w:eastAsia="Calibri"/>
        </w:rPr>
        <w:tab/>
        <w:t>Transmitted by the Government of Austria</w:t>
      </w:r>
      <w:r w:rsidRPr="00774F5E">
        <w:rPr>
          <w:rStyle w:val="FootnoteReference"/>
          <w:rFonts w:eastAsia="Calibri"/>
          <w:b w:val="0"/>
          <w:bCs/>
          <w:sz w:val="20"/>
          <w:vertAlign w:val="baseline"/>
        </w:rPr>
        <w:footnoteReference w:customMarkFollows="1" w:id="1"/>
        <w:t>*</w:t>
      </w:r>
      <w:r w:rsidRPr="00774F5E">
        <w:rPr>
          <w:rStyle w:val="FootnoteReference"/>
          <w:rFonts w:eastAsia="Calibri"/>
          <w:b w:val="0"/>
          <w:bCs/>
          <w:position w:val="8"/>
          <w:sz w:val="20"/>
          <w:vertAlign w:val="baseline"/>
        </w:rPr>
        <w:t xml:space="preserve">, </w:t>
      </w:r>
      <w:r w:rsidRPr="00774F5E">
        <w:rPr>
          <w:rStyle w:val="FootnoteReference"/>
          <w:rFonts w:eastAsia="Calibri"/>
          <w:b w:val="0"/>
          <w:bCs/>
          <w:sz w:val="20"/>
          <w:vertAlign w:val="baseline"/>
        </w:rPr>
        <w:footnoteReference w:customMarkFollows="1" w:id="2"/>
        <w:t>**</w:t>
      </w:r>
    </w:p>
    <w:tbl>
      <w:tblPr>
        <w:tblStyle w:val="TableGrid"/>
        <w:tblW w:w="0" w:type="auto"/>
        <w:jc w:val="center"/>
        <w:tblCellMar>
          <w:left w:w="0" w:type="dxa"/>
          <w:right w:w="0" w:type="dxa"/>
        </w:tblCellMar>
        <w:tblLook w:val="01E0" w:firstRow="1" w:lastRow="1" w:firstColumn="1" w:lastColumn="1" w:noHBand="0" w:noVBand="0"/>
      </w:tblPr>
      <w:tblGrid>
        <w:gridCol w:w="9629"/>
      </w:tblGrid>
      <w:tr w:rsidR="006D6659" w:rsidRPr="00774F5E" w14:paraId="2FAF3529" w14:textId="77777777" w:rsidTr="006D6659">
        <w:trPr>
          <w:jc w:val="center"/>
        </w:trPr>
        <w:tc>
          <w:tcPr>
            <w:tcW w:w="9629" w:type="dxa"/>
            <w:tcBorders>
              <w:bottom w:val="nil"/>
            </w:tcBorders>
          </w:tcPr>
          <w:p w14:paraId="7C965E5E" w14:textId="77777777" w:rsidR="006D6659" w:rsidRPr="00774F5E" w:rsidRDefault="006D6659" w:rsidP="0023426E">
            <w:pPr>
              <w:tabs>
                <w:tab w:val="left" w:pos="255"/>
              </w:tabs>
              <w:suppressAutoHyphens w:val="0"/>
              <w:spacing w:before="240" w:after="120"/>
              <w:rPr>
                <w:sz w:val="24"/>
              </w:rPr>
            </w:pPr>
            <w:r w:rsidRPr="00774F5E">
              <w:tab/>
            </w:r>
            <w:r w:rsidRPr="00774F5E">
              <w:rPr>
                <w:i/>
                <w:sz w:val="24"/>
              </w:rPr>
              <w:t>Summary</w:t>
            </w:r>
          </w:p>
        </w:tc>
      </w:tr>
      <w:tr w:rsidR="006D6659" w:rsidRPr="00774F5E" w14:paraId="14BA8BE8" w14:textId="77777777" w:rsidTr="006D6659">
        <w:trPr>
          <w:jc w:val="center"/>
        </w:trPr>
        <w:tc>
          <w:tcPr>
            <w:tcW w:w="9629" w:type="dxa"/>
            <w:tcBorders>
              <w:top w:val="nil"/>
              <w:bottom w:val="nil"/>
            </w:tcBorders>
            <w:shd w:val="clear" w:color="auto" w:fill="auto"/>
          </w:tcPr>
          <w:p w14:paraId="6F9726DB" w14:textId="6F58B53A" w:rsidR="006D6659" w:rsidRPr="00774F5E" w:rsidRDefault="006D6659" w:rsidP="00494798">
            <w:pPr>
              <w:pStyle w:val="SingleTxtG"/>
              <w:spacing w:after="60"/>
              <w:ind w:left="2835" w:hanging="2551"/>
              <w:rPr>
                <w:bCs/>
              </w:rPr>
            </w:pPr>
            <w:r w:rsidRPr="00774F5E">
              <w:rPr>
                <w:b/>
                <w:szCs w:val="22"/>
              </w:rPr>
              <w:t>Executive summary</w:t>
            </w:r>
            <w:r w:rsidRPr="00774F5E">
              <w:rPr>
                <w:szCs w:val="22"/>
              </w:rPr>
              <w:t>:</w:t>
            </w:r>
            <w:r w:rsidRPr="00774F5E">
              <w:rPr>
                <w:szCs w:val="22"/>
              </w:rPr>
              <w:tab/>
            </w:r>
            <w:r w:rsidR="00494798" w:rsidRPr="00774F5E">
              <w:rPr>
                <w:szCs w:val="22"/>
              </w:rPr>
              <w:tab/>
            </w:r>
            <w:r w:rsidR="00494798" w:rsidRPr="00774F5E">
              <w:rPr>
                <w:szCs w:val="22"/>
              </w:rPr>
              <w:tab/>
            </w:r>
            <w:r w:rsidRPr="00774F5E">
              <w:rPr>
                <w:szCs w:val="22"/>
              </w:rPr>
              <w:t xml:space="preserve">In 1.6.7.2.2, the transitional provisions relating to 8.1.2.3 contain an </w:t>
            </w:r>
            <w:r w:rsidR="00494798" w:rsidRPr="00774F5E">
              <w:rPr>
                <w:szCs w:val="22"/>
              </w:rPr>
              <w:tab/>
            </w:r>
            <w:r w:rsidRPr="00774F5E">
              <w:rPr>
                <w:szCs w:val="22"/>
              </w:rPr>
              <w:t>editorial error that should be corrected.</w:t>
            </w:r>
          </w:p>
        </w:tc>
      </w:tr>
      <w:tr w:rsidR="006D6659" w:rsidRPr="00774F5E" w14:paraId="3EEE16B2" w14:textId="77777777" w:rsidTr="006D6659">
        <w:trPr>
          <w:jc w:val="center"/>
        </w:trPr>
        <w:tc>
          <w:tcPr>
            <w:tcW w:w="9629" w:type="dxa"/>
            <w:tcBorders>
              <w:top w:val="nil"/>
              <w:bottom w:val="nil"/>
            </w:tcBorders>
            <w:shd w:val="clear" w:color="auto" w:fill="auto"/>
          </w:tcPr>
          <w:p w14:paraId="53960FEF" w14:textId="67A00C60" w:rsidR="006D6659" w:rsidRPr="00774F5E" w:rsidRDefault="006D6659" w:rsidP="0023426E">
            <w:pPr>
              <w:pStyle w:val="SingleTxtG"/>
              <w:ind w:left="2552" w:hanging="2268"/>
              <w:rPr>
                <w:color w:val="6699FF"/>
                <w:szCs w:val="22"/>
              </w:rPr>
            </w:pPr>
            <w:r w:rsidRPr="00774F5E">
              <w:rPr>
                <w:b/>
                <w:szCs w:val="22"/>
              </w:rPr>
              <w:t>Action</w:t>
            </w:r>
            <w:r w:rsidR="00494798" w:rsidRPr="00774F5E">
              <w:rPr>
                <w:b/>
                <w:szCs w:val="22"/>
              </w:rPr>
              <w:t>/Decision</w:t>
            </w:r>
            <w:r w:rsidRPr="00774F5E">
              <w:rPr>
                <w:b/>
                <w:szCs w:val="22"/>
              </w:rPr>
              <w:t xml:space="preserve"> to be taken</w:t>
            </w:r>
            <w:r w:rsidRPr="00774F5E">
              <w:rPr>
                <w:szCs w:val="22"/>
              </w:rPr>
              <w:t>:</w:t>
            </w:r>
            <w:r w:rsidRPr="00774F5E">
              <w:rPr>
                <w:szCs w:val="22"/>
              </w:rPr>
              <w:tab/>
            </w:r>
            <w:r w:rsidRPr="00774F5E">
              <w:rPr>
                <w:bCs/>
              </w:rPr>
              <w:t>In 1.6.7.2.2, correction of the transitional provisions relating to 8.1.2.3</w:t>
            </w:r>
          </w:p>
        </w:tc>
      </w:tr>
      <w:tr w:rsidR="006D6659" w:rsidRPr="00774F5E" w14:paraId="6EF1E184" w14:textId="77777777" w:rsidTr="006D6659">
        <w:trPr>
          <w:jc w:val="center"/>
        </w:trPr>
        <w:tc>
          <w:tcPr>
            <w:tcW w:w="9629" w:type="dxa"/>
            <w:tcBorders>
              <w:top w:val="nil"/>
              <w:bottom w:val="nil"/>
            </w:tcBorders>
            <w:shd w:val="clear" w:color="auto" w:fill="auto"/>
          </w:tcPr>
          <w:p w14:paraId="4EE98075" w14:textId="7AE47A58" w:rsidR="006D6659" w:rsidRPr="00774F5E" w:rsidRDefault="006D6659" w:rsidP="0023426E">
            <w:pPr>
              <w:pStyle w:val="SingleTxtG"/>
              <w:ind w:left="2552" w:hanging="2268"/>
              <w:rPr>
                <w:color w:val="6699FF"/>
                <w:szCs w:val="22"/>
              </w:rPr>
            </w:pPr>
            <w:r w:rsidRPr="00774F5E">
              <w:rPr>
                <w:b/>
                <w:szCs w:val="22"/>
              </w:rPr>
              <w:t>Related documents</w:t>
            </w:r>
            <w:r w:rsidRPr="00774F5E">
              <w:rPr>
                <w:szCs w:val="22"/>
              </w:rPr>
              <w:t>:</w:t>
            </w:r>
            <w:r w:rsidR="00494798" w:rsidRPr="00774F5E">
              <w:rPr>
                <w:szCs w:val="22"/>
              </w:rPr>
              <w:tab/>
            </w:r>
            <w:r w:rsidR="00494798" w:rsidRPr="00774F5E">
              <w:rPr>
                <w:szCs w:val="22"/>
              </w:rPr>
              <w:tab/>
            </w:r>
            <w:r w:rsidRPr="00774F5E">
              <w:rPr>
                <w:szCs w:val="22"/>
              </w:rPr>
              <w:tab/>
            </w:r>
            <w:r w:rsidRPr="00774F5E">
              <w:t>None</w:t>
            </w:r>
          </w:p>
        </w:tc>
      </w:tr>
      <w:tr w:rsidR="006D6659" w:rsidRPr="00774F5E" w14:paraId="607BAF3E" w14:textId="77777777" w:rsidTr="006D6659">
        <w:trPr>
          <w:jc w:val="center"/>
        </w:trPr>
        <w:tc>
          <w:tcPr>
            <w:tcW w:w="9629" w:type="dxa"/>
            <w:tcBorders>
              <w:top w:val="nil"/>
            </w:tcBorders>
          </w:tcPr>
          <w:p w14:paraId="50657D10" w14:textId="77777777" w:rsidR="006D6659" w:rsidRPr="00774F5E" w:rsidRDefault="006D6659" w:rsidP="0023426E">
            <w:pPr>
              <w:suppressAutoHyphens w:val="0"/>
            </w:pPr>
          </w:p>
        </w:tc>
      </w:tr>
    </w:tbl>
    <w:p w14:paraId="3C5153D9" w14:textId="77777777" w:rsidR="006D6659" w:rsidRPr="00774F5E" w:rsidRDefault="006D6659" w:rsidP="006D6659">
      <w:pPr>
        <w:pStyle w:val="HChG"/>
        <w:rPr>
          <w:rFonts w:eastAsia="Calibri"/>
        </w:rPr>
      </w:pPr>
      <w:bookmarkStart w:id="1" w:name="_Hlk99444391"/>
      <w:r w:rsidRPr="00774F5E">
        <w:tab/>
      </w:r>
      <w:r w:rsidRPr="00774F5E">
        <w:tab/>
        <w:t>Introduction</w:t>
      </w:r>
    </w:p>
    <w:bookmarkEnd w:id="1"/>
    <w:p w14:paraId="170A6DFF" w14:textId="77777777" w:rsidR="006D6659" w:rsidRPr="00774F5E" w:rsidRDefault="006D6659" w:rsidP="006D6659">
      <w:pPr>
        <w:pStyle w:val="SingleTxtG"/>
      </w:pPr>
      <w:r w:rsidRPr="00774F5E">
        <w:t>1.</w:t>
      </w:r>
      <w:r w:rsidRPr="00774F5E">
        <w:tab/>
        <w:t>8.1.2.3 (t) requires a plan indicating the boundaries of the zones and the location of the electrical and non-electrical equipment installed in the relevant zone intended to be used in explosion hazardous areas, as well as self-contained protection systems.</w:t>
      </w:r>
    </w:p>
    <w:p w14:paraId="062A9207" w14:textId="77777777" w:rsidR="006D6659" w:rsidRPr="00774F5E" w:rsidRDefault="006D6659" w:rsidP="006D6659">
      <w:pPr>
        <w:pStyle w:val="SingleTxtG"/>
      </w:pPr>
      <w:r w:rsidRPr="00774F5E">
        <w:t>2.</w:t>
      </w:r>
      <w:r w:rsidRPr="00774F5E">
        <w:tab/>
        <w:t>8.1.2.3 (u) requires a list of the installations and equipment referred to under (t), as well as of self-contained protection systems, along with additional information.</w:t>
      </w:r>
    </w:p>
    <w:p w14:paraId="2A30C779" w14:textId="77777777" w:rsidR="006D6659" w:rsidRPr="00774F5E" w:rsidRDefault="006D6659" w:rsidP="006D6659">
      <w:pPr>
        <w:pStyle w:val="SingleTxtG"/>
      </w:pPr>
      <w:r w:rsidRPr="00774F5E">
        <w:t>3.</w:t>
      </w:r>
      <w:r w:rsidRPr="00774F5E">
        <w:tab/>
        <w:t xml:space="preserve">However, 1.6.7.2.2.2 contains a transitional provision relating to 8.1.2.3 (u), in which the content of the provision is described as “Documents which must be carried on board. Plan with classification of zones”. Since 8.1.2.3 (u) does not provide for a plan with classification </w:t>
      </w:r>
      <w:r w:rsidRPr="00774F5E">
        <w:lastRenderedPageBreak/>
        <w:t>of zones, this is an editorial error. This transitional provision, which will expire with the renewal of the certificate of approval after 31 December 2034, can apply only to 8.1.2.3 (t) (plan with classification of zones) or 8.1.2.3 (u) (list of equipment in the zones). Since the list referred to in 8.1.2.3 (u) cannot be drawn up without a plan with classification of zones in accordance with 8.1.2.3 (t), the transitional provision applicable for a longer period can relate only to the list referred to in 8.1.2.3 (u). The entry in the second column should therefore be corrected.</w:t>
      </w:r>
    </w:p>
    <w:p w14:paraId="2C6137E3" w14:textId="77777777" w:rsidR="006D6659" w:rsidRPr="00774F5E" w:rsidRDefault="006D6659" w:rsidP="006D6659">
      <w:pPr>
        <w:pStyle w:val="HChG"/>
        <w:rPr>
          <w:rFonts w:eastAsia="Calibri"/>
        </w:rPr>
      </w:pPr>
      <w:bookmarkStart w:id="2" w:name="_Hlk99444452"/>
      <w:r w:rsidRPr="00774F5E">
        <w:rPr>
          <w:rFonts w:eastAsia="Calibri"/>
        </w:rPr>
        <w:tab/>
        <w:t>I.</w:t>
      </w:r>
      <w:r w:rsidRPr="00774F5E">
        <w:tab/>
        <w:t>Proposal</w:t>
      </w:r>
    </w:p>
    <w:bookmarkEnd w:id="2"/>
    <w:p w14:paraId="28A9CB85" w14:textId="77777777" w:rsidR="006D6659" w:rsidRPr="00774F5E" w:rsidRDefault="006D6659" w:rsidP="006D6659">
      <w:pPr>
        <w:pStyle w:val="SingleTxtG"/>
      </w:pPr>
      <w:r w:rsidRPr="00774F5E">
        <w:t>4.</w:t>
      </w:r>
      <w:r w:rsidRPr="00774F5E">
        <w:tab/>
        <w:t>1.6.7.2.2.2, transitional provision relating to 8.1.2.3 (u):</w:t>
      </w:r>
    </w:p>
    <w:p w14:paraId="14F16ECF" w14:textId="77777777" w:rsidR="006D6659" w:rsidRPr="00774F5E" w:rsidRDefault="006D6659" w:rsidP="006D6659">
      <w:pPr>
        <w:pStyle w:val="SingleTxtG"/>
      </w:pPr>
      <w:r w:rsidRPr="00774F5E">
        <w:t>In the second column, “Plan with classification of zones” is replaced by “List of the installations and equipment referred to under (t), as well as of self-contained protection systems”.</w:t>
      </w:r>
    </w:p>
    <w:p w14:paraId="0D34A53D" w14:textId="77777777" w:rsidR="006D6659" w:rsidRPr="00774F5E" w:rsidRDefault="006D6659" w:rsidP="006D6659">
      <w:pPr>
        <w:pStyle w:val="HChG"/>
        <w:rPr>
          <w:rFonts w:eastAsia="Calibri"/>
        </w:rPr>
      </w:pPr>
      <w:r w:rsidRPr="00774F5E">
        <w:rPr>
          <w:rFonts w:eastAsia="Calibri"/>
        </w:rPr>
        <w:tab/>
        <w:t>II.</w:t>
      </w:r>
      <w:r w:rsidRPr="00774F5E">
        <w:tab/>
        <w:t>Justification</w:t>
      </w:r>
    </w:p>
    <w:p w14:paraId="37B3C4D1" w14:textId="77777777" w:rsidR="006D6659" w:rsidRPr="00774F5E" w:rsidRDefault="006D6659" w:rsidP="006D6659">
      <w:pPr>
        <w:pStyle w:val="SingleTxtG"/>
      </w:pPr>
      <w:r w:rsidRPr="00774F5E">
        <w:t>5.</w:t>
      </w:r>
      <w:r w:rsidRPr="00774F5E">
        <w:tab/>
        <w:t>This editorial correction is necessary to remove a contradiction.</w:t>
      </w:r>
    </w:p>
    <w:p w14:paraId="06924D7C" w14:textId="77777777" w:rsidR="006D6659" w:rsidRPr="00774F5E" w:rsidRDefault="006D6659" w:rsidP="006D6659">
      <w:pPr>
        <w:pStyle w:val="SingleTxtG"/>
      </w:pPr>
      <w:r w:rsidRPr="00774F5E">
        <w:t>6.</w:t>
      </w:r>
      <w:r w:rsidRPr="00774F5E">
        <w:tab/>
        <w:t>This editorial correction has no impact on safety, is easy to implement and does not require a transitional period.</w:t>
      </w:r>
    </w:p>
    <w:p w14:paraId="7712F930" w14:textId="022E888D" w:rsidR="007268F9" w:rsidRPr="00774F5E" w:rsidRDefault="006D6659" w:rsidP="006D6659">
      <w:pPr>
        <w:spacing w:before="240"/>
        <w:jc w:val="center"/>
        <w:rPr>
          <w:u w:val="single"/>
        </w:rPr>
      </w:pPr>
      <w:r w:rsidRPr="00774F5E">
        <w:rPr>
          <w:u w:val="single"/>
        </w:rPr>
        <w:tab/>
      </w:r>
      <w:r w:rsidRPr="00774F5E">
        <w:rPr>
          <w:u w:val="single"/>
        </w:rPr>
        <w:tab/>
      </w:r>
      <w:r w:rsidRPr="00774F5E">
        <w:rPr>
          <w:u w:val="single"/>
        </w:rPr>
        <w:tab/>
      </w:r>
    </w:p>
    <w:sectPr w:rsidR="007268F9" w:rsidRPr="00774F5E"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EAB48" w14:textId="77777777" w:rsidR="00630925" w:rsidRPr="00FB1744" w:rsidRDefault="00630925" w:rsidP="00FB1744">
      <w:pPr>
        <w:pStyle w:val="Footer"/>
      </w:pPr>
    </w:p>
  </w:endnote>
  <w:endnote w:type="continuationSeparator" w:id="0">
    <w:p w14:paraId="0B57DE9E" w14:textId="77777777" w:rsidR="00630925" w:rsidRPr="00FB1744" w:rsidRDefault="0063092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D1EB" w14:textId="77777777" w:rsidR="006D6659" w:rsidRDefault="006D6659" w:rsidP="006D6659">
    <w:pPr>
      <w:pStyle w:val="Footer"/>
      <w:tabs>
        <w:tab w:val="right" w:pos="9638"/>
      </w:tabs>
    </w:pPr>
    <w:r w:rsidRPr="006D6659">
      <w:rPr>
        <w:b/>
        <w:bCs/>
        <w:sz w:val="18"/>
      </w:rPr>
      <w:fldChar w:fldCharType="begin"/>
    </w:r>
    <w:r w:rsidRPr="006D6659">
      <w:rPr>
        <w:b/>
        <w:bCs/>
        <w:sz w:val="18"/>
      </w:rPr>
      <w:instrText xml:space="preserve"> PAGE  \* MERGEFORMAT </w:instrText>
    </w:r>
    <w:r w:rsidRPr="006D6659">
      <w:rPr>
        <w:b/>
        <w:bCs/>
        <w:sz w:val="18"/>
      </w:rPr>
      <w:fldChar w:fldCharType="separate"/>
    </w:r>
    <w:r w:rsidRPr="006D6659">
      <w:rPr>
        <w:b/>
        <w:bCs/>
        <w:noProof/>
        <w:sz w:val="18"/>
      </w:rPr>
      <w:t>2</w:t>
    </w:r>
    <w:r w:rsidRPr="006D6659">
      <w:rPr>
        <w:b/>
        <w:bCs/>
        <w:sz w:val="18"/>
      </w:rPr>
      <w:fldChar w:fldCharType="end"/>
    </w:r>
    <w:r>
      <w:tab/>
      <w:t>GE.22-07235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7FFD" w14:textId="77777777" w:rsidR="006D6659" w:rsidRDefault="006D6659" w:rsidP="006D6659">
    <w:pPr>
      <w:pStyle w:val="Footer"/>
      <w:tabs>
        <w:tab w:val="right" w:pos="9638"/>
      </w:tabs>
    </w:pPr>
    <w:r>
      <w:t>GE.22-07235</w:t>
    </w:r>
    <w:r>
      <w:tab/>
    </w:r>
    <w:r w:rsidRPr="006D6659">
      <w:rPr>
        <w:b/>
        <w:bCs/>
        <w:sz w:val="18"/>
      </w:rPr>
      <w:fldChar w:fldCharType="begin"/>
    </w:r>
    <w:r w:rsidRPr="006D6659">
      <w:rPr>
        <w:b/>
        <w:bCs/>
        <w:sz w:val="18"/>
      </w:rPr>
      <w:instrText xml:space="preserve"> PAGE  \* MERGEFORMAT </w:instrText>
    </w:r>
    <w:r w:rsidRPr="006D6659">
      <w:rPr>
        <w:b/>
        <w:bCs/>
        <w:sz w:val="18"/>
      </w:rPr>
      <w:fldChar w:fldCharType="separate"/>
    </w:r>
    <w:r w:rsidRPr="006D6659">
      <w:rPr>
        <w:b/>
        <w:bCs/>
        <w:noProof/>
        <w:sz w:val="18"/>
      </w:rPr>
      <w:t>3</w:t>
    </w:r>
    <w:r w:rsidRPr="006D665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E421" w14:textId="77777777" w:rsidR="00C448F7" w:rsidRDefault="006D6659">
    <w:pPr>
      <w:pStyle w:val="Footer"/>
      <w:rPr>
        <w:sz w:val="20"/>
      </w:rPr>
    </w:pPr>
    <w:r w:rsidRPr="0027112F">
      <w:rPr>
        <w:noProof/>
        <w:lang w:val="en-US"/>
      </w:rPr>
      <w:drawing>
        <wp:anchor distT="0" distB="0" distL="114300" distR="114300" simplePos="0" relativeHeight="251659264" behindDoc="0" locked="1" layoutInCell="1" allowOverlap="1" wp14:anchorId="268731E5" wp14:editId="2B91F26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35F9C88" w14:textId="4A57D6C1" w:rsidR="006D6659" w:rsidRPr="006D6659" w:rsidRDefault="006D6659" w:rsidP="006D6659">
    <w:pPr>
      <w:pStyle w:val="Footer"/>
      <w:tabs>
        <w:tab w:val="right" w:pos="7370"/>
      </w:tabs>
      <w:rPr>
        <w:sz w:val="20"/>
      </w:rPr>
    </w:pPr>
    <w:r>
      <w:rPr>
        <w:sz w:val="20"/>
      </w:rPr>
      <w:t>GE.22-</w:t>
    </w:r>
    <w:proofErr w:type="gramStart"/>
    <w:r>
      <w:rPr>
        <w:sz w:val="20"/>
      </w:rPr>
      <w:t>07235  (</w:t>
    </w:r>
    <w:proofErr w:type="gramEnd"/>
    <w:r>
      <w:rPr>
        <w:sz w:val="20"/>
      </w:rPr>
      <w:t>E)</w:t>
    </w:r>
    <w:r>
      <w:rPr>
        <w:noProof/>
        <w:sz w:val="20"/>
      </w:rPr>
      <w:drawing>
        <wp:anchor distT="0" distB="0" distL="114300" distR="114300" simplePos="0" relativeHeight="251660288" behindDoc="0" locked="0" layoutInCell="1" allowOverlap="1" wp14:anchorId="190D8648" wp14:editId="36E52D5B">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BB6">
      <w:rPr>
        <w:sz w:val="20"/>
      </w:rPr>
      <w:t xml:space="preserve">    250522    260522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BCCAA" w14:textId="77777777" w:rsidR="00630925" w:rsidRPr="00FB1744" w:rsidRDefault="00630925" w:rsidP="00FB1744">
      <w:pPr>
        <w:tabs>
          <w:tab w:val="right" w:pos="2155"/>
        </w:tabs>
        <w:spacing w:after="80" w:line="240" w:lineRule="auto"/>
        <w:ind w:left="680"/>
      </w:pPr>
      <w:r>
        <w:rPr>
          <w:u w:val="single"/>
        </w:rPr>
        <w:tab/>
      </w:r>
    </w:p>
  </w:footnote>
  <w:footnote w:type="continuationSeparator" w:id="0">
    <w:p w14:paraId="5E2B6937" w14:textId="77777777" w:rsidR="00630925" w:rsidRPr="00FB1744" w:rsidRDefault="00630925" w:rsidP="00FB1744">
      <w:pPr>
        <w:tabs>
          <w:tab w:val="right" w:pos="2155"/>
        </w:tabs>
        <w:spacing w:after="80" w:line="240" w:lineRule="auto"/>
        <w:ind w:left="680"/>
      </w:pPr>
      <w:r>
        <w:rPr>
          <w:u w:val="single"/>
        </w:rPr>
        <w:tab/>
      </w:r>
    </w:p>
  </w:footnote>
  <w:footnote w:id="1">
    <w:p w14:paraId="765E6392" w14:textId="17211EC4" w:rsidR="006D6659" w:rsidRPr="00247623" w:rsidRDefault="006D6659" w:rsidP="006D6659">
      <w:pPr>
        <w:pStyle w:val="FootnoteText"/>
        <w:rPr>
          <w:sz w:val="16"/>
          <w:szCs w:val="16"/>
          <w:lang w:val="en-US"/>
        </w:rPr>
      </w:pPr>
      <w:r w:rsidRPr="00247623">
        <w:rPr>
          <w:rStyle w:val="FootnoteReference"/>
          <w:sz w:val="24"/>
          <w:szCs w:val="24"/>
          <w:lang w:val="en-US"/>
        </w:rPr>
        <w:tab/>
      </w:r>
      <w:r w:rsidRPr="00616963">
        <w:rPr>
          <w:rStyle w:val="FootnoteReference"/>
          <w:sz w:val="20"/>
          <w:vertAlign w:val="baseline"/>
        </w:rPr>
        <w:t>*</w:t>
      </w:r>
      <w:r w:rsidRPr="00247623">
        <w:rPr>
          <w:rStyle w:val="FootnoteReference"/>
          <w:sz w:val="20"/>
          <w:lang w:val="en-US"/>
        </w:rPr>
        <w:tab/>
      </w:r>
      <w:r w:rsidRPr="00247623">
        <w:rPr>
          <w:sz w:val="16"/>
          <w:szCs w:val="16"/>
          <w:lang w:val="en-US"/>
        </w:rPr>
        <w:t>Distributed in German by the Central Commission for the Navigation of the Rhine under the symbol CCNR-ZKR/ADN/WP.15/AC.2/2022/26</w:t>
      </w:r>
      <w:r w:rsidR="000C19F0">
        <w:rPr>
          <w:sz w:val="16"/>
          <w:szCs w:val="16"/>
          <w:lang w:val="en-US"/>
        </w:rPr>
        <w:t>.</w:t>
      </w:r>
    </w:p>
  </w:footnote>
  <w:footnote w:id="2">
    <w:p w14:paraId="1E1ECEF4" w14:textId="13CD76FB" w:rsidR="006D6659" w:rsidRPr="00EF4367" w:rsidRDefault="006D6659" w:rsidP="006D6659">
      <w:pPr>
        <w:pStyle w:val="FootnoteText"/>
        <w:rPr>
          <w:sz w:val="16"/>
          <w:szCs w:val="16"/>
          <w:lang w:val="fr-FR"/>
        </w:rPr>
      </w:pPr>
      <w:r w:rsidRPr="00247623">
        <w:rPr>
          <w:rStyle w:val="FootnoteReference"/>
          <w:sz w:val="24"/>
          <w:szCs w:val="24"/>
          <w:lang w:val="en-US"/>
        </w:rPr>
        <w:tab/>
      </w:r>
      <w:r w:rsidRPr="00616963">
        <w:rPr>
          <w:rStyle w:val="FootnoteReference"/>
          <w:sz w:val="20"/>
          <w:vertAlign w:val="baseline"/>
        </w:rPr>
        <w:t>**</w:t>
      </w:r>
      <w:r w:rsidRPr="00EF4367">
        <w:rPr>
          <w:rStyle w:val="FootnoteReference"/>
          <w:sz w:val="20"/>
          <w:lang w:val="fr-FR"/>
        </w:rPr>
        <w:tab/>
      </w:r>
      <w:r w:rsidRPr="00247623">
        <w:rPr>
          <w:sz w:val="16"/>
          <w:szCs w:val="16"/>
          <w:lang w:val="fr-FR"/>
        </w:rPr>
        <w:t>A/76/6 (Sect.</w:t>
      </w:r>
      <w:r w:rsidR="00447288">
        <w:rPr>
          <w:sz w:val="16"/>
          <w:szCs w:val="16"/>
          <w:lang w:val="fr-FR"/>
        </w:rPr>
        <w:t xml:space="preserve"> </w:t>
      </w:r>
      <w:r w:rsidRPr="00247623">
        <w:rPr>
          <w:sz w:val="16"/>
          <w:szCs w:val="16"/>
          <w:lang w:val="fr-FR"/>
        </w:rPr>
        <w:t>20), para.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7A49" w14:textId="77777777" w:rsidR="006D6659" w:rsidRDefault="006D6659" w:rsidP="006D6659">
    <w:pPr>
      <w:pStyle w:val="Header"/>
    </w:pPr>
    <w:r>
      <w:t>ECE/TRANS/WP.15/AC.2/2022/26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81AA" w14:textId="77777777" w:rsidR="006D6659" w:rsidRDefault="006D6659" w:rsidP="006D6659">
    <w:pPr>
      <w:pStyle w:val="Header"/>
      <w:jc w:val="right"/>
    </w:pPr>
    <w:r>
      <w:t>ECE/TRANS/WP.15/AC.2/2022/26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630925"/>
    <w:rsid w:val="00007B3C"/>
    <w:rsid w:val="00046E92"/>
    <w:rsid w:val="000A28C1"/>
    <w:rsid w:val="000C19F0"/>
    <w:rsid w:val="000D1B89"/>
    <w:rsid w:val="000F6E29"/>
    <w:rsid w:val="001170DC"/>
    <w:rsid w:val="00247E2C"/>
    <w:rsid w:val="002D6BB6"/>
    <w:rsid w:val="002D6C53"/>
    <w:rsid w:val="002F5595"/>
    <w:rsid w:val="00334F6A"/>
    <w:rsid w:val="00342AC8"/>
    <w:rsid w:val="003B4550"/>
    <w:rsid w:val="0043448D"/>
    <w:rsid w:val="00447288"/>
    <w:rsid w:val="00461253"/>
    <w:rsid w:val="00494798"/>
    <w:rsid w:val="005042C2"/>
    <w:rsid w:val="00506C12"/>
    <w:rsid w:val="0056599A"/>
    <w:rsid w:val="00585AE1"/>
    <w:rsid w:val="00587690"/>
    <w:rsid w:val="00616963"/>
    <w:rsid w:val="00630925"/>
    <w:rsid w:val="00671529"/>
    <w:rsid w:val="006A5598"/>
    <w:rsid w:val="006D6659"/>
    <w:rsid w:val="00717266"/>
    <w:rsid w:val="007268F9"/>
    <w:rsid w:val="00774F5E"/>
    <w:rsid w:val="007C52B0"/>
    <w:rsid w:val="009411B4"/>
    <w:rsid w:val="009D0139"/>
    <w:rsid w:val="009F5CDC"/>
    <w:rsid w:val="00A429CD"/>
    <w:rsid w:val="00A775CF"/>
    <w:rsid w:val="00AB3C7E"/>
    <w:rsid w:val="00B06045"/>
    <w:rsid w:val="00C35A27"/>
    <w:rsid w:val="00C448F7"/>
    <w:rsid w:val="00C73240"/>
    <w:rsid w:val="00E02C2B"/>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2BEC8E"/>
  <w15:docId w15:val="{4794FD27-62DD-4A01-A1E6-8267DE9B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6D6659"/>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84ACA95C-F0DE-4821-9C6E-76BCCF1E7D3D}"/>
</file>

<file path=customXml/itemProps3.xml><?xml version="1.0" encoding="utf-8"?>
<ds:datastoreItem xmlns:ds="http://schemas.openxmlformats.org/officeDocument/2006/customXml" ds:itemID="{D542825C-316F-4229-A869-6BB85BC652F5}"/>
</file>

<file path=customXml/itemProps4.xml><?xml version="1.0" encoding="utf-8"?>
<ds:datastoreItem xmlns:ds="http://schemas.openxmlformats.org/officeDocument/2006/customXml" ds:itemID="{62353F94-EF1B-47F5-A3B3-4D51AB85F4EA}"/>
</file>

<file path=docProps/app.xml><?xml version="1.0" encoding="utf-8"?>
<Properties xmlns="http://schemas.openxmlformats.org/officeDocument/2006/extended-properties" xmlns:vt="http://schemas.openxmlformats.org/officeDocument/2006/docPropsVTypes">
  <Template>CESCR.dotm</Template>
  <TotalTime>0</TotalTime>
  <Pages>2</Pages>
  <Words>414</Words>
  <Characters>2336</Characters>
  <Application>Microsoft Office Word</Application>
  <DocSecurity>0</DocSecurity>
  <Lines>56</Lines>
  <Paragraphs>31</Paragraphs>
  <ScaleCrop>false</ScaleCrop>
  <Company>DCM</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ECE/TRANS/WP.15/AC.2/2022/26</dc:title>
  <dc:subject>2207235</dc:subject>
  <dc:creator>CPM</dc:creator>
  <cp:keywords/>
  <dc:description/>
  <cp:lastModifiedBy>Cecile Pacis</cp:lastModifiedBy>
  <cp:revision>2</cp:revision>
  <dcterms:created xsi:type="dcterms:W3CDTF">2022-05-26T08:47:00Z</dcterms:created>
  <dcterms:modified xsi:type="dcterms:W3CDTF">2022-05-26T08:47:00Z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