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EF3A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BFA638" w14:textId="77777777" w:rsidR="002D5AAC" w:rsidRDefault="002D5AAC" w:rsidP="00436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5884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CD66D7" w14:textId="5202BD52" w:rsidR="002D5AAC" w:rsidRDefault="00436F3F" w:rsidP="00436F3F">
            <w:pPr>
              <w:jc w:val="right"/>
            </w:pPr>
            <w:r w:rsidRPr="00436F3F">
              <w:rPr>
                <w:sz w:val="40"/>
              </w:rPr>
              <w:t>ECE</w:t>
            </w:r>
            <w:r>
              <w:t>/TRANS/WP.15/AC.2/2022/22</w:t>
            </w:r>
          </w:p>
        </w:tc>
      </w:tr>
      <w:tr w:rsidR="002D5AAC" w:rsidRPr="00B5054B" w14:paraId="3B3A81E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AB8A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ABE2B6" wp14:editId="5325419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E9F6E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063369" w14:textId="77777777" w:rsidR="002D5AAC" w:rsidRDefault="00436F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DFF90B" w14:textId="77777777" w:rsidR="00436F3F" w:rsidRDefault="00436F3F" w:rsidP="00436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May 2022</w:t>
            </w:r>
          </w:p>
          <w:p w14:paraId="02CDA065" w14:textId="77777777" w:rsidR="00436F3F" w:rsidRDefault="00436F3F" w:rsidP="00436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B2A396" w14:textId="78756211" w:rsidR="00436F3F" w:rsidRPr="008D53B6" w:rsidRDefault="00436F3F" w:rsidP="00436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95DDD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347924" w14:textId="77777777" w:rsidR="00436F3F" w:rsidRPr="005D42DB" w:rsidRDefault="00436F3F" w:rsidP="00436F3F">
      <w:pPr>
        <w:spacing w:before="120"/>
        <w:rPr>
          <w:sz w:val="28"/>
          <w:szCs w:val="28"/>
        </w:rPr>
      </w:pPr>
      <w:r w:rsidRPr="005D42DB">
        <w:rPr>
          <w:sz w:val="28"/>
          <w:szCs w:val="28"/>
        </w:rPr>
        <w:t>Комитет по внутреннему транспорту</w:t>
      </w:r>
    </w:p>
    <w:p w14:paraId="00183006" w14:textId="77777777" w:rsidR="00436F3F" w:rsidRPr="005D42DB" w:rsidRDefault="00436F3F" w:rsidP="00436F3F">
      <w:pPr>
        <w:spacing w:before="120"/>
        <w:rPr>
          <w:b/>
          <w:sz w:val="24"/>
          <w:szCs w:val="24"/>
        </w:rPr>
      </w:pPr>
      <w:r w:rsidRPr="005D42DB">
        <w:rPr>
          <w:b/>
          <w:bCs/>
          <w:sz w:val="24"/>
          <w:szCs w:val="24"/>
        </w:rPr>
        <w:t>Рабочая группа по перевозкам опасных грузов</w:t>
      </w:r>
    </w:p>
    <w:p w14:paraId="3AF716C5" w14:textId="78229148" w:rsidR="00436F3F" w:rsidRPr="005D42DB" w:rsidRDefault="00436F3F" w:rsidP="00436F3F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34314D13" w14:textId="77777777" w:rsidR="00436F3F" w:rsidRPr="005D42DB" w:rsidRDefault="00436F3F" w:rsidP="00436F3F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62669A48" w14:textId="77777777" w:rsidR="00436F3F" w:rsidRPr="005D42DB" w:rsidRDefault="00436F3F" w:rsidP="00436F3F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1539A7D5" w14:textId="77777777" w:rsidR="00436F3F" w:rsidRPr="005D42DB" w:rsidRDefault="00436F3F" w:rsidP="00436F3F">
      <w:r>
        <w:t>Женева, 22</w:t>
      </w:r>
      <w:r w:rsidRPr="0047520E">
        <w:t>–</w:t>
      </w:r>
      <w:r>
        <w:t>26 августа 2022 года</w:t>
      </w:r>
    </w:p>
    <w:p w14:paraId="5FE84A87" w14:textId="77777777" w:rsidR="00436F3F" w:rsidRPr="005D42DB" w:rsidRDefault="00436F3F" w:rsidP="00436F3F">
      <w:r>
        <w:t>Пункт 5 предварительной повестки дня</w:t>
      </w:r>
    </w:p>
    <w:p w14:paraId="6D800710" w14:textId="77777777" w:rsidR="00436F3F" w:rsidRPr="005D42DB" w:rsidRDefault="00436F3F" w:rsidP="00436F3F">
      <w:pPr>
        <w:rPr>
          <w:b/>
        </w:rPr>
      </w:pPr>
      <w:r>
        <w:rPr>
          <w:b/>
          <w:bCs/>
        </w:rPr>
        <w:t>Доклады неофициальных рабочих групп</w:t>
      </w:r>
    </w:p>
    <w:p w14:paraId="639BF1D6" w14:textId="77777777" w:rsidR="00436F3F" w:rsidRPr="005D42DB" w:rsidRDefault="00436F3F" w:rsidP="00436F3F">
      <w:pPr>
        <w:pStyle w:val="HChG"/>
      </w:pPr>
      <w:r>
        <w:tab/>
      </w:r>
      <w:r>
        <w:tab/>
      </w:r>
      <w:r>
        <w:rPr>
          <w:bCs/>
        </w:rPr>
        <w:t>Отчет о работе двадцать третьего совещания группы Рекомендованных классификационных обществ ВОПОГ</w:t>
      </w:r>
    </w:p>
    <w:p w14:paraId="709996D9" w14:textId="137E22D0" w:rsidR="00436F3F" w:rsidRPr="005D42DB" w:rsidRDefault="00436F3F" w:rsidP="00436F3F">
      <w:pPr>
        <w:pStyle w:val="H1G"/>
      </w:pPr>
      <w:r>
        <w:tab/>
      </w:r>
      <w:r>
        <w:tab/>
      </w:r>
      <w:r>
        <w:rPr>
          <w:bCs/>
        </w:rPr>
        <w:t>Представлено группой Рекомендованных классификационных обществ ВОПОГ</w:t>
      </w:r>
      <w:r w:rsidRPr="00436F3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36F3F">
        <w:rPr>
          <w:szCs w:val="24"/>
        </w:rPr>
        <w:t xml:space="preserve"> </w:t>
      </w:r>
      <w:r w:rsidRPr="00436F3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4F3D098D" w14:textId="77777777" w:rsidR="00436F3F" w:rsidRPr="005D42DB" w:rsidRDefault="00436F3F" w:rsidP="00436F3F">
      <w:pPr>
        <w:pStyle w:val="SingleTxtG"/>
      </w:pPr>
      <w:r>
        <w:t>Дата проведения: 16 марта 2022 года, 9 ч 30 мин — 16 ч 30 мин</w:t>
      </w:r>
    </w:p>
    <w:p w14:paraId="73A456D6" w14:textId="77777777" w:rsidR="00436F3F" w:rsidRPr="005D42DB" w:rsidRDefault="00436F3F" w:rsidP="00436F3F">
      <w:pPr>
        <w:pStyle w:val="SingleTxtG"/>
      </w:pPr>
      <w:r>
        <w:t>Место проведения: онлайн-совещание в Microsoft Teams</w:t>
      </w:r>
    </w:p>
    <w:p w14:paraId="02A4502C" w14:textId="77777777" w:rsidR="00436F3F" w:rsidRPr="00A05C2E" w:rsidRDefault="00436F3F" w:rsidP="00436F3F">
      <w:pPr>
        <w:pStyle w:val="SingleTxtG"/>
      </w:pPr>
      <w:r>
        <w:t>Присутствуют:</w:t>
      </w:r>
    </w:p>
    <w:p w14:paraId="74A46858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>«Бюро Веритас» (BV): г-н Гай Джейкобс, г-н Раффаэле Кочито</w:t>
      </w:r>
    </w:p>
    <w:p w14:paraId="6243F94C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>Хорватский регистр судоходства (CRS): г-н Иван Билич-Прчич (Председатель), г-н Ведран Клисарич</w:t>
      </w:r>
    </w:p>
    <w:p w14:paraId="64BFB6CB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 xml:space="preserve">«Дет норске веритас» (DNV): г-н Торстен Досдал </w:t>
      </w:r>
    </w:p>
    <w:p w14:paraId="29D46FF3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>Регистр Ллойда (LR): г-н Бас Йорманн, г-н Карел Винке</w:t>
      </w:r>
    </w:p>
    <w:p w14:paraId="55D78DD3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>Итальянский морской регистр (RINA): г-н Патрицио Ди Франческо</w:t>
      </w:r>
    </w:p>
    <w:p w14:paraId="4968BB9B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 xml:space="preserve">Российский морской регистр судоходства (РС): г-н Сергей Легуша </w:t>
      </w:r>
    </w:p>
    <w:p w14:paraId="51F20EFC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>Российский речной регистр (РРР): г-н Михаил Козин</w:t>
      </w:r>
    </w:p>
    <w:p w14:paraId="4E35C60B" w14:textId="77777777" w:rsidR="00436F3F" w:rsidRPr="00C35F27" w:rsidRDefault="00436F3F" w:rsidP="00436F3F">
      <w:pPr>
        <w:pageBreakBefore/>
        <w:spacing w:after="60"/>
        <w:ind w:left="1701" w:hanging="567"/>
      </w:pPr>
      <w:r>
        <w:lastRenderedPageBreak/>
        <w:t>Не присутствуют (получено уведомление):</w:t>
      </w:r>
    </w:p>
    <w:p w14:paraId="7FFB6E6E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>Регистр судоходства Украины (РСУ): г-н Микола Сльозко</w:t>
      </w:r>
    </w:p>
    <w:p w14:paraId="6BC87B61" w14:textId="77777777" w:rsidR="00436F3F" w:rsidRPr="005D42DB" w:rsidRDefault="00436F3F" w:rsidP="00436F3F">
      <w:pPr>
        <w:pStyle w:val="Bullet2G"/>
        <w:numPr>
          <w:ilvl w:val="0"/>
          <w:numId w:val="22"/>
        </w:numPr>
        <w:ind w:left="1843" w:hanging="142"/>
      </w:pPr>
      <w:r>
        <w:t>Комитет по вопросам безопасности ВОПОГ: г-н Манфред Вайнер (Германия, наблюдатель)</w:t>
      </w:r>
    </w:p>
    <w:p w14:paraId="0532172D" w14:textId="77777777" w:rsidR="00436F3F" w:rsidRPr="005D42DB" w:rsidRDefault="00436F3F" w:rsidP="00436F3F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Открытие совещания</w:t>
      </w:r>
    </w:p>
    <w:p w14:paraId="6DAFD237" w14:textId="77777777" w:rsidR="00436F3F" w:rsidRPr="005D42DB" w:rsidRDefault="00436F3F" w:rsidP="00436F3F">
      <w:pPr>
        <w:pStyle w:val="SingleTxtG"/>
      </w:pPr>
      <w:r>
        <w:t>1.</w:t>
      </w:r>
      <w:r>
        <w:tab/>
        <w:t>Председатель приветствует участников онлайн-совещания. Г-н Билич-Прчич объявляет, что ввиду его болезни обязанности Председателя на этом совещании будет исполнять г-н Йорманн. Все участники выражают согласие.</w:t>
      </w:r>
    </w:p>
    <w:p w14:paraId="0D208304" w14:textId="2D78018E" w:rsidR="00436F3F" w:rsidRPr="005D42DB" w:rsidRDefault="00436F3F" w:rsidP="00436F3F">
      <w:pPr>
        <w:pStyle w:val="SingleTxtG"/>
      </w:pPr>
      <w:r>
        <w:tab/>
        <w:t>Председатель приветствует участников онлайн-совещания. Он упоминает об отсутствии г-на Сльозко, который не может присутствовать в связи с трагическими обстоятельствами в Украине, и выражает надежду, что г-н Сльозко будет в добром здравии и сможет снова присутствовать на следующем совещании.</w:t>
      </w:r>
    </w:p>
    <w:p w14:paraId="334EEDD2" w14:textId="6FE0731C" w:rsidR="00436F3F" w:rsidRPr="005D42DB" w:rsidRDefault="00436F3F" w:rsidP="00436F3F">
      <w:pPr>
        <w:pStyle w:val="SingleTxtG"/>
      </w:pPr>
      <w:r>
        <w:tab/>
        <w:t>Он также отмечает отсутствие наблюдателя от Комитета по вопросам безопасности ВОПОГ и напоминает группе о цели нынешнего совещания, изложенной в разделе 1.15.4 ВОПОГ, и о роли наблюдателя. В течение примерно двух последних лет это совещание, как представляется, использовалось в большей степени для ответов на вопросы Комитета по вопросам безопасности ВОПОГ, чем для обмена мнениями между классификационными обществами.</w:t>
      </w:r>
    </w:p>
    <w:p w14:paraId="7606620F" w14:textId="10ACE0CD" w:rsidR="00436F3F" w:rsidRPr="005D42DB" w:rsidRDefault="00436F3F" w:rsidP="00436F3F">
      <w:pPr>
        <w:pStyle w:val="SingleTxtG"/>
      </w:pPr>
      <w:r>
        <w:tab/>
        <w:t>Повестка дня утверждается без изменений.</w:t>
      </w:r>
    </w:p>
    <w:p w14:paraId="6DECD24E" w14:textId="77777777" w:rsidR="00436F3F" w:rsidRPr="005D42DB" w:rsidRDefault="00436F3F" w:rsidP="00436F3F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Отчет о работе двадцать второго совещания, направления работы — документ 22 IG 10</w:t>
      </w:r>
    </w:p>
    <w:p w14:paraId="314CFA17" w14:textId="77777777" w:rsidR="00436F3F" w:rsidRPr="005D42DB" w:rsidRDefault="00436F3F" w:rsidP="00436F3F">
      <w:pPr>
        <w:pStyle w:val="SingleTxtG"/>
      </w:pPr>
      <w:bookmarkStart w:id="0" w:name="_Hlk66878600"/>
      <w:r>
        <w:t>2.</w:t>
      </w:r>
      <w:r>
        <w:tab/>
        <w:t>Участники обсудили перечень направлений работы.</w:t>
      </w:r>
    </w:p>
    <w:bookmarkEnd w:id="0"/>
    <w:p w14:paraId="712312A7" w14:textId="752FE62C" w:rsidR="00436F3F" w:rsidRPr="005D42DB" w:rsidRDefault="00436F3F" w:rsidP="00436F3F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 xml:space="preserve">Пропилена оксид (ответственный участник: LR) — </w:t>
      </w:r>
      <w:r w:rsidR="008A11C2">
        <w:rPr>
          <w:bCs/>
        </w:rPr>
        <w:br/>
      </w:r>
      <w:r>
        <w:rPr>
          <w:bCs/>
        </w:rPr>
        <w:t>документ 17 IG 02a и документ 22 IG 02a</w:t>
      </w:r>
    </w:p>
    <w:p w14:paraId="698F89C0" w14:textId="77777777" w:rsidR="00436F3F" w:rsidRPr="005D42DB" w:rsidRDefault="00436F3F" w:rsidP="00436F3F">
      <w:pPr>
        <w:pStyle w:val="SingleTxtG"/>
      </w:pPr>
      <w:r>
        <w:t>3.</w:t>
      </w:r>
      <w:r>
        <w:tab/>
        <w:t>Работа по этой теме еще не завершена, и она останется в повестке дня (ответственный участник: LR).</w:t>
      </w:r>
    </w:p>
    <w:p w14:paraId="42A478F8" w14:textId="499E1E78" w:rsidR="00436F3F" w:rsidRPr="005D42DB" w:rsidRDefault="00436F3F" w:rsidP="00436F3F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 xml:space="preserve">Быстродействующие клапаны, рассчитанные на более высокие температуры (ответственные участники: BV+RINA) — </w:t>
      </w:r>
      <w:r w:rsidR="008A11C2">
        <w:rPr>
          <w:bCs/>
        </w:rPr>
        <w:br/>
      </w:r>
      <w:r>
        <w:rPr>
          <w:bCs/>
        </w:rPr>
        <w:t>документ 19 IG 02h</w:t>
      </w:r>
    </w:p>
    <w:p w14:paraId="3AC1A35A" w14:textId="77777777" w:rsidR="00436F3F" w:rsidRPr="005D42DB" w:rsidRDefault="00436F3F" w:rsidP="00436F3F">
      <w:pPr>
        <w:pStyle w:val="SingleTxtG"/>
      </w:pPr>
      <w:r>
        <w:t>4.</w:t>
      </w:r>
      <w:r>
        <w:tab/>
        <w:t>Ввиду отсутствия информации от изготовителей решено провести оценку рисков, чтобы выяснить, какие риски в действительности существуют. RINA возглавит эту работу (ответственный участник: RINA). Все общества в течение двух недель сообщат г-ну Патрицио Ди Франческо о том, кто внесет свой вклад (ответственные участники: все участники).</w:t>
      </w:r>
    </w:p>
    <w:p w14:paraId="31A484B2" w14:textId="77777777" w:rsidR="00436F3F" w:rsidRPr="005D42DB" w:rsidRDefault="00436F3F" w:rsidP="00436F3F">
      <w:pPr>
        <w:pStyle w:val="SingleTxtG"/>
      </w:pPr>
      <w:r>
        <w:t>5.</w:t>
      </w:r>
      <w:r>
        <w:tab/>
        <w:t>Замечания, полученные от г-на Вайнера, не считаются выходом из положения, так как включение недостатков в отчет о проверке не решит эту проблему.</w:t>
      </w:r>
    </w:p>
    <w:p w14:paraId="0F8361B5" w14:textId="77777777" w:rsidR="00436F3F" w:rsidRPr="005D42DB" w:rsidRDefault="00436F3F" w:rsidP="00436F3F">
      <w:pPr>
        <w:pStyle w:val="H1G"/>
      </w:pPr>
      <w:r>
        <w:rPr>
          <w:bCs/>
        </w:rPr>
        <w:tab/>
        <w:t>C.</w:t>
      </w:r>
      <w:r>
        <w:tab/>
      </w:r>
      <w:r>
        <w:tab/>
      </w:r>
      <w:r>
        <w:rPr>
          <w:bCs/>
        </w:rPr>
        <w:t>Дефлаграция, детонация и устойчивое горение (ответственный участник: BV) — документ 17 IG 04u, документ 20 IG 02i, неофициальный документ INF.22 тридцать пятой сессии Комитета по вопросам безопасности ВОПОГ</w:t>
      </w:r>
    </w:p>
    <w:p w14:paraId="3E480358" w14:textId="77777777" w:rsidR="00436F3F" w:rsidRPr="005D42DB" w:rsidRDefault="00436F3F" w:rsidP="00436F3F">
      <w:pPr>
        <w:pStyle w:val="SingleTxtG"/>
      </w:pPr>
      <w:r>
        <w:t>6.</w:t>
      </w:r>
      <w:r>
        <w:tab/>
        <w:t xml:space="preserve">Документ 23 IG 02c, представленный BV, обсужден и принят. В переходном положении нет необходимости. Г-н Джейкобс обновит документ в соответствии с </w:t>
      </w:r>
      <w:r>
        <w:lastRenderedPageBreak/>
        <w:t>состоявшимся обсуждением и представит его Комитету по вопросам безопасности ВОПОГ (ответственный участник: BV).</w:t>
      </w:r>
    </w:p>
    <w:p w14:paraId="6BB50F59" w14:textId="5203BE6E" w:rsidR="00436F3F" w:rsidRPr="005D42DB" w:rsidRDefault="00436F3F" w:rsidP="00436F3F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 xml:space="preserve">Вопросы, обсуждавшиеся на последней сессии Комитета по вопросам безопасности ВОПОГ </w:t>
      </w:r>
      <w:r w:rsidR="008A11C2">
        <w:rPr>
          <w:bCs/>
        </w:rPr>
        <w:br/>
      </w:r>
      <w:r>
        <w:rPr>
          <w:bCs/>
        </w:rPr>
        <w:t>(документ ECE/TRANS/WP.15/AC.2/80)</w:t>
      </w:r>
    </w:p>
    <w:p w14:paraId="1C1AB502" w14:textId="2C4E83F3" w:rsidR="00436F3F" w:rsidRPr="005D42DB" w:rsidRDefault="00436F3F" w:rsidP="00436F3F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Зонирование в соответствии с разделом 1.2.1 ВОПОГ;</w:t>
      </w:r>
      <w:r>
        <w:t xml:space="preserve"> </w:t>
      </w:r>
      <w:r w:rsidR="008A11C2">
        <w:br/>
      </w:r>
      <w:r>
        <w:rPr>
          <w:bCs/>
        </w:rPr>
        <w:t xml:space="preserve">документ 22 IG 10 </w:t>
      </w:r>
      <w:r w:rsidR="008A11C2" w:rsidRPr="008A11C2">
        <w:rPr>
          <w:bCs/>
        </w:rPr>
        <w:t>—</w:t>
      </w:r>
      <w:r>
        <w:rPr>
          <w:bCs/>
        </w:rPr>
        <w:t xml:space="preserve"> Отчет о работе двадцать второго совещания 2021-10-29 (3a) и ECE/TRANS/WP.15/AC.2/80, B (57) </w:t>
      </w:r>
      <w:r w:rsidR="008A11C2">
        <w:rPr>
          <w:bCs/>
        </w:rPr>
        <w:br/>
      </w:r>
      <w:r>
        <w:rPr>
          <w:bCs/>
        </w:rPr>
        <w:t>Отчет о работе двадцать первого совещания группы Рекомендованных классификационных обществ ВОПОГ</w:t>
      </w:r>
    </w:p>
    <w:p w14:paraId="479EC1F4" w14:textId="77777777" w:rsidR="00436F3F" w:rsidRPr="005D42DB" w:rsidRDefault="00436F3F" w:rsidP="00436F3F">
      <w:pPr>
        <w:pStyle w:val="SingleTxtG"/>
        <w:rPr>
          <w:iCs/>
        </w:rPr>
      </w:pPr>
      <w:r>
        <w:t>7.</w:t>
      </w:r>
      <w:r>
        <w:tab/>
        <w:t>Замечания, полученные от г-на Вайнера, не ясны членам группы, и, поскольку вопросы Комитета по вопросам безопасности ВОПОГ также не ясны, решено запросить у Комитета по вопросам безопасности ВОПОГ документ с четко сформулированными вопросами. Поскольку для данной темы существует переходное положение, это, по-видимому, не является реальной проблемой.</w:t>
      </w:r>
    </w:p>
    <w:p w14:paraId="30837845" w14:textId="49AFDC77" w:rsidR="00436F3F" w:rsidRPr="005D42DB" w:rsidRDefault="00436F3F" w:rsidP="00436F3F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 xml:space="preserve">Погружные насосы в грузовых танках танкеров-газовозов, сертификация для зоны 0 (предыдущие ответственные участники: RINA и LR) </w:t>
      </w:r>
      <w:bookmarkStart w:id="1" w:name="_Hlk103688107"/>
      <w:r>
        <w:rPr>
          <w:bCs/>
        </w:rPr>
        <w:t>—</w:t>
      </w:r>
      <w:bookmarkEnd w:id="1"/>
      <w:r>
        <w:rPr>
          <w:bCs/>
        </w:rPr>
        <w:t xml:space="preserve"> документ 22 IG 10 </w:t>
      </w:r>
      <w:r w:rsidR="008A11C2" w:rsidRPr="008A11C2">
        <w:rPr>
          <w:bCs/>
        </w:rPr>
        <w:t>—</w:t>
      </w:r>
      <w:r>
        <w:rPr>
          <w:bCs/>
        </w:rPr>
        <w:t xml:space="preserve"> Отчет о работе двадцать второго совещания 2021-10-29 (2g) и ECE/TRANS/WP.15/AC.2/80, B</w:t>
      </w:r>
      <w:r>
        <w:rPr>
          <w:bCs/>
          <w:lang w:val="fr-CH"/>
        </w:rPr>
        <w:t> </w:t>
      </w:r>
      <w:r>
        <w:rPr>
          <w:bCs/>
        </w:rPr>
        <w:t>(57)</w:t>
      </w:r>
    </w:p>
    <w:p w14:paraId="3EA9C59C" w14:textId="77777777" w:rsidR="00436F3F" w:rsidRPr="005D42DB" w:rsidRDefault="00436F3F" w:rsidP="00436F3F">
      <w:pPr>
        <w:pStyle w:val="SingleTxtG"/>
      </w:pPr>
      <w:r>
        <w:t>8.</w:t>
      </w:r>
      <w:r>
        <w:tab/>
        <w:t>Поскольку в настоящее время существуют погружные насосы, сертифицированные по ATEX для зоны 0, данная тема считается закрытой. Для существующих судов предусмотрено переходное положение, а на новых судах могут использоваться эти сертифицированные насосы.</w:t>
      </w:r>
    </w:p>
    <w:p w14:paraId="120EC3A6" w14:textId="43AB98DA" w:rsidR="00436F3F" w:rsidRPr="005D42DB" w:rsidRDefault="00436F3F" w:rsidP="00436F3F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 xml:space="preserve">Соответствие стандарту EN ISO/IEC 17020:2012 — </w:t>
      </w:r>
      <w:r>
        <w:rPr>
          <w:bCs/>
        </w:rPr>
        <w:br/>
        <w:t xml:space="preserve">документ 22 IG 10 </w:t>
      </w:r>
      <w:r w:rsidRPr="00436F3F">
        <w:rPr>
          <w:bCs/>
        </w:rPr>
        <w:t>—</w:t>
      </w:r>
      <w:r>
        <w:rPr>
          <w:bCs/>
        </w:rPr>
        <w:t xml:space="preserve"> Отчет о работе двадцать второго совещания </w:t>
      </w:r>
      <w:r>
        <w:rPr>
          <w:bCs/>
        </w:rPr>
        <w:br/>
        <w:t>2021-10-29 (2f) и ECE/TRANS/WP.15/AC.2/80, B (58)</w:t>
      </w:r>
    </w:p>
    <w:p w14:paraId="5B745FD7" w14:textId="77777777" w:rsidR="00436F3F" w:rsidRPr="005D42DB" w:rsidRDefault="00436F3F" w:rsidP="00436F3F">
      <w:pPr>
        <w:pStyle w:val="SingleTxtG"/>
      </w:pPr>
      <w:r>
        <w:t>9.</w:t>
      </w:r>
      <w:r>
        <w:tab/>
        <w:t>После некоторого обсуждения решено, что LR подготовит проект требуемого документа для дальнейшего рассмотрения группой (ответственный участник: LR). Отмечается, что требование об аккредитации также не предусмотрено для деятельности на морских судах и оно не упоминается в директиве (ЕС) 2016/1629.</w:t>
      </w:r>
    </w:p>
    <w:p w14:paraId="1A8D9F36" w14:textId="3E4C9000" w:rsidR="00436F3F" w:rsidRPr="005D42DB" w:rsidRDefault="00436F3F" w:rsidP="00436F3F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Различные перечни толкований — документ</w:t>
      </w:r>
      <w:r>
        <w:rPr>
          <w:bCs/>
          <w:lang w:val="fr-CH"/>
        </w:rPr>
        <w:t> </w:t>
      </w:r>
      <w:r>
        <w:rPr>
          <w:bCs/>
        </w:rPr>
        <w:t xml:space="preserve">ECE/TRANS/WP.15/AC.2/80, C, тема 4(23) </w:t>
      </w:r>
      <w:r>
        <w:rPr>
          <w:bCs/>
        </w:rPr>
        <w:br/>
        <w:t>Толкование правил, прилагаемых к ВОПОГ</w:t>
      </w:r>
    </w:p>
    <w:p w14:paraId="4621A7DE" w14:textId="77777777" w:rsidR="00436F3F" w:rsidRPr="005D42DB" w:rsidRDefault="00436F3F" w:rsidP="00436F3F">
      <w:pPr>
        <w:pStyle w:val="SingleTxtG"/>
      </w:pPr>
      <w:r>
        <w:t>10.</w:t>
      </w:r>
      <w:r>
        <w:tab/>
        <w:t>Г-н Досдал изучил эту тему и выяснил, что в 2017 году обсуждались некоторые толкования. Однако соответствующий документ так и не был представлен Комитету по вопросам безопасности ВОПОГ. Актуальность этого документа будет проверена, и, если он все еще актуален, его представят Комитету по вопросам безопасности ВОПОГ (ответственный участник: DNV).</w:t>
      </w:r>
    </w:p>
    <w:p w14:paraId="1431D3E8" w14:textId="61DC101E" w:rsidR="00436F3F" w:rsidRPr="005D42DB" w:rsidRDefault="00436F3F" w:rsidP="00436F3F">
      <w:pPr>
        <w:pStyle w:val="H1G"/>
      </w:pPr>
      <w:r>
        <w:rPr>
          <w:bCs/>
        </w:rPr>
        <w:lastRenderedPageBreak/>
        <w:tab/>
        <w:t>E.</w:t>
      </w:r>
      <w:r>
        <w:tab/>
      </w:r>
      <w:r>
        <w:tab/>
      </w:r>
      <w:r>
        <w:rPr>
          <w:bCs/>
        </w:rPr>
        <w:t xml:space="preserve">Обновление и пересмотр раздела 9.3.4 ВОПОГ — </w:t>
      </w:r>
      <w:r>
        <w:rPr>
          <w:bCs/>
        </w:rPr>
        <w:br/>
        <w:t xml:space="preserve">документ ECE/TRANS/WP.15/AC.2/80, E, тема 1(27) </w:t>
      </w:r>
      <w:r>
        <w:rPr>
          <w:bCs/>
        </w:rPr>
        <w:br/>
        <w:t>Обновление и</w:t>
      </w:r>
      <w:r>
        <w:rPr>
          <w:bCs/>
          <w:lang w:val="fr-CH"/>
        </w:rPr>
        <w:t> </w:t>
      </w:r>
      <w:r>
        <w:rPr>
          <w:bCs/>
        </w:rPr>
        <w:t>пересмотр раздела 9.3.4 ВОПОГ по теме энергии столкновения</w:t>
      </w:r>
    </w:p>
    <w:p w14:paraId="569B201B" w14:textId="5A0A780D" w:rsidR="00436F3F" w:rsidRPr="005D42DB" w:rsidRDefault="00436F3F" w:rsidP="00436F3F">
      <w:pPr>
        <w:pStyle w:val="SingleTxtG"/>
      </w:pPr>
      <w:r>
        <w:t>11.</w:t>
      </w:r>
      <w:r>
        <w:tab/>
        <w:t>Г-н Йорманн представляет обновленную информацию о данном проекте. В</w:t>
      </w:r>
      <w:r w:rsidR="008A11C2">
        <w:rPr>
          <w:lang w:val="fr-CH"/>
        </w:rPr>
        <w:t> </w:t>
      </w:r>
      <w:r>
        <w:t>апреле TNO организует встречу с участниками проекта для обсуждения результатов. Ожидается, что отчет о проекте и предложение по обновлению раздела 9.3.4 ВОПОГ будут представлены для обсуждения на следующем совещании Комитета по вопросам безопасности ВОПОГ. Эта тема остается открытой в ожидании получения замечаний Комитета по вопросам безопасности в августе 2022 года.</w:t>
      </w:r>
    </w:p>
    <w:p w14:paraId="182B87D3" w14:textId="77777777" w:rsidR="00436F3F" w:rsidRPr="005D42DB" w:rsidRDefault="00436F3F" w:rsidP="00436F3F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Технические вопросы</w:t>
      </w:r>
    </w:p>
    <w:p w14:paraId="59065F3A" w14:textId="77777777" w:rsidR="00436F3F" w:rsidRPr="005D42DB" w:rsidRDefault="00436F3F" w:rsidP="00436F3F">
      <w:pPr>
        <w:pStyle w:val="SingleTxtG"/>
      </w:pPr>
      <w:r>
        <w:t>12.</w:t>
      </w:r>
      <w:r>
        <w:tab/>
        <w:t>Новые вопросы не поднимались.</w:t>
      </w:r>
    </w:p>
    <w:p w14:paraId="64800909" w14:textId="77777777" w:rsidR="00436F3F" w:rsidRPr="005D42DB" w:rsidRDefault="00436F3F" w:rsidP="00436F3F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Обмен опытом между классификационными обществами</w:t>
      </w:r>
    </w:p>
    <w:p w14:paraId="1EE79DBA" w14:textId="77777777" w:rsidR="00436F3F" w:rsidRPr="005D42DB" w:rsidRDefault="00436F3F" w:rsidP="00436F3F">
      <w:pPr>
        <w:pStyle w:val="SingleTxtG"/>
      </w:pPr>
      <w:r>
        <w:t>13.</w:t>
      </w:r>
      <w:r>
        <w:tab/>
        <w:t>На двадцать втором совещании Председатель Комитета по вопросам безопасности ВОПОГ предложил включить в повестку дня пункт «Обмен опытом между классификационными обществами», о чем упоминается в ВОПОГ.</w:t>
      </w:r>
    </w:p>
    <w:p w14:paraId="369A9AEC" w14:textId="77777777" w:rsidR="00436F3F" w:rsidRPr="005D42DB" w:rsidRDefault="00436F3F" w:rsidP="00436F3F">
      <w:pPr>
        <w:pStyle w:val="SingleTxtG"/>
      </w:pPr>
      <w:r>
        <w:t>14.</w:t>
      </w:r>
      <w:r>
        <w:tab/>
        <w:t>Председатель напоминает группе, что это является основной целью данного совещания.</w:t>
      </w:r>
    </w:p>
    <w:p w14:paraId="64362BF8" w14:textId="77777777" w:rsidR="00436F3F" w:rsidRPr="005D42DB" w:rsidRDefault="00436F3F" w:rsidP="00436F3F">
      <w:pPr>
        <w:pStyle w:val="H1G"/>
      </w:pPr>
      <w:r>
        <w:rPr>
          <w:bCs/>
        </w:rPr>
        <w:tab/>
        <w:t>A.</w:t>
      </w:r>
      <w:r>
        <w:tab/>
      </w:r>
      <w:r>
        <w:tab/>
      </w:r>
      <w:r>
        <w:rPr>
          <w:bCs/>
        </w:rPr>
        <w:t>Толкование подраздела 9.1.0.35 и пункта 9.1.0.40.1 по сухогрузным толкаемым баржам — документ 23 IG 05a</w:t>
      </w:r>
    </w:p>
    <w:p w14:paraId="0D41B9F0" w14:textId="77777777" w:rsidR="00436F3F" w:rsidRPr="005D42DB" w:rsidRDefault="00436F3F" w:rsidP="00436F3F">
      <w:pPr>
        <w:pStyle w:val="SingleTxtG"/>
      </w:pPr>
      <w:r>
        <w:t>15.</w:t>
      </w:r>
      <w:r>
        <w:tab/>
        <w:t>Существует понимание, что формулировка «stripping system» (система зачистки) сбивает с толку, поскольку на самом деле имеется в виду «bilge system» (система осушения трюмов). Комитету по вопросам безопасности ВОПОГ будет представлено предложение, направленное на изменение этой ситуации (ответственный участник: CRS).</w:t>
      </w:r>
    </w:p>
    <w:p w14:paraId="2D86F4CB" w14:textId="3E904DBC" w:rsidR="00436F3F" w:rsidRPr="005D42DB" w:rsidRDefault="00436F3F" w:rsidP="00436F3F">
      <w:pPr>
        <w:pStyle w:val="SingleTxtG"/>
      </w:pPr>
      <w:r>
        <w:t>16.</w:t>
      </w:r>
      <w:r>
        <w:tab/>
        <w:t xml:space="preserve">Обычное толкование системы трюмных насосов на толкаемой барже заключается в том, что один насос устанавливается на барже, а другой </w:t>
      </w:r>
      <w:r w:rsidR="0060565F" w:rsidRPr="0060565F">
        <w:t>—</w:t>
      </w:r>
      <w:r>
        <w:t xml:space="preserve"> на толкающем судне. Насосы, размещенные в грузовом трюме, должны соответствовать стандарту</w:t>
      </w:r>
      <w:r>
        <w:rPr>
          <w:lang w:val="fr-CH"/>
        </w:rPr>
        <w:t> </w:t>
      </w:r>
      <w:r>
        <w:t>EX.</w:t>
      </w:r>
    </w:p>
    <w:p w14:paraId="2D69E9F6" w14:textId="77777777" w:rsidR="00436F3F" w:rsidRPr="005D42DB" w:rsidRDefault="00436F3F" w:rsidP="00436F3F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>Толкование переходных положений, касающихся аварийной остойчивости сухогрузных судов</w:t>
      </w:r>
      <w:bookmarkStart w:id="2" w:name="_Hlk100220208"/>
      <w:bookmarkEnd w:id="2"/>
    </w:p>
    <w:p w14:paraId="53415084" w14:textId="77777777" w:rsidR="00436F3F" w:rsidRPr="005D42DB" w:rsidRDefault="00436F3F" w:rsidP="00436F3F">
      <w:pPr>
        <w:pStyle w:val="SingleTxtG"/>
      </w:pPr>
      <w:r>
        <w:t>17.</w:t>
      </w:r>
      <w:r>
        <w:tab/>
        <w:t>Г-н Билич-Прчич задает вопрос о переходных положениях, касающихся аварийной остойчивости сухогрузных судов. Г-н Йорманн и г-н Досдал дают разъяснения по этому вопросу.</w:t>
      </w:r>
    </w:p>
    <w:p w14:paraId="0BBAC31B" w14:textId="77777777" w:rsidR="00436F3F" w:rsidRPr="005D42DB" w:rsidRDefault="00436F3F" w:rsidP="00436F3F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Прочие вопросы</w:t>
      </w:r>
    </w:p>
    <w:p w14:paraId="16DB8C8C" w14:textId="77777777" w:rsidR="00436F3F" w:rsidRPr="005D42DB" w:rsidRDefault="00436F3F" w:rsidP="00436F3F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Создание технической рабочей группы Комитетом по вопросам безопасности ВОПОГ</w:t>
      </w:r>
    </w:p>
    <w:p w14:paraId="7FAB9100" w14:textId="77777777" w:rsidR="00436F3F" w:rsidRPr="005D42DB" w:rsidRDefault="00436F3F" w:rsidP="00436F3F">
      <w:pPr>
        <w:pStyle w:val="SingleTxtG"/>
      </w:pPr>
      <w:r>
        <w:t>18.</w:t>
      </w:r>
      <w:r>
        <w:tab/>
        <w:t xml:space="preserve">После некоторого обсуждения решено представить Комитету по вопросам безопасности ВОПОГ предложение о создании такой рабочей группы. Г-н Йорманн свяжется с Председателем Комитета по вопросам безопасности ВОПОГ и внесет такое предложение. В предложении будет выражена готовность классификационных </w:t>
      </w:r>
      <w:r>
        <w:lastRenderedPageBreak/>
        <w:t>обществ к всестороннему сотрудничеству в рамках этой рабочей группы. Оно будет представлено на рассмотрение группы перед его передачей Комитету по вопросам безопасности ВОПОГ (ответственный участник: LR).</w:t>
      </w:r>
    </w:p>
    <w:p w14:paraId="73E6AB67" w14:textId="77777777" w:rsidR="00436F3F" w:rsidRPr="005D42DB" w:rsidRDefault="00436F3F" w:rsidP="00436F3F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Вопрос «Фьюэлз-Юроп» относительно перечня веществ, допущенных к перевозке судном, и транспортных документов</w:t>
      </w:r>
    </w:p>
    <w:p w14:paraId="734A78BD" w14:textId="77777777" w:rsidR="00436F3F" w:rsidRPr="005D42DB" w:rsidRDefault="00436F3F" w:rsidP="00436F3F">
      <w:pPr>
        <w:pStyle w:val="SingleTxtG"/>
      </w:pPr>
      <w:r>
        <w:t>19.</w:t>
      </w:r>
      <w:r>
        <w:tab/>
        <w:t>Г-н Винке информирует группу о состоявшихся у него контактах с представителем «Фьюэлз-Юроп». Данная тема закрыта.</w:t>
      </w:r>
    </w:p>
    <w:p w14:paraId="0B06E146" w14:textId="77777777" w:rsidR="00436F3F" w:rsidRPr="005D42DB" w:rsidRDefault="00436F3F" w:rsidP="00436F3F">
      <w:pPr>
        <w:pStyle w:val="HChG"/>
      </w:pPr>
      <w:r>
        <w:rPr>
          <w:bCs/>
        </w:rPr>
        <w:tab/>
        <w:t>VII.</w:t>
      </w:r>
      <w:r>
        <w:tab/>
      </w:r>
      <w:r>
        <w:rPr>
          <w:bCs/>
        </w:rPr>
        <w:t>Сроки и место проведения следующего совещания</w:t>
      </w:r>
    </w:p>
    <w:p w14:paraId="21FD0296" w14:textId="5571FC96" w:rsidR="00436F3F" w:rsidRPr="005D42DB" w:rsidRDefault="00436F3F" w:rsidP="00436F3F">
      <w:pPr>
        <w:pStyle w:val="SingleTxtG"/>
      </w:pPr>
      <w:r>
        <w:t>20.</w:t>
      </w:r>
      <w:r>
        <w:tab/>
        <w:t>Среда, 26 октября 2022 года</w:t>
      </w:r>
      <w:r w:rsidR="00B5054B" w:rsidRPr="00B5054B">
        <w:t>,</w:t>
      </w:r>
      <w:r>
        <w:t xml:space="preserve"> в Загребе. Делегациям государств-членов предлагается направить наблюдателя на это совещание.</w:t>
      </w:r>
    </w:p>
    <w:p w14:paraId="02590B43" w14:textId="77777777" w:rsidR="00436F3F" w:rsidRPr="005D42DB" w:rsidRDefault="00436F3F" w:rsidP="00436F3F">
      <w:pPr>
        <w:pStyle w:val="HChG"/>
      </w:pPr>
      <w:r>
        <w:rPr>
          <w:bCs/>
        </w:rPr>
        <w:tab/>
        <w:t>VIII.</w:t>
      </w:r>
      <w:r>
        <w:tab/>
      </w:r>
      <w:r>
        <w:rPr>
          <w:bCs/>
        </w:rPr>
        <w:t>Закрытие совещания</w:t>
      </w:r>
    </w:p>
    <w:p w14:paraId="2D11C9DB" w14:textId="77777777" w:rsidR="00436F3F" w:rsidRPr="005D42DB" w:rsidRDefault="00436F3F" w:rsidP="00436F3F">
      <w:pPr>
        <w:pStyle w:val="SingleTxtG"/>
        <w:rPr>
          <w:iCs/>
        </w:rPr>
      </w:pPr>
      <w:r>
        <w:t>21.</w:t>
      </w:r>
      <w:r>
        <w:tab/>
        <w:t>Председатель закрывает совещание и благодарит всех участников за плодотворную работу.</w:t>
      </w:r>
    </w:p>
    <w:p w14:paraId="55C416C4" w14:textId="4F40374F" w:rsidR="00E12C5F" w:rsidRPr="008D53B6" w:rsidRDefault="00436F3F" w:rsidP="00436F3F">
      <w:pPr>
        <w:pStyle w:val="SingleTxtG"/>
        <w:spacing w:before="240" w:after="0"/>
        <w:jc w:val="center"/>
      </w:pPr>
      <w:r w:rsidRPr="005D42DB">
        <w:rPr>
          <w:u w:val="single"/>
        </w:rPr>
        <w:tab/>
      </w:r>
      <w:r w:rsidRPr="005D42DB">
        <w:rPr>
          <w:u w:val="single"/>
        </w:rPr>
        <w:tab/>
      </w:r>
      <w:r w:rsidRPr="005D42DB">
        <w:rPr>
          <w:u w:val="single"/>
        </w:rPr>
        <w:tab/>
      </w:r>
      <w:r w:rsidRPr="005D42DB">
        <w:rPr>
          <w:u w:val="single"/>
        </w:rPr>
        <w:tab/>
      </w:r>
    </w:p>
    <w:sectPr w:rsidR="00E12C5F" w:rsidRPr="008D53B6" w:rsidSect="00436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08A6" w14:textId="77777777" w:rsidR="00F15A79" w:rsidRPr="00A312BC" w:rsidRDefault="00F15A79" w:rsidP="00A312BC"/>
  </w:endnote>
  <w:endnote w:type="continuationSeparator" w:id="0">
    <w:p w14:paraId="43B42FD1" w14:textId="77777777" w:rsidR="00F15A79" w:rsidRPr="00A312BC" w:rsidRDefault="00F15A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47FB" w14:textId="6D0B7331" w:rsidR="00436F3F" w:rsidRPr="00436F3F" w:rsidRDefault="00436F3F">
    <w:pPr>
      <w:pStyle w:val="a8"/>
    </w:pPr>
    <w:r w:rsidRPr="00436F3F">
      <w:rPr>
        <w:b/>
        <w:sz w:val="18"/>
      </w:rPr>
      <w:fldChar w:fldCharType="begin"/>
    </w:r>
    <w:r w:rsidRPr="00436F3F">
      <w:rPr>
        <w:b/>
        <w:sz w:val="18"/>
      </w:rPr>
      <w:instrText xml:space="preserve"> PAGE  \* MERGEFORMAT </w:instrText>
    </w:r>
    <w:r w:rsidRPr="00436F3F">
      <w:rPr>
        <w:b/>
        <w:sz w:val="18"/>
      </w:rPr>
      <w:fldChar w:fldCharType="separate"/>
    </w:r>
    <w:r w:rsidRPr="00436F3F">
      <w:rPr>
        <w:b/>
        <w:noProof/>
        <w:sz w:val="18"/>
      </w:rPr>
      <w:t>2</w:t>
    </w:r>
    <w:r w:rsidRPr="00436F3F">
      <w:rPr>
        <w:b/>
        <w:sz w:val="18"/>
      </w:rPr>
      <w:fldChar w:fldCharType="end"/>
    </w:r>
    <w:r>
      <w:rPr>
        <w:b/>
        <w:sz w:val="18"/>
      </w:rPr>
      <w:tab/>
    </w:r>
    <w:r>
      <w:t>GE.22-07215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7887" w14:textId="794E69EB" w:rsidR="00436F3F" w:rsidRPr="00436F3F" w:rsidRDefault="00436F3F" w:rsidP="00436F3F">
    <w:pPr>
      <w:pStyle w:val="a8"/>
      <w:tabs>
        <w:tab w:val="clear" w:pos="9639"/>
        <w:tab w:val="right" w:pos="9638"/>
      </w:tabs>
      <w:rPr>
        <w:b/>
        <w:sz w:val="18"/>
      </w:rPr>
    </w:pPr>
    <w:r>
      <w:t>GE.22-07215</w:t>
    </w:r>
    <w:r>
      <w:tab/>
    </w:r>
    <w:r w:rsidRPr="00436F3F">
      <w:rPr>
        <w:b/>
        <w:sz w:val="18"/>
      </w:rPr>
      <w:fldChar w:fldCharType="begin"/>
    </w:r>
    <w:r w:rsidRPr="00436F3F">
      <w:rPr>
        <w:b/>
        <w:sz w:val="18"/>
      </w:rPr>
      <w:instrText xml:space="preserve"> PAGE  \* MERGEFORMAT </w:instrText>
    </w:r>
    <w:r w:rsidRPr="00436F3F">
      <w:rPr>
        <w:b/>
        <w:sz w:val="18"/>
      </w:rPr>
      <w:fldChar w:fldCharType="separate"/>
    </w:r>
    <w:r w:rsidRPr="00436F3F">
      <w:rPr>
        <w:b/>
        <w:noProof/>
        <w:sz w:val="18"/>
      </w:rPr>
      <w:t>3</w:t>
    </w:r>
    <w:r w:rsidRPr="00436F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798" w14:textId="0B9FA028" w:rsidR="00042B72" w:rsidRPr="00436F3F" w:rsidRDefault="00436F3F" w:rsidP="00436F3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24FA40" wp14:editId="51F68F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22-07215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700175" wp14:editId="7D3DDE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180522  200522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708F" w14:textId="77777777" w:rsidR="00F15A79" w:rsidRPr="001075E9" w:rsidRDefault="00F15A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CC23F6" w14:textId="77777777" w:rsidR="00F15A79" w:rsidRDefault="00F15A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F329F3" w14:textId="77777777" w:rsidR="00436F3F" w:rsidRPr="005D42DB" w:rsidRDefault="00436F3F" w:rsidP="00436F3F">
      <w:pPr>
        <w:pStyle w:val="ad"/>
      </w:pPr>
      <w:r>
        <w:tab/>
      </w:r>
      <w:r w:rsidRPr="00436F3F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CCNR-ZKR/ADN/WP.15/AC.2/2022/22.</w:t>
      </w:r>
    </w:p>
  </w:footnote>
  <w:footnote w:id="2">
    <w:p w14:paraId="409D2F43" w14:textId="77777777" w:rsidR="00436F3F" w:rsidRPr="000C4649" w:rsidRDefault="00436F3F" w:rsidP="00436F3F">
      <w:pPr>
        <w:pStyle w:val="ad"/>
      </w:pPr>
      <w:r>
        <w:tab/>
      </w:r>
      <w:r w:rsidRPr="00436F3F">
        <w:rPr>
          <w:sz w:val="20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A3F3" w14:textId="2B0EB5B1" w:rsidR="00436F3F" w:rsidRPr="00436F3F" w:rsidRDefault="00DF769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D52E" w14:textId="00AB8EDB" w:rsidR="00436F3F" w:rsidRPr="00436F3F" w:rsidRDefault="00DF7692" w:rsidP="00436F3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05B4" w14:textId="77777777" w:rsidR="00436F3F" w:rsidRDefault="00436F3F" w:rsidP="00436F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313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6F3F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65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2416"/>
    <w:rsid w:val="0086445C"/>
    <w:rsid w:val="00894693"/>
    <w:rsid w:val="008A08D7"/>
    <w:rsid w:val="008A11C2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054B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692"/>
    <w:rsid w:val="00E12C5F"/>
    <w:rsid w:val="00E73F76"/>
    <w:rsid w:val="00EA2C9F"/>
    <w:rsid w:val="00EA420E"/>
    <w:rsid w:val="00ED0BDA"/>
    <w:rsid w:val="00EE142A"/>
    <w:rsid w:val="00EF1360"/>
    <w:rsid w:val="00EF3220"/>
    <w:rsid w:val="00F15A7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32CD9"/>
  <w15:docId w15:val="{3C522AEA-D53A-4E8A-8D00-6605CD1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436F3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locked/>
    <w:rsid w:val="00436F3F"/>
    <w:rPr>
      <w:lang w:val="ru-RU" w:eastAsia="en-US"/>
    </w:rPr>
  </w:style>
  <w:style w:type="character" w:customStyle="1" w:styleId="HChGChar">
    <w:name w:val="_ H _Ch_G Char"/>
    <w:link w:val="HChG"/>
    <w:rsid w:val="00436F3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1194</Words>
  <Characters>7926</Characters>
  <Application>Microsoft Office Word</Application>
  <DocSecurity>0</DocSecurity>
  <Lines>173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ECE/TRANS/WP.15/AC.2/2022/22</dc:title>
  <dc:subject/>
  <dc:creator>Olga OVTCHINNIKOVA</dc:creator>
  <cp:keywords/>
  <cp:lastModifiedBy>Ioulia Goussarova</cp:lastModifiedBy>
  <cp:revision>3</cp:revision>
  <cp:lastPrinted>2022-05-20T15:51:00Z</cp:lastPrinted>
  <dcterms:created xsi:type="dcterms:W3CDTF">2022-05-20T15:51:00Z</dcterms:created>
  <dcterms:modified xsi:type="dcterms:W3CDTF">2022-05-20T15:51:00Z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