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1146499A" w14:textId="77777777" w:rsidTr="00295CCA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3971C66" w14:textId="77777777" w:rsidR="001433FD" w:rsidRPr="00DB58B5" w:rsidRDefault="001433FD" w:rsidP="00D9034B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7293A83" w14:textId="77777777" w:rsidR="001433FD" w:rsidRPr="00DB58B5" w:rsidRDefault="001433FD" w:rsidP="00295CCA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3B6A78C" w14:textId="51497467" w:rsidR="001433FD" w:rsidRPr="00DB58B5" w:rsidRDefault="00D9034B" w:rsidP="00D9034B">
            <w:pPr>
              <w:jc w:val="right"/>
            </w:pPr>
            <w:r w:rsidRPr="00D9034B">
              <w:rPr>
                <w:sz w:val="40"/>
              </w:rPr>
              <w:t>ECE</w:t>
            </w:r>
            <w:r>
              <w:t>/ADN/62/Add.1</w:t>
            </w:r>
          </w:p>
        </w:tc>
      </w:tr>
      <w:tr w:rsidR="001433FD" w:rsidRPr="00DB58B5" w14:paraId="7E842C6B" w14:textId="77777777" w:rsidTr="00295CCA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0826512" w14:textId="77777777" w:rsidR="001433FD" w:rsidRPr="00DB58B5" w:rsidRDefault="001433FD" w:rsidP="00295CCA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86B319C" wp14:editId="235B021E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6C525C" w14:textId="77777777" w:rsidR="001433FD" w:rsidRPr="00740562" w:rsidRDefault="001433FD" w:rsidP="00295CCA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743173B" w14:textId="77777777" w:rsidR="001433FD" w:rsidRDefault="00D9034B" w:rsidP="00295CCA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635A26FF" w14:textId="77777777" w:rsidR="00D9034B" w:rsidRDefault="00D9034B" w:rsidP="00D9034B">
            <w:pPr>
              <w:spacing w:line="240" w:lineRule="exact"/>
            </w:pPr>
            <w:r>
              <w:t>15 juin 2022</w:t>
            </w:r>
          </w:p>
          <w:p w14:paraId="7252B553" w14:textId="77777777" w:rsidR="00D9034B" w:rsidRDefault="00D9034B" w:rsidP="00D9034B">
            <w:pPr>
              <w:spacing w:line="240" w:lineRule="exact"/>
            </w:pPr>
            <w:r>
              <w:t>Français</w:t>
            </w:r>
          </w:p>
          <w:p w14:paraId="17A05FB4" w14:textId="1858387F" w:rsidR="00D9034B" w:rsidRPr="00DB58B5" w:rsidRDefault="00D9034B" w:rsidP="00D9034B">
            <w:pPr>
              <w:spacing w:line="240" w:lineRule="exact"/>
            </w:pPr>
            <w:r>
              <w:t>Original : anglais</w:t>
            </w:r>
          </w:p>
        </w:tc>
      </w:tr>
    </w:tbl>
    <w:p w14:paraId="2FA8EF45" w14:textId="5026885C" w:rsidR="005316B0" w:rsidRPr="000312C0" w:rsidRDefault="005316B0" w:rsidP="005316B0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1E36C8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9115C9C" w14:textId="07DB3761" w:rsidR="00D9034B" w:rsidRPr="00DA5E9A" w:rsidRDefault="00D9034B" w:rsidP="00446B0A">
      <w:pPr>
        <w:spacing w:before="120"/>
        <w:rPr>
          <w:b/>
        </w:rPr>
      </w:pPr>
      <w:r w:rsidRPr="00DA5E9A">
        <w:rPr>
          <w:b/>
        </w:rPr>
        <w:t>Comité d</w:t>
      </w:r>
      <w:r w:rsidR="001E36C8" w:rsidRPr="00DA5E9A">
        <w:rPr>
          <w:b/>
        </w:rPr>
        <w:t>’</w:t>
      </w:r>
      <w:r w:rsidRPr="00DA5E9A">
        <w:rPr>
          <w:b/>
        </w:rPr>
        <w:t>administration de l</w:t>
      </w:r>
      <w:r w:rsidR="001E36C8" w:rsidRPr="00DA5E9A">
        <w:rPr>
          <w:b/>
        </w:rPr>
        <w:t>’</w:t>
      </w:r>
      <w:r w:rsidRPr="00DA5E9A">
        <w:rPr>
          <w:b/>
        </w:rPr>
        <w:t xml:space="preserve">Accord européen </w:t>
      </w:r>
      <w:r w:rsidRPr="00DA5E9A">
        <w:rPr>
          <w:b/>
        </w:rPr>
        <w:br/>
        <w:t>relatif au transport international des marchandises</w:t>
      </w:r>
      <w:r w:rsidRPr="00DA5E9A">
        <w:rPr>
          <w:b/>
        </w:rPr>
        <w:br/>
      </w:r>
      <w:r w:rsidRPr="00DA5E9A">
        <w:rPr>
          <w:b/>
          <w:bCs/>
          <w:iCs/>
        </w:rPr>
        <w:t>dangereuses par voies de navigation intérieures (ADN)</w:t>
      </w:r>
    </w:p>
    <w:p w14:paraId="1EC27D06" w14:textId="77777777" w:rsidR="00D9034B" w:rsidRPr="000A781C" w:rsidRDefault="00D9034B" w:rsidP="00D9034B">
      <w:pPr>
        <w:spacing w:before="120"/>
        <w:rPr>
          <w:b/>
          <w:lang w:val="fr-FR"/>
        </w:rPr>
      </w:pPr>
      <w:r>
        <w:rPr>
          <w:b/>
          <w:bCs/>
          <w:lang w:val="fr-FR"/>
        </w:rPr>
        <w:t>Vingt-huitième session</w:t>
      </w:r>
    </w:p>
    <w:p w14:paraId="26430B0D" w14:textId="77777777" w:rsidR="00D9034B" w:rsidRDefault="00D9034B" w:rsidP="00D9034B">
      <w:pPr>
        <w:rPr>
          <w:lang w:val="fr-FR"/>
        </w:rPr>
      </w:pPr>
      <w:r>
        <w:rPr>
          <w:lang w:val="fr-FR"/>
        </w:rPr>
        <w:t>Genève, 26 août 2022</w:t>
      </w:r>
    </w:p>
    <w:p w14:paraId="750BAA37" w14:textId="085E13CC" w:rsidR="00D9034B" w:rsidRPr="000A781C" w:rsidRDefault="00D9034B" w:rsidP="00D9034B">
      <w:pPr>
        <w:rPr>
          <w:lang w:val="fr-FR"/>
        </w:rPr>
      </w:pPr>
      <w:r>
        <w:rPr>
          <w:lang w:val="fr-FR"/>
        </w:rPr>
        <w:t>Point 1 de l</w:t>
      </w:r>
      <w:r w:rsidR="001E36C8">
        <w:rPr>
          <w:lang w:val="fr-FR"/>
        </w:rPr>
        <w:t>’</w:t>
      </w:r>
      <w:r>
        <w:rPr>
          <w:lang w:val="fr-FR"/>
        </w:rPr>
        <w:t>ordre du jour provisoire</w:t>
      </w:r>
    </w:p>
    <w:p w14:paraId="26D2F0E4" w14:textId="19A9C068" w:rsidR="00446FE5" w:rsidRDefault="00D9034B" w:rsidP="00D9034B">
      <w:pPr>
        <w:rPr>
          <w:b/>
          <w:bCs/>
          <w:lang w:val="fr-FR"/>
        </w:rPr>
      </w:pPr>
      <w:r>
        <w:rPr>
          <w:b/>
          <w:bCs/>
          <w:lang w:val="fr-FR"/>
        </w:rPr>
        <w:t>Adoption de l</w:t>
      </w:r>
      <w:r w:rsidR="001E36C8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</w:t>
      </w:r>
    </w:p>
    <w:p w14:paraId="38B294D6" w14:textId="77777777" w:rsidR="001E36C8" w:rsidRPr="001E36C8" w:rsidRDefault="001E36C8" w:rsidP="001E36C8">
      <w:pPr>
        <w:pStyle w:val="HChG"/>
        <w:rPr>
          <w:lang w:val="fr-FR"/>
        </w:rPr>
      </w:pPr>
      <w:r w:rsidRPr="001E36C8">
        <w:rPr>
          <w:lang w:val="fr-FR"/>
        </w:rPr>
        <w:tab/>
      </w:r>
      <w:r w:rsidRPr="001E36C8">
        <w:rPr>
          <w:lang w:val="fr-FR"/>
        </w:rPr>
        <w:tab/>
        <w:t>Ordre du jour provisoire de la vingt-huitième session</w:t>
      </w:r>
    </w:p>
    <w:p w14:paraId="3604A2EB" w14:textId="77777777" w:rsidR="001E36C8" w:rsidRPr="001E36C8" w:rsidRDefault="001E36C8" w:rsidP="001E36C8">
      <w:pPr>
        <w:pStyle w:val="H23G"/>
        <w:rPr>
          <w:lang w:val="fr-FR"/>
        </w:rPr>
      </w:pPr>
      <w:r w:rsidRPr="001E36C8">
        <w:rPr>
          <w:lang w:val="fr-FR"/>
        </w:rPr>
        <w:tab/>
      </w:r>
      <w:r w:rsidRPr="001E36C8">
        <w:rPr>
          <w:lang w:val="fr-FR"/>
        </w:rPr>
        <w:tab/>
        <w:t>Additif</w:t>
      </w:r>
      <w:r w:rsidRPr="001E36C8">
        <w:rPr>
          <w:b w:val="0"/>
          <w:bCs/>
          <w:lang w:val="fr-FR"/>
        </w:rPr>
        <w:footnoteReference w:customMarkFollows="1" w:id="2"/>
        <w:t>*</w:t>
      </w:r>
    </w:p>
    <w:p w14:paraId="6AEAEEA8" w14:textId="635A16B2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footnoteReference w:customMarkFollows="1" w:id="3"/>
        <w:tab/>
      </w:r>
      <w:r w:rsidRPr="001E36C8">
        <w:rPr>
          <w:lang w:val="fr-FR"/>
        </w:rPr>
        <w:tab/>
        <w:t>Annotations à l</w:t>
      </w:r>
      <w:r>
        <w:rPr>
          <w:lang w:val="fr-FR"/>
        </w:rPr>
        <w:t>’</w:t>
      </w:r>
      <w:r w:rsidRPr="001E36C8">
        <w:rPr>
          <w:lang w:val="fr-FR"/>
        </w:rPr>
        <w:t>ordre du jour</w:t>
      </w:r>
    </w:p>
    <w:p w14:paraId="51D28257" w14:textId="45111242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1.</w:t>
      </w:r>
      <w:r w:rsidRPr="001E36C8">
        <w:rPr>
          <w:lang w:val="fr-FR"/>
        </w:rPr>
        <w:tab/>
        <w:t>Adoption de l</w:t>
      </w:r>
      <w:r>
        <w:rPr>
          <w:lang w:val="fr-FR"/>
        </w:rPr>
        <w:t>’</w:t>
      </w:r>
      <w:r w:rsidRPr="001E36C8">
        <w:rPr>
          <w:lang w:val="fr-FR"/>
        </w:rPr>
        <w:t>ordre du jour</w:t>
      </w:r>
    </w:p>
    <w:p w14:paraId="13DF1F3F" w14:textId="3440506D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 Comité d</w:t>
      </w:r>
      <w:r>
        <w:rPr>
          <w:lang w:val="fr-FR"/>
        </w:rPr>
        <w:t>’</w:t>
      </w:r>
      <w:r w:rsidRPr="001E36C8">
        <w:rPr>
          <w:lang w:val="fr-FR"/>
        </w:rPr>
        <w:t>administration pourra examiner et adopter l</w:t>
      </w:r>
      <w:r>
        <w:rPr>
          <w:lang w:val="fr-FR"/>
        </w:rPr>
        <w:t>’</w:t>
      </w:r>
      <w:r w:rsidRPr="001E36C8">
        <w:rPr>
          <w:lang w:val="fr-FR"/>
        </w:rPr>
        <w:t>ordre du jour de sa vingt</w:t>
      </w:r>
      <w:r>
        <w:rPr>
          <w:lang w:val="fr-FR"/>
        </w:rPr>
        <w:noBreakHyphen/>
      </w:r>
      <w:r w:rsidRPr="001E36C8">
        <w:rPr>
          <w:lang w:val="fr-FR"/>
        </w:rPr>
        <w:t>huitième session, établi par le secrétariat et publié sous la cote ECE/ADN/62 et Add.1.</w:t>
      </w:r>
    </w:p>
    <w:p w14:paraId="71BE6CFB" w14:textId="7E5E169C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2.</w:t>
      </w:r>
      <w:r w:rsidRPr="001E36C8">
        <w:rPr>
          <w:lang w:val="fr-FR"/>
        </w:rPr>
        <w:tab/>
        <w:t>État de l</w:t>
      </w:r>
      <w:r>
        <w:rPr>
          <w:lang w:val="fr-FR"/>
        </w:rPr>
        <w:t>’</w:t>
      </w:r>
      <w:r w:rsidRPr="001E36C8">
        <w:rPr>
          <w:lang w:val="fr-FR"/>
        </w:rPr>
        <w:t xml:space="preserve">Accord européen relatif au transport international </w:t>
      </w:r>
      <w:r>
        <w:rPr>
          <w:lang w:val="fr-FR"/>
        </w:rPr>
        <w:br/>
      </w:r>
      <w:r w:rsidRPr="001E36C8">
        <w:rPr>
          <w:lang w:val="fr-FR"/>
        </w:rPr>
        <w:t xml:space="preserve">des marchandises dangereuses par voies de navigation </w:t>
      </w:r>
      <w:r>
        <w:rPr>
          <w:lang w:val="fr-FR"/>
        </w:rPr>
        <w:br/>
      </w:r>
      <w:r w:rsidRPr="001E36C8">
        <w:rPr>
          <w:lang w:val="fr-FR"/>
        </w:rPr>
        <w:t>intérieures (ADN)</w:t>
      </w:r>
    </w:p>
    <w:p w14:paraId="3167C2C2" w14:textId="424E25C5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 xml:space="preserve">Les </w:t>
      </w:r>
      <w:r>
        <w:rPr>
          <w:lang w:val="fr-FR"/>
        </w:rPr>
        <w:t>18</w:t>
      </w:r>
      <w:r w:rsidRPr="001E36C8">
        <w:rPr>
          <w:lang w:val="fr-FR"/>
        </w:rPr>
        <w:t xml:space="preserve"> États ci-après sont Parties contractantes à l</w:t>
      </w:r>
      <w:r>
        <w:rPr>
          <w:lang w:val="fr-FR"/>
        </w:rPr>
        <w:t>’</w:t>
      </w:r>
      <w:r w:rsidRPr="001E36C8">
        <w:rPr>
          <w:lang w:val="fr-FR"/>
        </w:rPr>
        <w:t>ADN</w:t>
      </w:r>
      <w:r>
        <w:rPr>
          <w:lang w:val="fr-FR"/>
        </w:rPr>
        <w:t xml:space="preserve"> </w:t>
      </w:r>
      <w:r w:rsidRPr="001E36C8">
        <w:rPr>
          <w:lang w:val="fr-FR"/>
        </w:rPr>
        <w:t>: Allemagne, Autriche, Belgique, Bulgarie, Croatie, Fédération de Russie, France, Hongrie, Luxembourg, Pays-Bas, Pologne, République de Moldova, Roumanie, Serbie, Slovaquie, Suisse, Tchéquie et Ukraine.</w:t>
      </w:r>
    </w:p>
    <w:p w14:paraId="74A763C4" w14:textId="276F93F6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3.</w:t>
      </w:r>
      <w:r w:rsidRPr="001E36C8">
        <w:rPr>
          <w:lang w:val="fr-FR"/>
        </w:rPr>
        <w:tab/>
        <w:t>Questions relatives à l</w:t>
      </w:r>
      <w:r>
        <w:rPr>
          <w:lang w:val="fr-FR"/>
        </w:rPr>
        <w:t>’</w:t>
      </w:r>
      <w:r w:rsidRPr="001E36C8">
        <w:rPr>
          <w:lang w:val="fr-FR"/>
        </w:rPr>
        <w:t>application de l</w:t>
      </w:r>
      <w:r>
        <w:rPr>
          <w:lang w:val="fr-FR"/>
        </w:rPr>
        <w:t>’</w:t>
      </w:r>
      <w:r w:rsidRPr="001E36C8">
        <w:rPr>
          <w:lang w:val="fr-FR"/>
        </w:rPr>
        <w:t>ADN</w:t>
      </w:r>
    </w:p>
    <w:p w14:paraId="54AB477E" w14:textId="77777777" w:rsidR="001E36C8" w:rsidRPr="001E36C8" w:rsidRDefault="001E36C8" w:rsidP="001E36C8">
      <w:pPr>
        <w:pStyle w:val="H23G"/>
        <w:rPr>
          <w:lang w:val="fr-FR"/>
        </w:rPr>
      </w:pPr>
      <w:r w:rsidRPr="001E36C8">
        <w:rPr>
          <w:lang w:val="fr-FR"/>
        </w:rPr>
        <w:tab/>
        <w:t>a)</w:t>
      </w:r>
      <w:r w:rsidRPr="001E36C8">
        <w:rPr>
          <w:lang w:val="fr-FR"/>
        </w:rPr>
        <w:tab/>
        <w:t>Sociétés de classification</w:t>
      </w:r>
    </w:p>
    <w:p w14:paraId="49E29F30" w14:textId="4B0BCFCE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Les informations relatives à la reconnaissance de sociétés de classification reçues du Luxembourg depuis la dernière session du Comité d</w:t>
      </w:r>
      <w:r>
        <w:rPr>
          <w:lang w:val="fr-FR"/>
        </w:rPr>
        <w:t>’</w:t>
      </w:r>
      <w:r w:rsidRPr="001E36C8">
        <w:rPr>
          <w:lang w:val="fr-FR"/>
        </w:rPr>
        <w:t>administration seront présentées dans le document informel INF.3.</w:t>
      </w:r>
    </w:p>
    <w:p w14:paraId="1601DC4A" w14:textId="77777777" w:rsidR="001E36C8" w:rsidRPr="001E36C8" w:rsidRDefault="001E36C8" w:rsidP="001E36C8">
      <w:pPr>
        <w:pStyle w:val="H23G"/>
        <w:rPr>
          <w:lang w:val="fr-FR"/>
        </w:rPr>
      </w:pPr>
      <w:r w:rsidRPr="001E36C8">
        <w:rPr>
          <w:lang w:val="fr-FR"/>
        </w:rPr>
        <w:lastRenderedPageBreak/>
        <w:tab/>
        <w:t>b)</w:t>
      </w:r>
      <w:r w:rsidRPr="001E36C8">
        <w:rPr>
          <w:lang w:val="fr-FR"/>
        </w:rPr>
        <w:tab/>
        <w:t>Autorisations spéciales, dérogations et équivalences</w:t>
      </w:r>
    </w:p>
    <w:tbl>
      <w:tblPr>
        <w:tblW w:w="7371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4252"/>
      </w:tblGrid>
      <w:tr w:rsidR="001E36C8" w:rsidRPr="001E36C8" w14:paraId="6EA150E7" w14:textId="77777777" w:rsidTr="001E36C8">
        <w:tc>
          <w:tcPr>
            <w:tcW w:w="3119" w:type="dxa"/>
            <w:shd w:val="clear" w:color="auto" w:fill="auto"/>
          </w:tcPr>
          <w:p w14:paraId="606CD347" w14:textId="77777777" w:rsidR="001E36C8" w:rsidRPr="001E36C8" w:rsidRDefault="001E36C8" w:rsidP="001E36C8">
            <w:pPr>
              <w:pStyle w:val="SingleTxtG"/>
              <w:kinsoku/>
              <w:overflowPunct/>
              <w:autoSpaceDE/>
              <w:autoSpaceDN/>
              <w:adjustRightInd/>
              <w:snapToGrid/>
              <w:spacing w:before="40"/>
              <w:ind w:left="0" w:right="0"/>
              <w:jc w:val="left"/>
              <w:rPr>
                <w:lang w:val="en-GB"/>
              </w:rPr>
            </w:pPr>
            <w:r w:rsidRPr="001E36C8">
              <w:rPr>
                <w:lang w:val="fr-FR"/>
              </w:rPr>
              <w:t>ECE/ADN/2022/4 (Belgique)</w:t>
            </w:r>
          </w:p>
        </w:tc>
        <w:tc>
          <w:tcPr>
            <w:tcW w:w="4252" w:type="dxa"/>
            <w:shd w:val="clear" w:color="auto" w:fill="auto"/>
          </w:tcPr>
          <w:p w14:paraId="49F2472C" w14:textId="15578683" w:rsidR="001E36C8" w:rsidRPr="001E36C8" w:rsidRDefault="001E36C8" w:rsidP="001E36C8">
            <w:pPr>
              <w:pStyle w:val="SingleTxtG"/>
              <w:kinsoku/>
              <w:overflowPunct/>
              <w:autoSpaceDE/>
              <w:autoSpaceDN/>
              <w:adjustRightInd/>
              <w:snapToGrid/>
              <w:spacing w:before="40"/>
              <w:ind w:left="113" w:right="113"/>
              <w:rPr>
                <w:lang w:val="fr-FR"/>
              </w:rPr>
            </w:pPr>
            <w:r w:rsidRPr="001E36C8">
              <w:rPr>
                <w:lang w:val="fr-FR"/>
              </w:rPr>
              <w:t>Autorisation spéciale concernant le No</w:t>
            </w:r>
            <w:r>
              <w:rPr>
                <w:lang w:val="fr-FR"/>
              </w:rPr>
              <w:t> </w:t>
            </w:r>
            <w:r w:rsidRPr="001E36C8">
              <w:rPr>
                <w:lang w:val="fr-FR"/>
              </w:rPr>
              <w:t>ONU 1977 (azote liquide réfrigéré)</w:t>
            </w:r>
          </w:p>
        </w:tc>
      </w:tr>
    </w:tbl>
    <w:p w14:paraId="3DA999AA" w14:textId="5935EE6E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Toute proposition concernant une autorisation spéciale ou une dérogation reçue par le secrétariat après la publication du présent ordre du jour annoté sera transmise au Comité d</w:t>
      </w:r>
      <w:r>
        <w:rPr>
          <w:lang w:val="fr-FR"/>
        </w:rPr>
        <w:t>’</w:t>
      </w:r>
      <w:r w:rsidRPr="001E36C8">
        <w:rPr>
          <w:lang w:val="fr-FR"/>
        </w:rPr>
        <w:t>administration dans un document informel.</w:t>
      </w:r>
    </w:p>
    <w:p w14:paraId="2E78F064" w14:textId="77777777" w:rsidR="001E36C8" w:rsidRPr="001E36C8" w:rsidRDefault="001E36C8" w:rsidP="001E36C8">
      <w:pPr>
        <w:pStyle w:val="H23G"/>
        <w:rPr>
          <w:lang w:val="fr-FR"/>
        </w:rPr>
      </w:pPr>
      <w:r w:rsidRPr="001E36C8">
        <w:rPr>
          <w:lang w:val="fr-FR"/>
        </w:rPr>
        <w:tab/>
        <w:t>c)</w:t>
      </w:r>
      <w:r w:rsidRPr="001E36C8">
        <w:rPr>
          <w:lang w:val="fr-FR"/>
        </w:rPr>
        <w:tab/>
        <w:t>Notifications diverses</w:t>
      </w:r>
    </w:p>
    <w:p w14:paraId="70AAF9CD" w14:textId="77777777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Les Gouvernements roumain et slovaque ont fourni des statistiques relatives aux examens (voir les documents informels INF.2 et INF.5).</w:t>
      </w:r>
    </w:p>
    <w:p w14:paraId="6A3E26A1" w14:textId="24E7C185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Les Gouvernements français et roumain ont fourni des spécimens d</w:t>
      </w:r>
      <w:r>
        <w:rPr>
          <w:lang w:val="fr-FR"/>
        </w:rPr>
        <w:t>’</w:t>
      </w:r>
      <w:r w:rsidRPr="001E36C8">
        <w:rPr>
          <w:lang w:val="fr-FR"/>
        </w:rPr>
        <w:t>attestations d</w:t>
      </w:r>
      <w:r>
        <w:rPr>
          <w:lang w:val="fr-FR"/>
        </w:rPr>
        <w:t>’</w:t>
      </w:r>
      <w:r w:rsidRPr="001E36C8">
        <w:rPr>
          <w:lang w:val="fr-FR"/>
        </w:rPr>
        <w:t>expert (voir les documents informels INF.1 et INF.4).</w:t>
      </w:r>
    </w:p>
    <w:p w14:paraId="6D5CE3C0" w14:textId="311570D7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Il est rappelé aux pays qu</w:t>
      </w:r>
      <w:r>
        <w:rPr>
          <w:lang w:val="fr-FR"/>
        </w:rPr>
        <w:t>’</w:t>
      </w:r>
      <w:r w:rsidRPr="001E36C8">
        <w:rPr>
          <w:lang w:val="fr-FR"/>
        </w:rPr>
        <w:t>ils doivent envoyer au secrétariat leurs spécimens d</w:t>
      </w:r>
      <w:r>
        <w:rPr>
          <w:lang w:val="fr-FR"/>
        </w:rPr>
        <w:t>’</w:t>
      </w:r>
      <w:r w:rsidRPr="001E36C8">
        <w:rPr>
          <w:lang w:val="fr-FR"/>
        </w:rPr>
        <w:t>attestations d</w:t>
      </w:r>
      <w:r>
        <w:rPr>
          <w:lang w:val="fr-FR"/>
        </w:rPr>
        <w:t>’</w:t>
      </w:r>
      <w:r w:rsidRPr="001E36C8">
        <w:rPr>
          <w:lang w:val="fr-FR"/>
        </w:rPr>
        <w:t>expert et leurs statistiques relatives aux examens portant sur les formations ADN s</w:t>
      </w:r>
      <w:r>
        <w:rPr>
          <w:lang w:val="fr-FR"/>
        </w:rPr>
        <w:t>’</w:t>
      </w:r>
      <w:r w:rsidRPr="001E36C8">
        <w:rPr>
          <w:lang w:val="fr-FR"/>
        </w:rPr>
        <w:t>ils ne l</w:t>
      </w:r>
      <w:r>
        <w:rPr>
          <w:lang w:val="fr-FR"/>
        </w:rPr>
        <w:t>’</w:t>
      </w:r>
      <w:r w:rsidRPr="001E36C8">
        <w:rPr>
          <w:lang w:val="fr-FR"/>
        </w:rPr>
        <w:t>ont pas encore fait.</w:t>
      </w:r>
    </w:p>
    <w:p w14:paraId="1F9A20DB" w14:textId="77777777" w:rsidR="001E36C8" w:rsidRPr="001E36C8" w:rsidRDefault="001E36C8" w:rsidP="001E36C8">
      <w:pPr>
        <w:pStyle w:val="H23G"/>
        <w:rPr>
          <w:lang w:val="fr-FR"/>
        </w:rPr>
      </w:pPr>
      <w:r w:rsidRPr="001E36C8">
        <w:rPr>
          <w:lang w:val="fr-FR"/>
        </w:rPr>
        <w:tab/>
        <w:t>d)</w:t>
      </w:r>
      <w:r w:rsidRPr="001E36C8">
        <w:rPr>
          <w:lang w:val="fr-FR"/>
        </w:rPr>
        <w:tab/>
        <w:t>Autres questions</w:t>
      </w:r>
    </w:p>
    <w:p w14:paraId="76EB3ECE" w14:textId="07F66C1A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 Comité d</w:t>
      </w:r>
      <w:r>
        <w:rPr>
          <w:lang w:val="fr-FR"/>
        </w:rPr>
        <w:t>’</w:t>
      </w:r>
      <w:r w:rsidRPr="001E36C8">
        <w:rPr>
          <w:lang w:val="fr-FR"/>
        </w:rPr>
        <w:t>administration pourra examiner toute autre question relative à l</w:t>
      </w:r>
      <w:r>
        <w:rPr>
          <w:lang w:val="fr-FR"/>
        </w:rPr>
        <w:t>’</w:t>
      </w:r>
      <w:r w:rsidRPr="001E36C8">
        <w:rPr>
          <w:lang w:val="fr-FR"/>
        </w:rPr>
        <w:t>application de l</w:t>
      </w:r>
      <w:r>
        <w:rPr>
          <w:lang w:val="fr-FR"/>
        </w:rPr>
        <w:t>’</w:t>
      </w:r>
      <w:r w:rsidRPr="001E36C8">
        <w:rPr>
          <w:lang w:val="fr-FR"/>
        </w:rPr>
        <w:t>ADN.</w:t>
      </w:r>
    </w:p>
    <w:p w14:paraId="39D56F74" w14:textId="77777777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4.</w:t>
      </w:r>
      <w:r w:rsidRPr="001E36C8">
        <w:rPr>
          <w:lang w:val="fr-FR"/>
        </w:rPr>
        <w:tab/>
        <w:t>Travaux du Comité de sécurité</w:t>
      </w:r>
    </w:p>
    <w:p w14:paraId="4C21907A" w14:textId="6414D714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 Comité d</w:t>
      </w:r>
      <w:r>
        <w:rPr>
          <w:lang w:val="fr-FR"/>
        </w:rPr>
        <w:t>’</w:t>
      </w:r>
      <w:r w:rsidRPr="001E36C8">
        <w:rPr>
          <w:lang w:val="fr-FR"/>
        </w:rPr>
        <w:t>administration examinera en principe les travaux accomplis par le Comité de sécurité à sa quarantième session (22 au 26</w:t>
      </w:r>
      <w:r>
        <w:rPr>
          <w:lang w:val="fr-FR"/>
        </w:rPr>
        <w:t> </w:t>
      </w:r>
      <w:r w:rsidRPr="001E36C8">
        <w:rPr>
          <w:lang w:val="fr-FR"/>
        </w:rPr>
        <w:t>août 2022), en se fondant sur son projet de rapport, et devrait adopter toutes les corrections et additions à la liste des amendements qu</w:t>
      </w:r>
      <w:r>
        <w:rPr>
          <w:lang w:val="fr-FR"/>
        </w:rPr>
        <w:t>’</w:t>
      </w:r>
      <w:r w:rsidRPr="001E36C8">
        <w:rPr>
          <w:lang w:val="fr-FR"/>
        </w:rPr>
        <w:t>il est proposé d</w:t>
      </w:r>
      <w:r>
        <w:rPr>
          <w:lang w:val="fr-FR"/>
        </w:rPr>
        <w:t>’</w:t>
      </w:r>
      <w:r w:rsidRPr="001E36C8">
        <w:rPr>
          <w:lang w:val="fr-FR"/>
        </w:rPr>
        <w:t>apporter au Règlement annexé à l</w:t>
      </w:r>
      <w:r>
        <w:rPr>
          <w:lang w:val="fr-FR"/>
        </w:rPr>
        <w:t>’</w:t>
      </w:r>
      <w:r w:rsidRPr="001E36C8">
        <w:rPr>
          <w:lang w:val="fr-FR"/>
        </w:rPr>
        <w:t>ADN en vue de leur entrée en vigueur le 1</w:t>
      </w:r>
      <w:r w:rsidRPr="001E36C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1E36C8">
        <w:rPr>
          <w:lang w:val="fr-FR"/>
        </w:rPr>
        <w:t>janvier 2023.</w:t>
      </w:r>
    </w:p>
    <w:p w14:paraId="3EB08245" w14:textId="043A6AD4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Il convient de noter que les dispositions de l</w:t>
      </w:r>
      <w:r>
        <w:rPr>
          <w:lang w:val="fr-FR"/>
        </w:rPr>
        <w:t>’</w:t>
      </w:r>
      <w:r w:rsidRPr="001E36C8">
        <w:rPr>
          <w:lang w:val="fr-FR"/>
        </w:rPr>
        <w:t>alinéa a) du paragraphe 5 de l</w:t>
      </w:r>
      <w:r>
        <w:rPr>
          <w:lang w:val="fr-FR"/>
        </w:rPr>
        <w:t>’</w:t>
      </w:r>
      <w:r w:rsidRPr="001E36C8">
        <w:rPr>
          <w:lang w:val="fr-FR"/>
        </w:rPr>
        <w:t>article 20 de l</w:t>
      </w:r>
      <w:r>
        <w:rPr>
          <w:lang w:val="fr-FR"/>
        </w:rPr>
        <w:t>’</w:t>
      </w:r>
      <w:r w:rsidRPr="001E36C8">
        <w:rPr>
          <w:lang w:val="fr-FR"/>
        </w:rPr>
        <w:t>ADN permettent une entrée en vigueur plus rapide des amendements lorsque des amendements analogues ont été adoptés pour d</w:t>
      </w:r>
      <w:r>
        <w:rPr>
          <w:lang w:val="fr-FR"/>
        </w:rPr>
        <w:t>’</w:t>
      </w:r>
      <w:r w:rsidRPr="001E36C8">
        <w:rPr>
          <w:lang w:val="fr-FR"/>
        </w:rPr>
        <w:t>autres accords internationaux régissant le transport des marchandises dangereuses. Cela signifie que les amendements supplémentaires proposés doivent être communiqués aux Parties contractantes au plus tard le 1</w:t>
      </w:r>
      <w:r w:rsidRPr="001E36C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1E36C8">
        <w:rPr>
          <w:lang w:val="fr-FR"/>
        </w:rPr>
        <w:t>septembre 2022 afin qu</w:t>
      </w:r>
      <w:r>
        <w:rPr>
          <w:lang w:val="fr-FR"/>
        </w:rPr>
        <w:t>’</w:t>
      </w:r>
      <w:r w:rsidRPr="001E36C8">
        <w:rPr>
          <w:lang w:val="fr-FR"/>
        </w:rPr>
        <w:t>ils puissent entrer en vigueur le 1</w:t>
      </w:r>
      <w:r w:rsidRPr="001E36C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1E36C8">
        <w:rPr>
          <w:lang w:val="fr-FR"/>
        </w:rPr>
        <w:t>janvier 2023, soit un mois après leur acceptation par les Parties contractantes.</w:t>
      </w:r>
    </w:p>
    <w:p w14:paraId="148264C4" w14:textId="72C95A49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Toute correction qu</w:t>
      </w:r>
      <w:r>
        <w:rPr>
          <w:lang w:val="fr-FR"/>
        </w:rPr>
        <w:t>’</w:t>
      </w:r>
      <w:r w:rsidRPr="001E36C8">
        <w:rPr>
          <w:lang w:val="fr-FR"/>
        </w:rPr>
        <w:t>il serait suggéré d</w:t>
      </w:r>
      <w:r>
        <w:rPr>
          <w:lang w:val="fr-FR"/>
        </w:rPr>
        <w:t>’</w:t>
      </w:r>
      <w:r w:rsidRPr="001E36C8">
        <w:rPr>
          <w:lang w:val="fr-FR"/>
        </w:rPr>
        <w:t>apporter aux propositions d</w:t>
      </w:r>
      <w:r>
        <w:rPr>
          <w:lang w:val="fr-FR"/>
        </w:rPr>
        <w:t>’</w:t>
      </w:r>
      <w:r w:rsidRPr="001E36C8">
        <w:rPr>
          <w:lang w:val="fr-FR"/>
        </w:rPr>
        <w:t>amendements figurant dans le document ECE/ADN/61 devrait être communiquée aux Parties contractantes le 1</w:t>
      </w:r>
      <w:r w:rsidRPr="001E36C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1E36C8">
        <w:rPr>
          <w:lang w:val="fr-FR"/>
        </w:rPr>
        <w:t>octobre 2022 (date de l</w:t>
      </w:r>
      <w:r>
        <w:rPr>
          <w:lang w:val="fr-FR"/>
        </w:rPr>
        <w:t>’</w:t>
      </w:r>
      <w:r w:rsidRPr="001E36C8">
        <w:rPr>
          <w:lang w:val="fr-FR"/>
        </w:rPr>
        <w:t>acceptation de ces amendements), conformément à la pratique établie pour les corrections, pour pouvoir entrer en vigueur au plus tard le 1</w:t>
      </w:r>
      <w:r w:rsidRPr="001E36C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1E36C8">
        <w:rPr>
          <w:lang w:val="fr-FR"/>
        </w:rPr>
        <w:t>janvier 2023.</w:t>
      </w:r>
    </w:p>
    <w:p w14:paraId="6960628E" w14:textId="77777777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5.</w:t>
      </w:r>
      <w:r w:rsidRPr="001E36C8">
        <w:rPr>
          <w:lang w:val="fr-FR"/>
        </w:rPr>
        <w:tab/>
        <w:t>Programme de travail et calendrier des réunions</w:t>
      </w:r>
    </w:p>
    <w:p w14:paraId="31B1D9FF" w14:textId="3C628C09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La vingt-neuvième session du Comité d</w:t>
      </w:r>
      <w:r>
        <w:rPr>
          <w:lang w:val="fr-FR"/>
        </w:rPr>
        <w:t>’</w:t>
      </w:r>
      <w:r w:rsidRPr="001E36C8">
        <w:rPr>
          <w:lang w:val="fr-FR"/>
        </w:rPr>
        <w:t>administration de l</w:t>
      </w:r>
      <w:r>
        <w:rPr>
          <w:lang w:val="fr-FR"/>
        </w:rPr>
        <w:t>’</w:t>
      </w:r>
      <w:r w:rsidRPr="001E36C8">
        <w:rPr>
          <w:lang w:val="fr-FR"/>
        </w:rPr>
        <w:t>ADN se tiendra en principe le 27</w:t>
      </w:r>
      <w:r>
        <w:rPr>
          <w:lang w:val="fr-FR"/>
        </w:rPr>
        <w:t> </w:t>
      </w:r>
      <w:r w:rsidRPr="001E36C8">
        <w:rPr>
          <w:lang w:val="fr-FR"/>
        </w:rPr>
        <w:t>janvier 2023. La date limite pour la soumission des documents a été fixée au 28</w:t>
      </w:r>
      <w:r>
        <w:rPr>
          <w:lang w:val="fr-FR"/>
        </w:rPr>
        <w:t> </w:t>
      </w:r>
      <w:r w:rsidRPr="001E36C8">
        <w:rPr>
          <w:lang w:val="fr-FR"/>
        </w:rPr>
        <w:t>octobre 2022.</w:t>
      </w:r>
    </w:p>
    <w:p w14:paraId="0F04E182" w14:textId="77777777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6.</w:t>
      </w:r>
      <w:r w:rsidRPr="001E36C8">
        <w:rPr>
          <w:lang w:val="fr-FR"/>
        </w:rPr>
        <w:tab/>
        <w:t>Questions diverses</w:t>
      </w:r>
    </w:p>
    <w:p w14:paraId="494BF1D9" w14:textId="4B4E2C96" w:rsidR="001E36C8" w:rsidRP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 Comité d</w:t>
      </w:r>
      <w:r>
        <w:rPr>
          <w:lang w:val="fr-FR"/>
        </w:rPr>
        <w:t>’</w:t>
      </w:r>
      <w:r w:rsidRPr="001E36C8">
        <w:rPr>
          <w:lang w:val="fr-FR"/>
        </w:rPr>
        <w:t>administration pourra examiner toute autre question se rapportant à ses travaux ou à son mandat.</w:t>
      </w:r>
    </w:p>
    <w:p w14:paraId="0189DF76" w14:textId="77777777" w:rsidR="001E36C8" w:rsidRPr="001E36C8" w:rsidRDefault="001E36C8" w:rsidP="001E36C8">
      <w:pPr>
        <w:pStyle w:val="H1G"/>
        <w:rPr>
          <w:lang w:val="fr-FR"/>
        </w:rPr>
      </w:pPr>
      <w:r w:rsidRPr="001E36C8">
        <w:rPr>
          <w:lang w:val="fr-FR"/>
        </w:rPr>
        <w:tab/>
        <w:t>7.</w:t>
      </w:r>
      <w:r w:rsidRPr="001E36C8">
        <w:rPr>
          <w:lang w:val="fr-FR"/>
        </w:rPr>
        <w:tab/>
        <w:t>Adoption du rapport</w:t>
      </w:r>
    </w:p>
    <w:p w14:paraId="0AE8BC83" w14:textId="63573B1D" w:rsidR="001E36C8" w:rsidRDefault="001E36C8" w:rsidP="001E36C8">
      <w:pPr>
        <w:pStyle w:val="SingleTxtG"/>
        <w:ind w:firstLine="567"/>
        <w:rPr>
          <w:lang w:val="fr-FR"/>
        </w:rPr>
      </w:pPr>
      <w:r w:rsidRPr="001E36C8">
        <w:rPr>
          <w:lang w:val="fr-FR"/>
        </w:rPr>
        <w:t>Le Comité d</w:t>
      </w:r>
      <w:r>
        <w:rPr>
          <w:lang w:val="fr-FR"/>
        </w:rPr>
        <w:t>’</w:t>
      </w:r>
      <w:r w:rsidRPr="001E36C8">
        <w:rPr>
          <w:lang w:val="fr-FR"/>
        </w:rPr>
        <w:t>administration pourra adopter le rapport de sa vingt-huitième session en se fondant sur le projet établi par le secrétariat et adressé par courrier électronique aux participants pour approbation après la réunion.</w:t>
      </w:r>
    </w:p>
    <w:p w14:paraId="10919204" w14:textId="2483B6A8" w:rsidR="001E36C8" w:rsidRPr="001E36C8" w:rsidRDefault="001E36C8" w:rsidP="001E36C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E36C8" w:rsidRPr="001E36C8" w:rsidSect="00D9034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BD44" w14:textId="77777777" w:rsidR="00BC6884" w:rsidRDefault="00BC6884" w:rsidP="00F95C08">
      <w:pPr>
        <w:spacing w:line="240" w:lineRule="auto"/>
      </w:pPr>
    </w:p>
  </w:endnote>
  <w:endnote w:type="continuationSeparator" w:id="0">
    <w:p w14:paraId="4B914879" w14:textId="77777777" w:rsidR="00BC6884" w:rsidRPr="00AC3823" w:rsidRDefault="00BC6884" w:rsidP="00AC3823">
      <w:pPr>
        <w:pStyle w:val="Pieddepage"/>
      </w:pPr>
    </w:p>
  </w:endnote>
  <w:endnote w:type="continuationNotice" w:id="1">
    <w:p w14:paraId="605D9E75" w14:textId="77777777" w:rsidR="00BC6884" w:rsidRDefault="00BC68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CF25" w14:textId="4D91EF7F" w:rsidR="00D9034B" w:rsidRPr="00D9034B" w:rsidRDefault="00D9034B" w:rsidP="00D9034B">
    <w:pPr>
      <w:pStyle w:val="Pieddepage"/>
      <w:tabs>
        <w:tab w:val="right" w:pos="9638"/>
      </w:tabs>
    </w:pPr>
    <w:r w:rsidRPr="00D9034B">
      <w:rPr>
        <w:b/>
        <w:sz w:val="18"/>
      </w:rPr>
      <w:fldChar w:fldCharType="begin"/>
    </w:r>
    <w:r w:rsidRPr="00D9034B">
      <w:rPr>
        <w:b/>
        <w:sz w:val="18"/>
      </w:rPr>
      <w:instrText xml:space="preserve"> PAGE  \* MERGEFORMAT </w:instrText>
    </w:r>
    <w:r w:rsidRPr="00D9034B">
      <w:rPr>
        <w:b/>
        <w:sz w:val="18"/>
      </w:rPr>
      <w:fldChar w:fldCharType="separate"/>
    </w:r>
    <w:r w:rsidRPr="00D9034B">
      <w:rPr>
        <w:b/>
        <w:noProof/>
        <w:sz w:val="18"/>
      </w:rPr>
      <w:t>2</w:t>
    </w:r>
    <w:r w:rsidRPr="00D9034B">
      <w:rPr>
        <w:b/>
        <w:sz w:val="18"/>
      </w:rPr>
      <w:fldChar w:fldCharType="end"/>
    </w:r>
    <w:r>
      <w:rPr>
        <w:b/>
        <w:sz w:val="18"/>
      </w:rPr>
      <w:tab/>
    </w:r>
    <w:r>
      <w:t>GE.22-09289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4128" w14:textId="2A4ECFC9" w:rsidR="00D9034B" w:rsidRPr="00D9034B" w:rsidRDefault="00D9034B" w:rsidP="00D9034B">
    <w:pPr>
      <w:pStyle w:val="Pieddepage"/>
      <w:tabs>
        <w:tab w:val="right" w:pos="9638"/>
      </w:tabs>
      <w:rPr>
        <w:b/>
        <w:sz w:val="18"/>
      </w:rPr>
    </w:pPr>
    <w:r>
      <w:t>GE.22-09289</w:t>
    </w:r>
    <w:r>
      <w:tab/>
    </w:r>
    <w:r w:rsidRPr="00D9034B">
      <w:rPr>
        <w:b/>
        <w:sz w:val="18"/>
      </w:rPr>
      <w:fldChar w:fldCharType="begin"/>
    </w:r>
    <w:r w:rsidRPr="00D9034B">
      <w:rPr>
        <w:b/>
        <w:sz w:val="18"/>
      </w:rPr>
      <w:instrText xml:space="preserve"> PAGE  \* MERGEFORMAT </w:instrText>
    </w:r>
    <w:r w:rsidRPr="00D9034B">
      <w:rPr>
        <w:b/>
        <w:sz w:val="18"/>
      </w:rPr>
      <w:fldChar w:fldCharType="separate"/>
    </w:r>
    <w:r w:rsidRPr="00D9034B">
      <w:rPr>
        <w:b/>
        <w:noProof/>
        <w:sz w:val="18"/>
      </w:rPr>
      <w:t>3</w:t>
    </w:r>
    <w:r w:rsidRPr="00D9034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EAFE" w14:textId="2BE19755" w:rsidR="000D3EE9" w:rsidRPr="00D9034B" w:rsidRDefault="00D9034B" w:rsidP="00D9034B">
    <w:pPr>
      <w:pStyle w:val="Pieddepage"/>
      <w:spacing w:before="120"/>
      <w:rPr>
        <w:sz w:val="20"/>
      </w:rPr>
    </w:pPr>
    <w:r>
      <w:rPr>
        <w:sz w:val="20"/>
      </w:rPr>
      <w:t>GE.</w:t>
    </w:r>
    <w:r w:rsidR="000D3EE9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35C1214B" wp14:editId="545E145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22-09289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03CFAA3" wp14:editId="35D1C55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561975" cy="561975"/>
          <wp:effectExtent l="0" t="0" r="9525" b="9525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210622    210622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0792" w14:textId="77777777" w:rsidR="00BC6884" w:rsidRPr="00AC3823" w:rsidRDefault="00BC688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552AA3" w14:textId="77777777" w:rsidR="00BC6884" w:rsidRPr="00AC3823" w:rsidRDefault="00BC688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1B695C7" w14:textId="77777777" w:rsidR="00BC6884" w:rsidRPr="00AC3823" w:rsidRDefault="00BC6884">
      <w:pPr>
        <w:spacing w:line="240" w:lineRule="auto"/>
        <w:rPr>
          <w:sz w:val="2"/>
          <w:szCs w:val="2"/>
        </w:rPr>
      </w:pPr>
    </w:p>
  </w:footnote>
  <w:footnote w:id="2">
    <w:p w14:paraId="589B26BE" w14:textId="50CD0620" w:rsidR="001E36C8" w:rsidRPr="000A781C" w:rsidRDefault="001E36C8" w:rsidP="001E36C8">
      <w:pPr>
        <w:pStyle w:val="Notedebasdepage"/>
        <w:rPr>
          <w:lang w:val="fr-FR"/>
        </w:rPr>
      </w:pPr>
      <w:r>
        <w:tab/>
      </w:r>
      <w:r w:rsidRPr="001E36C8">
        <w:rPr>
          <w:rStyle w:val="Appelnotedebasdep"/>
          <w:sz w:val="20"/>
          <w:vertAlign w:val="baseline"/>
          <w:lang w:val="fr-FR"/>
        </w:rPr>
        <w:t>*</w:t>
      </w:r>
      <w:r w:rsidRPr="000A781C">
        <w:rPr>
          <w:lang w:val="fr-FR"/>
        </w:rPr>
        <w:tab/>
      </w:r>
      <w:r>
        <w:rPr>
          <w:lang w:val="fr-FR"/>
        </w:rPr>
        <w:t>Diffusé en allemand par la Commission centrale pour la navigation du Rhin sous la cote CCNR/ZKR/ADN/62/Add.1</w:t>
      </w:r>
      <w:r w:rsidRPr="000A781C">
        <w:rPr>
          <w:lang w:val="fr-FR"/>
        </w:rPr>
        <w:t>.</w:t>
      </w:r>
    </w:p>
  </w:footnote>
  <w:footnote w:id="3">
    <w:p w14:paraId="532A3069" w14:textId="77777777" w:rsidR="001E36C8" w:rsidRPr="000A781C" w:rsidRDefault="001E36C8" w:rsidP="001E36C8">
      <w:pPr>
        <w:pStyle w:val="Notedebasdepage"/>
        <w:jc w:val="both"/>
        <w:rPr>
          <w:lang w:val="fr-FR"/>
        </w:rPr>
      </w:pP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9467" w14:textId="7A408A6F" w:rsidR="00D9034B" w:rsidRPr="00D9034B" w:rsidRDefault="00D9034B">
    <w:pPr>
      <w:pStyle w:val="En-tte"/>
    </w:pPr>
    <w:fldSimple w:instr=" TITLE  \* MERGEFORMAT ">
      <w:r w:rsidR="001E36C8">
        <w:t>ECE/ADN/62/Add.1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6D97" w14:textId="70F2BE12" w:rsidR="00D9034B" w:rsidRPr="00D9034B" w:rsidRDefault="00D9034B" w:rsidP="00D9034B">
    <w:pPr>
      <w:pStyle w:val="En-tte"/>
      <w:jc w:val="right"/>
    </w:pPr>
    <w:fldSimple w:instr=" TITLE  \* MERGEFORMAT ">
      <w:r w:rsidR="001E36C8">
        <w:t>ECE/ADN/62/Add.1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9081E36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49F466E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16EA87C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attachedTemplate r:id="rId1"/>
  <w:defaultTabStop w:val="567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84"/>
    <w:rsid w:val="00017F94"/>
    <w:rsid w:val="00023842"/>
    <w:rsid w:val="000334F9"/>
    <w:rsid w:val="0007796D"/>
    <w:rsid w:val="000938E9"/>
    <w:rsid w:val="000B7790"/>
    <w:rsid w:val="000D3EE9"/>
    <w:rsid w:val="00111F2F"/>
    <w:rsid w:val="001433FD"/>
    <w:rsid w:val="0014365E"/>
    <w:rsid w:val="001541D3"/>
    <w:rsid w:val="00176178"/>
    <w:rsid w:val="001807E3"/>
    <w:rsid w:val="001E36C8"/>
    <w:rsid w:val="001F525A"/>
    <w:rsid w:val="00223272"/>
    <w:rsid w:val="0024779E"/>
    <w:rsid w:val="002832AC"/>
    <w:rsid w:val="00295CCA"/>
    <w:rsid w:val="002D7C93"/>
    <w:rsid w:val="00392828"/>
    <w:rsid w:val="00441C3B"/>
    <w:rsid w:val="00446B0A"/>
    <w:rsid w:val="00446FE5"/>
    <w:rsid w:val="00452396"/>
    <w:rsid w:val="004C4EA0"/>
    <w:rsid w:val="004E468C"/>
    <w:rsid w:val="00506BE1"/>
    <w:rsid w:val="005316B0"/>
    <w:rsid w:val="005505B7"/>
    <w:rsid w:val="00573BE5"/>
    <w:rsid w:val="00586ED3"/>
    <w:rsid w:val="00596AA9"/>
    <w:rsid w:val="005F2353"/>
    <w:rsid w:val="00706363"/>
    <w:rsid w:val="0071601D"/>
    <w:rsid w:val="0074674C"/>
    <w:rsid w:val="007A62E6"/>
    <w:rsid w:val="0080684C"/>
    <w:rsid w:val="00871C75"/>
    <w:rsid w:val="008776DC"/>
    <w:rsid w:val="009705C8"/>
    <w:rsid w:val="009C1CF4"/>
    <w:rsid w:val="00A30353"/>
    <w:rsid w:val="00AA113A"/>
    <w:rsid w:val="00AC3823"/>
    <w:rsid w:val="00AE323C"/>
    <w:rsid w:val="00B00181"/>
    <w:rsid w:val="00B00B0D"/>
    <w:rsid w:val="00B765F7"/>
    <w:rsid w:val="00BA0CA9"/>
    <w:rsid w:val="00BC6884"/>
    <w:rsid w:val="00C02897"/>
    <w:rsid w:val="00D3439C"/>
    <w:rsid w:val="00D9034B"/>
    <w:rsid w:val="00DA5E9A"/>
    <w:rsid w:val="00DB1831"/>
    <w:rsid w:val="00DD3BFD"/>
    <w:rsid w:val="00DF6678"/>
    <w:rsid w:val="00EF2E22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A38B93"/>
  <w15:docId w15:val="{6B35C5A5-50C6-41BF-8B0A-7F8387E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7467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7467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74674C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7467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74674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7467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67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67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674C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674C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674C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74674C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74674C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74674C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4674C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4674C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7467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74674C"/>
  </w:style>
  <w:style w:type="character" w:customStyle="1" w:styleId="NotedefinCar">
    <w:name w:val="Note de fin Car"/>
    <w:aliases w:val="2_G Car"/>
    <w:basedOn w:val="Policepardfaut"/>
    <w:link w:val="Notedefin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74674C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7467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1E36C8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b452def0de8df4ef3ef9f9f7df05aca2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86F35-ACF1-45F2-8EE1-4E1D8D36FA8D}"/>
</file>

<file path=customXml/itemProps2.xml><?xml version="1.0" encoding="utf-8"?>
<ds:datastoreItem xmlns:ds="http://schemas.openxmlformats.org/officeDocument/2006/customXml" ds:itemID="{988099D6-8100-429E-8118-16302BC40421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552</Words>
  <Characters>3812</Characters>
  <Application>Microsoft Office Word</Application>
  <DocSecurity>0</DocSecurity>
  <Lines>423</Lines>
  <Paragraphs>181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ECE/ADN/62/Add.1</dc:title>
  <dc:subject/>
  <dc:creator>Corinne ROBERT</dc:creator>
  <cp:keywords/>
  <cp:lastModifiedBy>Corinne Robert</cp:lastModifiedBy>
  <cp:revision>2</cp:revision>
  <cp:lastPrinted>2014-05-14T10:59:00Z</cp:lastPrinted>
  <dcterms:created xsi:type="dcterms:W3CDTF">2022-06-21T11:18:00Z</dcterms:created>
  <dcterms:modified xsi:type="dcterms:W3CDTF">2022-06-21T11:18:00Z</dcterms:modified>
</cp:coreProperties>
</file>