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A3533" w:rsidRPr="00CA3533" w14:paraId="45BDF31B" w14:textId="77777777" w:rsidTr="005316B0">
        <w:trPr>
          <w:trHeight w:hRule="exact" w:val="851"/>
        </w:trPr>
        <w:tc>
          <w:tcPr>
            <w:tcW w:w="1276" w:type="dxa"/>
            <w:tcBorders>
              <w:bottom w:val="single" w:sz="4" w:space="0" w:color="auto"/>
            </w:tcBorders>
          </w:tcPr>
          <w:p w14:paraId="67A68965" w14:textId="77777777" w:rsidR="001433FD" w:rsidRPr="00CA3533" w:rsidRDefault="001433FD" w:rsidP="0001207F"/>
        </w:tc>
        <w:tc>
          <w:tcPr>
            <w:tcW w:w="2268" w:type="dxa"/>
            <w:tcBorders>
              <w:bottom w:val="single" w:sz="4" w:space="0" w:color="auto"/>
            </w:tcBorders>
            <w:vAlign w:val="bottom"/>
          </w:tcPr>
          <w:p w14:paraId="7AF1DF6C" w14:textId="77777777" w:rsidR="001433FD" w:rsidRPr="00CA3533" w:rsidRDefault="001433FD" w:rsidP="007D3236">
            <w:pPr>
              <w:spacing w:after="80" w:line="300" w:lineRule="exact"/>
              <w:rPr>
                <w:sz w:val="28"/>
              </w:rPr>
            </w:pPr>
            <w:r w:rsidRPr="00CA3533">
              <w:rPr>
                <w:sz w:val="28"/>
              </w:rPr>
              <w:t>Nations Unies</w:t>
            </w:r>
          </w:p>
        </w:tc>
        <w:tc>
          <w:tcPr>
            <w:tcW w:w="6095" w:type="dxa"/>
            <w:gridSpan w:val="2"/>
            <w:tcBorders>
              <w:bottom w:val="single" w:sz="4" w:space="0" w:color="auto"/>
            </w:tcBorders>
            <w:vAlign w:val="bottom"/>
          </w:tcPr>
          <w:p w14:paraId="2C153C7B" w14:textId="77777777" w:rsidR="001433FD" w:rsidRPr="00CA3533" w:rsidRDefault="00F263FE" w:rsidP="00F263FE">
            <w:pPr>
              <w:jc w:val="right"/>
            </w:pPr>
            <w:r w:rsidRPr="00CA3533">
              <w:rPr>
                <w:sz w:val="40"/>
              </w:rPr>
              <w:t>ECE</w:t>
            </w:r>
            <w:r w:rsidRPr="00CA3533">
              <w:t>/TRANS/WP.15/256</w:t>
            </w:r>
          </w:p>
        </w:tc>
      </w:tr>
      <w:tr w:rsidR="00CA3533" w:rsidRPr="00CA3533" w14:paraId="2E8DF2B2" w14:textId="77777777" w:rsidTr="007D3236">
        <w:trPr>
          <w:trHeight w:hRule="exact" w:val="2835"/>
        </w:trPr>
        <w:tc>
          <w:tcPr>
            <w:tcW w:w="1276" w:type="dxa"/>
            <w:tcBorders>
              <w:top w:val="single" w:sz="4" w:space="0" w:color="auto"/>
              <w:bottom w:val="single" w:sz="12" w:space="0" w:color="auto"/>
            </w:tcBorders>
          </w:tcPr>
          <w:p w14:paraId="23242408" w14:textId="77777777" w:rsidR="001433FD" w:rsidRPr="00CA3533" w:rsidRDefault="001433FD" w:rsidP="007D3236">
            <w:pPr>
              <w:spacing w:before="120"/>
              <w:jc w:val="center"/>
            </w:pPr>
            <w:r w:rsidRPr="00CA3533">
              <w:rPr>
                <w:noProof/>
                <w:lang w:eastAsia="fr-CH"/>
              </w:rPr>
              <w:drawing>
                <wp:inline distT="0" distB="0" distL="0" distR="0" wp14:anchorId="3B776DD0" wp14:editId="6FBCAAD6">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871CD9" w14:textId="77777777" w:rsidR="001433FD" w:rsidRPr="00CA3533" w:rsidRDefault="001433FD" w:rsidP="007D3236">
            <w:pPr>
              <w:spacing w:before="120" w:line="420" w:lineRule="exact"/>
              <w:rPr>
                <w:b/>
                <w:sz w:val="40"/>
                <w:szCs w:val="40"/>
              </w:rPr>
            </w:pPr>
            <w:r w:rsidRPr="00CA3533">
              <w:rPr>
                <w:b/>
                <w:sz w:val="40"/>
                <w:szCs w:val="40"/>
              </w:rPr>
              <w:t>Conseil économique et social</w:t>
            </w:r>
          </w:p>
        </w:tc>
        <w:tc>
          <w:tcPr>
            <w:tcW w:w="2835" w:type="dxa"/>
            <w:tcBorders>
              <w:top w:val="single" w:sz="4" w:space="0" w:color="auto"/>
              <w:bottom w:val="single" w:sz="12" w:space="0" w:color="auto"/>
            </w:tcBorders>
          </w:tcPr>
          <w:p w14:paraId="266A97C9" w14:textId="77777777" w:rsidR="0001207F" w:rsidRPr="00CA3533" w:rsidRDefault="00F263FE" w:rsidP="00F263FE">
            <w:pPr>
              <w:spacing w:before="240" w:line="240" w:lineRule="exact"/>
            </w:pPr>
            <w:proofErr w:type="spellStart"/>
            <w:r w:rsidRPr="00CA3533">
              <w:t>Distr</w:t>
            </w:r>
            <w:proofErr w:type="spellEnd"/>
            <w:r w:rsidRPr="00CA3533">
              <w:t>. générale</w:t>
            </w:r>
          </w:p>
          <w:p w14:paraId="624DC386" w14:textId="26A9601B" w:rsidR="00F263FE" w:rsidRPr="00CA3533" w:rsidRDefault="00F263FE" w:rsidP="00F263FE">
            <w:pPr>
              <w:spacing w:line="240" w:lineRule="exact"/>
            </w:pPr>
            <w:r w:rsidRPr="00CA3533">
              <w:t>1</w:t>
            </w:r>
            <w:r w:rsidR="00D55C34">
              <w:t>8</w:t>
            </w:r>
            <w:r w:rsidRPr="00CA3533">
              <w:t xml:space="preserve"> </w:t>
            </w:r>
            <w:r w:rsidR="002E58EB">
              <w:t>février</w:t>
            </w:r>
            <w:r w:rsidR="002E58EB" w:rsidRPr="00CA3533">
              <w:t xml:space="preserve"> </w:t>
            </w:r>
            <w:r w:rsidRPr="00CA3533">
              <w:t>2022</w:t>
            </w:r>
          </w:p>
          <w:p w14:paraId="5C52CCC9" w14:textId="2B03E27B" w:rsidR="00F263FE" w:rsidRPr="002E58EB" w:rsidRDefault="002E58EB" w:rsidP="00F263FE">
            <w:pPr>
              <w:spacing w:line="240" w:lineRule="exact"/>
              <w:rPr>
                <w:b/>
                <w:bCs/>
              </w:rPr>
            </w:pPr>
            <w:r>
              <w:t>F</w:t>
            </w:r>
            <w:r w:rsidRPr="00CA3533">
              <w:t>rançais</w:t>
            </w:r>
          </w:p>
          <w:p w14:paraId="6F872471" w14:textId="53C05269" w:rsidR="00F263FE" w:rsidRPr="00CA3533" w:rsidRDefault="00F263FE" w:rsidP="00F263FE">
            <w:pPr>
              <w:spacing w:line="240" w:lineRule="exact"/>
            </w:pPr>
            <w:r w:rsidRPr="00CA3533">
              <w:t xml:space="preserve">Original : </w:t>
            </w:r>
            <w:r w:rsidR="002E58EB">
              <w:t xml:space="preserve">anglais et </w:t>
            </w:r>
            <w:r w:rsidRPr="00CA3533">
              <w:t>français</w:t>
            </w:r>
          </w:p>
        </w:tc>
      </w:tr>
    </w:tbl>
    <w:p w14:paraId="409C30BA" w14:textId="77777777" w:rsidR="00010065" w:rsidRPr="00CA3533" w:rsidRDefault="00010065" w:rsidP="00FD1581">
      <w:pPr>
        <w:spacing w:before="120"/>
        <w:rPr>
          <w:b/>
          <w:sz w:val="28"/>
          <w:szCs w:val="28"/>
        </w:rPr>
      </w:pPr>
      <w:r w:rsidRPr="00CA3533">
        <w:rPr>
          <w:b/>
          <w:sz w:val="28"/>
          <w:szCs w:val="28"/>
        </w:rPr>
        <w:t>Commission économique pour l’Europe</w:t>
      </w:r>
    </w:p>
    <w:p w14:paraId="43061D1F" w14:textId="77777777" w:rsidR="00010065" w:rsidRPr="00CA3533" w:rsidRDefault="00010065" w:rsidP="00FD1581">
      <w:pPr>
        <w:spacing w:before="120"/>
        <w:rPr>
          <w:sz w:val="28"/>
          <w:szCs w:val="28"/>
        </w:rPr>
      </w:pPr>
      <w:r w:rsidRPr="00CA3533">
        <w:rPr>
          <w:sz w:val="28"/>
          <w:szCs w:val="28"/>
        </w:rPr>
        <w:t>Comité des transports intérieurs</w:t>
      </w:r>
    </w:p>
    <w:p w14:paraId="5C980806" w14:textId="77777777" w:rsidR="00010065" w:rsidRPr="00CA3533" w:rsidRDefault="00010065" w:rsidP="00FD1581">
      <w:pPr>
        <w:spacing w:before="120"/>
        <w:rPr>
          <w:b/>
          <w:sz w:val="24"/>
          <w:szCs w:val="24"/>
        </w:rPr>
      </w:pPr>
      <w:r w:rsidRPr="00CA3533">
        <w:rPr>
          <w:b/>
          <w:sz w:val="24"/>
          <w:szCs w:val="24"/>
        </w:rPr>
        <w:t xml:space="preserve">Groupe de travail des transports </w:t>
      </w:r>
      <w:r w:rsidRPr="00CA3533">
        <w:rPr>
          <w:b/>
          <w:sz w:val="24"/>
          <w:szCs w:val="24"/>
        </w:rPr>
        <w:br/>
        <w:t>de marchandises dangereuses</w:t>
      </w:r>
    </w:p>
    <w:p w14:paraId="35391BAC" w14:textId="3D4431FA" w:rsidR="005323CB" w:rsidRPr="005323CB" w:rsidRDefault="005323CB" w:rsidP="005323CB">
      <w:pPr>
        <w:keepNext/>
        <w:keepLines/>
        <w:tabs>
          <w:tab w:val="right" w:pos="851"/>
        </w:tabs>
        <w:spacing w:before="360" w:after="240" w:line="300" w:lineRule="exact"/>
        <w:ind w:left="1134" w:right="1134" w:hanging="1134"/>
        <w:rPr>
          <w:b/>
          <w:sz w:val="28"/>
          <w:lang w:val="fr-FR"/>
        </w:rPr>
      </w:pPr>
      <w:r w:rsidRPr="005323CB">
        <w:rPr>
          <w:b/>
          <w:sz w:val="28"/>
          <w:lang w:val="fr-FR"/>
        </w:rPr>
        <w:tab/>
      </w:r>
      <w:r w:rsidRPr="005323CB">
        <w:rPr>
          <w:b/>
          <w:sz w:val="28"/>
          <w:lang w:val="fr-FR"/>
        </w:rPr>
        <w:tab/>
        <w:t>Accord relatif au transport international des marchandises dangereuses par route (ADR)</w:t>
      </w:r>
    </w:p>
    <w:p w14:paraId="6AE757A5" w14:textId="77777777" w:rsidR="005323CB" w:rsidRDefault="005323CB" w:rsidP="005323CB">
      <w:pPr>
        <w:keepNext/>
        <w:keepLines/>
        <w:tabs>
          <w:tab w:val="right" w:pos="851"/>
        </w:tabs>
        <w:spacing w:before="360" w:after="240" w:line="270" w:lineRule="exact"/>
        <w:ind w:left="1134" w:right="1134" w:hanging="1134"/>
        <w:outlineLvl w:val="0"/>
        <w:rPr>
          <w:b/>
          <w:sz w:val="24"/>
          <w:lang w:val="fr-FR"/>
        </w:rPr>
      </w:pPr>
      <w:r w:rsidRPr="005323CB">
        <w:rPr>
          <w:b/>
          <w:sz w:val="24"/>
          <w:lang w:val="fr-FR"/>
        </w:rPr>
        <w:tab/>
      </w:r>
      <w:r w:rsidRPr="005323CB">
        <w:rPr>
          <w:b/>
          <w:sz w:val="24"/>
          <w:lang w:val="fr-FR"/>
        </w:rPr>
        <w:tab/>
        <w:t>Projet d'amendements aux annexes A et B de l'ADR</w:t>
      </w:r>
    </w:p>
    <w:p w14:paraId="78DB6635" w14:textId="7A16E132" w:rsidR="00D55C34" w:rsidRPr="005323CB" w:rsidRDefault="00D55C34" w:rsidP="005323CB">
      <w:pPr>
        <w:keepNext/>
        <w:keepLines/>
        <w:tabs>
          <w:tab w:val="right" w:pos="851"/>
        </w:tabs>
        <w:spacing w:before="360" w:after="240" w:line="270" w:lineRule="exact"/>
        <w:ind w:left="1134" w:right="1134" w:hanging="1134"/>
        <w:outlineLvl w:val="0"/>
        <w:rPr>
          <w:b/>
          <w:sz w:val="24"/>
          <w:lang w:val="fr-FR"/>
        </w:rPr>
      </w:pPr>
      <w:r>
        <w:rPr>
          <w:b/>
          <w:sz w:val="24"/>
          <w:lang w:val="fr-FR"/>
        </w:rPr>
        <w:tab/>
      </w:r>
      <w:r>
        <w:rPr>
          <w:b/>
          <w:sz w:val="24"/>
          <w:lang w:val="fr-FR"/>
        </w:rPr>
        <w:tab/>
        <w:t>Note du secrétariat</w:t>
      </w:r>
    </w:p>
    <w:p w14:paraId="481A3DB1" w14:textId="7508976B" w:rsidR="005323CB" w:rsidRPr="005323CB" w:rsidRDefault="005323CB" w:rsidP="005323CB">
      <w:pPr>
        <w:spacing w:after="120"/>
        <w:ind w:left="1134" w:right="1134"/>
        <w:jc w:val="both"/>
        <w:rPr>
          <w:lang w:val="fr-FR"/>
        </w:rPr>
      </w:pPr>
      <w:r w:rsidRPr="005323CB">
        <w:rPr>
          <w:lang w:val="fr-FR"/>
        </w:rPr>
        <w:tab/>
      </w:r>
      <w:r w:rsidRPr="005323CB">
        <w:rPr>
          <w:lang w:val="fr-FR"/>
        </w:rPr>
        <w:tab/>
        <w:t xml:space="preserve">À sa </w:t>
      </w:r>
      <w:r w:rsidR="005536F7" w:rsidRPr="005323CB">
        <w:rPr>
          <w:lang w:val="fr-FR"/>
        </w:rPr>
        <w:t>1</w:t>
      </w:r>
      <w:r w:rsidR="005536F7" w:rsidRPr="00CA3533">
        <w:rPr>
          <w:lang w:val="fr-FR"/>
        </w:rPr>
        <w:t>10</w:t>
      </w:r>
      <w:r w:rsidR="005536F7" w:rsidRPr="005323CB">
        <w:rPr>
          <w:lang w:val="fr-FR"/>
        </w:rPr>
        <w:t xml:space="preserve">e </w:t>
      </w:r>
      <w:r w:rsidRPr="005323CB">
        <w:rPr>
          <w:lang w:val="fr-FR"/>
        </w:rPr>
        <w:t xml:space="preserve">session, le Groupe de travail des transports de marchandises dangereuses a prié le secrétariat de préparer une liste récapitulative de tous les amendements qu'il a adoptés pour </w:t>
      </w:r>
      <w:proofErr w:type="spellStart"/>
      <w:r w:rsidRPr="005323CB">
        <w:rPr>
          <w:lang w:val="fr-FR"/>
        </w:rPr>
        <w:t>entrée</w:t>
      </w:r>
      <w:proofErr w:type="spellEnd"/>
      <w:r w:rsidRPr="005323CB">
        <w:rPr>
          <w:lang w:val="fr-FR"/>
        </w:rPr>
        <w:t xml:space="preserve"> en vigueur le 1er janvier </w:t>
      </w:r>
      <w:r w:rsidR="005536F7" w:rsidRPr="00CA3533">
        <w:rPr>
          <w:lang w:val="fr-FR"/>
        </w:rPr>
        <w:t>2023</w:t>
      </w:r>
      <w:r w:rsidR="005536F7" w:rsidRPr="005323CB">
        <w:rPr>
          <w:lang w:val="fr-FR"/>
        </w:rPr>
        <w:t xml:space="preserve"> </w:t>
      </w:r>
      <w:r w:rsidRPr="005323CB">
        <w:rPr>
          <w:lang w:val="fr-FR"/>
        </w:rPr>
        <w:t xml:space="preserve">afin qu'ils puissent faire l'objet d'une proposition officielle conformément à la procédure de l'article 14 de l'ADR que, selon l'usage, la Présidente se chargera de transmettre au dépositaire par l'entremise de son Gouvernement. La notification devra être diffusée au plus tard le 1er juillet </w:t>
      </w:r>
      <w:r w:rsidR="005536F7" w:rsidRPr="00CA3533">
        <w:rPr>
          <w:lang w:val="fr-FR"/>
        </w:rPr>
        <w:t>2022</w:t>
      </w:r>
      <w:r w:rsidR="005536F7" w:rsidRPr="005323CB">
        <w:rPr>
          <w:lang w:val="fr-FR"/>
        </w:rPr>
        <w:t xml:space="preserve"> </w:t>
      </w:r>
      <w:r w:rsidRPr="005323CB">
        <w:rPr>
          <w:lang w:val="fr-FR"/>
        </w:rPr>
        <w:t xml:space="preserve">en mentionnant la date prévue d'entrée en vigueur du 1er janvier </w:t>
      </w:r>
      <w:r w:rsidR="001146F4" w:rsidRPr="00CA3533">
        <w:rPr>
          <w:lang w:val="fr-FR"/>
        </w:rPr>
        <w:t>2023</w:t>
      </w:r>
      <w:r w:rsidR="001146F4" w:rsidRPr="005323CB">
        <w:rPr>
          <w:lang w:val="fr-FR"/>
        </w:rPr>
        <w:t xml:space="preserve"> </w:t>
      </w:r>
      <w:r w:rsidRPr="005323CB">
        <w:rPr>
          <w:lang w:val="fr-FR"/>
        </w:rPr>
        <w:t>(voir ECE/TRANS/WP.15/</w:t>
      </w:r>
      <w:r w:rsidR="001146F4" w:rsidRPr="00CA3533">
        <w:rPr>
          <w:lang w:val="fr-FR"/>
        </w:rPr>
        <w:t>255</w:t>
      </w:r>
      <w:r w:rsidRPr="005323CB">
        <w:rPr>
          <w:lang w:val="fr-FR"/>
        </w:rPr>
        <w:t>, paragraphe </w:t>
      </w:r>
      <w:r w:rsidR="001146F4" w:rsidRPr="00CA3533">
        <w:rPr>
          <w:lang w:val="fr-FR"/>
        </w:rPr>
        <w:t>70</w:t>
      </w:r>
      <w:r w:rsidRPr="005323CB">
        <w:rPr>
          <w:lang w:val="fr-FR"/>
        </w:rPr>
        <w:t xml:space="preserve">). </w:t>
      </w:r>
    </w:p>
    <w:p w14:paraId="31BD86BE" w14:textId="0233233C" w:rsidR="005323CB" w:rsidRPr="00CA3533" w:rsidRDefault="005323CB" w:rsidP="005323CB">
      <w:pPr>
        <w:spacing w:after="120"/>
        <w:ind w:left="1134" w:right="1134"/>
        <w:jc w:val="both"/>
        <w:rPr>
          <w:bCs/>
          <w:lang w:val="fr-FR"/>
        </w:rPr>
      </w:pPr>
      <w:r w:rsidRPr="005323CB">
        <w:rPr>
          <w:bCs/>
          <w:lang w:val="fr-FR"/>
        </w:rPr>
        <w:tab/>
      </w:r>
      <w:r w:rsidRPr="005323CB">
        <w:rPr>
          <w:bCs/>
          <w:lang w:val="fr-FR"/>
        </w:rPr>
        <w:tab/>
        <w:t xml:space="preserve">Le présent document contient la liste requise des amendements adoptés par le Groupe de travail à ses </w:t>
      </w:r>
      <w:r w:rsidR="001146F4" w:rsidRPr="005323CB">
        <w:rPr>
          <w:bCs/>
          <w:lang w:val="fr-FR"/>
        </w:rPr>
        <w:t>10</w:t>
      </w:r>
      <w:r w:rsidR="001146F4" w:rsidRPr="00CA3533">
        <w:rPr>
          <w:bCs/>
          <w:lang w:val="fr-FR"/>
        </w:rPr>
        <w:t>8</w:t>
      </w:r>
      <w:r w:rsidR="001146F4" w:rsidRPr="005323CB">
        <w:rPr>
          <w:bCs/>
          <w:lang w:val="fr-FR"/>
        </w:rPr>
        <w:t>e</w:t>
      </w:r>
      <w:r w:rsidRPr="005323CB">
        <w:rPr>
          <w:bCs/>
          <w:lang w:val="fr-FR"/>
        </w:rPr>
        <w:t xml:space="preserve">, </w:t>
      </w:r>
      <w:r w:rsidR="001146F4" w:rsidRPr="005323CB">
        <w:rPr>
          <w:bCs/>
          <w:lang w:val="fr-FR"/>
        </w:rPr>
        <w:t>10</w:t>
      </w:r>
      <w:r w:rsidR="001146F4" w:rsidRPr="00CA3533">
        <w:rPr>
          <w:bCs/>
          <w:lang w:val="fr-FR"/>
        </w:rPr>
        <w:t>9</w:t>
      </w:r>
      <w:r w:rsidR="001146F4" w:rsidRPr="005323CB">
        <w:rPr>
          <w:bCs/>
          <w:lang w:val="fr-FR"/>
        </w:rPr>
        <w:t xml:space="preserve">e </w:t>
      </w:r>
      <w:r w:rsidRPr="005323CB">
        <w:rPr>
          <w:bCs/>
          <w:lang w:val="fr-FR"/>
        </w:rPr>
        <w:t xml:space="preserve">et </w:t>
      </w:r>
      <w:r w:rsidR="001146F4" w:rsidRPr="005323CB">
        <w:rPr>
          <w:bCs/>
          <w:lang w:val="fr-FR"/>
        </w:rPr>
        <w:t>1</w:t>
      </w:r>
      <w:r w:rsidR="001146F4" w:rsidRPr="00CA3533">
        <w:rPr>
          <w:bCs/>
          <w:lang w:val="fr-FR"/>
        </w:rPr>
        <w:t>10</w:t>
      </w:r>
      <w:r w:rsidR="001146F4" w:rsidRPr="005323CB">
        <w:rPr>
          <w:bCs/>
          <w:lang w:val="fr-FR"/>
        </w:rPr>
        <w:t xml:space="preserve">e </w:t>
      </w:r>
      <w:r w:rsidRPr="005323CB">
        <w:rPr>
          <w:bCs/>
          <w:lang w:val="fr-FR"/>
        </w:rPr>
        <w:t xml:space="preserve">sessions (voir </w:t>
      </w:r>
      <w:r w:rsidRPr="005323CB">
        <w:rPr>
          <w:lang w:val="fr-FR"/>
        </w:rPr>
        <w:t>ECE/TRANS/WP.15/</w:t>
      </w:r>
      <w:r w:rsidR="001146F4" w:rsidRPr="00CA3533">
        <w:rPr>
          <w:lang w:val="fr-FR"/>
        </w:rPr>
        <w:t>251</w:t>
      </w:r>
      <w:r w:rsidRPr="005323CB">
        <w:rPr>
          <w:lang w:val="fr-FR"/>
        </w:rPr>
        <w:t>, annexe I, ECE/TRANS/WP.15/</w:t>
      </w:r>
      <w:r w:rsidR="001146F4" w:rsidRPr="00CA3533">
        <w:rPr>
          <w:lang w:val="fr-FR"/>
        </w:rPr>
        <w:t>253</w:t>
      </w:r>
      <w:r w:rsidRPr="005323CB">
        <w:rPr>
          <w:lang w:val="fr-FR"/>
        </w:rPr>
        <w:t>, annexe</w:t>
      </w:r>
      <w:r w:rsidR="001146F4" w:rsidRPr="00CA3533">
        <w:rPr>
          <w:lang w:val="fr-FR"/>
        </w:rPr>
        <w:t xml:space="preserve"> I</w:t>
      </w:r>
      <w:r w:rsidRPr="005323CB">
        <w:rPr>
          <w:lang w:val="fr-FR"/>
        </w:rPr>
        <w:t xml:space="preserve"> et ECE/TRANS/WP.15/</w:t>
      </w:r>
      <w:r w:rsidR="001146F4" w:rsidRPr="00CA3533">
        <w:rPr>
          <w:lang w:val="fr-FR"/>
        </w:rPr>
        <w:t>255</w:t>
      </w:r>
      <w:r w:rsidRPr="005323CB">
        <w:rPr>
          <w:lang w:val="fr-FR"/>
        </w:rPr>
        <w:t>, annexe I</w:t>
      </w:r>
      <w:r w:rsidR="001146F4" w:rsidRPr="00CA3533">
        <w:rPr>
          <w:lang w:val="fr-FR"/>
        </w:rPr>
        <w:t>I</w:t>
      </w:r>
      <w:r w:rsidRPr="005323CB">
        <w:rPr>
          <w:bCs/>
          <w:lang w:val="fr-FR"/>
        </w:rPr>
        <w:t>).</w:t>
      </w:r>
    </w:p>
    <w:p w14:paraId="76871183" w14:textId="77777777" w:rsidR="005536F7" w:rsidRPr="005323CB" w:rsidRDefault="005536F7" w:rsidP="005323CB">
      <w:pPr>
        <w:spacing w:after="120"/>
        <w:ind w:left="1134" w:right="1134"/>
        <w:jc w:val="both"/>
        <w:rPr>
          <w:bCs/>
          <w:lang w:val="fr-FR"/>
        </w:rPr>
      </w:pPr>
    </w:p>
    <w:p w14:paraId="4EE6FFE3" w14:textId="77777777" w:rsidR="005323CB" w:rsidRPr="005323CB" w:rsidRDefault="005323CB" w:rsidP="005323CB">
      <w:pPr>
        <w:suppressAutoHyphens w:val="0"/>
        <w:kinsoku/>
        <w:overflowPunct/>
        <w:autoSpaceDE/>
        <w:autoSpaceDN/>
        <w:adjustRightInd/>
        <w:snapToGrid/>
        <w:spacing w:after="200" w:line="276" w:lineRule="auto"/>
        <w:rPr>
          <w:bCs/>
          <w:lang w:val="fr-FR"/>
        </w:rPr>
      </w:pPr>
      <w:r w:rsidRPr="005323CB">
        <w:rPr>
          <w:bCs/>
          <w:lang w:val="fr-FR"/>
        </w:rPr>
        <w:br w:type="page"/>
      </w:r>
    </w:p>
    <w:p w14:paraId="4DD98E0E" w14:textId="77777777" w:rsidR="00CA3533" w:rsidRPr="00CA3533" w:rsidRDefault="00CA3533" w:rsidP="00CA3533">
      <w:pPr>
        <w:keepNext/>
        <w:keepLines/>
        <w:tabs>
          <w:tab w:val="right" w:pos="851"/>
        </w:tabs>
        <w:spacing w:before="360" w:after="240" w:line="270" w:lineRule="exact"/>
        <w:ind w:left="1134" w:right="1134" w:hanging="1134"/>
        <w:rPr>
          <w:b/>
          <w:sz w:val="24"/>
          <w:lang w:val="fr-FR"/>
        </w:rPr>
      </w:pPr>
      <w:r w:rsidRPr="00CA3533">
        <w:rPr>
          <w:b/>
          <w:sz w:val="24"/>
          <w:lang w:val="fr-FR"/>
        </w:rPr>
        <w:lastRenderedPageBreak/>
        <w:tab/>
      </w:r>
      <w:r w:rsidRPr="00CA3533">
        <w:rPr>
          <w:b/>
          <w:sz w:val="24"/>
          <w:lang w:val="fr-FR"/>
        </w:rPr>
        <w:tab/>
        <w:t>Chapitre 1.1</w:t>
      </w:r>
    </w:p>
    <w:p w14:paraId="2E2B7D03" w14:textId="1E8FB42C" w:rsidR="00CA3533" w:rsidRPr="00CA3533" w:rsidRDefault="00CA3533" w:rsidP="00253AAA">
      <w:pPr>
        <w:spacing w:after="120"/>
        <w:ind w:left="2268" w:right="1134" w:hanging="1134"/>
        <w:jc w:val="both"/>
        <w:rPr>
          <w:lang w:val="fr-FR"/>
        </w:rPr>
      </w:pPr>
      <w:r w:rsidRPr="00CA3533">
        <w:rPr>
          <w:lang w:val="fr-FR"/>
        </w:rPr>
        <w:t>1.1.3.6.2</w:t>
      </w:r>
      <w:r w:rsidRPr="00CA3533">
        <w:rPr>
          <w:lang w:val="fr-FR"/>
        </w:rPr>
        <w:tab/>
        <w:t>Au premier tiret, après «</w:t>
      </w:r>
      <w:r w:rsidR="00253AAA">
        <w:rPr>
          <w:lang w:val="fr-FR"/>
        </w:rPr>
        <w:t> </w:t>
      </w:r>
      <w:r w:rsidRPr="00CA3533">
        <w:rPr>
          <w:lang w:val="fr-FR"/>
        </w:rPr>
        <w:t>0500,</w:t>
      </w:r>
      <w:r w:rsidR="00253AAA">
        <w:rPr>
          <w:lang w:val="fr-FR"/>
        </w:rPr>
        <w:t> </w:t>
      </w:r>
      <w:r w:rsidRPr="00CA3533">
        <w:rPr>
          <w:lang w:val="fr-FR"/>
        </w:rPr>
        <w:t>», insérer «</w:t>
      </w:r>
      <w:r w:rsidR="00253AAA">
        <w:rPr>
          <w:lang w:val="fr-FR"/>
        </w:rPr>
        <w:t> </w:t>
      </w:r>
      <w:r w:rsidRPr="00CA3533">
        <w:rPr>
          <w:lang w:val="fr-FR"/>
        </w:rPr>
        <w:t>0511,</w:t>
      </w:r>
      <w:r w:rsidR="00253AAA">
        <w:rPr>
          <w:lang w:val="fr-FR"/>
        </w:rPr>
        <w:t> </w:t>
      </w:r>
      <w:r w:rsidRPr="00CA3533">
        <w:rPr>
          <w:lang w:val="fr-FR"/>
        </w:rPr>
        <w:t>».</w:t>
      </w:r>
    </w:p>
    <w:p w14:paraId="06314358" w14:textId="77777777" w:rsidR="00CA3533" w:rsidRPr="00CA3533" w:rsidRDefault="00CA3533" w:rsidP="00CA3533">
      <w:pPr>
        <w:spacing w:after="120"/>
        <w:ind w:left="2268" w:right="1134" w:hanging="1134"/>
        <w:jc w:val="both"/>
        <w:rPr>
          <w:lang w:val="fr-FR"/>
        </w:rPr>
      </w:pPr>
      <w:r w:rsidRPr="00CA3533">
        <w:rPr>
          <w:lang w:val="fr-FR"/>
        </w:rPr>
        <w:t>1.1.3.6.3</w:t>
      </w:r>
      <w:r w:rsidRPr="00CA3533">
        <w:rPr>
          <w:lang w:val="fr-FR"/>
        </w:rPr>
        <w:tab/>
        <w:t>Dans le tableau, dans la rubrique pour la catégorie de transport 2, dans la colonne (2) :</w:t>
      </w:r>
    </w:p>
    <w:p w14:paraId="2AF13FFE" w14:textId="7D9C9FA0" w:rsidR="00CA3533" w:rsidRPr="00CA3533" w:rsidRDefault="00777156" w:rsidP="00253AAA">
      <w:pPr>
        <w:pStyle w:val="Bullet1G"/>
        <w:tabs>
          <w:tab w:val="clear" w:pos="1701"/>
        </w:tabs>
        <w:ind w:left="2410"/>
        <w:rPr>
          <w:lang w:val="fr-FR"/>
        </w:rPr>
      </w:pPr>
      <w:r>
        <w:rPr>
          <w:lang w:val="fr-FR"/>
        </w:rPr>
        <w:t>A</w:t>
      </w:r>
      <w:r w:rsidR="00CA3533" w:rsidRPr="00CA3533">
        <w:rPr>
          <w:lang w:val="fr-FR"/>
        </w:rPr>
        <w:t>près la ligne pour la « Classe 6.1 », insérer la nouvelle ligne suivante :</w:t>
      </w:r>
    </w:p>
    <w:p w14:paraId="0430AF85" w14:textId="7CA4BAC7" w:rsidR="00CA3533" w:rsidRPr="00CA3533" w:rsidRDefault="00CA3533" w:rsidP="00777156">
      <w:pPr>
        <w:tabs>
          <w:tab w:val="left" w:pos="2410"/>
        </w:tabs>
        <w:spacing w:after="120"/>
        <w:ind w:left="2268" w:right="1134" w:hanging="1134"/>
        <w:jc w:val="both"/>
        <w:rPr>
          <w:lang w:val="fr-FR"/>
        </w:rPr>
      </w:pPr>
      <w:r w:rsidRPr="00CA3533">
        <w:rPr>
          <w:lang w:val="fr-FR"/>
        </w:rPr>
        <w:tab/>
      </w:r>
      <w:r w:rsidR="00777156">
        <w:rPr>
          <w:lang w:val="fr-FR"/>
        </w:rPr>
        <w:tab/>
      </w:r>
      <w:r w:rsidRPr="00CA3533">
        <w:rPr>
          <w:lang w:val="fr-FR"/>
        </w:rPr>
        <w:t>« Classe 6.2 :</w:t>
      </w:r>
      <w:r w:rsidRPr="00CA3533">
        <w:rPr>
          <w:lang w:val="fr-FR"/>
        </w:rPr>
        <w:tab/>
        <w:t>No ONU 3291 »</w:t>
      </w:r>
    </w:p>
    <w:p w14:paraId="5ACA364A" w14:textId="2C593099" w:rsidR="00CA3533" w:rsidRPr="00CA3533" w:rsidRDefault="00777156" w:rsidP="00253AAA">
      <w:pPr>
        <w:pStyle w:val="Bullet1G"/>
        <w:tabs>
          <w:tab w:val="clear" w:pos="1701"/>
        </w:tabs>
        <w:ind w:left="2410"/>
        <w:rPr>
          <w:lang w:val="fr-FR"/>
        </w:rPr>
      </w:pPr>
      <w:r>
        <w:rPr>
          <w:lang w:val="fr-FR"/>
        </w:rPr>
        <w:t>R</w:t>
      </w:r>
      <w:r w:rsidR="00CA3533" w:rsidRPr="00CA3533">
        <w:rPr>
          <w:lang w:val="fr-FR"/>
        </w:rPr>
        <w:t>emplacer la ligne pour la « Classe 9 » pour lire comme suit :</w:t>
      </w:r>
    </w:p>
    <w:p w14:paraId="1A919ED6" w14:textId="74AA3A6A" w:rsidR="00CA3533" w:rsidRPr="00CA3533" w:rsidRDefault="00CA3533" w:rsidP="00777156">
      <w:pPr>
        <w:tabs>
          <w:tab w:val="left" w:pos="2410"/>
        </w:tabs>
        <w:spacing w:after="120"/>
        <w:ind w:left="2268" w:right="1134" w:hanging="1134"/>
        <w:jc w:val="both"/>
        <w:rPr>
          <w:lang w:val="fr-FR"/>
        </w:rPr>
      </w:pPr>
      <w:r w:rsidRPr="00CA3533">
        <w:rPr>
          <w:lang w:val="fr-FR"/>
        </w:rPr>
        <w:tab/>
      </w:r>
      <w:r w:rsidR="00777156">
        <w:rPr>
          <w:lang w:val="fr-FR"/>
        </w:rPr>
        <w:tab/>
      </w:r>
      <w:r w:rsidRPr="00CA3533">
        <w:rPr>
          <w:lang w:val="fr-FR"/>
        </w:rPr>
        <w:t>« Classe 9 :</w:t>
      </w:r>
      <w:r w:rsidRPr="00CA3533">
        <w:rPr>
          <w:lang w:val="fr-FR"/>
        </w:rPr>
        <w:tab/>
        <w:t>Nos ONU 3090, 3091, 3245, 3480, 3481 et 3536 »</w:t>
      </w:r>
    </w:p>
    <w:p w14:paraId="5EA61F9E" w14:textId="3C17E0EA" w:rsidR="00CA3533" w:rsidRPr="00CA3533" w:rsidRDefault="00CA3533" w:rsidP="00CA3533">
      <w:pPr>
        <w:tabs>
          <w:tab w:val="left" w:pos="2268"/>
        </w:tabs>
        <w:spacing w:after="120"/>
        <w:ind w:left="1134" w:right="1134"/>
        <w:jc w:val="both"/>
        <w:rPr>
          <w:bCs/>
          <w:iCs/>
          <w:lang w:val="fr-FR"/>
        </w:rPr>
      </w:pPr>
      <w:r w:rsidRPr="00CA3533">
        <w:rPr>
          <w:bCs/>
          <w:iCs/>
          <w:lang w:val="fr-FR"/>
        </w:rPr>
        <w:t>1.1.4</w:t>
      </w:r>
      <w:r w:rsidRPr="00CA3533">
        <w:rPr>
          <w:bCs/>
          <w:iCs/>
          <w:lang w:val="fr-FR"/>
        </w:rPr>
        <w:tab/>
        <w:t xml:space="preserve">Ajouter </w:t>
      </w:r>
      <w:r w:rsidR="009212DD">
        <w:rPr>
          <w:bCs/>
          <w:iCs/>
          <w:lang w:val="fr-FR"/>
        </w:rPr>
        <w:t>les nouvelles sous-section 1.1.4.6 et 1.1.4.7 suivantes</w:t>
      </w:r>
      <w:r w:rsidRPr="00CA3533">
        <w:rPr>
          <w:bCs/>
          <w:iCs/>
          <w:lang w:val="fr-FR"/>
        </w:rPr>
        <w:t> :</w:t>
      </w:r>
    </w:p>
    <w:p w14:paraId="2617E8CF" w14:textId="6355D1F0" w:rsidR="00CA3533" w:rsidRPr="00CA3533" w:rsidRDefault="00CA3533" w:rsidP="00CA3533">
      <w:pPr>
        <w:tabs>
          <w:tab w:val="left" w:pos="2268"/>
        </w:tabs>
        <w:spacing w:after="120"/>
        <w:ind w:left="1134" w:right="1134"/>
        <w:jc w:val="both"/>
        <w:rPr>
          <w:bCs/>
          <w:iCs/>
          <w:lang w:val="fr-FR"/>
        </w:rPr>
      </w:pPr>
      <w:r w:rsidRPr="00CA3533">
        <w:rPr>
          <w:bCs/>
          <w:iCs/>
          <w:lang w:val="fr-FR"/>
        </w:rPr>
        <w:t>« 1.1.4.6</w:t>
      </w:r>
      <w:r w:rsidRPr="00CA3533">
        <w:rPr>
          <w:bCs/>
          <w:iCs/>
          <w:lang w:val="fr-FR"/>
        </w:rPr>
        <w:tab/>
      </w:r>
      <w:r w:rsidRPr="00CA3533">
        <w:rPr>
          <w:bCs/>
          <w:i/>
          <w:iCs/>
          <w:lang w:val="fr-FR"/>
        </w:rPr>
        <w:t>(Réservé)</w:t>
      </w:r>
    </w:p>
    <w:p w14:paraId="788AA998" w14:textId="79992A3C" w:rsidR="00CA3533" w:rsidRPr="00CA3533" w:rsidRDefault="00CA3533" w:rsidP="00CA3533">
      <w:pPr>
        <w:tabs>
          <w:tab w:val="left" w:pos="2268"/>
          <w:tab w:val="left" w:pos="3402"/>
        </w:tabs>
        <w:spacing w:after="120"/>
        <w:ind w:left="2268" w:right="1134" w:hanging="1134"/>
        <w:jc w:val="both"/>
        <w:rPr>
          <w:rFonts w:eastAsia="Calibri"/>
          <w:i/>
          <w:lang w:val="fr-FR"/>
        </w:rPr>
      </w:pPr>
      <w:r w:rsidRPr="00CA3533">
        <w:rPr>
          <w:b/>
          <w:lang w:val="fr-FR"/>
        </w:rPr>
        <w:t>1.1.4.7</w:t>
      </w:r>
      <w:r w:rsidRPr="00CA3533">
        <w:rPr>
          <w:b/>
          <w:lang w:val="fr-FR"/>
        </w:rPr>
        <w:tab/>
      </w:r>
      <w:r w:rsidRPr="00CA3533">
        <w:rPr>
          <w:b/>
          <w:i/>
          <w:lang w:val="fr-FR"/>
        </w:rPr>
        <w:t>Récipients à pression rechargeables autorisés par le Département des transports des États-Unis d’Amérique</w:t>
      </w:r>
      <w:bookmarkStart w:id="0" w:name="_Hlk525131534"/>
    </w:p>
    <w:p w14:paraId="7A9913EB" w14:textId="56B794FA" w:rsidR="00CA3533" w:rsidRPr="00CA3533" w:rsidRDefault="00CA3533" w:rsidP="00CA3533">
      <w:pPr>
        <w:tabs>
          <w:tab w:val="left" w:pos="2268"/>
          <w:tab w:val="left" w:pos="3402"/>
        </w:tabs>
        <w:spacing w:after="120"/>
        <w:ind w:left="2268" w:right="1134" w:hanging="1134"/>
        <w:jc w:val="both"/>
        <w:rPr>
          <w:i/>
          <w:iCs/>
          <w:lang w:val="fr-FR" w:eastAsia="en-US"/>
        </w:rPr>
      </w:pPr>
      <w:r w:rsidRPr="00CA3533">
        <w:rPr>
          <w:b/>
          <w:bCs/>
          <w:i/>
          <w:iCs/>
          <w:lang w:val="fr-FR" w:eastAsia="en-US"/>
        </w:rPr>
        <w:tab/>
        <w:t>NOTA :</w:t>
      </w:r>
      <w:r w:rsidRPr="00CA3533">
        <w:rPr>
          <w:i/>
          <w:iCs/>
          <w:lang w:val="fr-FR" w:eastAsia="en-US"/>
        </w:rPr>
        <w:t xml:space="preserve"> Pour le transport conformément au 1.1.4.7, voir également le </w:t>
      </w:r>
      <w:r w:rsidR="0002140D">
        <w:rPr>
          <w:i/>
          <w:iCs/>
          <w:lang w:val="fr-FR" w:eastAsia="en-US"/>
        </w:rPr>
        <w:t>5.4.1.1.24</w:t>
      </w:r>
      <w:r w:rsidRPr="00CA3533">
        <w:rPr>
          <w:i/>
          <w:iCs/>
          <w:lang w:val="fr-FR" w:eastAsia="en-US"/>
        </w:rPr>
        <w:t>.</w:t>
      </w:r>
    </w:p>
    <w:p w14:paraId="5D9E0732" w14:textId="77777777" w:rsidR="00CA3533" w:rsidRPr="00CA3533" w:rsidRDefault="00CA3533" w:rsidP="00CA3533">
      <w:pPr>
        <w:tabs>
          <w:tab w:val="left" w:pos="2268"/>
          <w:tab w:val="left" w:pos="3402"/>
        </w:tabs>
        <w:spacing w:after="120"/>
        <w:ind w:left="2268" w:right="1134" w:hanging="1134"/>
        <w:jc w:val="both"/>
        <w:rPr>
          <w:rFonts w:eastAsia="Calibri"/>
          <w:i/>
          <w:lang w:val="fr-FR"/>
        </w:rPr>
      </w:pPr>
      <w:r w:rsidRPr="00CA3533">
        <w:rPr>
          <w:lang w:val="fr-FR"/>
        </w:rPr>
        <w:t>1.1.4.7.1</w:t>
      </w:r>
      <w:r w:rsidRPr="00CA3533">
        <w:rPr>
          <w:lang w:val="fr-FR"/>
        </w:rPr>
        <w:tab/>
      </w:r>
      <w:r w:rsidRPr="00CA3533">
        <w:rPr>
          <w:i/>
          <w:lang w:val="fr-FR"/>
        </w:rPr>
        <w:t>Importation de gaz</w:t>
      </w:r>
    </w:p>
    <w:p w14:paraId="1286E780" w14:textId="77777777" w:rsidR="00CA3533" w:rsidRPr="00CA3533" w:rsidRDefault="00CA3533" w:rsidP="00CA3533">
      <w:pPr>
        <w:tabs>
          <w:tab w:val="left" w:pos="2268"/>
          <w:tab w:val="left" w:pos="3402"/>
        </w:tabs>
        <w:spacing w:after="120"/>
        <w:ind w:left="2268" w:right="1134" w:hanging="1134"/>
        <w:jc w:val="both"/>
        <w:rPr>
          <w:rFonts w:eastAsia="Calibri"/>
          <w:lang w:val="fr-FR"/>
        </w:rPr>
      </w:pPr>
      <w:r w:rsidRPr="00CA3533">
        <w:rPr>
          <w:lang w:val="fr-FR"/>
        </w:rPr>
        <w:tab/>
        <w:t>Les récipients à pression rechargeables autorisés par le Département des transports des États-Unis d’Amérique et construits conformément aux normes énoncées dans la Partie 178 (</w:t>
      </w:r>
      <w:proofErr w:type="spellStart"/>
      <w:r w:rsidRPr="00CA3533">
        <w:rPr>
          <w:lang w:val="fr-FR"/>
        </w:rPr>
        <w:t>Specifications</w:t>
      </w:r>
      <w:proofErr w:type="spellEnd"/>
      <w:r w:rsidRPr="00CA3533">
        <w:rPr>
          <w:lang w:val="fr-FR"/>
        </w:rPr>
        <w:t xml:space="preserve"> for Packagings (Spécifications relatives aux emballages)) du Titre 49 (Transportation (Transports)) du Code of </w:t>
      </w:r>
      <w:proofErr w:type="spellStart"/>
      <w:r w:rsidRPr="00CA3533">
        <w:rPr>
          <w:lang w:val="fr-FR"/>
        </w:rPr>
        <w:t>Federal</w:t>
      </w:r>
      <w:proofErr w:type="spellEnd"/>
      <w:r w:rsidRPr="00CA3533">
        <w:rPr>
          <w:lang w:val="fr-FR"/>
        </w:rPr>
        <w:t xml:space="preserve"> </w:t>
      </w:r>
      <w:proofErr w:type="spellStart"/>
      <w:r w:rsidRPr="00CA3533">
        <w:rPr>
          <w:lang w:val="fr-FR"/>
        </w:rPr>
        <w:t>Regulations</w:t>
      </w:r>
      <w:proofErr w:type="spellEnd"/>
      <w:r w:rsidRPr="00CA3533">
        <w:rPr>
          <w:lang w:val="fr-FR"/>
        </w:rPr>
        <w:t xml:space="preserve"> (recueil des règlements fédéraux), lorsqu’ils sont admis au transport dans une chaîne de transport conformément au 1.1.4.2, peuvent être transportés depuis leur emplacement d’entreposage temporaire au point final de la chaîne de transport jusqu’aux utilisateurs finaux. </w:t>
      </w:r>
      <w:bookmarkEnd w:id="0"/>
    </w:p>
    <w:p w14:paraId="7FDE3EC8" w14:textId="77777777" w:rsidR="00CA3533" w:rsidRPr="00CA3533" w:rsidRDefault="00CA3533" w:rsidP="00CA3533">
      <w:pPr>
        <w:tabs>
          <w:tab w:val="left" w:pos="2268"/>
          <w:tab w:val="left" w:pos="3402"/>
        </w:tabs>
        <w:spacing w:after="120"/>
        <w:ind w:left="2268" w:right="1134" w:hanging="1134"/>
        <w:jc w:val="both"/>
        <w:rPr>
          <w:rFonts w:eastAsia="Calibri"/>
          <w:i/>
          <w:lang w:val="fr-FR"/>
        </w:rPr>
      </w:pPr>
      <w:r w:rsidRPr="00CA3533">
        <w:rPr>
          <w:lang w:val="fr-FR"/>
        </w:rPr>
        <w:t>1.1.4.7.2</w:t>
      </w:r>
      <w:r w:rsidRPr="00CA3533">
        <w:rPr>
          <w:lang w:val="fr-FR"/>
        </w:rPr>
        <w:tab/>
      </w:r>
      <w:r w:rsidRPr="00CA3533">
        <w:rPr>
          <w:i/>
          <w:lang w:val="fr-FR"/>
        </w:rPr>
        <w:t>Exportation de gaz et récipients à pression vides non nettoyés</w:t>
      </w:r>
    </w:p>
    <w:p w14:paraId="0C1B83A8" w14:textId="77777777" w:rsidR="00CA3533" w:rsidRPr="00CA3533" w:rsidRDefault="00CA3533" w:rsidP="00CA3533">
      <w:pPr>
        <w:tabs>
          <w:tab w:val="left" w:pos="2268"/>
          <w:tab w:val="left" w:pos="3402"/>
        </w:tabs>
        <w:spacing w:after="120"/>
        <w:ind w:left="2268" w:right="1134" w:hanging="1134"/>
        <w:jc w:val="both"/>
        <w:rPr>
          <w:rFonts w:eastAsia="Calibri"/>
          <w:lang w:val="fr-FR"/>
        </w:rPr>
      </w:pPr>
      <w:r w:rsidRPr="00CA3533">
        <w:rPr>
          <w:lang w:val="fr-FR"/>
        </w:rPr>
        <w:tab/>
        <w:t>Les récipients à pression rechargeables autorisés par le Département des transports des États-Unis d’Amérique et construits conformément aux normes énoncées dans la Partie 178 (</w:t>
      </w:r>
      <w:proofErr w:type="spellStart"/>
      <w:r w:rsidRPr="00CA3533">
        <w:rPr>
          <w:lang w:val="fr-FR"/>
        </w:rPr>
        <w:t>Specifications</w:t>
      </w:r>
      <w:proofErr w:type="spellEnd"/>
      <w:r w:rsidRPr="00CA3533">
        <w:rPr>
          <w:lang w:val="fr-FR"/>
        </w:rPr>
        <w:t xml:space="preserve"> for Packagings (Spécifications relatives aux emballages)) du Titre 49 (Transportation (Transports)) du Code of </w:t>
      </w:r>
      <w:proofErr w:type="spellStart"/>
      <w:r w:rsidRPr="00CA3533">
        <w:rPr>
          <w:lang w:val="fr-FR"/>
        </w:rPr>
        <w:t>Federal</w:t>
      </w:r>
      <w:proofErr w:type="spellEnd"/>
      <w:r w:rsidRPr="00CA3533">
        <w:rPr>
          <w:lang w:val="fr-FR"/>
        </w:rPr>
        <w:t xml:space="preserve"> </w:t>
      </w:r>
      <w:proofErr w:type="spellStart"/>
      <w:r w:rsidRPr="00CA3533">
        <w:rPr>
          <w:lang w:val="fr-FR"/>
        </w:rPr>
        <w:t>Regulations</w:t>
      </w:r>
      <w:proofErr w:type="spellEnd"/>
      <w:r w:rsidRPr="00CA3533">
        <w:rPr>
          <w:lang w:val="fr-FR"/>
        </w:rPr>
        <w:t xml:space="preserve"> (recueil des règlements fédéraux) ne peuvent être remplis et transportés que pour l’exportation vers des pays qui ne sont pas des Parties contractants à l’ADR et à condition de satisfaire aux dispositions ci-après : </w:t>
      </w:r>
    </w:p>
    <w:p w14:paraId="16968765" w14:textId="77777777" w:rsidR="00CA3533" w:rsidRPr="00CA3533" w:rsidRDefault="00CA3533" w:rsidP="00CA3533">
      <w:pPr>
        <w:tabs>
          <w:tab w:val="left" w:pos="2268"/>
        </w:tabs>
        <w:spacing w:after="120"/>
        <w:ind w:left="2835" w:right="1134" w:hanging="567"/>
        <w:jc w:val="both"/>
        <w:rPr>
          <w:rFonts w:eastAsia="Calibri"/>
          <w:lang w:val="fr-FR"/>
        </w:rPr>
      </w:pPr>
      <w:r w:rsidRPr="00CA3533">
        <w:rPr>
          <w:lang w:val="fr-FR"/>
        </w:rPr>
        <w:t>a)</w:t>
      </w:r>
      <w:r w:rsidRPr="00CA3533">
        <w:rPr>
          <w:lang w:val="fr-FR"/>
        </w:rPr>
        <w:tab/>
        <w:t xml:space="preserve">Le remplissage des récipients à pression est réalisé conformément aux prescriptions pertinentes du Code of </w:t>
      </w:r>
      <w:proofErr w:type="spellStart"/>
      <w:r w:rsidRPr="00CA3533">
        <w:rPr>
          <w:lang w:val="fr-FR"/>
        </w:rPr>
        <w:t>Federal</w:t>
      </w:r>
      <w:proofErr w:type="spellEnd"/>
      <w:r w:rsidRPr="00CA3533">
        <w:rPr>
          <w:lang w:val="fr-FR"/>
        </w:rPr>
        <w:t xml:space="preserve"> </w:t>
      </w:r>
      <w:proofErr w:type="spellStart"/>
      <w:r w:rsidRPr="00CA3533">
        <w:rPr>
          <w:lang w:val="fr-FR"/>
        </w:rPr>
        <w:t>Regulations</w:t>
      </w:r>
      <w:proofErr w:type="spellEnd"/>
      <w:r w:rsidRPr="00CA3533">
        <w:rPr>
          <w:lang w:val="fr-FR"/>
        </w:rPr>
        <w:t xml:space="preserve"> (recueil des règlements fédéraux) des États-Unis d’Amérique ;</w:t>
      </w:r>
    </w:p>
    <w:p w14:paraId="27D4EC7C" w14:textId="77777777" w:rsidR="00CA3533" w:rsidRPr="00CA3533" w:rsidRDefault="00CA3533" w:rsidP="00CA3533">
      <w:pPr>
        <w:tabs>
          <w:tab w:val="left" w:pos="2268"/>
        </w:tabs>
        <w:spacing w:after="120"/>
        <w:ind w:left="2835" w:right="1134" w:hanging="567"/>
        <w:jc w:val="both"/>
        <w:rPr>
          <w:rFonts w:eastAsia="Calibri"/>
          <w:lang w:val="fr-FR"/>
        </w:rPr>
      </w:pPr>
      <w:r w:rsidRPr="00CA3533">
        <w:rPr>
          <w:lang w:val="fr-FR"/>
        </w:rPr>
        <w:t>b)</w:t>
      </w:r>
      <w:r w:rsidRPr="00CA3533">
        <w:rPr>
          <w:lang w:val="fr-FR"/>
        </w:rPr>
        <w:tab/>
        <w:t>Les récipients à pression sont marqués et étiquetés conformément aux dispositions du chapitre 5.2 ;</w:t>
      </w:r>
    </w:p>
    <w:p w14:paraId="2E810CC4" w14:textId="764E1EB3" w:rsidR="00CA3533" w:rsidRPr="00CA3533" w:rsidRDefault="00CA3533" w:rsidP="00CA3533">
      <w:pPr>
        <w:tabs>
          <w:tab w:val="left" w:pos="2268"/>
        </w:tabs>
        <w:spacing w:after="120"/>
        <w:ind w:left="2835" w:right="1134" w:hanging="567"/>
        <w:jc w:val="both"/>
        <w:rPr>
          <w:lang w:val="fr-FR"/>
        </w:rPr>
      </w:pPr>
      <w:r w:rsidRPr="00CA3533">
        <w:rPr>
          <w:lang w:val="fr-FR"/>
        </w:rPr>
        <w:t>c)</w:t>
      </w:r>
      <w:r w:rsidRPr="00CA3533">
        <w:rPr>
          <w:lang w:val="fr-FR"/>
        </w:rPr>
        <w:tab/>
      </w:r>
      <w:r w:rsidRPr="00CA3533">
        <w:rPr>
          <w:rFonts w:cs="Arial"/>
          <w:lang w:val="fr-FR"/>
        </w:rPr>
        <w:t>Les dispositions du 4.1.6.12 et du 4.1.6.13 s’appliquent aux récipients à pression. Les récipients à pression ne doivent pas être remplis après la date limite du contrôle périodique mais peuvent être transportés après cette date pour être soumis à l’inspection, y compris toute opération de transport intermédiaire.</w:t>
      </w:r>
      <w:r w:rsidR="00520EA8">
        <w:rPr>
          <w:rFonts w:cs="Arial"/>
          <w:lang w:val="fr-FR"/>
        </w:rPr>
        <w:t> »</w:t>
      </w:r>
    </w:p>
    <w:p w14:paraId="4C70AD18" w14:textId="77777777" w:rsidR="008D246C" w:rsidRDefault="00CA3533" w:rsidP="008D246C">
      <w:pPr>
        <w:tabs>
          <w:tab w:val="left" w:pos="2268"/>
          <w:tab w:val="left" w:pos="3402"/>
        </w:tabs>
        <w:spacing w:after="120"/>
        <w:ind w:left="1134" w:right="1134"/>
        <w:jc w:val="both"/>
        <w:rPr>
          <w:lang w:val="fr-FR"/>
        </w:rPr>
      </w:pPr>
      <w:r w:rsidRPr="00CA3533">
        <w:rPr>
          <w:lang w:val="fr-FR"/>
        </w:rPr>
        <w:t>1.1.5</w:t>
      </w:r>
      <w:r w:rsidRPr="00CA3533">
        <w:rPr>
          <w:lang w:val="fr-FR"/>
        </w:rPr>
        <w:tab/>
      </w:r>
      <w:r w:rsidR="008D246C">
        <w:rPr>
          <w:lang w:val="fr-FR"/>
        </w:rPr>
        <w:t>À la fin, a</w:t>
      </w:r>
      <w:r w:rsidRPr="00CA3533">
        <w:rPr>
          <w:lang w:val="fr-FR"/>
        </w:rPr>
        <w:t>jouter le nota suivant :</w:t>
      </w:r>
    </w:p>
    <w:p w14:paraId="5F2A0C95" w14:textId="01203A7E" w:rsidR="00CA3533" w:rsidRPr="00CA3533" w:rsidRDefault="00CA3533" w:rsidP="008D246C">
      <w:pPr>
        <w:tabs>
          <w:tab w:val="left" w:pos="2268"/>
          <w:tab w:val="left" w:pos="3402"/>
        </w:tabs>
        <w:spacing w:after="120"/>
        <w:ind w:left="2268" w:right="1134" w:hanging="1134"/>
        <w:jc w:val="both"/>
        <w:rPr>
          <w:lang w:val="fr-FR"/>
        </w:rPr>
      </w:pPr>
      <w:r w:rsidRPr="00CA3533">
        <w:rPr>
          <w:lang w:val="fr-FR"/>
        </w:rPr>
        <w:t>« </w:t>
      </w:r>
      <w:r w:rsidRPr="00CA3533">
        <w:rPr>
          <w:b/>
          <w:bCs/>
          <w:i/>
          <w:lang w:val="fr-FR"/>
        </w:rPr>
        <w:t>NOTA :</w:t>
      </w:r>
      <w:r w:rsidRPr="00CA3533">
        <w:rPr>
          <w:i/>
          <w:lang w:val="fr-FR"/>
        </w:rPr>
        <w:tab/>
        <w:t>Une norme précise comment satisfaire aux dispositions de l’ADR et peut inclure des exigences additionnelles à celles prévues dans l’ADR.</w:t>
      </w:r>
      <w:r w:rsidRPr="00CA3533">
        <w:rPr>
          <w:lang w:val="fr-FR"/>
        </w:rPr>
        <w:t> »</w:t>
      </w:r>
    </w:p>
    <w:p w14:paraId="69863E3C" w14:textId="77777777" w:rsidR="00CA3533" w:rsidRPr="00CA3533" w:rsidRDefault="00CA3533" w:rsidP="00CA3533">
      <w:pPr>
        <w:keepNext/>
        <w:keepLines/>
        <w:tabs>
          <w:tab w:val="right" w:pos="851"/>
        </w:tabs>
        <w:spacing w:before="360" w:after="240" w:line="270" w:lineRule="exact"/>
        <w:ind w:right="1134"/>
        <w:rPr>
          <w:b/>
          <w:sz w:val="24"/>
          <w:lang w:val="fr-FR"/>
        </w:rPr>
      </w:pPr>
      <w:r w:rsidRPr="00CA3533">
        <w:rPr>
          <w:b/>
          <w:sz w:val="24"/>
          <w:lang w:val="fr-FR"/>
        </w:rPr>
        <w:lastRenderedPageBreak/>
        <w:tab/>
      </w:r>
      <w:r w:rsidRPr="00CA3533">
        <w:rPr>
          <w:b/>
          <w:sz w:val="24"/>
          <w:lang w:val="fr-FR"/>
        </w:rPr>
        <w:tab/>
        <w:t>Chapitre 1.2</w:t>
      </w:r>
      <w:r w:rsidRPr="00CA3533">
        <w:rPr>
          <w:b/>
          <w:sz w:val="24"/>
          <w:lang w:val="fr-FR"/>
        </w:rPr>
        <w:tab/>
      </w:r>
    </w:p>
    <w:p w14:paraId="5E0E6979" w14:textId="2352EBC3" w:rsidR="00CA3533" w:rsidRPr="00CA3533" w:rsidRDefault="00CA3533" w:rsidP="00CA3533">
      <w:pPr>
        <w:tabs>
          <w:tab w:val="left" w:pos="2268"/>
        </w:tabs>
        <w:spacing w:after="120"/>
        <w:ind w:left="2268" w:right="1134" w:hanging="1134"/>
        <w:jc w:val="both"/>
        <w:rPr>
          <w:lang w:val="fr-FR"/>
        </w:rPr>
      </w:pPr>
      <w:r w:rsidRPr="00CA3533">
        <w:rPr>
          <w:lang w:val="fr-FR"/>
        </w:rPr>
        <w:t>1.2</w:t>
      </w:r>
      <w:r w:rsidRPr="00CA3533">
        <w:rPr>
          <w:lang w:val="fr-FR"/>
        </w:rPr>
        <w:tab/>
        <w:t>Modifier le titre pour lire : « </w:t>
      </w:r>
      <w:r w:rsidRPr="00CA3533">
        <w:rPr>
          <w:b/>
          <w:bCs/>
          <w:lang w:val="fr-FR"/>
        </w:rPr>
        <w:t>DÉFINITIONS, UNITÉS DE MESURE ET ABRÉVIATIONS</w:t>
      </w:r>
      <w:r w:rsidRPr="00CA3533">
        <w:rPr>
          <w:lang w:val="fr-FR"/>
        </w:rPr>
        <w:t> »</w:t>
      </w:r>
      <w:r w:rsidR="00FD3DC3">
        <w:rPr>
          <w:lang w:val="fr-FR"/>
        </w:rPr>
        <w:t>.</w:t>
      </w:r>
    </w:p>
    <w:p w14:paraId="066945F6" w14:textId="2718B193" w:rsidR="008D246C" w:rsidRPr="00CA3533" w:rsidRDefault="008D246C" w:rsidP="008D246C">
      <w:pPr>
        <w:spacing w:before="120" w:after="120"/>
        <w:ind w:left="2268" w:right="1134" w:hanging="1134"/>
        <w:jc w:val="both"/>
        <w:rPr>
          <w:lang w:val="fr-FR"/>
        </w:rPr>
      </w:pPr>
      <w:r w:rsidRPr="00CA3533">
        <w:rPr>
          <w:lang w:val="fr-FR"/>
        </w:rPr>
        <w:t xml:space="preserve">1.2.1 </w:t>
      </w:r>
      <w:r w:rsidRPr="00CA3533">
        <w:rPr>
          <w:lang w:val="fr-FR"/>
        </w:rPr>
        <w:tab/>
        <w:t>Dans la définition de « </w:t>
      </w:r>
      <w:r w:rsidRPr="00CA3533">
        <w:rPr>
          <w:i/>
          <w:iCs/>
          <w:lang w:val="fr-FR"/>
        </w:rPr>
        <w:t>Cadre de bouteilles</w:t>
      </w:r>
      <w:r w:rsidRPr="00CA3533">
        <w:rPr>
          <w:lang w:val="fr-FR"/>
        </w:rPr>
        <w:t xml:space="preserve"> », </w:t>
      </w:r>
      <w:r>
        <w:rPr>
          <w:lang w:val="fr-FR"/>
        </w:rPr>
        <w:t xml:space="preserve">dans la première phrase, </w:t>
      </w:r>
      <w:r w:rsidRPr="00CA3533">
        <w:rPr>
          <w:lang w:val="fr-FR"/>
        </w:rPr>
        <w:t xml:space="preserve">remplacer « un ensemble de bouteilles » par « un récipient à pression comprenant un ensemble de bouteilles ou d’enveloppes de bouteilles ». </w:t>
      </w:r>
    </w:p>
    <w:p w14:paraId="74D29DB0" w14:textId="77777777" w:rsidR="004A4865" w:rsidRDefault="008D246C" w:rsidP="004A4865">
      <w:pPr>
        <w:spacing w:before="120" w:after="120"/>
        <w:ind w:left="2268" w:right="1134" w:hanging="1134"/>
        <w:jc w:val="both"/>
        <w:rPr>
          <w:lang w:val="fr-FR"/>
        </w:rPr>
      </w:pPr>
      <w:r w:rsidRPr="00CA3533">
        <w:rPr>
          <w:lang w:val="fr-FR"/>
        </w:rPr>
        <w:tab/>
        <w:t>Ajouter le nouveau Nota suivant sous la définition de « </w:t>
      </w:r>
      <w:r w:rsidRPr="00CA3533">
        <w:rPr>
          <w:i/>
          <w:iCs/>
          <w:lang w:val="fr-FR"/>
        </w:rPr>
        <w:t>Fermeture</w:t>
      </w:r>
      <w:r w:rsidRPr="00CA3533">
        <w:rPr>
          <w:lang w:val="fr-FR"/>
        </w:rPr>
        <w:t> » :</w:t>
      </w:r>
    </w:p>
    <w:p w14:paraId="10A5A9FC" w14:textId="3B5E4303" w:rsidR="008D246C" w:rsidRPr="00CA3533" w:rsidRDefault="008D246C" w:rsidP="004A4865">
      <w:pPr>
        <w:spacing w:before="120" w:after="120"/>
        <w:ind w:left="2268" w:right="1134" w:hanging="1134"/>
        <w:jc w:val="both"/>
        <w:rPr>
          <w:lang w:val="fr-FR"/>
        </w:rPr>
      </w:pPr>
      <w:r w:rsidRPr="00CA3533">
        <w:rPr>
          <w:b/>
          <w:i/>
          <w:iCs/>
          <w:lang w:val="fr-FR"/>
        </w:rPr>
        <w:t>« NOTA</w:t>
      </w:r>
      <w:r w:rsidRPr="00CA3533">
        <w:rPr>
          <w:i/>
          <w:iCs/>
          <w:lang w:val="fr-FR"/>
        </w:rPr>
        <w:t> </w:t>
      </w:r>
      <w:r w:rsidRPr="00CA3533">
        <w:rPr>
          <w:b/>
          <w:bCs/>
          <w:i/>
          <w:iCs/>
          <w:lang w:val="fr-FR"/>
        </w:rPr>
        <w:t>:</w:t>
      </w:r>
      <w:r w:rsidRPr="00CA3533">
        <w:rPr>
          <w:i/>
          <w:iCs/>
          <w:lang w:val="fr-FR"/>
        </w:rPr>
        <w:t xml:space="preserve"> </w:t>
      </w:r>
      <w:r w:rsidR="004A4865">
        <w:rPr>
          <w:i/>
          <w:iCs/>
          <w:lang w:val="fr-FR"/>
        </w:rPr>
        <w:tab/>
      </w:r>
      <w:r w:rsidRPr="00CA3533">
        <w:rPr>
          <w:i/>
          <w:iCs/>
          <w:lang w:val="fr-FR"/>
        </w:rPr>
        <w:t>Dans le cas des récipients à pression, le terme “fermetures” désigne par exemple les robinets, les dispositifs de décompression, les manomètres ou encore les jauges de niveau</w:t>
      </w:r>
      <w:r w:rsidRPr="00CA3533">
        <w:rPr>
          <w:lang w:val="fr-FR"/>
        </w:rPr>
        <w:t>. »</w:t>
      </w:r>
    </w:p>
    <w:p w14:paraId="64D51B00" w14:textId="7E6B7976" w:rsidR="008D246C" w:rsidRPr="00CA3533" w:rsidRDefault="008D246C" w:rsidP="008D246C">
      <w:pPr>
        <w:tabs>
          <w:tab w:val="left" w:pos="2268"/>
        </w:tabs>
        <w:spacing w:after="120"/>
        <w:ind w:left="2268" w:right="1134" w:hanging="1134"/>
        <w:jc w:val="both"/>
        <w:rPr>
          <w:rFonts w:eastAsiaTheme="minorHAnsi"/>
          <w:lang w:val="fr-FR" w:eastAsia="en-US"/>
        </w:rPr>
      </w:pPr>
      <w:r w:rsidRPr="00CA3533">
        <w:rPr>
          <w:rFonts w:eastAsiaTheme="minorHAnsi"/>
          <w:lang w:val="fr-FR" w:eastAsia="en-US"/>
        </w:rPr>
        <w:tab/>
      </w:r>
      <w:r w:rsidRPr="00CA3533">
        <w:rPr>
          <w:rFonts w:eastAsiaTheme="minorHAnsi"/>
          <w:lang w:val="fr-FR" w:eastAsia="en-US"/>
        </w:rPr>
        <w:tab/>
        <w:t>Dans la définition de « </w:t>
      </w:r>
      <w:r w:rsidRPr="00CA3533">
        <w:rPr>
          <w:rFonts w:eastAsiaTheme="minorHAnsi"/>
          <w:i/>
          <w:iCs/>
          <w:lang w:val="fr-FR" w:eastAsia="en-US"/>
        </w:rPr>
        <w:t>Évaluation de la conformité </w:t>
      </w:r>
      <w:r w:rsidRPr="00CA3533">
        <w:rPr>
          <w:rFonts w:eastAsiaTheme="minorHAnsi"/>
          <w:lang w:val="fr-FR" w:eastAsia="en-US"/>
        </w:rPr>
        <w:t>»</w:t>
      </w:r>
      <w:r w:rsidRPr="00CA3533">
        <w:rPr>
          <w:rFonts w:eastAsiaTheme="minorHAnsi"/>
          <w:i/>
          <w:iCs/>
          <w:lang w:val="fr-FR" w:eastAsia="en-US"/>
        </w:rPr>
        <w:t xml:space="preserve"> </w:t>
      </w:r>
      <w:r w:rsidRPr="00CA3533">
        <w:rPr>
          <w:rFonts w:eastAsiaTheme="minorHAnsi"/>
          <w:lang w:val="fr-FR" w:eastAsia="en-US"/>
        </w:rPr>
        <w:t>remplacer « agrément de type » par « examen de type ».</w:t>
      </w:r>
    </w:p>
    <w:p w14:paraId="3F75B076" w14:textId="77777777" w:rsidR="00944A54" w:rsidRPr="00CA3533" w:rsidRDefault="00944A54" w:rsidP="00944A54">
      <w:pPr>
        <w:spacing w:before="120" w:after="120"/>
        <w:ind w:left="2268" w:right="1134" w:hanging="1134"/>
        <w:jc w:val="both"/>
        <w:rPr>
          <w:lang w:val="fr-FR"/>
        </w:rPr>
      </w:pPr>
      <w:bookmarkStart w:id="1" w:name="_Hlk8280737"/>
      <w:r w:rsidRPr="00CA3533">
        <w:rPr>
          <w:lang w:val="fr-FR"/>
        </w:rPr>
        <w:tab/>
        <w:t>Modifier la définition de « </w:t>
      </w:r>
      <w:r w:rsidRPr="00CA3533">
        <w:rPr>
          <w:i/>
          <w:iCs/>
          <w:lang w:val="fr-FR"/>
        </w:rPr>
        <w:t>Récipient cryogénique</w:t>
      </w:r>
      <w:r w:rsidRPr="00CA3533">
        <w:rPr>
          <w:lang w:val="fr-FR"/>
        </w:rPr>
        <w:t> » pour lire comme suit :</w:t>
      </w:r>
    </w:p>
    <w:p w14:paraId="20FF83CC" w14:textId="64FC6B14" w:rsidR="00944A54" w:rsidRPr="00CA3533" w:rsidRDefault="00944A54" w:rsidP="00352FEA">
      <w:pPr>
        <w:spacing w:before="120" w:after="120"/>
        <w:ind w:left="2268" w:right="1134" w:hanging="1134"/>
        <w:jc w:val="both"/>
        <w:rPr>
          <w:lang w:val="fr-FR"/>
        </w:rPr>
      </w:pPr>
      <w:r w:rsidRPr="00CA3533">
        <w:rPr>
          <w:lang w:val="fr-FR"/>
        </w:rPr>
        <w:t>« </w:t>
      </w:r>
      <w:r w:rsidR="00B831C4" w:rsidRPr="00B831C4">
        <w:rPr>
          <w:i/>
          <w:iCs/>
          <w:lang w:val="fr-FR"/>
        </w:rPr>
        <w:t>"</w:t>
      </w:r>
      <w:r w:rsidRPr="00CA3533">
        <w:rPr>
          <w:i/>
          <w:iCs/>
          <w:lang w:val="fr-FR"/>
        </w:rPr>
        <w:t>Récipient cryogénique fermé</w:t>
      </w:r>
      <w:r w:rsidR="00B831C4" w:rsidRPr="00B831C4">
        <w:rPr>
          <w:i/>
          <w:iCs/>
          <w:lang w:val="fr-FR"/>
        </w:rPr>
        <w:t>"</w:t>
      </w:r>
      <w:r w:rsidRPr="00CA3533">
        <w:rPr>
          <w:lang w:val="fr-FR"/>
        </w:rPr>
        <w:t xml:space="preserve">, un récipient à pression isolé thermiquement pour le transport de gaz liquéfiés réfrigérés, d'une contenance en eau ne dépassant pas 1 000 </w:t>
      </w:r>
      <w:r w:rsidRPr="00CA3533">
        <w:rPr>
          <w:i/>
          <w:iCs/>
          <w:lang w:val="fr-FR"/>
        </w:rPr>
        <w:t>l </w:t>
      </w:r>
      <w:r w:rsidRPr="00CA3533">
        <w:rPr>
          <w:lang w:val="fr-FR"/>
        </w:rPr>
        <w:t>; »</w:t>
      </w:r>
    </w:p>
    <w:bookmarkEnd w:id="1"/>
    <w:p w14:paraId="250BA856" w14:textId="77777777" w:rsidR="00B831C4" w:rsidRPr="00CA3533" w:rsidRDefault="00B831C4" w:rsidP="00B831C4">
      <w:pPr>
        <w:spacing w:before="120" w:after="120"/>
        <w:ind w:left="2268" w:right="1134" w:hanging="1134"/>
        <w:jc w:val="both"/>
        <w:rPr>
          <w:lang w:val="fr-FR"/>
        </w:rPr>
      </w:pPr>
      <w:r w:rsidRPr="00CA3533">
        <w:rPr>
          <w:lang w:val="fr-FR"/>
        </w:rPr>
        <w:tab/>
        <w:t>Dans la définition de « </w:t>
      </w:r>
      <w:r w:rsidRPr="00CA3533">
        <w:rPr>
          <w:i/>
          <w:iCs/>
          <w:lang w:val="fr-FR"/>
        </w:rPr>
        <w:t>Bouteille</w:t>
      </w:r>
      <w:r w:rsidRPr="00CA3533">
        <w:rPr>
          <w:lang w:val="fr-FR"/>
        </w:rPr>
        <w:t> », supprimer « transportable ».</w:t>
      </w:r>
    </w:p>
    <w:p w14:paraId="654FC394" w14:textId="703C6CE2" w:rsidR="00CA3533" w:rsidRPr="00CA3533" w:rsidRDefault="00CA3533" w:rsidP="00CA3533">
      <w:pPr>
        <w:spacing w:after="120"/>
        <w:ind w:left="2268" w:right="1134" w:hanging="1134"/>
        <w:jc w:val="both"/>
        <w:rPr>
          <w:lang w:val="fr-FR"/>
        </w:rPr>
      </w:pPr>
      <w:r w:rsidRPr="00CA3533">
        <w:rPr>
          <w:rFonts w:eastAsiaTheme="minorHAnsi"/>
          <w:lang w:val="fr-FR" w:eastAsia="en-US"/>
        </w:rPr>
        <w:tab/>
        <w:t>Dans la définition de « </w:t>
      </w:r>
      <w:r w:rsidRPr="00CA3533">
        <w:rPr>
          <w:rFonts w:eastAsiaTheme="minorHAnsi"/>
          <w:i/>
          <w:iCs/>
          <w:lang w:val="fr-FR" w:eastAsia="en-US"/>
        </w:rPr>
        <w:t>Remplisseur</w:t>
      </w:r>
      <w:r w:rsidRPr="00CA3533">
        <w:rPr>
          <w:rFonts w:eastAsiaTheme="minorHAnsi"/>
          <w:lang w:val="fr-FR" w:eastAsia="en-US"/>
        </w:rPr>
        <w:t xml:space="preserve"> », </w:t>
      </w:r>
      <w:r w:rsidRPr="00CA3533">
        <w:rPr>
          <w:lang w:val="fr-FR"/>
        </w:rPr>
        <w:t>remplacer « petit conteneur pour vrac » par « petit conteneur pour le transport en vrac ».</w:t>
      </w:r>
    </w:p>
    <w:p w14:paraId="4592D186" w14:textId="1025CA68" w:rsidR="00247C48" w:rsidRPr="00CA3533" w:rsidRDefault="00CA3533" w:rsidP="00247C48">
      <w:pPr>
        <w:tabs>
          <w:tab w:val="left" w:pos="2268"/>
        </w:tabs>
        <w:spacing w:after="120"/>
        <w:ind w:left="2268" w:right="1134"/>
        <w:jc w:val="both"/>
        <w:rPr>
          <w:lang w:val="fr-FR"/>
        </w:rPr>
      </w:pPr>
      <w:r w:rsidRPr="00CA3533">
        <w:rPr>
          <w:lang w:val="fr-FR"/>
        </w:rPr>
        <w:tab/>
      </w:r>
      <w:r w:rsidR="00247C48">
        <w:rPr>
          <w:lang w:val="fr-FR"/>
        </w:rPr>
        <w:t>Modifier</w:t>
      </w:r>
      <w:r w:rsidR="00247C48" w:rsidRPr="00CA3533">
        <w:rPr>
          <w:lang w:val="fr-FR"/>
        </w:rPr>
        <w:t xml:space="preserve"> la définition de « SGH »</w:t>
      </w:r>
      <w:r w:rsidR="00247C48">
        <w:rPr>
          <w:lang w:val="fr-FR"/>
        </w:rPr>
        <w:t xml:space="preserve"> pour lire</w:t>
      </w:r>
      <w:r w:rsidR="00247C48" w:rsidRPr="00CA3533">
        <w:rPr>
          <w:lang w:val="fr-FR"/>
        </w:rPr>
        <w:t> :</w:t>
      </w:r>
    </w:p>
    <w:p w14:paraId="2C7CEA95" w14:textId="4FDE5050" w:rsidR="00247C48" w:rsidRPr="00CA3533" w:rsidRDefault="00247C48" w:rsidP="00405E7C">
      <w:pPr>
        <w:tabs>
          <w:tab w:val="left" w:pos="2268"/>
        </w:tabs>
        <w:spacing w:after="120"/>
        <w:ind w:left="2268" w:right="1134" w:hanging="1134"/>
        <w:jc w:val="both"/>
        <w:rPr>
          <w:lang w:val="fr-FR"/>
        </w:rPr>
      </w:pPr>
      <w:r w:rsidRPr="00CA3533">
        <w:rPr>
          <w:lang w:val="fr-FR"/>
        </w:rPr>
        <w:t>« </w:t>
      </w:r>
      <w:r w:rsidRPr="00CA3533">
        <w:rPr>
          <w:i/>
          <w:lang w:val="fr-FR"/>
        </w:rPr>
        <w:t xml:space="preserve">"Système </w:t>
      </w:r>
      <w:r w:rsidR="00F351C7">
        <w:rPr>
          <w:i/>
          <w:lang w:val="fr-FR"/>
        </w:rPr>
        <w:t>g</w:t>
      </w:r>
      <w:r w:rsidRPr="00CA3533">
        <w:rPr>
          <w:i/>
          <w:lang w:val="fr-FR"/>
        </w:rPr>
        <w:t xml:space="preserve">énéral </w:t>
      </w:r>
      <w:r w:rsidR="00F351C7">
        <w:rPr>
          <w:i/>
          <w:lang w:val="fr-FR"/>
        </w:rPr>
        <w:t>h</w:t>
      </w:r>
      <w:r w:rsidRPr="00CA3533">
        <w:rPr>
          <w:i/>
          <w:lang w:val="fr-FR"/>
        </w:rPr>
        <w:t>armonisé de classification et d'étiquetage des produits chimiques"</w:t>
      </w:r>
      <w:r w:rsidRPr="00CA3533">
        <w:rPr>
          <w:lang w:val="fr-FR"/>
        </w:rPr>
        <w:t>, la neuvième édition révisée de la publication des Nations Unies ainsi intitulée (ST/SG/AC.10/30/Rev.9) ; »</w:t>
      </w:r>
    </w:p>
    <w:p w14:paraId="6D494E86" w14:textId="7D5E3E60" w:rsidR="00DB3F27" w:rsidRDefault="00CA3533" w:rsidP="00CA3533">
      <w:pPr>
        <w:spacing w:before="120" w:after="120"/>
        <w:ind w:left="2268" w:right="1134" w:hanging="1134"/>
        <w:jc w:val="both"/>
        <w:rPr>
          <w:lang w:val="fr-FR"/>
        </w:rPr>
      </w:pPr>
      <w:r w:rsidRPr="00CA3533">
        <w:rPr>
          <w:lang w:val="fr-FR"/>
        </w:rPr>
        <w:tab/>
      </w:r>
      <w:r w:rsidR="00DB3F27">
        <w:rPr>
          <w:lang w:val="fr-FR"/>
        </w:rPr>
        <w:t>Modifier</w:t>
      </w:r>
      <w:r w:rsidRPr="00CA3533">
        <w:rPr>
          <w:lang w:val="fr-FR"/>
        </w:rPr>
        <w:t xml:space="preserve"> la définition de « </w:t>
      </w:r>
      <w:r w:rsidRPr="00CA3533">
        <w:rPr>
          <w:i/>
          <w:iCs/>
          <w:lang w:val="fr-FR"/>
        </w:rPr>
        <w:t>Manuel d’épreuves et de critères</w:t>
      </w:r>
      <w:r w:rsidRPr="00CA3533">
        <w:rPr>
          <w:lang w:val="fr-FR"/>
        </w:rPr>
        <w:t> »</w:t>
      </w:r>
      <w:r w:rsidR="00DB3F27">
        <w:rPr>
          <w:lang w:val="fr-FR"/>
        </w:rPr>
        <w:t xml:space="preserve"> pour lire :</w:t>
      </w:r>
    </w:p>
    <w:p w14:paraId="3ED4267C" w14:textId="482F119A" w:rsidR="00EE53E7" w:rsidRPr="00EE53E7" w:rsidRDefault="00EE53E7" w:rsidP="00D96260">
      <w:pPr>
        <w:tabs>
          <w:tab w:val="left" w:pos="2268"/>
        </w:tabs>
        <w:spacing w:after="120"/>
        <w:ind w:left="2268" w:right="1134" w:hanging="1134"/>
        <w:jc w:val="both"/>
        <w:rPr>
          <w:rFonts w:asciiTheme="majorBidi" w:hAnsiTheme="majorBidi" w:cstheme="majorBidi"/>
          <w:lang w:val="fr-FR" w:eastAsia="en-US"/>
        </w:rPr>
      </w:pPr>
      <w:r w:rsidRPr="00D54A97">
        <w:rPr>
          <w:rFonts w:asciiTheme="majorBidi" w:hAnsiTheme="majorBidi" w:cstheme="majorBidi"/>
          <w:iCs/>
          <w:lang w:val="fr-FR" w:eastAsia="en-US"/>
        </w:rPr>
        <w:t>« </w:t>
      </w:r>
      <w:r w:rsidR="00D54A97" w:rsidRPr="00CA3533">
        <w:rPr>
          <w:i/>
          <w:lang w:val="fr-FR"/>
        </w:rPr>
        <w:t>"</w:t>
      </w:r>
      <w:r w:rsidRPr="00EE53E7">
        <w:rPr>
          <w:rFonts w:asciiTheme="majorBidi" w:hAnsiTheme="majorBidi" w:cstheme="majorBidi"/>
          <w:i/>
          <w:lang w:val="fr-FR" w:eastAsia="en-US"/>
        </w:rPr>
        <w:t>Manuel d'épreuves et de critères</w:t>
      </w:r>
      <w:r w:rsidR="00D54A97" w:rsidRPr="00CA3533">
        <w:rPr>
          <w:i/>
          <w:lang w:val="fr-FR"/>
        </w:rPr>
        <w:t>"</w:t>
      </w:r>
      <w:r w:rsidRPr="00EE53E7">
        <w:rPr>
          <w:rFonts w:asciiTheme="majorBidi" w:hAnsiTheme="majorBidi" w:cstheme="majorBidi"/>
          <w:lang w:val="fr-FR" w:eastAsia="en-US"/>
        </w:rPr>
        <w:t xml:space="preserve">, </w:t>
      </w:r>
      <w:r w:rsidRPr="00EE53E7">
        <w:rPr>
          <w:rFonts w:asciiTheme="majorBidi" w:hAnsiTheme="majorBidi" w:cstheme="majorBidi"/>
          <w:bCs/>
          <w:lang w:val="fr-FR" w:eastAsia="en-US"/>
        </w:rPr>
        <w:t xml:space="preserve">la septième édition révisée de la publication des Nations Unies </w:t>
      </w:r>
      <w:r>
        <w:rPr>
          <w:rFonts w:asciiTheme="majorBidi" w:hAnsiTheme="majorBidi" w:cstheme="majorBidi"/>
          <w:bCs/>
          <w:lang w:val="fr-FR" w:eastAsia="en-US"/>
        </w:rPr>
        <w:t xml:space="preserve">ainsi </w:t>
      </w:r>
      <w:r w:rsidRPr="00EE53E7">
        <w:rPr>
          <w:rFonts w:asciiTheme="majorBidi" w:hAnsiTheme="majorBidi" w:cstheme="majorBidi"/>
          <w:bCs/>
          <w:lang w:val="fr-FR" w:eastAsia="en-US"/>
        </w:rPr>
        <w:t>intitulée (</w:t>
      </w:r>
      <w:r w:rsidRPr="00EE53E7">
        <w:rPr>
          <w:rFonts w:asciiTheme="majorBidi" w:hAnsiTheme="majorBidi" w:cstheme="majorBidi"/>
          <w:lang w:val="fr-FR" w:eastAsia="en-US"/>
        </w:rPr>
        <w:t>ST/SG/AC.10/11/Rev.7</w:t>
      </w:r>
      <w:r w:rsidRPr="00EE53E7">
        <w:rPr>
          <w:lang w:val="fr-FR"/>
        </w:rPr>
        <w:t xml:space="preserve"> </w:t>
      </w:r>
      <w:r w:rsidRPr="00CA3533">
        <w:rPr>
          <w:lang w:val="fr-FR"/>
        </w:rPr>
        <w:t>et Amend.1</w:t>
      </w:r>
      <w:r w:rsidRPr="00EE53E7">
        <w:rPr>
          <w:rFonts w:asciiTheme="majorBidi" w:hAnsiTheme="majorBidi" w:cstheme="majorBidi"/>
          <w:bCs/>
          <w:lang w:val="fr-FR" w:eastAsia="en-US"/>
        </w:rPr>
        <w:t>)</w:t>
      </w:r>
      <w:r w:rsidRPr="00EE53E7">
        <w:rPr>
          <w:rFonts w:asciiTheme="majorBidi" w:hAnsiTheme="majorBidi" w:cstheme="majorBidi"/>
          <w:lang w:val="fr-FR" w:eastAsia="en-US"/>
        </w:rPr>
        <w:t> ;</w:t>
      </w:r>
      <w:r w:rsidR="00D54A97" w:rsidRPr="00D54A97">
        <w:rPr>
          <w:rFonts w:asciiTheme="majorBidi" w:hAnsiTheme="majorBidi" w:cstheme="majorBidi"/>
          <w:i/>
          <w:lang w:val="fr-FR" w:eastAsia="en-US"/>
        </w:rPr>
        <w:t xml:space="preserve"> </w:t>
      </w:r>
      <w:r w:rsidR="00D54A97" w:rsidRPr="00D54A97">
        <w:rPr>
          <w:rFonts w:asciiTheme="majorBidi" w:hAnsiTheme="majorBidi" w:cstheme="majorBidi"/>
          <w:iCs/>
          <w:lang w:val="fr-FR" w:eastAsia="en-US"/>
        </w:rPr>
        <w:t>»</w:t>
      </w:r>
    </w:p>
    <w:p w14:paraId="06AC8310" w14:textId="77777777" w:rsidR="00CA3533" w:rsidRPr="00CA3533" w:rsidRDefault="00CA3533" w:rsidP="00CA3533">
      <w:pPr>
        <w:spacing w:before="120" w:after="120"/>
        <w:ind w:left="2268" w:right="1134" w:hanging="1134"/>
        <w:jc w:val="both"/>
        <w:rPr>
          <w:lang w:val="fr-FR"/>
        </w:rPr>
      </w:pPr>
      <w:r w:rsidRPr="00CA3533">
        <w:rPr>
          <w:lang w:val="fr-FR"/>
        </w:rPr>
        <w:tab/>
        <w:t>Dans la définition de « </w:t>
      </w:r>
      <w:r w:rsidRPr="00CA3533">
        <w:rPr>
          <w:i/>
          <w:iCs/>
          <w:lang w:val="fr-FR"/>
        </w:rPr>
        <w:t>Dispositif de stockage à hydrure métallique</w:t>
      </w:r>
      <w:r w:rsidRPr="00CA3533">
        <w:rPr>
          <w:lang w:val="fr-FR"/>
        </w:rPr>
        <w:t> », remplacer « un récipient » par « une enveloppe de récipient à pression ».</w:t>
      </w:r>
    </w:p>
    <w:p w14:paraId="7B712149" w14:textId="1176BADA" w:rsidR="007A2036" w:rsidRPr="00CA3533" w:rsidRDefault="00CA3533" w:rsidP="007A2036">
      <w:pPr>
        <w:spacing w:before="120" w:after="120"/>
        <w:ind w:left="2268" w:right="1134" w:hanging="1134"/>
        <w:jc w:val="both"/>
        <w:rPr>
          <w:lang w:val="fr-FR"/>
        </w:rPr>
      </w:pPr>
      <w:r w:rsidRPr="00CA3533">
        <w:rPr>
          <w:lang w:val="fr-FR"/>
        </w:rPr>
        <w:tab/>
      </w:r>
      <w:r w:rsidR="007A2036" w:rsidRPr="00CA3533">
        <w:rPr>
          <w:lang w:val="fr-FR"/>
        </w:rPr>
        <w:tab/>
        <w:t>Dans la définition de « </w:t>
      </w:r>
      <w:r w:rsidR="007A2036" w:rsidRPr="00CA3533">
        <w:rPr>
          <w:i/>
          <w:iCs/>
          <w:lang w:val="fr-FR"/>
        </w:rPr>
        <w:t>Bouteille surmoulée </w:t>
      </w:r>
      <w:r w:rsidR="007A2036" w:rsidRPr="00CA3533">
        <w:rPr>
          <w:lang w:val="fr-FR"/>
        </w:rPr>
        <w:t>», ajouter « enveloppe de » avant « bouteille intérieure en acier soudé revêtue » et « de l’enveloppe » avant « du récipient en acier ». Remplacer « enveloppe surmoulée » par « coque surmoulée ».</w:t>
      </w:r>
    </w:p>
    <w:p w14:paraId="7DE16016" w14:textId="77777777" w:rsidR="007A2036" w:rsidRPr="00CA3533" w:rsidRDefault="007A2036" w:rsidP="007A2036">
      <w:pPr>
        <w:spacing w:after="120"/>
        <w:ind w:left="2835" w:right="1134" w:hanging="567"/>
        <w:jc w:val="both"/>
        <w:rPr>
          <w:lang w:val="fr-FR"/>
        </w:rPr>
      </w:pPr>
      <w:r w:rsidRPr="00CA3533">
        <w:rPr>
          <w:lang w:val="fr-FR"/>
        </w:rPr>
        <w:t>Dans la définition de « </w:t>
      </w:r>
      <w:r w:rsidRPr="00CA3533">
        <w:rPr>
          <w:i/>
          <w:iCs/>
          <w:lang w:val="fr-FR"/>
        </w:rPr>
        <w:t>Groupe d’emballage</w:t>
      </w:r>
      <w:r w:rsidRPr="00CA3533">
        <w:rPr>
          <w:lang w:val="fr-FR"/>
        </w:rPr>
        <w:t> », supprimer le Nota.</w:t>
      </w:r>
    </w:p>
    <w:p w14:paraId="232CBD54" w14:textId="12EAE61C" w:rsidR="00CA3533" w:rsidRPr="00CA3533" w:rsidRDefault="007A2036" w:rsidP="00CA3533">
      <w:pPr>
        <w:spacing w:before="120" w:after="120"/>
        <w:ind w:left="2268" w:right="1134" w:hanging="1134"/>
        <w:jc w:val="both"/>
        <w:rPr>
          <w:lang w:val="fr-FR"/>
        </w:rPr>
      </w:pPr>
      <w:r>
        <w:rPr>
          <w:lang w:val="fr-FR"/>
        </w:rPr>
        <w:tab/>
      </w:r>
      <w:r w:rsidR="00CA3533" w:rsidRPr="00CA3533">
        <w:rPr>
          <w:lang w:val="fr-FR"/>
        </w:rPr>
        <w:t>Dans la définition de « </w:t>
      </w:r>
      <w:r w:rsidR="00CA3533" w:rsidRPr="00CA3533">
        <w:rPr>
          <w:i/>
          <w:iCs/>
          <w:lang w:val="fr-FR"/>
        </w:rPr>
        <w:t>Fût à pression</w:t>
      </w:r>
      <w:r w:rsidR="00CA3533" w:rsidRPr="00CA3533">
        <w:rPr>
          <w:lang w:val="fr-FR"/>
        </w:rPr>
        <w:t> », supprimer « transportable ».</w:t>
      </w:r>
    </w:p>
    <w:p w14:paraId="0668020E" w14:textId="556BB389" w:rsidR="00CA3533" w:rsidRPr="00CA3533" w:rsidRDefault="00CA3533" w:rsidP="00CA3533">
      <w:pPr>
        <w:spacing w:before="120" w:after="120"/>
        <w:ind w:left="2268" w:right="1134" w:hanging="1134"/>
        <w:jc w:val="both"/>
        <w:rPr>
          <w:lang w:val="fr-FR"/>
        </w:rPr>
      </w:pPr>
      <w:r w:rsidRPr="00CA3533">
        <w:rPr>
          <w:lang w:val="fr-FR"/>
        </w:rPr>
        <w:tab/>
        <w:t>Dans la définition de « </w:t>
      </w:r>
      <w:r w:rsidRPr="00CA3533">
        <w:rPr>
          <w:i/>
          <w:iCs/>
          <w:lang w:val="fr-FR"/>
        </w:rPr>
        <w:t>Récipient à pression</w:t>
      </w:r>
      <w:r w:rsidRPr="00CA3533">
        <w:rPr>
          <w:lang w:val="fr-FR"/>
        </w:rPr>
        <w:t> », au début, remplacer « </w:t>
      </w:r>
      <w:r w:rsidRPr="00CA3533">
        <w:rPr>
          <w:rFonts w:ascii="TimesNewRomanPSMT" w:hAnsi="TimesNewRomanPSMT" w:cs="TimesNewRomanPSMT"/>
          <w:lang w:val="fr-FR"/>
        </w:rPr>
        <w:t>un terme générique pour une bouteille</w:t>
      </w:r>
      <w:r w:rsidRPr="00CA3533">
        <w:rPr>
          <w:lang w:val="fr-FR"/>
        </w:rPr>
        <w:t> » par « un récipient transportable destiné à contenir des matières sous pression, avec ses fermetures et ses autres équipements de service ; il s’agit d’un terme générique pouvant désigner une bouteille ». À la fin, ajouter « (voir aussi la définition de "Enveloppe de récipient à pression") ».</w:t>
      </w:r>
    </w:p>
    <w:p w14:paraId="5F2391F3" w14:textId="77777777" w:rsidR="00CA3533" w:rsidRPr="00CA3533" w:rsidRDefault="00CA3533" w:rsidP="00CA3533">
      <w:pPr>
        <w:keepNext/>
        <w:spacing w:after="120"/>
        <w:ind w:left="2268" w:right="1134" w:hanging="1134"/>
        <w:jc w:val="both"/>
        <w:rPr>
          <w:rFonts w:eastAsia="SimSun"/>
          <w:lang w:val="fr-FR"/>
        </w:rPr>
      </w:pPr>
      <w:r w:rsidRPr="00CA3533">
        <w:rPr>
          <w:rFonts w:eastAsia="SimSun"/>
          <w:lang w:val="fr-FR"/>
        </w:rPr>
        <w:tab/>
        <w:t>La modification à la définition de « </w:t>
      </w:r>
      <w:r w:rsidRPr="00CA3533">
        <w:rPr>
          <w:rFonts w:eastAsia="SimSun"/>
          <w:i/>
          <w:iCs/>
          <w:lang w:val="fr-FR"/>
        </w:rPr>
        <w:t>Récipient</w:t>
      </w:r>
      <w:r w:rsidRPr="00CA3533">
        <w:rPr>
          <w:rFonts w:eastAsia="SimSun"/>
          <w:lang w:val="fr-FR"/>
        </w:rPr>
        <w:t> » ne s’applique pas au texte français.</w:t>
      </w:r>
    </w:p>
    <w:p w14:paraId="72A30053" w14:textId="77777777" w:rsidR="00CA3533" w:rsidRPr="00CA3533" w:rsidRDefault="00CA3533" w:rsidP="00CA3533">
      <w:pPr>
        <w:tabs>
          <w:tab w:val="left" w:pos="2268"/>
        </w:tabs>
        <w:kinsoku/>
        <w:overflowPunct/>
        <w:autoSpaceDE/>
        <w:adjustRightInd/>
        <w:snapToGrid/>
        <w:spacing w:after="120"/>
        <w:ind w:left="2268" w:right="1134" w:hanging="1134"/>
        <w:jc w:val="both"/>
        <w:rPr>
          <w:lang w:val="fr-FR" w:eastAsia="en-US"/>
        </w:rPr>
      </w:pPr>
      <w:r w:rsidRPr="00CA3533">
        <w:rPr>
          <w:lang w:val="fr-FR" w:eastAsia="en-US"/>
        </w:rPr>
        <w:tab/>
        <w:t>Modifier la définition de « </w:t>
      </w:r>
      <w:r w:rsidRPr="00CA3533">
        <w:rPr>
          <w:i/>
          <w:iCs/>
          <w:lang w:val="fr-FR" w:eastAsia="en-US"/>
        </w:rPr>
        <w:t>Matières plastiques recyclées</w:t>
      </w:r>
      <w:r w:rsidRPr="00CA3533">
        <w:rPr>
          <w:lang w:val="fr-FR" w:eastAsia="en-US"/>
        </w:rPr>
        <w:t> » pour lire comme suit :</w:t>
      </w:r>
    </w:p>
    <w:p w14:paraId="72506350" w14:textId="06F30F40" w:rsidR="00CA3533" w:rsidRPr="00CA3533" w:rsidRDefault="00CA3533" w:rsidP="00CA3533">
      <w:pPr>
        <w:tabs>
          <w:tab w:val="left" w:pos="2268"/>
        </w:tabs>
        <w:kinsoku/>
        <w:overflowPunct/>
        <w:autoSpaceDE/>
        <w:adjustRightInd/>
        <w:snapToGrid/>
        <w:spacing w:after="120"/>
        <w:ind w:left="2268" w:right="1134" w:hanging="1134"/>
        <w:jc w:val="both"/>
        <w:rPr>
          <w:lang w:val="fr-FR" w:eastAsia="en-US"/>
        </w:rPr>
      </w:pPr>
      <w:r w:rsidRPr="00CA3533">
        <w:rPr>
          <w:lang w:val="fr-FR" w:eastAsia="en-US"/>
        </w:rPr>
        <w:t>« </w:t>
      </w:r>
      <w:r w:rsidR="00711F6A" w:rsidRPr="00CA3533">
        <w:rPr>
          <w:i/>
          <w:lang w:val="fr-FR"/>
        </w:rPr>
        <w:t>"</w:t>
      </w:r>
      <w:r w:rsidRPr="00CA3533">
        <w:rPr>
          <w:i/>
          <w:iCs/>
          <w:lang w:val="fr-FR" w:eastAsia="en-US"/>
        </w:rPr>
        <w:t>Matières plastiques recyclées</w:t>
      </w:r>
      <w:r w:rsidR="00711F6A" w:rsidRPr="00CA3533">
        <w:rPr>
          <w:i/>
          <w:lang w:val="fr-FR"/>
        </w:rPr>
        <w:t>"</w:t>
      </w:r>
      <w:r w:rsidRPr="00CA3533">
        <w:rPr>
          <w:lang w:val="fr-FR" w:eastAsia="en-US"/>
        </w:rPr>
        <w:t xml:space="preserve">, des matières récupérées à partir d'emballages industriels usagés qui ont été nettoyés et préparés pour être transformés en emballages neufs. Les propriétés spécifiques du matériau recyclé utilisé pour fabriquer des emballages neufs doivent être garanties et documentées régulièrement dans le </w:t>
      </w:r>
      <w:r w:rsidRPr="00CA3533">
        <w:rPr>
          <w:lang w:val="fr-FR" w:eastAsia="en-US"/>
        </w:rPr>
        <w:lastRenderedPageBreak/>
        <w:t>cadre d'un programme d'assurance qualité reconnu par l'autorité compétente. Ce programme doit inclure un compte rendu du tri préalable approprié effectué et la vérification que tous les lots de matières plastiques recyclées présentent un indice de fluidité, une densité et une résistance à la traction appropriés correspondant à ceux du modèle type fabriqué à partir d'un tel matériau recyclé. Les informations d'assurance qualité incluent obligatoirement des informations sur le matériau d'emballage dont provient la matière plastique recyclée, ainsi que sur le contenu antérieur de ces emballages au cas où ce contenu serait susceptible de nuire aux performances du nouvel emballage produit au moyen de ce matériau. En outre, le programme d'assurance qualité appliqué par le fabricant d'emballage conformément au 6.1.1.4 doit comprendre l'exécution des épreuves mécaniques du 6.1.5 sur modèle type des emballages fabriqués à partir de chaque lot de matières plastiques recyclées. Dans ces épreuves, la résistance au gerbage peut être vérifiée par une épreuve appropriée de compression dynamique, au lieu d'une épreuve statique de charge appliquée à la face supérieure de l'emballage ;</w:t>
      </w:r>
    </w:p>
    <w:p w14:paraId="10FEFB50" w14:textId="77777777" w:rsidR="00CA3533" w:rsidRPr="00CA3533" w:rsidRDefault="00CA3533" w:rsidP="00CA3533">
      <w:pPr>
        <w:tabs>
          <w:tab w:val="left" w:pos="2268"/>
        </w:tabs>
        <w:kinsoku/>
        <w:overflowPunct/>
        <w:autoSpaceDE/>
        <w:adjustRightInd/>
        <w:snapToGrid/>
        <w:spacing w:after="120"/>
        <w:ind w:left="2268" w:right="1134" w:hanging="1134"/>
        <w:jc w:val="both"/>
        <w:rPr>
          <w:lang w:val="fr-FR" w:eastAsia="en-US"/>
        </w:rPr>
      </w:pPr>
      <w:r w:rsidRPr="00CA3533">
        <w:rPr>
          <w:lang w:val="fr-FR" w:eastAsia="en-US"/>
        </w:rPr>
        <w:tab/>
      </w:r>
      <w:r w:rsidRPr="00CA3533">
        <w:rPr>
          <w:b/>
          <w:bCs/>
          <w:i/>
          <w:iCs/>
          <w:lang w:val="fr-FR" w:eastAsia="en-US"/>
        </w:rPr>
        <w:t>NOTA :</w:t>
      </w:r>
      <w:r w:rsidRPr="00CA3533">
        <w:rPr>
          <w:i/>
          <w:iCs/>
          <w:lang w:val="fr-FR" w:eastAsia="en-US"/>
        </w:rPr>
        <w:tab/>
        <w:t>La norme ISO 16103:2005 « Emballages − Emballages de transport pour marchandises dangereuses − Matériaux plastiques recyclés », fournit des indications supplémentaires sur les procédures à suivre pour approuver l’utilisation de matières plastiques recyclées. Ces indications supplémentaires ont été élaborées sur la base de l’expérience acquise dans la fabrication de fûts et de bidons à partir de matières plastiques recyclées et, à ce titre, elles devront peut-être être adaptées à d’autres types d’emballages, GRV et grands emballages en matière plastique recyclée.</w:t>
      </w:r>
      <w:r w:rsidRPr="00CA3533">
        <w:rPr>
          <w:lang w:val="fr-FR" w:eastAsia="en-US"/>
        </w:rPr>
        <w:t> »</w:t>
      </w:r>
    </w:p>
    <w:p w14:paraId="1F299562" w14:textId="2507E720" w:rsidR="00876304" w:rsidRPr="00CA3533" w:rsidRDefault="00CA3533" w:rsidP="00876304">
      <w:pPr>
        <w:spacing w:before="120" w:after="120"/>
        <w:ind w:left="2268" w:right="1134" w:hanging="1134"/>
        <w:jc w:val="both"/>
        <w:rPr>
          <w:lang w:val="fr-FR"/>
        </w:rPr>
      </w:pPr>
      <w:r w:rsidRPr="00CA3533">
        <w:rPr>
          <w:lang w:val="fr-FR" w:eastAsia="en-US"/>
        </w:rPr>
        <w:tab/>
      </w:r>
      <w:r w:rsidR="00876304" w:rsidRPr="00CA3533">
        <w:rPr>
          <w:lang w:val="fr-FR"/>
        </w:rPr>
        <w:tab/>
        <w:t>Dans la définition de « </w:t>
      </w:r>
      <w:r w:rsidR="00876304" w:rsidRPr="00CA3533">
        <w:rPr>
          <w:i/>
          <w:iCs/>
          <w:lang w:val="fr-FR"/>
        </w:rPr>
        <w:t>Équipement de service </w:t>
      </w:r>
      <w:r w:rsidR="00876304" w:rsidRPr="00CA3533">
        <w:rPr>
          <w:lang w:val="fr-FR"/>
        </w:rPr>
        <w:t xml:space="preserve">», ajouter un nouvel alinéa </w:t>
      </w:r>
      <w:r w:rsidR="00876304">
        <w:rPr>
          <w:lang w:val="fr-FR"/>
        </w:rPr>
        <w:t>après l’alinéa c)</w:t>
      </w:r>
      <w:r w:rsidR="00876304" w:rsidRPr="00CA3533">
        <w:rPr>
          <w:lang w:val="fr-FR"/>
        </w:rPr>
        <w:t xml:space="preserve"> pour lire :</w:t>
      </w:r>
    </w:p>
    <w:p w14:paraId="1954928B" w14:textId="77777777" w:rsidR="00876304" w:rsidRPr="00CA3533" w:rsidRDefault="00876304" w:rsidP="00876304">
      <w:pPr>
        <w:spacing w:after="120"/>
        <w:ind w:left="2835" w:right="1134" w:hanging="567"/>
        <w:jc w:val="both"/>
        <w:rPr>
          <w:lang w:val="fr-FR"/>
        </w:rPr>
      </w:pPr>
      <w:r w:rsidRPr="00CA3533">
        <w:rPr>
          <w:lang w:val="fr-FR"/>
        </w:rPr>
        <w:t>« d)</w:t>
      </w:r>
      <w:r w:rsidRPr="00CA3533">
        <w:rPr>
          <w:lang w:val="fr-FR"/>
        </w:rPr>
        <w:tab/>
        <w:t>D’un récipient à pression, les fermetures, les tuyaux collecteurs, les tubulures, les matières poreuses, absorbantes ou adsorbantes ainsi que tous les dispositifs structuraux, par exemple destinés à la manutention ; »</w:t>
      </w:r>
    </w:p>
    <w:p w14:paraId="20FBDA4C" w14:textId="30B4D97A" w:rsidR="00CA3533" w:rsidRPr="00CA3533" w:rsidRDefault="00876304" w:rsidP="00CA3533">
      <w:pPr>
        <w:tabs>
          <w:tab w:val="left" w:pos="2268"/>
        </w:tabs>
        <w:kinsoku/>
        <w:overflowPunct/>
        <w:autoSpaceDE/>
        <w:adjustRightInd/>
        <w:snapToGrid/>
        <w:spacing w:after="120"/>
        <w:ind w:left="2268" w:right="1134" w:hanging="1134"/>
        <w:jc w:val="both"/>
        <w:rPr>
          <w:lang w:val="fr-FR" w:eastAsia="en-US"/>
        </w:rPr>
      </w:pPr>
      <w:r>
        <w:rPr>
          <w:lang w:val="fr-FR"/>
        </w:rPr>
        <w:tab/>
      </w:r>
      <w:r w:rsidR="00CA3533" w:rsidRPr="00CA3533">
        <w:rPr>
          <w:lang w:val="fr-FR"/>
        </w:rPr>
        <w:t>Dans la définition de « </w:t>
      </w:r>
      <w:r w:rsidR="00CA3533" w:rsidRPr="00CA3533">
        <w:rPr>
          <w:i/>
          <w:iCs/>
          <w:lang w:val="fr-FR"/>
        </w:rPr>
        <w:t>Citerne</w:t>
      </w:r>
      <w:r w:rsidR="00CA3533" w:rsidRPr="00CA3533">
        <w:rPr>
          <w:lang w:val="fr-FR"/>
        </w:rPr>
        <w:t> », supprimer le Nota à la fin.</w:t>
      </w:r>
    </w:p>
    <w:p w14:paraId="78F24BDB" w14:textId="77777777" w:rsidR="00CA3533" w:rsidRPr="00CA3533" w:rsidRDefault="00CA3533" w:rsidP="00CA3533">
      <w:pPr>
        <w:spacing w:before="120" w:after="120"/>
        <w:ind w:left="2268" w:right="1134" w:hanging="1134"/>
        <w:jc w:val="both"/>
        <w:rPr>
          <w:lang w:val="fr-FR"/>
        </w:rPr>
      </w:pPr>
      <w:r w:rsidRPr="00CA3533">
        <w:rPr>
          <w:lang w:val="fr-FR"/>
        </w:rPr>
        <w:tab/>
        <w:t>Dans la définition de « </w:t>
      </w:r>
      <w:r w:rsidRPr="00CA3533">
        <w:rPr>
          <w:i/>
          <w:iCs/>
          <w:lang w:val="fr-FR"/>
        </w:rPr>
        <w:t>Tube</w:t>
      </w:r>
      <w:r w:rsidRPr="00CA3533">
        <w:rPr>
          <w:lang w:val="fr-FR"/>
        </w:rPr>
        <w:t> », supprimer « transportable ».</w:t>
      </w:r>
    </w:p>
    <w:p w14:paraId="0254FDE2" w14:textId="77777777" w:rsidR="00CA3533" w:rsidRPr="00CA3533" w:rsidRDefault="00CA3533" w:rsidP="00CA3533">
      <w:pPr>
        <w:spacing w:before="120" w:after="120"/>
        <w:ind w:left="2268" w:right="1134" w:hanging="1134"/>
        <w:jc w:val="both"/>
        <w:rPr>
          <w:lang w:val="fr-FR"/>
        </w:rPr>
      </w:pPr>
      <w:r w:rsidRPr="00CA3533">
        <w:rPr>
          <w:lang w:val="fr-FR"/>
        </w:rPr>
        <w:tab/>
        <w:t>Dans la définition de « Règlement type de l’ONU », remplacer « vingt et unième » par « vingt-deuxième » et « ST/SG/AC.10/1/Rev.21 » par « ST/SG/AC.10/1/Rev.22 ».</w:t>
      </w:r>
    </w:p>
    <w:p w14:paraId="609FF3FB" w14:textId="77777777" w:rsidR="00876304" w:rsidRDefault="00CA3533" w:rsidP="00876304">
      <w:pPr>
        <w:spacing w:before="120" w:after="120"/>
        <w:ind w:left="3402" w:right="1134" w:hanging="1134"/>
        <w:jc w:val="both"/>
        <w:rPr>
          <w:lang w:val="fr-FR"/>
        </w:rPr>
      </w:pPr>
      <w:r w:rsidRPr="00CA3533">
        <w:rPr>
          <w:lang w:val="fr-FR"/>
        </w:rPr>
        <w:t>Modifier la définition de « </w:t>
      </w:r>
      <w:r w:rsidRPr="00CA3533">
        <w:rPr>
          <w:i/>
          <w:iCs/>
          <w:lang w:val="fr-FR"/>
        </w:rPr>
        <w:t>Pression de service</w:t>
      </w:r>
      <w:r w:rsidRPr="00CA3533">
        <w:rPr>
          <w:lang w:val="fr-FR"/>
        </w:rPr>
        <w:t xml:space="preserve"> » pour lire comme suit : </w:t>
      </w:r>
    </w:p>
    <w:p w14:paraId="3B2E5068" w14:textId="3CA74726" w:rsidR="00CA3533" w:rsidRPr="00876304" w:rsidRDefault="00CA3533" w:rsidP="009C092F">
      <w:pPr>
        <w:spacing w:before="120" w:after="120"/>
        <w:ind w:left="2268" w:right="1134" w:hanging="1134"/>
        <w:jc w:val="both"/>
        <w:rPr>
          <w:lang w:val="fr-FR"/>
        </w:rPr>
      </w:pPr>
      <w:r w:rsidRPr="00CA3533">
        <w:rPr>
          <w:lang w:val="fr-FR"/>
        </w:rPr>
        <w:t>« </w:t>
      </w:r>
      <w:r w:rsidR="00D54A97" w:rsidRPr="00CA3533">
        <w:rPr>
          <w:i/>
          <w:lang w:val="fr-FR"/>
        </w:rPr>
        <w:t>"</w:t>
      </w:r>
      <w:r w:rsidRPr="00CA3533">
        <w:rPr>
          <w:i/>
          <w:iCs/>
          <w:lang w:val="fr-FR"/>
        </w:rPr>
        <w:t>Pression de service</w:t>
      </w:r>
      <w:r w:rsidR="00D54A97" w:rsidRPr="00CA3533">
        <w:rPr>
          <w:i/>
          <w:lang w:val="fr-FR"/>
        </w:rPr>
        <w:t>"</w:t>
      </w:r>
      <w:r w:rsidRPr="00CA3533">
        <w:rPr>
          <w:i/>
          <w:iCs/>
          <w:lang w:val="fr-FR"/>
        </w:rPr>
        <w:t> </w:t>
      </w:r>
      <w:r w:rsidRPr="00CA3533">
        <w:rPr>
          <w:lang w:val="fr-FR"/>
        </w:rPr>
        <w:t>:</w:t>
      </w:r>
    </w:p>
    <w:p w14:paraId="7ACF7534" w14:textId="77777777" w:rsidR="00CA3533" w:rsidRPr="00CA3533" w:rsidRDefault="00CA3533" w:rsidP="00876304">
      <w:pPr>
        <w:spacing w:after="120"/>
        <w:ind w:left="2835" w:right="1134" w:hanging="567"/>
        <w:jc w:val="both"/>
        <w:rPr>
          <w:lang w:val="fr-FR"/>
        </w:rPr>
      </w:pPr>
      <w:r w:rsidRPr="00CA3533">
        <w:rPr>
          <w:lang w:val="fr-FR"/>
        </w:rPr>
        <w:t>a)</w:t>
      </w:r>
      <w:r w:rsidRPr="00CA3533">
        <w:rPr>
          <w:lang w:val="fr-FR"/>
        </w:rPr>
        <w:tab/>
        <w:t>Pour un gaz comprimé, la pression stabilisée à la température de référence de 15 °C dans un récipient à pression plein ;</w:t>
      </w:r>
    </w:p>
    <w:p w14:paraId="03D03A6A" w14:textId="735FDA31" w:rsidR="00CA3533" w:rsidRPr="00CA3533" w:rsidRDefault="00CA3533" w:rsidP="00876304">
      <w:pPr>
        <w:spacing w:after="120"/>
        <w:ind w:left="2835" w:right="1134" w:hanging="567"/>
        <w:jc w:val="both"/>
        <w:rPr>
          <w:lang w:val="fr-FR"/>
        </w:rPr>
      </w:pPr>
      <w:r w:rsidRPr="00CA3533">
        <w:rPr>
          <w:lang w:val="fr-FR"/>
        </w:rPr>
        <w:t>b)</w:t>
      </w:r>
      <w:r w:rsidRPr="00CA3533">
        <w:rPr>
          <w:lang w:val="fr-FR"/>
        </w:rPr>
        <w:tab/>
        <w:t>Pour le No ONU 1001, acétylène dissous, la pression stabilisée calculée à une température de référence uniforme de 15° C dans une bouteille d’acétylène contenant la quantité de solvant spécifiée et la quantité maximale d’acétylène ;</w:t>
      </w:r>
    </w:p>
    <w:p w14:paraId="665DA4FC" w14:textId="3333E005" w:rsidR="00CA3533" w:rsidRPr="00CA3533" w:rsidRDefault="00CA3533" w:rsidP="00876304">
      <w:pPr>
        <w:spacing w:after="120"/>
        <w:ind w:left="2835" w:right="1134" w:hanging="567"/>
        <w:jc w:val="both"/>
        <w:rPr>
          <w:lang w:val="fr-FR"/>
        </w:rPr>
      </w:pPr>
      <w:r w:rsidRPr="00CA3533">
        <w:rPr>
          <w:lang w:val="fr-FR"/>
        </w:rPr>
        <w:t>c)</w:t>
      </w:r>
      <w:r w:rsidRPr="00CA3533">
        <w:rPr>
          <w:lang w:val="fr-FR"/>
        </w:rPr>
        <w:tab/>
        <w:t>Pour le No ONU 3374, acétylène sans solvant, la pression de service calculée pour la bouteille équivalente pour le No ONU 1001, acétylène dissous ; »</w:t>
      </w:r>
    </w:p>
    <w:p w14:paraId="318F4565" w14:textId="77777777" w:rsidR="00CA3533" w:rsidRPr="00CA3533" w:rsidRDefault="00CA3533" w:rsidP="00CA3533">
      <w:pPr>
        <w:spacing w:after="120"/>
        <w:ind w:left="2268" w:right="1134"/>
        <w:jc w:val="both"/>
        <w:rPr>
          <w:lang w:val="fr-FR"/>
        </w:rPr>
      </w:pPr>
      <w:r w:rsidRPr="00CA3533">
        <w:rPr>
          <w:lang w:val="fr-FR"/>
        </w:rPr>
        <w:t>Le Nota reste inchangé.</w:t>
      </w:r>
    </w:p>
    <w:p w14:paraId="1E2329D4" w14:textId="77777777" w:rsidR="00CA3533" w:rsidRPr="00CA3533" w:rsidRDefault="00CA3533" w:rsidP="00CA3533">
      <w:pPr>
        <w:spacing w:before="120" w:after="120"/>
        <w:ind w:left="2268" w:right="1134" w:hanging="1134"/>
        <w:jc w:val="both"/>
        <w:rPr>
          <w:lang w:val="fr-FR"/>
        </w:rPr>
      </w:pPr>
      <w:r w:rsidRPr="00CA3533">
        <w:rPr>
          <w:lang w:val="fr-FR"/>
        </w:rPr>
        <w:tab/>
        <w:t xml:space="preserve">Ajouter les nouvelles définitions suivantes : </w:t>
      </w:r>
    </w:p>
    <w:p w14:paraId="460873E5" w14:textId="3D7F4277" w:rsidR="00CA3533" w:rsidRPr="00CA3533" w:rsidRDefault="00CA3533" w:rsidP="0093741E">
      <w:pPr>
        <w:tabs>
          <w:tab w:val="left" w:pos="1701"/>
          <w:tab w:val="left" w:pos="2268"/>
          <w:tab w:val="left" w:pos="2835"/>
        </w:tabs>
        <w:spacing w:after="120"/>
        <w:ind w:left="2268" w:right="1134" w:hanging="1134"/>
        <w:jc w:val="both"/>
        <w:rPr>
          <w:rFonts w:eastAsiaTheme="minorHAnsi"/>
          <w:lang w:val="fr-FR" w:eastAsia="en-US"/>
        </w:rPr>
      </w:pPr>
      <w:r w:rsidRPr="00CA3533">
        <w:rPr>
          <w:rFonts w:eastAsiaTheme="minorHAnsi"/>
          <w:i/>
          <w:iCs/>
          <w:lang w:val="fr-FR" w:eastAsia="en-US"/>
        </w:rPr>
        <w:t>« </w:t>
      </w:r>
      <w:r w:rsidR="00D54A97" w:rsidRPr="00CA3533">
        <w:rPr>
          <w:i/>
          <w:lang w:val="fr-FR"/>
        </w:rPr>
        <w:t>"</w:t>
      </w:r>
      <w:r w:rsidRPr="00CA3533">
        <w:rPr>
          <w:rFonts w:eastAsiaTheme="minorHAnsi"/>
          <w:i/>
          <w:iCs/>
          <w:lang w:val="fr-FR" w:eastAsia="en-US"/>
        </w:rPr>
        <w:t>Matière plastique renforcée de fibres</w:t>
      </w:r>
      <w:r w:rsidR="00D54A97" w:rsidRPr="00CA3533">
        <w:rPr>
          <w:i/>
          <w:lang w:val="fr-FR"/>
        </w:rPr>
        <w:t>"</w:t>
      </w:r>
      <w:r w:rsidRPr="00CA3533">
        <w:rPr>
          <w:rFonts w:eastAsiaTheme="minorHAnsi"/>
          <w:lang w:val="fr-FR" w:eastAsia="en-US"/>
        </w:rPr>
        <w:t>, un matériau constitué d’un renforcement fibreux ou particulaire contenu dans un matériau polymère thermodurcissable ou thermoplastique (matrice) ; »</w:t>
      </w:r>
    </w:p>
    <w:p w14:paraId="4D52F5C7" w14:textId="7B27C7FD" w:rsidR="00CA3533" w:rsidRPr="00CA3533" w:rsidRDefault="00CA3533" w:rsidP="0093741E">
      <w:pPr>
        <w:spacing w:after="120"/>
        <w:ind w:left="2268" w:right="1134" w:hanging="1134"/>
        <w:jc w:val="both"/>
        <w:rPr>
          <w:lang w:val="fr-FR"/>
        </w:rPr>
      </w:pPr>
      <w:r w:rsidRPr="00CA3533">
        <w:rPr>
          <w:lang w:val="fr-FR"/>
        </w:rPr>
        <w:lastRenderedPageBreak/>
        <w:t>« </w:t>
      </w:r>
      <w:r w:rsidR="00D54A97" w:rsidRPr="00CA3533">
        <w:rPr>
          <w:i/>
          <w:lang w:val="fr-FR"/>
        </w:rPr>
        <w:t>"</w:t>
      </w:r>
      <w:r w:rsidRPr="00CA3533">
        <w:rPr>
          <w:i/>
          <w:iCs/>
          <w:lang w:val="fr-FR"/>
        </w:rPr>
        <w:t>Réservoir intérieur</w:t>
      </w:r>
      <w:r w:rsidR="00D54A97" w:rsidRPr="00CA3533">
        <w:rPr>
          <w:i/>
          <w:lang w:val="fr-FR"/>
        </w:rPr>
        <w:t>"</w:t>
      </w:r>
      <w:r w:rsidRPr="00CA3533">
        <w:rPr>
          <w:lang w:val="fr-FR"/>
        </w:rPr>
        <w:t>, s’agissant d’un récipient cryogénique fermé, le réservoir sous pression destiné à contenir le gaz liquéfié réfrigéré ; »</w:t>
      </w:r>
    </w:p>
    <w:p w14:paraId="02ABA81E" w14:textId="11E308C5" w:rsidR="00CA3533" w:rsidRPr="00CA3533" w:rsidRDefault="00CA3533" w:rsidP="0093741E">
      <w:pPr>
        <w:spacing w:after="120"/>
        <w:ind w:left="2268" w:right="1134" w:hanging="1134"/>
        <w:jc w:val="both"/>
        <w:rPr>
          <w:lang w:val="fr-FR"/>
        </w:rPr>
      </w:pPr>
      <w:r w:rsidRPr="00CA3533">
        <w:rPr>
          <w:lang w:val="fr-FR"/>
        </w:rPr>
        <w:t>« </w:t>
      </w:r>
      <w:r w:rsidR="00D54A97" w:rsidRPr="00CA3533">
        <w:rPr>
          <w:i/>
          <w:lang w:val="fr-FR"/>
        </w:rPr>
        <w:t>"</w:t>
      </w:r>
      <w:r w:rsidRPr="00CA3533">
        <w:rPr>
          <w:i/>
          <w:iCs/>
          <w:lang w:val="fr-FR"/>
        </w:rPr>
        <w:t>Enveloppe de récipient à pression</w:t>
      </w:r>
      <w:r w:rsidR="00D54A97" w:rsidRPr="00CA3533">
        <w:rPr>
          <w:i/>
          <w:lang w:val="fr-FR"/>
        </w:rPr>
        <w:t>"</w:t>
      </w:r>
      <w:r w:rsidRPr="00CA3533">
        <w:rPr>
          <w:lang w:val="fr-FR"/>
        </w:rPr>
        <w:t>, une bouteille, un tube, un fût à pression ou un récipient à pression de secours, sans ses fermetures ou autres équipements de service, mais avec les éventuels dispositifs indémontables (par exemple, collerette, frette de pied, etc.) ;</w:t>
      </w:r>
    </w:p>
    <w:p w14:paraId="0E5D2BB1" w14:textId="77777777" w:rsidR="00CA3533" w:rsidRDefault="00CA3533" w:rsidP="00CA3533">
      <w:pPr>
        <w:spacing w:after="120"/>
        <w:ind w:left="2268" w:right="1134"/>
        <w:jc w:val="both"/>
        <w:rPr>
          <w:lang w:val="fr-FR"/>
        </w:rPr>
      </w:pPr>
      <w:r w:rsidRPr="00CA3533">
        <w:rPr>
          <w:b/>
          <w:bCs/>
          <w:i/>
          <w:iCs/>
          <w:lang w:val="fr-FR"/>
        </w:rPr>
        <w:t>NOTA </w:t>
      </w:r>
      <w:r w:rsidRPr="00CA3533">
        <w:rPr>
          <w:b/>
          <w:i/>
          <w:iCs/>
          <w:lang w:val="fr-FR"/>
        </w:rPr>
        <w:t xml:space="preserve">: </w:t>
      </w:r>
      <w:r w:rsidRPr="00CA3533">
        <w:rPr>
          <w:i/>
          <w:iCs/>
          <w:lang w:val="fr-FR"/>
        </w:rPr>
        <w:t>Les termes “enveloppe de bouteille”, “enveloppe de fût à pression” et “enveloppe de tube” sont également utilisés.</w:t>
      </w:r>
      <w:r w:rsidRPr="00CA3533">
        <w:rPr>
          <w:lang w:val="fr-FR"/>
        </w:rPr>
        <w:t> »</w:t>
      </w:r>
    </w:p>
    <w:p w14:paraId="58D350A8" w14:textId="0D153F90" w:rsidR="00044A86" w:rsidRPr="00CA3533" w:rsidRDefault="00044A86" w:rsidP="00CA3533">
      <w:pPr>
        <w:spacing w:after="120"/>
        <w:ind w:left="2268" w:right="1134"/>
        <w:jc w:val="both"/>
        <w:rPr>
          <w:i/>
          <w:lang w:val="fr-FR"/>
        </w:rPr>
      </w:pPr>
      <w:r>
        <w:rPr>
          <w:lang w:val="fr-FR"/>
        </w:rPr>
        <w:t xml:space="preserve">Supprimer les notes de bas de page * </w:t>
      </w:r>
      <w:r w:rsidR="003E00A1">
        <w:rPr>
          <w:lang w:val="fr-FR"/>
        </w:rPr>
        <w:t xml:space="preserve">pour </w:t>
      </w:r>
      <w:r w:rsidR="008A0322">
        <w:rPr>
          <w:lang w:val="fr-FR"/>
        </w:rPr>
        <w:t>« </w:t>
      </w:r>
      <w:r w:rsidR="008A0322" w:rsidRPr="008A0322">
        <w:rPr>
          <w:lang w:val="fr-FR"/>
        </w:rPr>
        <w:t>Indice de sûreté-criticité</w:t>
      </w:r>
      <w:r w:rsidR="008A0322">
        <w:rPr>
          <w:lang w:val="fr-FR"/>
        </w:rPr>
        <w:t xml:space="preserve"> », </w:t>
      </w:r>
      <w:r>
        <w:rPr>
          <w:lang w:val="fr-FR"/>
        </w:rPr>
        <w:t>**</w:t>
      </w:r>
      <w:r w:rsidR="008A0322">
        <w:rPr>
          <w:lang w:val="fr-FR"/>
        </w:rPr>
        <w:t xml:space="preserve"> pour « </w:t>
      </w:r>
      <w:r w:rsidR="003326DD" w:rsidRPr="003326DD">
        <w:rPr>
          <w:lang w:val="fr-FR"/>
        </w:rPr>
        <w:t>Indice de transport</w:t>
      </w:r>
      <w:r w:rsidR="003326DD">
        <w:rPr>
          <w:lang w:val="fr-FR"/>
        </w:rPr>
        <w:t> » et * pour « </w:t>
      </w:r>
      <w:r w:rsidR="003326DD" w:rsidRPr="003326DD">
        <w:rPr>
          <w:lang w:val="fr-FR"/>
        </w:rPr>
        <w:t>Unité mobile de fabrication d’explosifs</w:t>
      </w:r>
      <w:r w:rsidR="003326DD">
        <w:rPr>
          <w:lang w:val="fr-FR"/>
        </w:rPr>
        <w:t> »</w:t>
      </w:r>
      <w:r>
        <w:rPr>
          <w:lang w:val="fr-FR"/>
        </w:rPr>
        <w:t>.</w:t>
      </w:r>
    </w:p>
    <w:p w14:paraId="70D746AE" w14:textId="5EC0AEBF" w:rsidR="00CA3533" w:rsidRPr="00CA3533" w:rsidRDefault="00CA3533" w:rsidP="00CA3533">
      <w:pPr>
        <w:tabs>
          <w:tab w:val="left" w:pos="2268"/>
        </w:tabs>
        <w:spacing w:after="120"/>
        <w:ind w:left="1134" w:right="1134"/>
        <w:jc w:val="both"/>
        <w:rPr>
          <w:lang w:val="fr-FR"/>
        </w:rPr>
      </w:pPr>
      <w:r w:rsidRPr="00CA3533">
        <w:rPr>
          <w:lang w:val="fr-FR"/>
        </w:rPr>
        <w:tab/>
      </w:r>
      <w:r w:rsidRPr="00495A02">
        <w:rPr>
          <w:lang w:val="fr-FR"/>
        </w:rPr>
        <w:t>Supprimer les définitions suivantes :</w:t>
      </w:r>
    </w:p>
    <w:p w14:paraId="6C8E1FEB" w14:textId="65B9AAB8" w:rsidR="003C0C97" w:rsidRPr="00CA3533" w:rsidRDefault="00DE2C1C">
      <w:pPr>
        <w:tabs>
          <w:tab w:val="left" w:pos="2268"/>
        </w:tabs>
        <w:spacing w:after="120"/>
        <w:ind w:left="2268" w:right="1134"/>
        <w:jc w:val="both"/>
        <w:rPr>
          <w:lang w:val="fr-FR"/>
        </w:rPr>
      </w:pPr>
      <w:r w:rsidRPr="00CA3533">
        <w:rPr>
          <w:lang w:val="fr-FR"/>
        </w:rPr>
        <w:t xml:space="preserve">« ADN », « AIEA », « ASTM », « CEE-ONU », « CGA », « CGEM », « CIM », « CMR », « CSC », </w:t>
      </w:r>
      <w:r>
        <w:rPr>
          <w:lang w:val="fr-FR"/>
        </w:rPr>
        <w:t xml:space="preserve">« CSI », « Demandeur », </w:t>
      </w:r>
      <w:r w:rsidRPr="00CA3533">
        <w:rPr>
          <w:lang w:val="fr-FR"/>
        </w:rPr>
        <w:t xml:space="preserve">« EN », « ISO », « MEMU », « N.S.A. », « OACI », « OMI », « RID », « TDAA », </w:t>
      </w:r>
      <w:r>
        <w:rPr>
          <w:lang w:val="fr-FR"/>
        </w:rPr>
        <w:t xml:space="preserve">« TI », </w:t>
      </w:r>
      <w:r w:rsidRPr="00CA3533">
        <w:rPr>
          <w:lang w:val="fr-FR"/>
        </w:rPr>
        <w:t>« TPAA », « UIC ».</w:t>
      </w:r>
    </w:p>
    <w:p w14:paraId="4D40ADA0" w14:textId="77777777" w:rsidR="00CA3533" w:rsidRPr="00CA3533" w:rsidRDefault="00CA3533" w:rsidP="00CC51F5">
      <w:pPr>
        <w:spacing w:after="120"/>
        <w:ind w:left="2268" w:right="1134" w:hanging="1134"/>
        <w:jc w:val="both"/>
        <w:rPr>
          <w:rFonts w:eastAsiaTheme="minorHAnsi"/>
          <w:lang w:val="fr-FR" w:eastAsia="en-US"/>
        </w:rPr>
      </w:pPr>
      <w:r w:rsidRPr="00CA3533">
        <w:rPr>
          <w:rFonts w:eastAsiaTheme="minorHAnsi"/>
          <w:lang w:val="fr-FR" w:eastAsia="en-US"/>
        </w:rPr>
        <w:t>1.2.2.1</w:t>
      </w:r>
      <w:r w:rsidRPr="00CA3533">
        <w:rPr>
          <w:rFonts w:eastAsiaTheme="minorHAnsi"/>
          <w:lang w:val="fr-FR" w:eastAsia="en-US"/>
        </w:rPr>
        <w:tab/>
      </w:r>
      <w:r w:rsidRPr="00CA3533">
        <w:rPr>
          <w:rFonts w:eastAsiaTheme="minorHAnsi"/>
          <w:lang w:val="fr-FR" w:eastAsia="en-US"/>
        </w:rPr>
        <w:tab/>
        <w:t>Dans le tableau, après la ligne pour « Puissance », ajouter la nouvelle ligne suivante :</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CA3533" w:rsidRPr="00CA3533" w14:paraId="343677EB" w14:textId="77777777" w:rsidTr="00D56820">
        <w:trPr>
          <w:cantSplit/>
          <w:trHeight w:val="403"/>
        </w:trPr>
        <w:tc>
          <w:tcPr>
            <w:tcW w:w="1898" w:type="dxa"/>
            <w:vAlign w:val="center"/>
          </w:tcPr>
          <w:p w14:paraId="4551B25C" w14:textId="77777777" w:rsidR="00CA3533" w:rsidRPr="00CA3533" w:rsidRDefault="00CA3533" w:rsidP="00CA3533">
            <w:pPr>
              <w:suppressAutoHyphens w:val="0"/>
              <w:kinsoku/>
              <w:overflowPunct/>
              <w:autoSpaceDE/>
              <w:autoSpaceDN/>
              <w:adjustRightInd/>
              <w:snapToGrid/>
              <w:spacing w:before="40" w:after="40" w:line="220" w:lineRule="exact"/>
              <w:ind w:right="113"/>
              <w:jc w:val="center"/>
              <w:rPr>
                <w:lang w:val="fr-FR" w:eastAsia="en-US"/>
              </w:rPr>
            </w:pPr>
            <w:r w:rsidRPr="00CA3533">
              <w:rPr>
                <w:lang w:val="fr-FR" w:eastAsia="en-US"/>
              </w:rPr>
              <w:t>Résistance électrique</w:t>
            </w:r>
          </w:p>
        </w:tc>
        <w:tc>
          <w:tcPr>
            <w:tcW w:w="1504" w:type="dxa"/>
            <w:vAlign w:val="center"/>
          </w:tcPr>
          <w:p w14:paraId="6A344817" w14:textId="77777777" w:rsidR="00CA3533" w:rsidRPr="00CA3533" w:rsidRDefault="00CA3533" w:rsidP="00CA3533">
            <w:pPr>
              <w:suppressAutoHyphens w:val="0"/>
              <w:kinsoku/>
              <w:overflowPunct/>
              <w:autoSpaceDE/>
              <w:autoSpaceDN/>
              <w:adjustRightInd/>
              <w:snapToGrid/>
              <w:spacing w:before="40" w:after="40" w:line="220" w:lineRule="exact"/>
              <w:ind w:right="113"/>
              <w:jc w:val="center"/>
              <w:rPr>
                <w:lang w:val="fr-FR" w:eastAsia="en-US"/>
              </w:rPr>
            </w:pPr>
            <w:r w:rsidRPr="00CA3533">
              <w:rPr>
                <w:lang w:val="fr-FR" w:eastAsia="en-US"/>
              </w:rPr>
              <w:t>Ω (ohm)</w:t>
            </w:r>
          </w:p>
        </w:tc>
        <w:tc>
          <w:tcPr>
            <w:tcW w:w="1560" w:type="dxa"/>
            <w:vAlign w:val="center"/>
          </w:tcPr>
          <w:p w14:paraId="72BE7DEF" w14:textId="6F7CF720" w:rsidR="00CA3533" w:rsidRPr="00CA3533" w:rsidRDefault="00CA3533" w:rsidP="00CA3533">
            <w:pPr>
              <w:kinsoku/>
              <w:overflowPunct/>
              <w:autoSpaceDE/>
              <w:autoSpaceDN/>
              <w:adjustRightInd/>
              <w:snapToGrid/>
              <w:spacing w:after="120"/>
              <w:ind w:left="284" w:hanging="284"/>
              <w:jc w:val="center"/>
              <w:rPr>
                <w:lang w:val="fr-FR" w:eastAsia="en-US"/>
              </w:rPr>
            </w:pPr>
            <w:r w:rsidRPr="00CA3533">
              <w:rPr>
                <w:lang w:val="fr-FR" w:eastAsia="en-US"/>
              </w:rPr>
              <w:t>-</w:t>
            </w:r>
          </w:p>
        </w:tc>
        <w:tc>
          <w:tcPr>
            <w:tcW w:w="2409" w:type="dxa"/>
            <w:vAlign w:val="center"/>
          </w:tcPr>
          <w:p w14:paraId="10F22307" w14:textId="77777777" w:rsidR="00CA3533" w:rsidRPr="00CA3533" w:rsidRDefault="00CA3533" w:rsidP="00CA3533">
            <w:pPr>
              <w:kinsoku/>
              <w:overflowPunct/>
              <w:autoSpaceDE/>
              <w:autoSpaceDN/>
              <w:adjustRightInd/>
              <w:snapToGrid/>
              <w:spacing w:after="120"/>
              <w:ind w:left="284" w:hanging="284"/>
              <w:jc w:val="center"/>
              <w:rPr>
                <w:lang w:val="fr-FR" w:eastAsia="en-US"/>
              </w:rPr>
            </w:pPr>
            <w:r w:rsidRPr="00CA3533">
              <w:rPr>
                <w:lang w:val="fr-FR" w:eastAsia="en-US"/>
              </w:rPr>
              <w:t>1 Ω = 1 kg · m² / s³ / A²</w:t>
            </w:r>
          </w:p>
        </w:tc>
      </w:tr>
    </w:tbl>
    <w:p w14:paraId="1B7EA77D" w14:textId="6A50B62F" w:rsidR="00CA3533" w:rsidRPr="00CA3533" w:rsidRDefault="00CA3533" w:rsidP="00495A02">
      <w:pPr>
        <w:tabs>
          <w:tab w:val="left" w:pos="2268"/>
        </w:tabs>
        <w:spacing w:before="120" w:after="120"/>
        <w:ind w:left="1134" w:right="1134"/>
        <w:jc w:val="both"/>
        <w:rPr>
          <w:lang w:val="fr-FR"/>
        </w:rPr>
      </w:pPr>
      <w:r w:rsidRPr="00CA3533">
        <w:rPr>
          <w:lang w:val="fr-FR"/>
        </w:rPr>
        <w:t xml:space="preserve">Ajouter une nouvelle section 1.2.3 </w:t>
      </w:r>
      <w:r w:rsidR="00495A02">
        <w:rPr>
          <w:lang w:val="fr-FR"/>
        </w:rPr>
        <w:t>pour lire comme suit</w:t>
      </w:r>
      <w:r w:rsidRPr="00CA3533">
        <w:rPr>
          <w:lang w:val="fr-FR"/>
        </w:rPr>
        <w:t> :</w:t>
      </w:r>
    </w:p>
    <w:p w14:paraId="64EC3921" w14:textId="77777777" w:rsidR="00CA3533" w:rsidRPr="00CA3533" w:rsidRDefault="00CA3533" w:rsidP="00CA3533">
      <w:pPr>
        <w:tabs>
          <w:tab w:val="left" w:pos="2268"/>
          <w:tab w:val="left" w:pos="3402"/>
        </w:tabs>
        <w:spacing w:after="120"/>
        <w:ind w:left="2268" w:right="1134" w:hanging="1134"/>
        <w:jc w:val="both"/>
        <w:rPr>
          <w:lang w:val="fr-FR"/>
        </w:rPr>
      </w:pPr>
      <w:r w:rsidRPr="00CA3533">
        <w:rPr>
          <w:lang w:val="fr-FR"/>
        </w:rPr>
        <w:t>« </w:t>
      </w:r>
      <w:r w:rsidRPr="00CA3533">
        <w:rPr>
          <w:b/>
          <w:bCs/>
          <w:lang w:val="fr-FR"/>
        </w:rPr>
        <w:t>1.2.3</w:t>
      </w:r>
      <w:r w:rsidRPr="00CA3533">
        <w:rPr>
          <w:b/>
          <w:bCs/>
          <w:lang w:val="fr-FR"/>
        </w:rPr>
        <w:tab/>
        <w:t>Liste d’abréviations</w:t>
      </w:r>
    </w:p>
    <w:p w14:paraId="55589535" w14:textId="77777777" w:rsidR="00CA3533" w:rsidRPr="00CA3533" w:rsidRDefault="00CA3533" w:rsidP="00CA3533">
      <w:pPr>
        <w:tabs>
          <w:tab w:val="left" w:pos="2268"/>
          <w:tab w:val="left" w:pos="3402"/>
        </w:tabs>
        <w:spacing w:after="120"/>
        <w:ind w:left="2268" w:right="1134" w:hanging="1134"/>
        <w:jc w:val="both"/>
        <w:rPr>
          <w:lang w:val="fr-FR"/>
        </w:rPr>
      </w:pPr>
      <w:r w:rsidRPr="00CA3533">
        <w:rPr>
          <w:lang w:val="fr-FR"/>
        </w:rPr>
        <w:tab/>
        <w:t>Dans l’ADR sont utilisés des abréviations, des acronymes et des désignations abrégées de textes réglementaires, dont la signification est la suivante :</w:t>
      </w:r>
    </w:p>
    <w:p w14:paraId="4260F383"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A</w:t>
      </w:r>
    </w:p>
    <w:p w14:paraId="1C6AB997"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ADN</w:t>
      </w:r>
      <w:r w:rsidRPr="00CA3533">
        <w:rPr>
          <w:iCs/>
          <w:lang w:val="fr-FR"/>
        </w:rPr>
        <w:t>”</w:t>
      </w:r>
      <w:r w:rsidRPr="00CA3533">
        <w:rPr>
          <w:lang w:val="fr-FR"/>
        </w:rPr>
        <w:t>, Accord européen relatif au transport international des marchandises dangereuses par voies de navigation intérieures ;</w:t>
      </w:r>
    </w:p>
    <w:p w14:paraId="455E96E5" w14:textId="77777777" w:rsidR="00CA3533" w:rsidRPr="00CA3533" w:rsidRDefault="00CA3533" w:rsidP="00CA3533">
      <w:pPr>
        <w:tabs>
          <w:tab w:val="left" w:pos="2268"/>
        </w:tabs>
        <w:spacing w:after="120"/>
        <w:ind w:left="2268" w:right="1134" w:hanging="1134"/>
        <w:jc w:val="both"/>
        <w:rPr>
          <w:lang w:val="fr-FR"/>
        </w:rPr>
      </w:pPr>
      <w:r w:rsidRPr="00CA3533">
        <w:rPr>
          <w:lang w:val="fr-FR"/>
        </w:rPr>
        <w:t>“</w:t>
      </w:r>
      <w:r w:rsidRPr="00CA3533">
        <w:rPr>
          <w:i/>
          <w:iCs/>
          <w:lang w:val="fr-FR"/>
        </w:rPr>
        <w:t>AIEA</w:t>
      </w:r>
      <w:r w:rsidRPr="00CA3533">
        <w:rPr>
          <w:lang w:val="fr-FR"/>
        </w:rPr>
        <w:t>”, Agence internationale de l’énergie atomique (AIEA), (AIEA, P.O. Box 100, A</w:t>
      </w:r>
      <w:r w:rsidRPr="00CA3533">
        <w:rPr>
          <w:lang w:val="fr-FR"/>
        </w:rPr>
        <w:noBreakHyphen/>
        <w:t xml:space="preserve">1400 Vienne, Autriche), </w:t>
      </w:r>
      <w:hyperlink r:id="rId11" w:history="1">
        <w:r w:rsidRPr="00CA3533">
          <w:rPr>
            <w:bCs/>
            <w:lang w:val="fr-FR"/>
          </w:rPr>
          <w:t>www.iaea.org</w:t>
        </w:r>
      </w:hyperlink>
      <w:r w:rsidRPr="00CA3533">
        <w:rPr>
          <w:lang w:val="fr-FR"/>
        </w:rPr>
        <w:t> ;</w:t>
      </w:r>
    </w:p>
    <w:p w14:paraId="58CF9C24"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ASTM</w:t>
      </w:r>
      <w:r w:rsidRPr="00CA3533">
        <w:rPr>
          <w:iCs/>
          <w:lang w:val="fr-FR"/>
        </w:rPr>
        <w:t xml:space="preserve">”, </w:t>
      </w:r>
      <w:r w:rsidRPr="00CA3533">
        <w:rPr>
          <w:lang w:val="fr-FR"/>
        </w:rPr>
        <w:t xml:space="preserve">American Society for </w:t>
      </w:r>
      <w:proofErr w:type="spellStart"/>
      <w:r w:rsidRPr="00CA3533">
        <w:rPr>
          <w:lang w:val="fr-FR"/>
        </w:rPr>
        <w:t>Testing</w:t>
      </w:r>
      <w:proofErr w:type="spellEnd"/>
      <w:r w:rsidRPr="00CA3533">
        <w:rPr>
          <w:lang w:val="fr-FR"/>
        </w:rPr>
        <w:t xml:space="preserve"> and Materials (ASTM International, 100 Barr Harbor Drive, PO Box C700, West </w:t>
      </w:r>
      <w:proofErr w:type="spellStart"/>
      <w:r w:rsidRPr="00CA3533">
        <w:rPr>
          <w:lang w:val="fr-FR"/>
        </w:rPr>
        <w:t>Conshohocken</w:t>
      </w:r>
      <w:proofErr w:type="spellEnd"/>
      <w:r w:rsidRPr="00CA3533">
        <w:rPr>
          <w:lang w:val="fr-FR"/>
        </w:rPr>
        <w:t xml:space="preserve">, PA, 19428-2959, États-Unis d’Amérique), </w:t>
      </w:r>
      <w:hyperlink r:id="rId12" w:history="1">
        <w:r w:rsidRPr="00CA3533">
          <w:rPr>
            <w:bCs/>
            <w:lang w:val="fr-FR"/>
          </w:rPr>
          <w:t>www.astm.org</w:t>
        </w:r>
      </w:hyperlink>
      <w:r w:rsidRPr="00CA3533">
        <w:rPr>
          <w:lang w:val="fr-FR"/>
        </w:rPr>
        <w:t> ;</w:t>
      </w:r>
    </w:p>
    <w:p w14:paraId="2FA5FFD3"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C</w:t>
      </w:r>
    </w:p>
    <w:p w14:paraId="0E5406F7" w14:textId="77777777" w:rsidR="00CA3533" w:rsidRPr="00CA3533" w:rsidRDefault="00CA3533" w:rsidP="00CA3533">
      <w:pPr>
        <w:tabs>
          <w:tab w:val="left" w:pos="2268"/>
        </w:tabs>
        <w:spacing w:after="120"/>
        <w:ind w:left="2268" w:right="1134" w:hanging="1134"/>
        <w:jc w:val="both"/>
        <w:rPr>
          <w:lang w:val="fr-FR"/>
        </w:rPr>
      </w:pPr>
      <w:r w:rsidRPr="00CA3533">
        <w:rPr>
          <w:lang w:val="fr-FR"/>
        </w:rPr>
        <w:t>“</w:t>
      </w:r>
      <w:r w:rsidRPr="00CA3533">
        <w:rPr>
          <w:i/>
          <w:iCs/>
          <w:lang w:val="fr-FR"/>
        </w:rPr>
        <w:t>CEE-ONU</w:t>
      </w:r>
      <w:r w:rsidRPr="00CA3533">
        <w:rPr>
          <w:lang w:val="fr-FR"/>
        </w:rPr>
        <w:t xml:space="preserve">”, Commission Économique des Nations Unies pour l’Europe (CEE-ONU, Palais des Nations, 8-14 avenue de la Paix, CH-1211 Genève 10, Suisse), </w:t>
      </w:r>
      <w:hyperlink r:id="rId13" w:history="1">
        <w:r w:rsidRPr="00CA3533">
          <w:rPr>
            <w:bCs/>
            <w:lang w:val="fr-FR"/>
          </w:rPr>
          <w:t>www.unece.org</w:t>
        </w:r>
      </w:hyperlink>
      <w:r w:rsidRPr="00CA3533">
        <w:rPr>
          <w:lang w:val="fr-FR"/>
        </w:rPr>
        <w:t> ;</w:t>
      </w:r>
    </w:p>
    <w:p w14:paraId="489BE5E1" w14:textId="4E1C2250"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CGA</w:t>
      </w:r>
      <w:r w:rsidRPr="00CA3533">
        <w:rPr>
          <w:iCs/>
          <w:lang w:val="fr-FR"/>
        </w:rPr>
        <w:t>”, “</w:t>
      </w:r>
      <w:r w:rsidRPr="00CA3533">
        <w:rPr>
          <w:lang w:val="fr-FR"/>
        </w:rPr>
        <w:t>Compressed Gas Association” (</w:t>
      </w:r>
      <w:r w:rsidR="00B746E0" w:rsidRPr="007929E1">
        <w:rPr>
          <w:lang w:val="fr-FR"/>
        </w:rPr>
        <w:t xml:space="preserve">Compressed Gas Association, 8484 </w:t>
      </w:r>
      <w:proofErr w:type="spellStart"/>
      <w:r w:rsidR="00B746E0" w:rsidRPr="007929E1">
        <w:rPr>
          <w:lang w:val="fr-FR"/>
        </w:rPr>
        <w:t>Westpark</w:t>
      </w:r>
      <w:proofErr w:type="spellEnd"/>
      <w:r w:rsidR="00B746E0" w:rsidRPr="007929E1">
        <w:rPr>
          <w:lang w:val="fr-FR"/>
        </w:rPr>
        <w:t xml:space="preserve"> Drive, Suite 220, McLean, Virginia 22102, États-Unis d’Amérique</w:t>
      </w:r>
      <w:r w:rsidRPr="00CA3533">
        <w:rPr>
          <w:lang w:val="fr-FR"/>
        </w:rPr>
        <w:t xml:space="preserve">), </w:t>
      </w:r>
      <w:hyperlink r:id="rId14" w:history="1">
        <w:r w:rsidRPr="00CA3533">
          <w:rPr>
            <w:bCs/>
            <w:lang w:val="fr-FR"/>
          </w:rPr>
          <w:t>www.cganet.com</w:t>
        </w:r>
      </w:hyperlink>
      <w:r w:rsidRPr="00CA3533">
        <w:rPr>
          <w:lang w:val="fr-FR"/>
        </w:rPr>
        <w:t> ;</w:t>
      </w:r>
    </w:p>
    <w:p w14:paraId="1FCED2C4" w14:textId="77777777" w:rsidR="00CA3533" w:rsidRPr="00CA3533" w:rsidRDefault="00CA3533" w:rsidP="00CA3533">
      <w:pPr>
        <w:tabs>
          <w:tab w:val="left" w:pos="2268"/>
        </w:tabs>
        <w:spacing w:after="120"/>
        <w:ind w:left="2268" w:right="1134" w:hanging="1134"/>
        <w:jc w:val="both"/>
        <w:rPr>
          <w:iCs/>
          <w:lang w:val="fr-FR"/>
        </w:rPr>
      </w:pPr>
      <w:r w:rsidRPr="00CA3533">
        <w:rPr>
          <w:iCs/>
          <w:lang w:val="fr-FR"/>
        </w:rPr>
        <w:t>“</w:t>
      </w:r>
      <w:r w:rsidRPr="00CA3533">
        <w:rPr>
          <w:i/>
          <w:lang w:val="fr-FR"/>
        </w:rPr>
        <w:t>CGEM</w:t>
      </w:r>
      <w:r w:rsidRPr="00CA3533">
        <w:rPr>
          <w:iCs/>
          <w:lang w:val="fr-FR"/>
        </w:rPr>
        <w:t>”, “Conteneur à gaz à éléments multiples” (voir 1.2.1) ;</w:t>
      </w:r>
    </w:p>
    <w:p w14:paraId="5C785D80"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CIM</w:t>
      </w:r>
      <w:r w:rsidRPr="00CA3533">
        <w:rPr>
          <w:iCs/>
          <w:lang w:val="fr-FR"/>
        </w:rPr>
        <w:t xml:space="preserve">”, </w:t>
      </w:r>
      <w:r w:rsidRPr="00CA3533">
        <w:rPr>
          <w:lang w:val="fr-FR"/>
        </w:rPr>
        <w:t>Règles uniformes concernant le contrat de transport international ferroviaire des marchandises (Appendice B à la Convention relative aux transports internationaux ferroviaires (COTIF)), telles que modifiées ;</w:t>
      </w:r>
    </w:p>
    <w:p w14:paraId="10A7EF77"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CMR</w:t>
      </w:r>
      <w:r w:rsidRPr="00CA3533">
        <w:rPr>
          <w:iCs/>
          <w:lang w:val="fr-FR"/>
        </w:rPr>
        <w:t>”,</w:t>
      </w:r>
      <w:r w:rsidRPr="00CA3533">
        <w:rPr>
          <w:lang w:val="fr-FR"/>
        </w:rPr>
        <w:t xml:space="preserve"> Convention relative au contrat de transport international de marchandises par route (Genève, 19 mai 1956), telle que modifiée ;</w:t>
      </w:r>
    </w:p>
    <w:p w14:paraId="159A544B"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CSC</w:t>
      </w:r>
      <w:r w:rsidRPr="00CA3533">
        <w:rPr>
          <w:iCs/>
          <w:lang w:val="fr-FR"/>
        </w:rPr>
        <w:t xml:space="preserve">”, </w:t>
      </w:r>
      <w:r w:rsidRPr="00CA3533">
        <w:rPr>
          <w:lang w:val="fr-FR"/>
        </w:rPr>
        <w:t>Convention internationale sur la sécurité des conteneurs (Genève, 1972) telle que modifiée et publiée par l’Organisation Maritime Internationale (OMI), à Londres ;</w:t>
      </w:r>
    </w:p>
    <w:p w14:paraId="5CA06D3A"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lastRenderedPageBreak/>
        <w:t>“</w:t>
      </w:r>
      <w:r w:rsidRPr="00CA3533">
        <w:rPr>
          <w:i/>
          <w:lang w:val="fr-FR"/>
        </w:rPr>
        <w:t>CSI</w:t>
      </w:r>
      <w:r w:rsidRPr="00CA3533">
        <w:rPr>
          <w:iCs/>
          <w:lang w:val="fr-FR"/>
        </w:rPr>
        <w:t>”</w:t>
      </w:r>
      <w:r w:rsidRPr="00CA3533">
        <w:rPr>
          <w:b/>
          <w:bCs/>
          <w:iCs/>
          <w:vertAlign w:val="superscript"/>
          <w:lang w:val="fr-FR"/>
        </w:rPr>
        <w:t>*</w:t>
      </w:r>
      <w:r w:rsidRPr="00CA3533">
        <w:rPr>
          <w:iCs/>
          <w:lang w:val="fr-FR"/>
        </w:rPr>
        <w:t>,</w:t>
      </w:r>
      <w:r w:rsidRPr="00CA3533">
        <w:rPr>
          <w:i/>
          <w:lang w:val="fr-FR"/>
        </w:rPr>
        <w:t xml:space="preserve"> </w:t>
      </w:r>
      <w:r w:rsidRPr="00CA3533">
        <w:rPr>
          <w:lang w:val="fr-FR"/>
        </w:rPr>
        <w:t>“Indice de sûreté-criticité” (voir 1.2.1) ;</w:t>
      </w:r>
    </w:p>
    <w:p w14:paraId="118B3BD1"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E</w:t>
      </w:r>
    </w:p>
    <w:p w14:paraId="25826A10"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EIGA</w:t>
      </w:r>
      <w:r w:rsidRPr="00CA3533">
        <w:rPr>
          <w:iCs/>
          <w:lang w:val="fr-FR"/>
        </w:rPr>
        <w:t>”</w:t>
      </w:r>
      <w:r w:rsidRPr="00CA3533">
        <w:rPr>
          <w:b/>
          <w:bCs/>
          <w:iCs/>
          <w:vertAlign w:val="superscript"/>
          <w:lang w:val="fr-FR"/>
        </w:rPr>
        <w:t>**</w:t>
      </w:r>
      <w:r w:rsidRPr="00CA3533">
        <w:rPr>
          <w:iCs/>
          <w:lang w:val="fr-FR"/>
        </w:rPr>
        <w:t xml:space="preserve">, Association européenne des gaz industriels (EIGA, </w:t>
      </w:r>
      <w:r w:rsidRPr="00CA3533">
        <w:rPr>
          <w:lang w:val="fr-FR"/>
        </w:rPr>
        <w:t xml:space="preserve">30 Avenue de l’Astronomie, B-1210 Bruxelles, Belgique), </w:t>
      </w:r>
      <w:hyperlink r:id="rId15" w:history="1">
        <w:r w:rsidRPr="00CA3533">
          <w:rPr>
            <w:bCs/>
            <w:lang w:val="fr-FR"/>
          </w:rPr>
          <w:t>www.eiga.eu</w:t>
        </w:r>
      </w:hyperlink>
      <w:r w:rsidRPr="00CA3533">
        <w:rPr>
          <w:lang w:val="fr-FR"/>
        </w:rPr>
        <w:t> ;</w:t>
      </w:r>
    </w:p>
    <w:p w14:paraId="172BB6F1"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EN</w:t>
      </w:r>
      <w:r w:rsidRPr="00CA3533">
        <w:rPr>
          <w:iCs/>
          <w:lang w:val="fr-FR"/>
        </w:rPr>
        <w:t>”</w:t>
      </w:r>
      <w:r w:rsidRPr="00CA3533">
        <w:rPr>
          <w:lang w:val="fr-FR"/>
        </w:rPr>
        <w:t xml:space="preserve"> (norme), une norme européenne publiée par le Comité européen de normalisation (CEN) (CEN, Avenue Marnix 17, B-1000 Bruxelles, Belgique), </w:t>
      </w:r>
      <w:hyperlink r:id="rId16" w:history="1">
        <w:r w:rsidRPr="00CA3533">
          <w:rPr>
            <w:bCs/>
            <w:lang w:val="fr-FR"/>
          </w:rPr>
          <w:t>www.cen.eu</w:t>
        </w:r>
      </w:hyperlink>
      <w:r w:rsidRPr="00CA3533">
        <w:rPr>
          <w:lang w:val="fr-FR"/>
        </w:rPr>
        <w:t> ;</w:t>
      </w:r>
    </w:p>
    <w:p w14:paraId="0315E7D6"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G</w:t>
      </w:r>
    </w:p>
    <w:p w14:paraId="7A6BBDA0" w14:textId="77777777" w:rsidR="00CA3533" w:rsidRPr="00CA3533" w:rsidRDefault="00CA3533" w:rsidP="00CA3533">
      <w:pPr>
        <w:tabs>
          <w:tab w:val="left" w:pos="2268"/>
        </w:tabs>
        <w:spacing w:after="120"/>
        <w:ind w:left="2268" w:right="1134" w:hanging="1134"/>
        <w:jc w:val="both"/>
        <w:rPr>
          <w:lang w:val="fr-FR"/>
        </w:rPr>
      </w:pPr>
      <w:r w:rsidRPr="00CA3533">
        <w:rPr>
          <w:lang w:val="fr-FR"/>
        </w:rPr>
        <w:t>“</w:t>
      </w:r>
      <w:r w:rsidRPr="00CA3533">
        <w:rPr>
          <w:i/>
          <w:iCs/>
          <w:lang w:val="fr-FR"/>
        </w:rPr>
        <w:t>GNC</w:t>
      </w:r>
      <w:r w:rsidRPr="00CA3533">
        <w:rPr>
          <w:lang w:val="fr-FR"/>
        </w:rPr>
        <w:t>”, “Gaz naturel comprimé” (voir 1.2.1) ;</w:t>
      </w:r>
    </w:p>
    <w:p w14:paraId="1256AEDF"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GNL</w:t>
      </w:r>
      <w:r w:rsidRPr="00CA3533">
        <w:rPr>
          <w:iCs/>
          <w:lang w:val="fr-FR"/>
        </w:rPr>
        <w:t>”,</w:t>
      </w:r>
      <w:r w:rsidRPr="00CA3533">
        <w:rPr>
          <w:i/>
          <w:lang w:val="fr-FR"/>
        </w:rPr>
        <w:t xml:space="preserve"> </w:t>
      </w:r>
      <w:r w:rsidRPr="00CA3533">
        <w:rPr>
          <w:lang w:val="fr-FR"/>
        </w:rPr>
        <w:t>“Gaz naturel liquéfié” (voir 1.2.1) ;</w:t>
      </w:r>
    </w:p>
    <w:p w14:paraId="227F6247"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GPL</w:t>
      </w:r>
      <w:r w:rsidRPr="00CA3533">
        <w:rPr>
          <w:iCs/>
          <w:lang w:val="fr-FR"/>
        </w:rPr>
        <w:t>”,</w:t>
      </w:r>
      <w:r w:rsidRPr="00CA3533">
        <w:rPr>
          <w:i/>
          <w:lang w:val="fr-FR"/>
        </w:rPr>
        <w:t xml:space="preserve"> </w:t>
      </w:r>
      <w:r w:rsidRPr="00CA3533">
        <w:rPr>
          <w:lang w:val="fr-FR"/>
        </w:rPr>
        <w:t>“Gaz de pétrole liquéfié” (voir 1.2.1) ;</w:t>
      </w:r>
    </w:p>
    <w:p w14:paraId="0BE9F94A" w14:textId="285D310E" w:rsidR="00CA3533" w:rsidRPr="00CA3533" w:rsidRDefault="00CA3533" w:rsidP="00CA3533">
      <w:pPr>
        <w:tabs>
          <w:tab w:val="left" w:pos="2268"/>
        </w:tabs>
        <w:spacing w:after="120"/>
        <w:ind w:left="2268" w:right="1134" w:hanging="1134"/>
        <w:jc w:val="both"/>
        <w:rPr>
          <w:iCs/>
          <w:lang w:val="fr-FR"/>
        </w:rPr>
      </w:pPr>
      <w:r w:rsidRPr="00CA3533">
        <w:rPr>
          <w:lang w:val="fr-FR"/>
        </w:rPr>
        <w:t>“</w:t>
      </w:r>
      <w:r w:rsidRPr="00CA3533">
        <w:rPr>
          <w:i/>
          <w:iCs/>
          <w:lang w:val="fr-FR"/>
        </w:rPr>
        <w:t>GRV</w:t>
      </w:r>
      <w:r w:rsidRPr="00CA3533">
        <w:rPr>
          <w:lang w:val="fr-FR"/>
        </w:rPr>
        <w:t>”,</w:t>
      </w:r>
      <w:r w:rsidRPr="00CA3533">
        <w:rPr>
          <w:iCs/>
          <w:lang w:val="fr-FR"/>
        </w:rPr>
        <w:t xml:space="preserve"> “Grand récipient pour vrac”</w:t>
      </w:r>
      <w:r w:rsidRPr="00CA3533">
        <w:rPr>
          <w:lang w:val="fr-FR"/>
        </w:rPr>
        <w:t xml:space="preserve"> (voir 1.2.1)</w:t>
      </w:r>
      <w:r w:rsidRPr="00CA3533">
        <w:rPr>
          <w:iCs/>
          <w:lang w:val="fr-FR"/>
        </w:rPr>
        <w:t> ;</w:t>
      </w:r>
    </w:p>
    <w:p w14:paraId="2A0D47E7"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I</w:t>
      </w:r>
    </w:p>
    <w:p w14:paraId="5A8C2F59" w14:textId="3DD13A6B" w:rsidR="00CA3533" w:rsidRPr="00CA3533" w:rsidRDefault="00CA3533" w:rsidP="00CA3533">
      <w:pPr>
        <w:tabs>
          <w:tab w:val="left" w:pos="2268"/>
        </w:tabs>
        <w:spacing w:after="120"/>
        <w:ind w:left="2268" w:right="1134" w:hanging="1134"/>
        <w:jc w:val="both"/>
        <w:rPr>
          <w:iCs/>
          <w:lang w:val="fr-FR"/>
        </w:rPr>
      </w:pPr>
      <w:r w:rsidRPr="00CA3533">
        <w:rPr>
          <w:iCs/>
          <w:lang w:val="fr-FR"/>
        </w:rPr>
        <w:t>“</w:t>
      </w:r>
      <w:r w:rsidRPr="00CA3533">
        <w:rPr>
          <w:i/>
          <w:lang w:val="fr-FR"/>
        </w:rPr>
        <w:t>IMDG</w:t>
      </w:r>
      <w:r w:rsidRPr="00CA3533">
        <w:rPr>
          <w:iCs/>
          <w:lang w:val="fr-FR"/>
        </w:rPr>
        <w:t>”</w:t>
      </w:r>
      <w:r w:rsidR="002C5347" w:rsidRPr="00CA3533">
        <w:rPr>
          <w:b/>
          <w:bCs/>
          <w:iCs/>
          <w:vertAlign w:val="superscript"/>
          <w:lang w:val="fr-FR"/>
        </w:rPr>
        <w:t>***</w:t>
      </w:r>
      <w:r w:rsidRPr="00CA3533">
        <w:rPr>
          <w:iCs/>
          <w:lang w:val="fr-FR"/>
        </w:rPr>
        <w:t>,</w:t>
      </w:r>
      <w:r w:rsidRPr="00CA3533">
        <w:rPr>
          <w:i/>
          <w:lang w:val="fr-FR"/>
        </w:rPr>
        <w:t xml:space="preserve"> </w:t>
      </w:r>
      <w:r w:rsidRPr="00CA3533">
        <w:rPr>
          <w:iCs/>
          <w:lang w:val="fr-FR"/>
        </w:rPr>
        <w:t>voir la définition de “Code IMDG” au 1.2.1 ;</w:t>
      </w:r>
    </w:p>
    <w:p w14:paraId="4F015FA5" w14:textId="77777777" w:rsidR="00CA3533" w:rsidRPr="00CA3533" w:rsidRDefault="00CA3533" w:rsidP="00CA3533">
      <w:pPr>
        <w:tabs>
          <w:tab w:val="left" w:pos="2268"/>
        </w:tabs>
        <w:spacing w:after="120"/>
        <w:ind w:left="2268" w:right="1134" w:hanging="1134"/>
        <w:jc w:val="both"/>
        <w:rPr>
          <w:spacing w:val="-2"/>
          <w:lang w:val="fr-FR"/>
        </w:rPr>
      </w:pPr>
      <w:r w:rsidRPr="00CA3533">
        <w:rPr>
          <w:iCs/>
          <w:spacing w:val="-2"/>
          <w:lang w:val="fr-FR"/>
        </w:rPr>
        <w:t>“</w:t>
      </w:r>
      <w:r w:rsidRPr="00CA3533">
        <w:rPr>
          <w:i/>
          <w:spacing w:val="-2"/>
          <w:lang w:val="fr-FR"/>
        </w:rPr>
        <w:t>ISO</w:t>
      </w:r>
      <w:r w:rsidRPr="00CA3533">
        <w:rPr>
          <w:iCs/>
          <w:spacing w:val="-2"/>
          <w:lang w:val="fr-FR"/>
        </w:rPr>
        <w:t>”</w:t>
      </w:r>
      <w:r w:rsidRPr="00CA3533">
        <w:rPr>
          <w:b/>
          <w:bCs/>
          <w:vertAlign w:val="superscript"/>
          <w:lang w:val="fr-FR" w:eastAsia="en-US"/>
        </w:rPr>
        <w:t>†</w:t>
      </w:r>
      <w:r w:rsidRPr="00CA3533">
        <w:rPr>
          <w:spacing w:val="-2"/>
          <w:lang w:val="fr-FR"/>
        </w:rPr>
        <w:t xml:space="preserve"> (norme), une norme internationale publiée par l’Organisation internationale de normalisation (ISO), (ISO − 1, rue de </w:t>
      </w:r>
      <w:proofErr w:type="spellStart"/>
      <w:r w:rsidRPr="00CA3533">
        <w:rPr>
          <w:spacing w:val="-2"/>
          <w:lang w:val="fr-FR"/>
        </w:rPr>
        <w:t>Varembé</w:t>
      </w:r>
      <w:proofErr w:type="spellEnd"/>
      <w:r w:rsidRPr="00CA3533">
        <w:rPr>
          <w:spacing w:val="-2"/>
          <w:lang w:val="fr-FR"/>
        </w:rPr>
        <w:t xml:space="preserve">. CH-1204 Genève 20, Suisse), </w:t>
      </w:r>
      <w:hyperlink r:id="rId17" w:history="1">
        <w:r w:rsidRPr="00CA3533">
          <w:rPr>
            <w:bCs/>
            <w:spacing w:val="-2"/>
            <w:lang w:val="fr-FR"/>
          </w:rPr>
          <w:t>www.iso.org</w:t>
        </w:r>
      </w:hyperlink>
      <w:r w:rsidRPr="00CA3533">
        <w:rPr>
          <w:spacing w:val="-2"/>
          <w:lang w:val="fr-FR"/>
        </w:rPr>
        <w:t> ;</w:t>
      </w:r>
    </w:p>
    <w:p w14:paraId="02BF0F84"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L</w:t>
      </w:r>
    </w:p>
    <w:p w14:paraId="76C2F4DF"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LSA</w:t>
      </w:r>
      <w:r w:rsidRPr="00CA3533">
        <w:rPr>
          <w:iCs/>
          <w:lang w:val="fr-FR"/>
        </w:rPr>
        <w:t>”</w:t>
      </w:r>
      <w:r w:rsidRPr="00CA3533">
        <w:rPr>
          <w:b/>
          <w:bCs/>
          <w:vertAlign w:val="superscript"/>
          <w:lang w:val="fr-FR" w:eastAsia="en-US"/>
        </w:rPr>
        <w:t>††</w:t>
      </w:r>
      <w:r w:rsidRPr="00CA3533">
        <w:rPr>
          <w:i/>
          <w:lang w:val="fr-FR"/>
        </w:rPr>
        <w:t xml:space="preserve"> (matière)</w:t>
      </w:r>
      <w:r w:rsidRPr="00CA3533">
        <w:rPr>
          <w:lang w:val="fr-FR"/>
        </w:rPr>
        <w:t>, matière de faible activité spécifique (voir 2.2.7.1.3) ;</w:t>
      </w:r>
    </w:p>
    <w:p w14:paraId="3038F884"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M</w:t>
      </w:r>
    </w:p>
    <w:p w14:paraId="14A2A0EB"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t>“</w:t>
      </w:r>
      <w:bookmarkStart w:id="2" w:name="_Hlk55897905"/>
      <w:r w:rsidRPr="00CA3533">
        <w:rPr>
          <w:i/>
          <w:lang w:val="fr-FR"/>
        </w:rPr>
        <w:t>MEMU</w:t>
      </w:r>
      <w:bookmarkEnd w:id="2"/>
      <w:r w:rsidRPr="00CA3533">
        <w:rPr>
          <w:iCs/>
          <w:lang w:val="fr-FR"/>
        </w:rPr>
        <w:t>”</w:t>
      </w:r>
      <w:r w:rsidRPr="00CA3533">
        <w:rPr>
          <w:b/>
          <w:bCs/>
          <w:vertAlign w:val="superscript"/>
          <w:lang w:val="fr-FR" w:eastAsia="en-US"/>
        </w:rPr>
        <w:t>†††</w:t>
      </w:r>
      <w:r w:rsidRPr="00CA3533">
        <w:rPr>
          <w:iCs/>
          <w:lang w:val="fr-FR"/>
        </w:rPr>
        <w:t>,</w:t>
      </w:r>
      <w:r w:rsidRPr="00CA3533">
        <w:rPr>
          <w:lang w:val="fr-FR"/>
        </w:rPr>
        <w:t xml:space="preserve"> “Unité mobile de fabrication d’explosifs” (voir 1.2.1) ;</w:t>
      </w:r>
    </w:p>
    <w:p w14:paraId="3E041D5B"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N</w:t>
      </w:r>
    </w:p>
    <w:p w14:paraId="3EE6F890" w14:textId="77777777" w:rsidR="00CA3533" w:rsidRPr="00CA3533" w:rsidRDefault="00CA3533" w:rsidP="00CA3533">
      <w:pPr>
        <w:tabs>
          <w:tab w:val="left" w:pos="2268"/>
        </w:tabs>
        <w:spacing w:after="120"/>
        <w:ind w:left="2268" w:right="1134" w:hanging="1134"/>
        <w:jc w:val="both"/>
        <w:rPr>
          <w:lang w:val="fr-FR"/>
        </w:rPr>
      </w:pPr>
      <w:r w:rsidRPr="00CA3533">
        <w:rPr>
          <w:lang w:val="fr-FR"/>
        </w:rPr>
        <w:t>“</w:t>
      </w:r>
      <w:r w:rsidRPr="00CA3533">
        <w:rPr>
          <w:i/>
          <w:iCs/>
          <w:lang w:val="fr-FR"/>
        </w:rPr>
        <w:t>N.S.A.</w:t>
      </w:r>
      <w:r w:rsidRPr="00CA3533">
        <w:rPr>
          <w:lang w:val="fr-FR"/>
        </w:rPr>
        <w:t>”, “Rubrique N.S.A.” (voir 1.2.1) ;</w:t>
      </w:r>
    </w:p>
    <w:p w14:paraId="3DDA713F"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O</w:t>
      </w:r>
    </w:p>
    <w:p w14:paraId="00375BED" w14:textId="77777777" w:rsidR="00CA3533" w:rsidRPr="00CA3533" w:rsidRDefault="00CA3533" w:rsidP="00CA3533">
      <w:pPr>
        <w:tabs>
          <w:tab w:val="left" w:pos="2268"/>
        </w:tabs>
        <w:spacing w:after="120"/>
        <w:ind w:left="2268" w:right="1134" w:hanging="1134"/>
        <w:jc w:val="both"/>
        <w:rPr>
          <w:lang w:val="fr-FR"/>
        </w:rPr>
      </w:pPr>
      <w:r w:rsidRPr="00CA3533">
        <w:rPr>
          <w:lang w:val="fr-FR"/>
        </w:rPr>
        <w:t>“</w:t>
      </w:r>
      <w:r w:rsidRPr="00CA3533">
        <w:rPr>
          <w:i/>
          <w:iCs/>
          <w:lang w:val="fr-FR"/>
        </w:rPr>
        <w:t>OACI</w:t>
      </w:r>
      <w:r w:rsidRPr="00CA3533">
        <w:rPr>
          <w:lang w:val="fr-FR"/>
        </w:rPr>
        <w:t xml:space="preserve">”, Organisation de l’aviation civile internationale (OACI, 999 </w:t>
      </w:r>
      <w:proofErr w:type="spellStart"/>
      <w:r w:rsidRPr="00CA3533">
        <w:rPr>
          <w:lang w:val="fr-FR"/>
        </w:rPr>
        <w:t>University</w:t>
      </w:r>
      <w:proofErr w:type="spellEnd"/>
      <w:r w:rsidRPr="00CA3533">
        <w:rPr>
          <w:lang w:val="fr-FR"/>
        </w:rPr>
        <w:t xml:space="preserve"> Street, Montréal, Québec H3C 5H7, Canada), </w:t>
      </w:r>
      <w:hyperlink r:id="rId18" w:history="1">
        <w:r w:rsidRPr="00CA3533">
          <w:rPr>
            <w:bCs/>
            <w:lang w:val="fr-FR"/>
          </w:rPr>
          <w:t>www.icao.org</w:t>
        </w:r>
      </w:hyperlink>
      <w:r w:rsidRPr="00CA3533">
        <w:rPr>
          <w:lang w:val="fr-FR"/>
        </w:rPr>
        <w:t> ;</w:t>
      </w:r>
    </w:p>
    <w:p w14:paraId="66CE44FF" w14:textId="77777777" w:rsidR="00CA3533" w:rsidRPr="00CA3533" w:rsidRDefault="00CA3533" w:rsidP="00CA3533">
      <w:pPr>
        <w:tabs>
          <w:tab w:val="left" w:pos="2268"/>
        </w:tabs>
        <w:spacing w:after="120"/>
        <w:ind w:left="2268" w:right="1134" w:hanging="1134"/>
        <w:jc w:val="both"/>
        <w:rPr>
          <w:lang w:val="fr-FR"/>
        </w:rPr>
      </w:pPr>
      <w:r w:rsidRPr="00CA3533">
        <w:rPr>
          <w:lang w:val="fr-FR"/>
        </w:rPr>
        <w:t>“</w:t>
      </w:r>
      <w:r w:rsidRPr="00CA3533">
        <w:rPr>
          <w:i/>
          <w:iCs/>
          <w:lang w:val="fr-FR"/>
        </w:rPr>
        <w:t>OMI</w:t>
      </w:r>
      <w:r w:rsidRPr="00CA3533">
        <w:rPr>
          <w:lang w:val="fr-FR"/>
        </w:rPr>
        <w:t xml:space="preserve">”, Organisation maritime internationale (OMI, 4 Albert </w:t>
      </w:r>
      <w:proofErr w:type="spellStart"/>
      <w:r w:rsidRPr="00CA3533">
        <w:rPr>
          <w:lang w:val="fr-FR"/>
        </w:rPr>
        <w:t>Embankment</w:t>
      </w:r>
      <w:proofErr w:type="spellEnd"/>
      <w:r w:rsidRPr="00CA3533">
        <w:rPr>
          <w:lang w:val="fr-FR"/>
        </w:rPr>
        <w:t xml:space="preserve">, Londres SE1 7SR, Royaume-Uni), </w:t>
      </w:r>
      <w:hyperlink r:id="rId19" w:history="1">
        <w:r w:rsidRPr="00CA3533">
          <w:rPr>
            <w:bCs/>
            <w:lang w:val="fr-FR"/>
          </w:rPr>
          <w:t>www.imo.org</w:t>
        </w:r>
      </w:hyperlink>
      <w:r w:rsidRPr="00CA3533">
        <w:rPr>
          <w:lang w:val="fr-FR"/>
        </w:rPr>
        <w:t> ;</w:t>
      </w:r>
    </w:p>
    <w:p w14:paraId="1239E9CB"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P</w:t>
      </w:r>
    </w:p>
    <w:p w14:paraId="52CADBF9" w14:textId="77777777" w:rsidR="00CA3533" w:rsidRPr="00CA3533" w:rsidRDefault="00CA3533" w:rsidP="00CA3533">
      <w:pPr>
        <w:tabs>
          <w:tab w:val="left" w:pos="2268"/>
        </w:tabs>
        <w:spacing w:after="120"/>
        <w:ind w:left="2268" w:right="1134" w:hanging="1134"/>
        <w:jc w:val="both"/>
        <w:rPr>
          <w:b/>
          <w:bCs/>
          <w:lang w:val="fr-FR"/>
        </w:rPr>
      </w:pPr>
      <w:r w:rsidRPr="00CA3533">
        <w:rPr>
          <w:iCs/>
          <w:lang w:val="fr-FR"/>
        </w:rPr>
        <w:t>“</w:t>
      </w:r>
      <w:r w:rsidRPr="00CA3533">
        <w:rPr>
          <w:rFonts w:eastAsiaTheme="minorHAnsi"/>
          <w:i/>
          <w:iCs/>
          <w:lang w:val="fr-FR" w:eastAsia="en-US"/>
        </w:rPr>
        <w:t>PRF</w:t>
      </w:r>
      <w:r w:rsidRPr="00CA3533">
        <w:rPr>
          <w:iCs/>
          <w:lang w:val="fr-FR"/>
        </w:rPr>
        <w:t>”</w:t>
      </w:r>
      <w:r w:rsidRPr="00CA3533">
        <w:rPr>
          <w:rFonts w:eastAsiaTheme="minorHAnsi"/>
          <w:lang w:val="fr-FR" w:eastAsia="en-US"/>
        </w:rPr>
        <w:t>, Matière plastique renforcée de fibres ;</w:t>
      </w:r>
    </w:p>
    <w:p w14:paraId="4B65C762"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R</w:t>
      </w:r>
    </w:p>
    <w:p w14:paraId="1A9ED1F8" w14:textId="77777777" w:rsidR="00CA3533" w:rsidRPr="00CA3533" w:rsidRDefault="00CA3533" w:rsidP="00CA3533">
      <w:pPr>
        <w:tabs>
          <w:tab w:val="left" w:pos="2268"/>
        </w:tabs>
        <w:spacing w:after="120"/>
        <w:ind w:left="2268" w:right="1134" w:hanging="1134"/>
        <w:jc w:val="both"/>
        <w:rPr>
          <w:i/>
          <w:lang w:val="fr-FR"/>
        </w:rPr>
      </w:pPr>
      <w:r w:rsidRPr="00CA3533">
        <w:rPr>
          <w:iCs/>
          <w:lang w:val="fr-FR"/>
        </w:rPr>
        <w:t>“</w:t>
      </w:r>
      <w:r w:rsidRPr="00CA3533">
        <w:rPr>
          <w:i/>
          <w:lang w:val="fr-FR"/>
        </w:rPr>
        <w:t>RID</w:t>
      </w:r>
      <w:r w:rsidRPr="00CA3533">
        <w:rPr>
          <w:iCs/>
          <w:lang w:val="fr-FR"/>
        </w:rPr>
        <w:t>”,</w:t>
      </w:r>
      <w:r w:rsidRPr="00CA3533">
        <w:rPr>
          <w:lang w:val="fr-FR"/>
        </w:rPr>
        <w:t xml:space="preserve"> Règlement concernant le transport international ferroviaire des marchandises dangereuses, appendice C de la COTIF (Convention relative aux transports internationaux ferroviaires) ;</w:t>
      </w:r>
    </w:p>
    <w:p w14:paraId="59E9E8FD"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S</w:t>
      </w:r>
    </w:p>
    <w:p w14:paraId="7D9C2033" w14:textId="77777777"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SCO</w:t>
      </w:r>
      <w:r w:rsidRPr="00CA3533">
        <w:rPr>
          <w:iCs/>
          <w:lang w:val="fr-FR"/>
        </w:rPr>
        <w:t>”</w:t>
      </w:r>
      <w:r w:rsidRPr="00CA3533">
        <w:rPr>
          <w:b/>
          <w:bCs/>
          <w:vertAlign w:val="superscript"/>
          <w:lang w:val="fr-FR" w:eastAsia="en-US"/>
        </w:rPr>
        <w:t>‡</w:t>
      </w:r>
      <w:r w:rsidRPr="00CA3533">
        <w:rPr>
          <w:lang w:val="fr-FR"/>
        </w:rPr>
        <w:t>, objet contaminé superficiellement (voir 2.2.7.1.3) ;</w:t>
      </w:r>
    </w:p>
    <w:p w14:paraId="698C531D" w14:textId="413B7F18" w:rsidR="00CA3533" w:rsidRPr="00CA3533" w:rsidRDefault="00CA3533" w:rsidP="00CA3533">
      <w:pPr>
        <w:tabs>
          <w:tab w:val="left" w:pos="2268"/>
        </w:tabs>
        <w:spacing w:after="120"/>
        <w:ind w:left="2268" w:right="1134" w:hanging="1134"/>
        <w:jc w:val="both"/>
        <w:rPr>
          <w:lang w:val="fr-FR"/>
        </w:rPr>
      </w:pPr>
      <w:r w:rsidRPr="00CA3533">
        <w:rPr>
          <w:iCs/>
          <w:lang w:val="fr-FR"/>
        </w:rPr>
        <w:t>“</w:t>
      </w:r>
      <w:r w:rsidRPr="00CA3533">
        <w:rPr>
          <w:i/>
          <w:lang w:val="fr-FR"/>
        </w:rPr>
        <w:t>SGH</w:t>
      </w:r>
      <w:r w:rsidRPr="00CA3533">
        <w:rPr>
          <w:iCs/>
          <w:lang w:val="fr-FR"/>
        </w:rPr>
        <w:t>”,</w:t>
      </w:r>
      <w:r w:rsidRPr="00CA3533">
        <w:rPr>
          <w:lang w:val="fr-FR"/>
        </w:rPr>
        <w:t xml:space="preserve"> </w:t>
      </w:r>
      <w:r w:rsidRPr="00CA3533">
        <w:rPr>
          <w:iCs/>
          <w:lang w:val="fr-FR"/>
        </w:rPr>
        <w:t>“</w:t>
      </w:r>
      <w:r w:rsidRPr="00CA3533">
        <w:rPr>
          <w:lang w:val="fr-FR"/>
        </w:rPr>
        <w:t xml:space="preserve">Système </w:t>
      </w:r>
      <w:r w:rsidR="00002A18">
        <w:rPr>
          <w:lang w:val="fr-FR"/>
        </w:rPr>
        <w:t>g</w:t>
      </w:r>
      <w:r w:rsidRPr="00CA3533">
        <w:rPr>
          <w:lang w:val="fr-FR"/>
        </w:rPr>
        <w:t xml:space="preserve">énéral </w:t>
      </w:r>
      <w:r w:rsidR="00002A18">
        <w:rPr>
          <w:lang w:val="fr-FR"/>
        </w:rPr>
        <w:t>h</w:t>
      </w:r>
      <w:r w:rsidRPr="00CA3533">
        <w:rPr>
          <w:lang w:val="fr-FR"/>
        </w:rPr>
        <w:t xml:space="preserve">armonisé de classification et d’étiquetage des </w:t>
      </w:r>
      <w:r w:rsidRPr="00CA3533">
        <w:rPr>
          <w:iCs/>
          <w:lang w:val="fr-FR"/>
        </w:rPr>
        <w:t>produits</w:t>
      </w:r>
      <w:r w:rsidRPr="00CA3533">
        <w:rPr>
          <w:lang w:val="fr-FR"/>
        </w:rPr>
        <w:t xml:space="preserve"> chimiques</w:t>
      </w:r>
      <w:r w:rsidRPr="00CA3533">
        <w:rPr>
          <w:iCs/>
          <w:lang w:val="fr-FR"/>
        </w:rPr>
        <w:t>”</w:t>
      </w:r>
      <w:r w:rsidRPr="00CA3533">
        <w:rPr>
          <w:lang w:val="fr-FR"/>
        </w:rPr>
        <w:t xml:space="preserve"> (voir 1.2.1) ;</w:t>
      </w:r>
    </w:p>
    <w:p w14:paraId="475D72DA"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T</w:t>
      </w:r>
    </w:p>
    <w:p w14:paraId="670BDD93" w14:textId="77777777" w:rsidR="00CA3533" w:rsidRPr="00CA3533" w:rsidRDefault="00CA3533" w:rsidP="00CA3533">
      <w:pPr>
        <w:tabs>
          <w:tab w:val="left" w:pos="2268"/>
        </w:tabs>
        <w:spacing w:after="120"/>
        <w:ind w:left="2268" w:right="1134" w:hanging="1134"/>
        <w:jc w:val="both"/>
        <w:rPr>
          <w:iCs/>
          <w:lang w:val="fr-FR"/>
        </w:rPr>
      </w:pPr>
      <w:r w:rsidRPr="00CA3533">
        <w:rPr>
          <w:iCs/>
          <w:lang w:val="fr-FR"/>
        </w:rPr>
        <w:t>“</w:t>
      </w:r>
      <w:r w:rsidRPr="00CA3533">
        <w:rPr>
          <w:i/>
          <w:lang w:val="fr-FR"/>
        </w:rPr>
        <w:t>TDAA</w:t>
      </w:r>
      <w:r w:rsidRPr="00CA3533">
        <w:rPr>
          <w:iCs/>
          <w:lang w:val="fr-FR"/>
        </w:rPr>
        <w:t xml:space="preserve">”, “Température de décomposition auto-accélérée” </w:t>
      </w:r>
      <w:r w:rsidRPr="00CA3533">
        <w:rPr>
          <w:lang w:val="fr-FR"/>
        </w:rPr>
        <w:t>(voir 1.2.1)</w:t>
      </w:r>
      <w:r w:rsidRPr="00CA3533">
        <w:rPr>
          <w:iCs/>
          <w:lang w:val="fr-FR"/>
        </w:rPr>
        <w:t> ;</w:t>
      </w:r>
    </w:p>
    <w:p w14:paraId="4D403C13" w14:textId="77777777" w:rsidR="00CA3533" w:rsidRPr="00CA3533" w:rsidRDefault="00CA3533" w:rsidP="00CA3533">
      <w:pPr>
        <w:tabs>
          <w:tab w:val="left" w:pos="2268"/>
        </w:tabs>
        <w:spacing w:after="120"/>
        <w:ind w:left="2268" w:right="1134" w:hanging="1134"/>
        <w:jc w:val="both"/>
        <w:rPr>
          <w:iCs/>
          <w:lang w:val="fr-FR"/>
        </w:rPr>
      </w:pPr>
      <w:r w:rsidRPr="00CA3533">
        <w:rPr>
          <w:iCs/>
          <w:lang w:val="fr-FR"/>
        </w:rPr>
        <w:t>“</w:t>
      </w:r>
      <w:r w:rsidRPr="00CA3533">
        <w:rPr>
          <w:i/>
          <w:lang w:val="fr-FR"/>
        </w:rPr>
        <w:t>TI</w:t>
      </w:r>
      <w:r w:rsidRPr="00CA3533">
        <w:rPr>
          <w:iCs/>
          <w:lang w:val="fr-FR"/>
        </w:rPr>
        <w:t>”</w:t>
      </w:r>
      <w:r w:rsidRPr="00CA3533">
        <w:rPr>
          <w:b/>
          <w:bCs/>
          <w:vertAlign w:val="superscript"/>
          <w:lang w:val="fr-FR" w:eastAsia="en-US"/>
        </w:rPr>
        <w:t>‡‡</w:t>
      </w:r>
      <w:r w:rsidRPr="00CA3533">
        <w:rPr>
          <w:iCs/>
          <w:lang w:val="fr-FR"/>
        </w:rPr>
        <w:t>, “Indice de transport” (voir 1.2.1) ;</w:t>
      </w:r>
    </w:p>
    <w:p w14:paraId="344D7F6B" w14:textId="77777777" w:rsidR="00CA3533" w:rsidRPr="00CA3533" w:rsidRDefault="00CA3533" w:rsidP="00CA3533">
      <w:pPr>
        <w:tabs>
          <w:tab w:val="left" w:pos="2268"/>
        </w:tabs>
        <w:spacing w:after="120"/>
        <w:ind w:left="2268" w:right="1134" w:hanging="1134"/>
        <w:jc w:val="both"/>
        <w:rPr>
          <w:iCs/>
          <w:lang w:val="fr-FR"/>
        </w:rPr>
      </w:pPr>
      <w:r w:rsidRPr="00CA3533">
        <w:rPr>
          <w:iCs/>
          <w:lang w:val="fr-FR"/>
        </w:rPr>
        <w:t>“</w:t>
      </w:r>
      <w:r w:rsidRPr="00CA3533">
        <w:rPr>
          <w:i/>
          <w:lang w:val="fr-FR"/>
        </w:rPr>
        <w:t>TPAA</w:t>
      </w:r>
      <w:r w:rsidRPr="00CA3533">
        <w:rPr>
          <w:iCs/>
          <w:lang w:val="fr-FR"/>
        </w:rPr>
        <w:t xml:space="preserve">”, “Température de polymérisation auto-accélérée” </w:t>
      </w:r>
      <w:r w:rsidRPr="00CA3533">
        <w:rPr>
          <w:lang w:val="fr-FR"/>
        </w:rPr>
        <w:t>(voir 1.2.1)</w:t>
      </w:r>
      <w:r w:rsidRPr="00CA3533">
        <w:rPr>
          <w:iCs/>
          <w:lang w:val="fr-FR"/>
        </w:rPr>
        <w:t> ;</w:t>
      </w:r>
    </w:p>
    <w:p w14:paraId="1C1DEF89" w14:textId="77777777" w:rsidR="00CA3533" w:rsidRPr="00CA3533" w:rsidRDefault="00CA3533" w:rsidP="00CA3533">
      <w:pPr>
        <w:tabs>
          <w:tab w:val="left" w:pos="2268"/>
        </w:tabs>
        <w:spacing w:after="120"/>
        <w:ind w:left="2268" w:right="1134" w:hanging="1134"/>
        <w:jc w:val="both"/>
        <w:rPr>
          <w:b/>
          <w:bCs/>
          <w:lang w:val="fr-FR"/>
        </w:rPr>
      </w:pPr>
      <w:r w:rsidRPr="00CA3533">
        <w:rPr>
          <w:b/>
          <w:bCs/>
          <w:lang w:val="fr-FR"/>
        </w:rPr>
        <w:t>U</w:t>
      </w:r>
    </w:p>
    <w:p w14:paraId="437B0F12" w14:textId="0838A345" w:rsidR="00CA3533" w:rsidRPr="00CA3533" w:rsidRDefault="00CA3533" w:rsidP="00CA3533">
      <w:pPr>
        <w:tabs>
          <w:tab w:val="left" w:pos="2268"/>
        </w:tabs>
        <w:spacing w:after="120"/>
        <w:ind w:left="2268" w:right="1134" w:hanging="1134"/>
        <w:jc w:val="both"/>
        <w:rPr>
          <w:lang w:val="fr-FR"/>
        </w:rPr>
      </w:pPr>
      <w:r w:rsidRPr="00CA3533">
        <w:rPr>
          <w:iCs/>
          <w:lang w:val="fr-FR"/>
        </w:rPr>
        <w:lastRenderedPageBreak/>
        <w:t>“</w:t>
      </w:r>
      <w:r w:rsidRPr="00CA3533">
        <w:rPr>
          <w:i/>
          <w:lang w:val="fr-FR"/>
        </w:rPr>
        <w:t>UIC</w:t>
      </w:r>
      <w:r w:rsidRPr="00CA3533">
        <w:rPr>
          <w:iCs/>
          <w:lang w:val="fr-FR"/>
        </w:rPr>
        <w:t>”</w:t>
      </w:r>
      <w:r w:rsidRPr="00CA3533">
        <w:rPr>
          <w:lang w:val="fr-FR"/>
        </w:rPr>
        <w:t xml:space="preserve">, Union Internationale des Chemins de Fer (UIC, 16 rue Jean Rey, F-75015 Paris, France), </w:t>
      </w:r>
      <w:hyperlink r:id="rId20" w:history="1">
        <w:r w:rsidRPr="00CA3533">
          <w:rPr>
            <w:bCs/>
            <w:lang w:val="fr-FR"/>
          </w:rPr>
          <w:t>www.uic.org</w:t>
        </w:r>
      </w:hyperlink>
      <w:r w:rsidR="009F7787">
        <w:rPr>
          <w:lang w:val="fr-FR"/>
        </w:rPr>
        <w:t>.</w:t>
      </w:r>
      <w:r w:rsidRPr="00CA3533">
        <w:rPr>
          <w:lang w:val="fr-FR"/>
        </w:rPr>
        <w:t> »</w:t>
      </w:r>
    </w:p>
    <w:p w14:paraId="62FDF722" w14:textId="77777777" w:rsidR="00CA3533" w:rsidRPr="00CA3533" w:rsidRDefault="00CA3533" w:rsidP="00A31229">
      <w:pPr>
        <w:spacing w:after="120"/>
        <w:ind w:left="2268" w:right="1134"/>
        <w:jc w:val="both"/>
        <w:rPr>
          <w:lang w:val="fr-FR" w:eastAsia="en-GB"/>
        </w:rPr>
      </w:pPr>
      <w:bookmarkStart w:id="3" w:name="_Hlk85617399"/>
      <w:r w:rsidRPr="00CA3533">
        <w:rPr>
          <w:lang w:val="fr-FR" w:eastAsia="en-GB"/>
        </w:rPr>
        <w:t xml:space="preserve">Dans la version française, les notes de bas de page </w:t>
      </w:r>
      <w:r w:rsidRPr="00CA3533">
        <w:rPr>
          <w:b/>
          <w:bCs/>
          <w:vertAlign w:val="superscript"/>
          <w:lang w:val="fr-FR" w:eastAsia="en-GB"/>
        </w:rPr>
        <w:t>*</w:t>
      </w:r>
      <w:r w:rsidRPr="00CA3533">
        <w:rPr>
          <w:lang w:val="fr-FR" w:eastAsia="en-GB"/>
        </w:rPr>
        <w:t xml:space="preserve">, </w:t>
      </w:r>
      <w:r w:rsidRPr="00CA3533">
        <w:rPr>
          <w:b/>
          <w:bCs/>
          <w:vertAlign w:val="superscript"/>
          <w:lang w:val="fr-FR" w:eastAsia="en-GB"/>
        </w:rPr>
        <w:t>**</w:t>
      </w:r>
      <w:r w:rsidRPr="00CA3533">
        <w:rPr>
          <w:lang w:val="fr-FR" w:eastAsia="en-GB"/>
        </w:rPr>
        <w:t xml:space="preserve">, </w:t>
      </w:r>
      <w:r w:rsidRPr="00CA3533">
        <w:rPr>
          <w:b/>
          <w:bCs/>
          <w:vertAlign w:val="superscript"/>
          <w:lang w:val="fr-FR" w:eastAsia="en-GB"/>
        </w:rPr>
        <w:t>***</w:t>
      </w:r>
      <w:r w:rsidRPr="00CA3533">
        <w:rPr>
          <w:lang w:val="fr-FR" w:eastAsia="en-GB"/>
        </w:rPr>
        <w:t xml:space="preserve">, </w:t>
      </w:r>
      <w:r w:rsidRPr="00CA3533">
        <w:rPr>
          <w:b/>
          <w:bCs/>
          <w:vertAlign w:val="superscript"/>
          <w:lang w:val="fr-FR" w:eastAsia="en-US"/>
        </w:rPr>
        <w:t>†</w:t>
      </w:r>
      <w:r w:rsidRPr="00CA3533">
        <w:rPr>
          <w:lang w:val="fr-FR" w:eastAsia="en-GB"/>
        </w:rPr>
        <w:t xml:space="preserve">, </w:t>
      </w:r>
      <w:r w:rsidRPr="00CA3533">
        <w:rPr>
          <w:b/>
          <w:bCs/>
          <w:vertAlign w:val="superscript"/>
          <w:lang w:val="fr-FR" w:eastAsia="en-US"/>
        </w:rPr>
        <w:t>††</w:t>
      </w:r>
      <w:r w:rsidRPr="00CA3533">
        <w:rPr>
          <w:lang w:val="fr-FR" w:eastAsia="en-GB"/>
        </w:rPr>
        <w:t xml:space="preserve">, </w:t>
      </w:r>
      <w:r w:rsidRPr="00CA3533">
        <w:rPr>
          <w:b/>
          <w:bCs/>
          <w:vertAlign w:val="superscript"/>
          <w:lang w:val="fr-FR" w:eastAsia="en-US"/>
        </w:rPr>
        <w:t>†††</w:t>
      </w:r>
      <w:r w:rsidRPr="00CA3533">
        <w:rPr>
          <w:lang w:val="fr-FR" w:eastAsia="en-GB"/>
        </w:rPr>
        <w:t xml:space="preserve">, </w:t>
      </w:r>
      <w:r w:rsidRPr="00CA3533">
        <w:rPr>
          <w:b/>
          <w:bCs/>
          <w:vertAlign w:val="superscript"/>
          <w:lang w:val="fr-FR" w:eastAsia="en-US"/>
        </w:rPr>
        <w:t>‡</w:t>
      </w:r>
      <w:r w:rsidRPr="00CA3533">
        <w:rPr>
          <w:lang w:val="fr-FR" w:eastAsia="en-GB"/>
        </w:rPr>
        <w:t xml:space="preserve">, </w:t>
      </w:r>
      <w:r w:rsidRPr="00CA3533">
        <w:rPr>
          <w:b/>
          <w:bCs/>
          <w:vertAlign w:val="superscript"/>
          <w:lang w:val="fr-FR" w:eastAsia="en-US"/>
        </w:rPr>
        <w:t>‡‡</w:t>
      </w:r>
      <w:r w:rsidRPr="00CA3533">
        <w:rPr>
          <w:lang w:val="fr-FR" w:eastAsia="en-GB"/>
        </w:rPr>
        <w:t xml:space="preserve"> se lisent comme suit :</w:t>
      </w:r>
    </w:p>
    <w:p w14:paraId="43FECC23" w14:textId="20B9569E" w:rsidR="00CA3533" w:rsidRPr="00CA3533" w:rsidRDefault="00CA3533" w:rsidP="00A21EBB">
      <w:pPr>
        <w:tabs>
          <w:tab w:val="left" w:pos="2268"/>
        </w:tabs>
        <w:spacing w:after="120"/>
        <w:ind w:left="2268" w:right="1134" w:hanging="1134"/>
        <w:jc w:val="both"/>
        <w:rPr>
          <w:b/>
          <w:bCs/>
          <w:vertAlign w:val="superscript"/>
          <w:lang w:val="fr-FR"/>
        </w:rPr>
      </w:pPr>
      <w:r w:rsidRPr="00CA3533">
        <w:rPr>
          <w:lang w:val="fr-FR" w:eastAsia="en-GB"/>
        </w:rPr>
        <w:t>« </w:t>
      </w:r>
      <w:r w:rsidRPr="00CA3533">
        <w:rPr>
          <w:b/>
          <w:bCs/>
          <w:vertAlign w:val="superscript"/>
          <w:lang w:val="fr-FR"/>
        </w:rPr>
        <w:t xml:space="preserve">* </w:t>
      </w:r>
      <w:r w:rsidR="009E7903">
        <w:rPr>
          <w:b/>
          <w:bCs/>
          <w:vertAlign w:val="superscript"/>
          <w:lang w:val="fr-FR"/>
        </w:rPr>
        <w:tab/>
      </w:r>
      <w:r w:rsidRPr="00CA3533">
        <w:rPr>
          <w:lang w:val="fr-FR"/>
        </w:rPr>
        <w:t>L’acronyme « CSI » correspond au terme anglais « </w:t>
      </w:r>
      <w:proofErr w:type="spellStart"/>
      <w:r w:rsidRPr="00CA3533">
        <w:rPr>
          <w:lang w:val="fr-FR"/>
        </w:rPr>
        <w:t>Criticality</w:t>
      </w:r>
      <w:proofErr w:type="spellEnd"/>
      <w:r w:rsidRPr="00CA3533">
        <w:rPr>
          <w:lang w:val="fr-FR"/>
        </w:rPr>
        <w:t xml:space="preserve"> </w:t>
      </w:r>
      <w:proofErr w:type="spellStart"/>
      <w:r w:rsidRPr="00CA3533">
        <w:rPr>
          <w:lang w:val="fr-FR"/>
        </w:rPr>
        <w:t>Safety</w:t>
      </w:r>
      <w:proofErr w:type="spellEnd"/>
      <w:r w:rsidRPr="00CA3533">
        <w:rPr>
          <w:lang w:val="fr-FR"/>
        </w:rPr>
        <w:t xml:space="preserve"> Index »</w:t>
      </w:r>
      <w:r w:rsidR="00A21EBB">
        <w:rPr>
          <w:lang w:val="fr-FR"/>
        </w:rPr>
        <w:t>. »</w:t>
      </w:r>
    </w:p>
    <w:p w14:paraId="20EA2D10" w14:textId="51BFFF7D" w:rsidR="00CA3533" w:rsidRPr="00CA3533" w:rsidRDefault="00A21EBB" w:rsidP="00CA3533">
      <w:pPr>
        <w:tabs>
          <w:tab w:val="left" w:pos="2268"/>
        </w:tabs>
        <w:spacing w:after="120"/>
        <w:ind w:left="2268" w:right="1134" w:hanging="1134"/>
        <w:jc w:val="both"/>
        <w:rPr>
          <w:lang w:val="fr-FR"/>
        </w:rPr>
      </w:pPr>
      <w:r>
        <w:rPr>
          <w:b/>
          <w:bCs/>
          <w:vertAlign w:val="superscript"/>
          <w:lang w:val="fr-FR"/>
        </w:rPr>
        <w:t>« </w:t>
      </w:r>
      <w:r w:rsidR="00CA3533" w:rsidRPr="00CA3533">
        <w:rPr>
          <w:b/>
          <w:bCs/>
          <w:vertAlign w:val="superscript"/>
          <w:lang w:val="fr-FR"/>
        </w:rPr>
        <w:t xml:space="preserve">** </w:t>
      </w:r>
      <w:r w:rsidR="009E7903">
        <w:rPr>
          <w:b/>
          <w:bCs/>
          <w:vertAlign w:val="superscript"/>
          <w:lang w:val="fr-FR"/>
        </w:rPr>
        <w:tab/>
      </w:r>
      <w:r w:rsidR="00CA3533" w:rsidRPr="00CA3533">
        <w:rPr>
          <w:lang w:val="fr-FR"/>
        </w:rPr>
        <w:t>L’acronyme « EIGA » correspond au terme anglais « </w:t>
      </w:r>
      <w:proofErr w:type="spellStart"/>
      <w:r w:rsidR="00CA3533" w:rsidRPr="00CA3533">
        <w:rPr>
          <w:lang w:val="fr-FR"/>
        </w:rPr>
        <w:t>European</w:t>
      </w:r>
      <w:proofErr w:type="spellEnd"/>
      <w:r w:rsidR="00CA3533" w:rsidRPr="00CA3533">
        <w:rPr>
          <w:lang w:val="fr-FR"/>
        </w:rPr>
        <w:t xml:space="preserve"> </w:t>
      </w:r>
      <w:proofErr w:type="spellStart"/>
      <w:r w:rsidR="00CA3533" w:rsidRPr="00CA3533">
        <w:rPr>
          <w:lang w:val="fr-FR"/>
        </w:rPr>
        <w:t>Industrial</w:t>
      </w:r>
      <w:proofErr w:type="spellEnd"/>
      <w:r w:rsidR="00CA3533" w:rsidRPr="00CA3533">
        <w:rPr>
          <w:lang w:val="fr-FR"/>
        </w:rPr>
        <w:t xml:space="preserve"> </w:t>
      </w:r>
      <w:proofErr w:type="spellStart"/>
      <w:r w:rsidR="00CA3533" w:rsidRPr="00CA3533">
        <w:rPr>
          <w:lang w:val="fr-FR"/>
        </w:rPr>
        <w:t>Gases</w:t>
      </w:r>
      <w:proofErr w:type="spellEnd"/>
      <w:r w:rsidR="00CA3533" w:rsidRPr="00CA3533">
        <w:rPr>
          <w:lang w:val="fr-FR"/>
        </w:rPr>
        <w:t xml:space="preserve"> Association ».</w:t>
      </w:r>
      <w:r>
        <w:rPr>
          <w:lang w:val="fr-FR"/>
        </w:rPr>
        <w:t> »</w:t>
      </w:r>
    </w:p>
    <w:p w14:paraId="52CF8A31" w14:textId="567BD31F" w:rsidR="00CA3533" w:rsidRPr="00CA3533" w:rsidRDefault="00A21EBB" w:rsidP="00CA3533">
      <w:pPr>
        <w:tabs>
          <w:tab w:val="left" w:pos="2268"/>
        </w:tabs>
        <w:spacing w:after="120"/>
        <w:ind w:left="2268" w:right="1134" w:hanging="1134"/>
        <w:jc w:val="both"/>
        <w:rPr>
          <w:lang w:val="fr-FR"/>
        </w:rPr>
      </w:pPr>
      <w:r>
        <w:rPr>
          <w:b/>
          <w:bCs/>
          <w:vertAlign w:val="superscript"/>
          <w:lang w:val="fr-FR"/>
        </w:rPr>
        <w:t>« </w:t>
      </w:r>
      <w:r w:rsidR="00CA3533" w:rsidRPr="00CA3533">
        <w:rPr>
          <w:b/>
          <w:bCs/>
          <w:vertAlign w:val="superscript"/>
          <w:lang w:val="fr-FR"/>
        </w:rPr>
        <w:t xml:space="preserve">*** </w:t>
      </w:r>
      <w:r w:rsidR="009E7903">
        <w:rPr>
          <w:b/>
          <w:bCs/>
          <w:vertAlign w:val="superscript"/>
          <w:lang w:val="fr-FR"/>
        </w:rPr>
        <w:tab/>
      </w:r>
      <w:r w:rsidR="00CA3533" w:rsidRPr="00CA3533">
        <w:rPr>
          <w:lang w:val="fr-FR"/>
        </w:rPr>
        <w:t xml:space="preserve">« IMDG Code » correspond au terme anglais « International Maritime Dangerous </w:t>
      </w:r>
      <w:proofErr w:type="spellStart"/>
      <w:r w:rsidR="00CA3533" w:rsidRPr="00CA3533">
        <w:rPr>
          <w:lang w:val="fr-FR"/>
        </w:rPr>
        <w:t>Goods</w:t>
      </w:r>
      <w:proofErr w:type="spellEnd"/>
      <w:r w:rsidR="00CA3533" w:rsidRPr="00CA3533">
        <w:rPr>
          <w:lang w:val="fr-FR"/>
        </w:rPr>
        <w:t xml:space="preserve"> Code ».</w:t>
      </w:r>
      <w:r>
        <w:rPr>
          <w:lang w:val="fr-FR"/>
        </w:rPr>
        <w:t> »</w:t>
      </w:r>
    </w:p>
    <w:p w14:paraId="7EF5494C" w14:textId="3667529C" w:rsidR="00CA3533" w:rsidRPr="00CA3533" w:rsidRDefault="00A21EBB" w:rsidP="00CA3533">
      <w:pPr>
        <w:tabs>
          <w:tab w:val="left" w:pos="2268"/>
        </w:tabs>
        <w:spacing w:after="120"/>
        <w:ind w:left="2268" w:right="1134" w:hanging="1134"/>
        <w:jc w:val="both"/>
        <w:rPr>
          <w:lang w:val="fr-FR"/>
        </w:rPr>
      </w:pPr>
      <w:r>
        <w:rPr>
          <w:b/>
          <w:bCs/>
          <w:vertAlign w:val="superscript"/>
          <w:lang w:val="fr-FR" w:eastAsia="en-US"/>
        </w:rPr>
        <w:t>« </w:t>
      </w:r>
      <w:r w:rsidR="00CA3533" w:rsidRPr="00CA3533">
        <w:rPr>
          <w:b/>
          <w:bCs/>
          <w:vertAlign w:val="superscript"/>
          <w:lang w:val="fr-FR" w:eastAsia="en-US"/>
        </w:rPr>
        <w:t xml:space="preserve">† </w:t>
      </w:r>
      <w:r w:rsidR="009E7903">
        <w:rPr>
          <w:b/>
          <w:bCs/>
          <w:vertAlign w:val="superscript"/>
          <w:lang w:val="fr-FR" w:eastAsia="en-US"/>
        </w:rPr>
        <w:tab/>
      </w:r>
      <w:r w:rsidR="00CA3533" w:rsidRPr="00CA3533">
        <w:rPr>
          <w:lang w:val="fr-FR"/>
        </w:rPr>
        <w:t xml:space="preserve">L’acronyme « ISO » correspond au terme anglais « International </w:t>
      </w:r>
      <w:proofErr w:type="spellStart"/>
      <w:r w:rsidR="00CA3533" w:rsidRPr="00CA3533">
        <w:rPr>
          <w:lang w:val="fr-FR"/>
        </w:rPr>
        <w:t>Organization</w:t>
      </w:r>
      <w:proofErr w:type="spellEnd"/>
      <w:r w:rsidR="00CA3533" w:rsidRPr="00CA3533">
        <w:rPr>
          <w:lang w:val="fr-FR"/>
        </w:rPr>
        <w:t xml:space="preserve"> for </w:t>
      </w:r>
      <w:proofErr w:type="spellStart"/>
      <w:r w:rsidR="00CA3533" w:rsidRPr="00CA3533">
        <w:rPr>
          <w:lang w:val="fr-FR"/>
        </w:rPr>
        <w:t>Standardization</w:t>
      </w:r>
      <w:proofErr w:type="spellEnd"/>
      <w:r w:rsidR="00CA3533" w:rsidRPr="00CA3533">
        <w:rPr>
          <w:lang w:val="fr-FR"/>
        </w:rPr>
        <w:t> ».</w:t>
      </w:r>
      <w:r>
        <w:rPr>
          <w:lang w:val="fr-FR"/>
        </w:rPr>
        <w:t> »</w:t>
      </w:r>
    </w:p>
    <w:p w14:paraId="2309DE19" w14:textId="4388033F" w:rsidR="00CA3533" w:rsidRPr="00CA3533" w:rsidRDefault="00A21EBB" w:rsidP="00CA3533">
      <w:pPr>
        <w:tabs>
          <w:tab w:val="left" w:pos="2268"/>
        </w:tabs>
        <w:spacing w:after="120"/>
        <w:ind w:left="2268" w:right="1134" w:hanging="1134"/>
        <w:jc w:val="both"/>
        <w:rPr>
          <w:lang w:val="fr-FR"/>
        </w:rPr>
      </w:pPr>
      <w:r>
        <w:rPr>
          <w:b/>
          <w:bCs/>
          <w:vertAlign w:val="superscript"/>
          <w:lang w:val="fr-FR" w:eastAsia="en-US"/>
        </w:rPr>
        <w:t>« </w:t>
      </w:r>
      <w:r w:rsidR="00CA3533" w:rsidRPr="00CA3533">
        <w:rPr>
          <w:b/>
          <w:bCs/>
          <w:vertAlign w:val="superscript"/>
          <w:lang w:val="fr-FR" w:eastAsia="en-US"/>
        </w:rPr>
        <w:t xml:space="preserve">†† </w:t>
      </w:r>
      <w:r w:rsidR="009E7903">
        <w:rPr>
          <w:b/>
          <w:bCs/>
          <w:vertAlign w:val="superscript"/>
          <w:lang w:val="fr-FR" w:eastAsia="en-US"/>
        </w:rPr>
        <w:tab/>
      </w:r>
      <w:r w:rsidR="00CA3533" w:rsidRPr="00CA3533">
        <w:rPr>
          <w:iCs/>
          <w:lang w:val="fr-FR"/>
        </w:rPr>
        <w:t xml:space="preserve">L’acronyme « LSA » correspond au terme anglais « Low </w:t>
      </w:r>
      <w:proofErr w:type="spellStart"/>
      <w:r w:rsidR="00CA3533" w:rsidRPr="00CA3533">
        <w:rPr>
          <w:iCs/>
          <w:lang w:val="fr-FR"/>
        </w:rPr>
        <w:t>Specific</w:t>
      </w:r>
      <w:proofErr w:type="spellEnd"/>
      <w:r w:rsidR="00CA3533" w:rsidRPr="00CA3533">
        <w:rPr>
          <w:iCs/>
          <w:lang w:val="fr-FR"/>
        </w:rPr>
        <w:t xml:space="preserve"> Activity ».</w:t>
      </w:r>
      <w:r>
        <w:rPr>
          <w:iCs/>
          <w:lang w:val="fr-FR"/>
        </w:rPr>
        <w:t> »</w:t>
      </w:r>
    </w:p>
    <w:p w14:paraId="4C9A37BA" w14:textId="2C1DACA9" w:rsidR="00CA3533" w:rsidRPr="00CA3533" w:rsidRDefault="00A21EBB" w:rsidP="00CA3533">
      <w:pPr>
        <w:tabs>
          <w:tab w:val="left" w:pos="2268"/>
        </w:tabs>
        <w:spacing w:after="120"/>
        <w:ind w:left="2268" w:right="1134" w:hanging="1134"/>
        <w:jc w:val="both"/>
        <w:rPr>
          <w:lang w:val="fr-FR"/>
        </w:rPr>
      </w:pPr>
      <w:r>
        <w:rPr>
          <w:b/>
          <w:bCs/>
          <w:vertAlign w:val="superscript"/>
          <w:lang w:val="fr-FR" w:eastAsia="en-US"/>
        </w:rPr>
        <w:t>« </w:t>
      </w:r>
      <w:r w:rsidR="00CA3533" w:rsidRPr="00CA3533">
        <w:rPr>
          <w:b/>
          <w:bCs/>
          <w:vertAlign w:val="superscript"/>
          <w:lang w:val="fr-FR" w:eastAsia="en-US"/>
        </w:rPr>
        <w:t xml:space="preserve">††† </w:t>
      </w:r>
      <w:r w:rsidR="009E7903">
        <w:rPr>
          <w:b/>
          <w:bCs/>
          <w:vertAlign w:val="superscript"/>
          <w:lang w:val="fr-FR" w:eastAsia="en-US"/>
        </w:rPr>
        <w:tab/>
      </w:r>
      <w:r w:rsidR="00CA3533" w:rsidRPr="00CA3533">
        <w:rPr>
          <w:iCs/>
          <w:lang w:val="fr-FR"/>
        </w:rPr>
        <w:t xml:space="preserve">L’acronyme « MEMU » correspond au terme anglais « Mobile Explosives </w:t>
      </w:r>
      <w:proofErr w:type="spellStart"/>
      <w:r w:rsidR="00CA3533" w:rsidRPr="00CA3533">
        <w:rPr>
          <w:iCs/>
          <w:lang w:val="fr-FR"/>
        </w:rPr>
        <w:t>Manufacturing</w:t>
      </w:r>
      <w:proofErr w:type="spellEnd"/>
      <w:r w:rsidR="00CA3533" w:rsidRPr="00CA3533">
        <w:rPr>
          <w:iCs/>
          <w:lang w:val="fr-FR"/>
        </w:rPr>
        <w:t xml:space="preserve"> Unit ».</w:t>
      </w:r>
      <w:r>
        <w:rPr>
          <w:iCs/>
          <w:lang w:val="fr-FR"/>
        </w:rPr>
        <w:t> »</w:t>
      </w:r>
    </w:p>
    <w:p w14:paraId="5358C1D2" w14:textId="0F76F5F0" w:rsidR="00CA3533" w:rsidRPr="00CA3533" w:rsidRDefault="00A21EBB" w:rsidP="00CA3533">
      <w:pPr>
        <w:tabs>
          <w:tab w:val="left" w:pos="2268"/>
        </w:tabs>
        <w:spacing w:after="120"/>
        <w:ind w:left="2268" w:right="1134" w:hanging="1134"/>
        <w:jc w:val="both"/>
        <w:rPr>
          <w:iCs/>
          <w:lang w:val="fr-FR"/>
        </w:rPr>
      </w:pPr>
      <w:r>
        <w:rPr>
          <w:b/>
          <w:bCs/>
          <w:vertAlign w:val="superscript"/>
          <w:lang w:val="fr-FR" w:eastAsia="en-US"/>
        </w:rPr>
        <w:t>« </w:t>
      </w:r>
      <w:r w:rsidR="00CA3533" w:rsidRPr="00CA3533">
        <w:rPr>
          <w:b/>
          <w:bCs/>
          <w:vertAlign w:val="superscript"/>
          <w:lang w:val="fr-FR" w:eastAsia="en-US"/>
        </w:rPr>
        <w:t>‡</w:t>
      </w:r>
      <w:r w:rsidR="009E7903">
        <w:rPr>
          <w:b/>
          <w:bCs/>
          <w:vertAlign w:val="superscript"/>
          <w:lang w:val="fr-FR" w:eastAsia="en-US"/>
        </w:rPr>
        <w:tab/>
      </w:r>
      <w:r w:rsidR="00CA3533" w:rsidRPr="00CA3533">
        <w:rPr>
          <w:b/>
          <w:bCs/>
          <w:vertAlign w:val="superscript"/>
          <w:lang w:val="fr-FR" w:eastAsia="en-US"/>
        </w:rPr>
        <w:t xml:space="preserve"> </w:t>
      </w:r>
      <w:r w:rsidR="00CA3533" w:rsidRPr="00CA3533">
        <w:rPr>
          <w:iCs/>
          <w:lang w:val="fr-FR"/>
        </w:rPr>
        <w:t xml:space="preserve">L’acronyme « SCO » correspond au terme anglais « Surface </w:t>
      </w:r>
      <w:proofErr w:type="spellStart"/>
      <w:r w:rsidR="00CA3533" w:rsidRPr="00CA3533">
        <w:rPr>
          <w:iCs/>
          <w:lang w:val="fr-FR"/>
        </w:rPr>
        <w:t>Contaminated</w:t>
      </w:r>
      <w:proofErr w:type="spellEnd"/>
      <w:r w:rsidR="00CA3533" w:rsidRPr="00CA3533">
        <w:rPr>
          <w:iCs/>
          <w:lang w:val="fr-FR"/>
        </w:rPr>
        <w:t xml:space="preserve"> Object ».</w:t>
      </w:r>
      <w:r>
        <w:rPr>
          <w:iCs/>
          <w:lang w:val="fr-FR"/>
        </w:rPr>
        <w:t> »</w:t>
      </w:r>
    </w:p>
    <w:p w14:paraId="0F107AAC" w14:textId="756EA0A5" w:rsidR="00CA3533" w:rsidRPr="00CA3533" w:rsidRDefault="00A21EBB" w:rsidP="00CA3533">
      <w:pPr>
        <w:tabs>
          <w:tab w:val="left" w:pos="2268"/>
        </w:tabs>
        <w:spacing w:after="120"/>
        <w:ind w:left="2268" w:right="1134" w:hanging="1134"/>
        <w:jc w:val="both"/>
        <w:rPr>
          <w:iCs/>
          <w:lang w:val="fr-FR"/>
        </w:rPr>
      </w:pPr>
      <w:r>
        <w:rPr>
          <w:b/>
          <w:bCs/>
          <w:vertAlign w:val="superscript"/>
          <w:lang w:val="fr-FR" w:eastAsia="en-US"/>
        </w:rPr>
        <w:t>« </w:t>
      </w:r>
      <w:r w:rsidR="00CA3533" w:rsidRPr="00CA3533">
        <w:rPr>
          <w:b/>
          <w:bCs/>
          <w:vertAlign w:val="superscript"/>
          <w:lang w:val="fr-FR" w:eastAsia="en-US"/>
        </w:rPr>
        <w:t xml:space="preserve">‡‡ </w:t>
      </w:r>
      <w:r w:rsidR="009E7903">
        <w:rPr>
          <w:b/>
          <w:bCs/>
          <w:vertAlign w:val="superscript"/>
          <w:lang w:val="fr-FR" w:eastAsia="en-US"/>
        </w:rPr>
        <w:tab/>
      </w:r>
      <w:r w:rsidR="00CA3533" w:rsidRPr="00CA3533">
        <w:rPr>
          <w:iCs/>
          <w:lang w:val="fr-FR"/>
        </w:rPr>
        <w:t>L’acronyme « TI » correspond au terme anglais « Transport Index ». »</w:t>
      </w:r>
    </w:p>
    <w:bookmarkEnd w:id="3"/>
    <w:p w14:paraId="30C1DDF3" w14:textId="235CF223" w:rsidR="00CA3533" w:rsidRPr="00CA3533" w:rsidRDefault="00CA3533" w:rsidP="00CA3533">
      <w:pPr>
        <w:keepNext/>
        <w:keepLines/>
        <w:numPr>
          <w:ilvl w:val="0"/>
          <w:numId w:val="1"/>
        </w:numPr>
        <w:tabs>
          <w:tab w:val="clear" w:pos="1701"/>
          <w:tab w:val="right" w:pos="851"/>
        </w:tabs>
        <w:kinsoku/>
        <w:overflowPunct/>
        <w:autoSpaceDE/>
        <w:autoSpaceDN/>
        <w:adjustRightInd/>
        <w:snapToGrid/>
        <w:spacing w:before="360" w:after="240" w:line="270" w:lineRule="exact"/>
        <w:ind w:left="1134" w:right="1134" w:hanging="1134"/>
        <w:rPr>
          <w:b/>
          <w:sz w:val="24"/>
          <w:lang w:val="fr-FR" w:eastAsia="en-US"/>
        </w:rPr>
      </w:pPr>
      <w:r w:rsidRPr="00CA3533">
        <w:rPr>
          <w:b/>
          <w:sz w:val="24"/>
          <w:lang w:val="fr-FR" w:eastAsia="en-US"/>
        </w:rPr>
        <w:tab/>
      </w:r>
      <w:r w:rsidRPr="00CA3533">
        <w:rPr>
          <w:b/>
          <w:sz w:val="24"/>
          <w:lang w:val="fr-FR" w:eastAsia="en-US"/>
        </w:rPr>
        <w:tab/>
        <w:t>Chapitre 1.4</w:t>
      </w:r>
    </w:p>
    <w:p w14:paraId="186C6E79" w14:textId="77777777" w:rsidR="00CA3533" w:rsidRPr="00CA3533" w:rsidRDefault="00CA3533" w:rsidP="00CA3533">
      <w:pPr>
        <w:spacing w:after="120"/>
        <w:ind w:left="2268" w:right="1134" w:hanging="1134"/>
        <w:jc w:val="both"/>
        <w:rPr>
          <w:lang w:val="fr-FR" w:eastAsia="en-US"/>
        </w:rPr>
      </w:pPr>
      <w:r w:rsidRPr="00CA3533">
        <w:rPr>
          <w:lang w:val="fr-FR" w:eastAsia="fr-FR"/>
        </w:rPr>
        <w:t>1.4.2.2.1 d)</w:t>
      </w:r>
      <w:r w:rsidRPr="00CA3533">
        <w:rPr>
          <w:lang w:val="fr-FR" w:eastAsia="fr-FR"/>
        </w:rPr>
        <w:tab/>
      </w:r>
      <w:r w:rsidRPr="00CA3533">
        <w:rPr>
          <w:lang w:val="fr-FR" w:eastAsia="fr-FR"/>
        </w:rPr>
        <w:tab/>
        <w:t>Remplacer « </w:t>
      </w:r>
      <w:r w:rsidRPr="00CA3533">
        <w:rPr>
          <w:lang w:val="fr-FR" w:eastAsia="en-US"/>
        </w:rPr>
        <w:t>le délai prévu » par « la date spécifiée » et remplacer « dépassé » par « dépassée ».</w:t>
      </w:r>
    </w:p>
    <w:p w14:paraId="58215225" w14:textId="77777777" w:rsidR="00CA3533" w:rsidRPr="00CA3533" w:rsidRDefault="00CA3533" w:rsidP="00CA3533">
      <w:pPr>
        <w:spacing w:after="120"/>
        <w:ind w:left="2268" w:right="1134" w:hanging="1134"/>
        <w:jc w:val="both"/>
        <w:rPr>
          <w:lang w:val="fr-FR" w:eastAsia="en-US"/>
        </w:rPr>
      </w:pPr>
      <w:r w:rsidRPr="00CA3533">
        <w:rPr>
          <w:lang w:val="fr-FR" w:eastAsia="en-US"/>
        </w:rPr>
        <w:t>1.4.3.3</w:t>
      </w:r>
      <w:r w:rsidRPr="00CA3533">
        <w:rPr>
          <w:lang w:val="fr-FR" w:eastAsia="en-US"/>
        </w:rPr>
        <w:tab/>
        <w:t>Dans l’alinéa b), remplacer « date du prochain contrôle » par « date spécifiée pour le prochain contrôle ».</w:t>
      </w:r>
    </w:p>
    <w:p w14:paraId="11594A42" w14:textId="496970AF" w:rsidR="00CA3533" w:rsidRPr="00CA3533" w:rsidRDefault="00CA3533" w:rsidP="00CA3533">
      <w:pPr>
        <w:spacing w:after="120"/>
        <w:ind w:left="2268" w:right="1134" w:hanging="1134"/>
        <w:jc w:val="both"/>
        <w:rPr>
          <w:lang w:val="fr-FR"/>
        </w:rPr>
      </w:pPr>
      <w:r w:rsidRPr="00CA3533">
        <w:rPr>
          <w:rFonts w:eastAsiaTheme="minorHAnsi"/>
          <w:lang w:val="fr-FR" w:eastAsia="en-US"/>
        </w:rPr>
        <w:tab/>
        <w:t xml:space="preserve">Dans l’alinéa h), </w:t>
      </w:r>
      <w:r w:rsidRPr="00CA3533">
        <w:rPr>
          <w:lang w:val="fr-FR"/>
        </w:rPr>
        <w:t>remplacer « conteneurs pour vrac » par « conteneurs pour le transport en vrac ».</w:t>
      </w:r>
    </w:p>
    <w:p w14:paraId="0E7FBD0C" w14:textId="77777777" w:rsidR="00CA3533" w:rsidRPr="00CA3533" w:rsidRDefault="00CA3533" w:rsidP="00CA3533">
      <w:pPr>
        <w:tabs>
          <w:tab w:val="left" w:pos="2268"/>
        </w:tabs>
        <w:spacing w:after="120"/>
        <w:ind w:left="1134" w:right="1134"/>
        <w:jc w:val="both"/>
        <w:rPr>
          <w:rFonts w:eastAsiaTheme="minorHAnsi"/>
          <w:lang w:val="fr-FR" w:eastAsia="en-US"/>
        </w:rPr>
      </w:pPr>
      <w:r w:rsidRPr="00CA3533">
        <w:rPr>
          <w:rFonts w:eastAsiaTheme="minorHAnsi"/>
          <w:lang w:val="fr-FR" w:eastAsia="en-US"/>
        </w:rPr>
        <w:t>1.4.3.4 c)</w:t>
      </w:r>
      <w:r w:rsidRPr="00CA3533">
        <w:rPr>
          <w:rFonts w:eastAsiaTheme="minorHAnsi"/>
          <w:lang w:val="fr-FR" w:eastAsia="en-US"/>
        </w:rPr>
        <w:tab/>
        <w:t>L’amendement ne s’applique pas au texte français.</w:t>
      </w:r>
    </w:p>
    <w:p w14:paraId="434EC920" w14:textId="77777777" w:rsidR="00522FB6" w:rsidRDefault="00522FB6" w:rsidP="00522FB6">
      <w:pPr>
        <w:pStyle w:val="H1G"/>
      </w:pPr>
      <w:r>
        <w:tab/>
      </w:r>
      <w:r>
        <w:tab/>
        <w:t>Chapitre 1.5</w:t>
      </w:r>
    </w:p>
    <w:p w14:paraId="40869795" w14:textId="77777777" w:rsidR="00522FB6" w:rsidRDefault="00522FB6" w:rsidP="00522FB6">
      <w:pPr>
        <w:pStyle w:val="SingleTxtG"/>
        <w:ind w:left="2268" w:hanging="1134"/>
        <w:jc w:val="left"/>
        <w:rPr>
          <w:lang w:val="fr-FR"/>
        </w:rPr>
      </w:pPr>
      <w:r w:rsidRPr="001B5226">
        <w:rPr>
          <w:lang w:val="fr-FR"/>
        </w:rPr>
        <w:t>1.5.1.1</w:t>
      </w:r>
      <w:r>
        <w:rPr>
          <w:lang w:val="fr-FR"/>
        </w:rPr>
        <w:tab/>
        <w:t>Dans la</w:t>
      </w:r>
      <w:r w:rsidRPr="001B5226">
        <w:rPr>
          <w:lang w:val="fr-FR"/>
        </w:rPr>
        <w:t xml:space="preserve"> note de bas de page 1, </w:t>
      </w:r>
      <w:r>
        <w:rPr>
          <w:lang w:val="fr-FR"/>
        </w:rPr>
        <w:t>remplacer « </w:t>
      </w:r>
      <w:r w:rsidRPr="006C7694">
        <w:rPr>
          <w:i/>
          <w:iCs/>
        </w:rPr>
        <w:t>(http://www.unece.org/trans/danger/danger.htm</w:t>
      </w:r>
      <w:r>
        <w:rPr>
          <w:i/>
          <w:iCs/>
        </w:rPr>
        <w:t>l</w:t>
      </w:r>
      <w:r w:rsidRPr="006C7694">
        <w:rPr>
          <w:i/>
          <w:iCs/>
        </w:rPr>
        <w:t>)</w:t>
      </w:r>
      <w:r>
        <w:rPr>
          <w:lang w:val="fr-FR"/>
        </w:rPr>
        <w:t> » par « </w:t>
      </w:r>
      <w:r w:rsidRPr="00FC121F">
        <w:rPr>
          <w:i/>
          <w:iCs/>
        </w:rPr>
        <w:t>(</w:t>
      </w:r>
      <w:r w:rsidRPr="00966617">
        <w:rPr>
          <w:i/>
          <w:iCs/>
        </w:rPr>
        <w:t>https://unece.org/adr-multilateral-agreements)</w:t>
      </w:r>
      <w:r>
        <w:rPr>
          <w:lang w:val="fr-FR"/>
        </w:rPr>
        <w:t> ».</w:t>
      </w:r>
    </w:p>
    <w:p w14:paraId="4B58BD51" w14:textId="77777777" w:rsidR="00CA3533" w:rsidRPr="00CA3533" w:rsidRDefault="00CA3533" w:rsidP="00CA3533">
      <w:pPr>
        <w:keepNext/>
        <w:keepLines/>
        <w:tabs>
          <w:tab w:val="right" w:pos="851"/>
        </w:tabs>
        <w:spacing w:before="360" w:after="240" w:line="270" w:lineRule="exact"/>
        <w:ind w:left="1134" w:right="1134" w:hanging="1134"/>
        <w:rPr>
          <w:b/>
          <w:sz w:val="24"/>
          <w:lang w:val="fr-FR"/>
        </w:rPr>
      </w:pPr>
      <w:r w:rsidRPr="00CA3533">
        <w:rPr>
          <w:b/>
          <w:sz w:val="24"/>
          <w:lang w:val="fr-FR"/>
        </w:rPr>
        <w:tab/>
      </w:r>
      <w:r w:rsidRPr="00CA3533">
        <w:rPr>
          <w:b/>
          <w:sz w:val="24"/>
          <w:lang w:val="fr-FR"/>
        </w:rPr>
        <w:tab/>
        <w:t>Chapitre 1.6</w:t>
      </w:r>
    </w:p>
    <w:p w14:paraId="139AC073" w14:textId="4B8B0D6D" w:rsidR="00D83DE0" w:rsidRDefault="00D83DE0" w:rsidP="00D83DE0">
      <w:pPr>
        <w:spacing w:after="120"/>
        <w:ind w:left="2268" w:right="1134" w:hanging="1134"/>
        <w:jc w:val="both"/>
        <w:rPr>
          <w:lang w:val="fr-FR"/>
        </w:rPr>
      </w:pPr>
      <w:r>
        <w:rPr>
          <w:lang w:val="fr-FR"/>
        </w:rPr>
        <w:t>1.6.1.1</w:t>
      </w:r>
      <w:r>
        <w:rPr>
          <w:lang w:val="fr-FR"/>
        </w:rPr>
        <w:tab/>
        <w:t>Remplacer « </w:t>
      </w:r>
      <w:r w:rsidR="00261252">
        <w:rPr>
          <w:lang w:val="fr-FR"/>
        </w:rPr>
        <w:t>30</w:t>
      </w:r>
      <w:r>
        <w:rPr>
          <w:lang w:val="fr-FR"/>
        </w:rPr>
        <w:t xml:space="preserve"> juin 2021 » par « 30 juin 2023 » et « 31 décembre 2020 » par « 31 décembre 2022 ».</w:t>
      </w:r>
    </w:p>
    <w:p w14:paraId="6FFA8E7F" w14:textId="77777777" w:rsidR="002815AF" w:rsidRDefault="00CA3533" w:rsidP="001D5E42">
      <w:pPr>
        <w:spacing w:after="120"/>
        <w:ind w:left="2268" w:right="1134" w:hanging="1134"/>
        <w:jc w:val="both"/>
        <w:rPr>
          <w:lang w:val="fr-FR"/>
        </w:rPr>
      </w:pPr>
      <w:r w:rsidRPr="00CA3533">
        <w:rPr>
          <w:lang w:val="fr-FR"/>
        </w:rPr>
        <w:t>1.6.1.41</w:t>
      </w:r>
      <w:r w:rsidR="0079477B">
        <w:rPr>
          <w:lang w:val="fr-FR"/>
        </w:rPr>
        <w:t xml:space="preserve"> et 1.6.1.42</w:t>
      </w:r>
    </w:p>
    <w:p w14:paraId="2663B0FB" w14:textId="09071699" w:rsidR="00CA3533" w:rsidRPr="00CA3533" w:rsidRDefault="00CA3533" w:rsidP="001D5E42">
      <w:pPr>
        <w:spacing w:after="120"/>
        <w:ind w:left="2268" w:right="1134" w:hanging="1134"/>
        <w:jc w:val="both"/>
        <w:rPr>
          <w:lang w:val="fr-FR"/>
        </w:rPr>
      </w:pPr>
      <w:r w:rsidRPr="00CA3533">
        <w:rPr>
          <w:lang w:val="fr-FR"/>
        </w:rPr>
        <w:tab/>
        <w:t xml:space="preserve">Supprimer et </w:t>
      </w:r>
      <w:r w:rsidR="0079477B">
        <w:rPr>
          <w:lang w:val="fr-FR"/>
        </w:rPr>
        <w:t>remplacer « </w:t>
      </w:r>
      <w:r w:rsidR="005E41DE">
        <w:rPr>
          <w:lang w:val="fr-FR"/>
        </w:rPr>
        <w:t>1.6.1.39 et 1.6.1.40</w:t>
      </w:r>
      <w:r w:rsidR="001D5E42">
        <w:rPr>
          <w:lang w:val="fr-FR"/>
        </w:rPr>
        <w:t xml:space="preserve"> </w:t>
      </w:r>
      <w:r w:rsidR="005E41DE" w:rsidRPr="005E41DE">
        <w:rPr>
          <w:i/>
          <w:iCs/>
          <w:lang w:val="fr-FR"/>
        </w:rPr>
        <w:t>(Supprimés)</w:t>
      </w:r>
      <w:r w:rsidR="005E41DE">
        <w:rPr>
          <w:lang w:val="fr-FR"/>
        </w:rPr>
        <w:t> »</w:t>
      </w:r>
      <w:r w:rsidR="0079477B" w:rsidRPr="00CA3533">
        <w:rPr>
          <w:lang w:val="fr-FR"/>
        </w:rPr>
        <w:t xml:space="preserve"> </w:t>
      </w:r>
      <w:r w:rsidR="005E41DE">
        <w:rPr>
          <w:lang w:val="fr-FR"/>
        </w:rPr>
        <w:t xml:space="preserve">par </w:t>
      </w:r>
      <w:r w:rsidRPr="00CA3533">
        <w:rPr>
          <w:lang w:val="fr-FR"/>
        </w:rPr>
        <w:t>« </w:t>
      </w:r>
      <w:r w:rsidR="005E41DE">
        <w:rPr>
          <w:lang w:val="fr-FR"/>
        </w:rPr>
        <w:t xml:space="preserve">1.6.1.39 à </w:t>
      </w:r>
      <w:r w:rsidRPr="00CA3533">
        <w:rPr>
          <w:lang w:val="fr-FR"/>
        </w:rPr>
        <w:t>1.6.1.</w:t>
      </w:r>
      <w:r w:rsidR="005E41DE">
        <w:rPr>
          <w:lang w:val="fr-FR"/>
        </w:rPr>
        <w:t>42</w:t>
      </w:r>
      <w:r w:rsidR="005E41DE" w:rsidRPr="00CA3533">
        <w:rPr>
          <w:i/>
          <w:iCs/>
          <w:lang w:val="fr-FR"/>
        </w:rPr>
        <w:t xml:space="preserve"> </w:t>
      </w:r>
      <w:r w:rsidRPr="00CA3533">
        <w:rPr>
          <w:i/>
          <w:iCs/>
          <w:lang w:val="fr-FR"/>
        </w:rPr>
        <w:t>(Supprimé</w:t>
      </w:r>
      <w:r w:rsidR="005E41DE">
        <w:rPr>
          <w:i/>
          <w:iCs/>
          <w:lang w:val="fr-FR"/>
        </w:rPr>
        <w:t>s</w:t>
      </w:r>
      <w:r w:rsidRPr="00CA3533">
        <w:rPr>
          <w:i/>
          <w:iCs/>
          <w:lang w:val="fr-FR"/>
        </w:rPr>
        <w:t>)</w:t>
      </w:r>
      <w:r w:rsidRPr="00CA3533">
        <w:rPr>
          <w:lang w:val="fr-FR"/>
        </w:rPr>
        <w:t> ».</w:t>
      </w:r>
    </w:p>
    <w:p w14:paraId="59895DE1" w14:textId="77777777" w:rsidR="00CA3533" w:rsidRPr="00CA3533" w:rsidRDefault="00CA3533" w:rsidP="00CA3533">
      <w:pPr>
        <w:spacing w:after="120"/>
        <w:ind w:left="1134" w:right="1134"/>
        <w:jc w:val="both"/>
        <w:rPr>
          <w:lang w:val="fr-FR"/>
        </w:rPr>
      </w:pPr>
      <w:r w:rsidRPr="00CA3533">
        <w:rPr>
          <w:lang w:val="fr-FR"/>
        </w:rPr>
        <w:t>1.6.1.44</w:t>
      </w:r>
      <w:r w:rsidRPr="00CA3533">
        <w:rPr>
          <w:lang w:val="fr-FR"/>
        </w:rPr>
        <w:tab/>
        <w:t>Supprimer et ajouter « 1.6.1.44</w:t>
      </w:r>
      <w:r w:rsidRPr="00CA3533">
        <w:rPr>
          <w:i/>
          <w:iCs/>
          <w:lang w:val="fr-FR"/>
        </w:rPr>
        <w:t xml:space="preserve"> (Supprimé)</w:t>
      </w:r>
      <w:r w:rsidRPr="00CA3533">
        <w:rPr>
          <w:lang w:val="fr-FR"/>
        </w:rPr>
        <w:t> ».</w:t>
      </w:r>
    </w:p>
    <w:p w14:paraId="05E372A2" w14:textId="473885C9" w:rsidR="00CA3533" w:rsidRPr="00CA3533" w:rsidRDefault="00CA3533" w:rsidP="009052C2">
      <w:pPr>
        <w:spacing w:after="120"/>
        <w:ind w:left="2268" w:right="1134" w:hanging="1134"/>
        <w:jc w:val="both"/>
        <w:rPr>
          <w:lang w:val="fr-FR"/>
        </w:rPr>
      </w:pPr>
      <w:r w:rsidRPr="00CA3533">
        <w:rPr>
          <w:lang w:val="fr-FR"/>
        </w:rPr>
        <w:t>1.6.1.46</w:t>
      </w:r>
      <w:r w:rsidRPr="00CA3533">
        <w:rPr>
          <w:lang w:val="fr-FR"/>
        </w:rPr>
        <w:tab/>
        <w:t xml:space="preserve">Supprimer et </w:t>
      </w:r>
      <w:r w:rsidR="0071054C">
        <w:rPr>
          <w:lang w:val="fr-FR"/>
        </w:rPr>
        <w:t>remplacer</w:t>
      </w:r>
      <w:r w:rsidR="00266264">
        <w:rPr>
          <w:lang w:val="fr-FR"/>
        </w:rPr>
        <w:t xml:space="preserve"> « </w:t>
      </w:r>
      <w:r w:rsidR="00266264" w:rsidRPr="00CA3533">
        <w:rPr>
          <w:lang w:val="fr-FR"/>
        </w:rPr>
        <w:t>1.6.1.4</w:t>
      </w:r>
      <w:r w:rsidR="00266264">
        <w:rPr>
          <w:lang w:val="fr-FR"/>
        </w:rPr>
        <w:t>7</w:t>
      </w:r>
      <w:r w:rsidR="00266264" w:rsidRPr="00CA3533">
        <w:rPr>
          <w:i/>
          <w:iCs/>
          <w:lang w:val="fr-FR"/>
        </w:rPr>
        <w:t xml:space="preserve"> (Supprimé)</w:t>
      </w:r>
      <w:r w:rsidR="00266264" w:rsidRPr="00CA3533">
        <w:rPr>
          <w:lang w:val="fr-FR"/>
        </w:rPr>
        <w:t> »</w:t>
      </w:r>
      <w:r w:rsidR="00266264">
        <w:rPr>
          <w:lang w:val="fr-FR"/>
        </w:rPr>
        <w:t xml:space="preserve"> par</w:t>
      </w:r>
      <w:r w:rsidR="0071054C" w:rsidRPr="00CA3533">
        <w:rPr>
          <w:lang w:val="fr-FR"/>
        </w:rPr>
        <w:t xml:space="preserve"> </w:t>
      </w:r>
      <w:r w:rsidRPr="00CA3533">
        <w:rPr>
          <w:lang w:val="fr-FR"/>
        </w:rPr>
        <w:t>« 1.6.1.46</w:t>
      </w:r>
      <w:r w:rsidRPr="00CA3533">
        <w:rPr>
          <w:i/>
          <w:iCs/>
          <w:lang w:val="fr-FR"/>
        </w:rPr>
        <w:t xml:space="preserve"> </w:t>
      </w:r>
      <w:r w:rsidR="00266264">
        <w:rPr>
          <w:lang w:val="fr-FR"/>
        </w:rPr>
        <w:t xml:space="preserve">et 1.6.1.47 </w:t>
      </w:r>
      <w:r w:rsidRPr="00CA3533">
        <w:rPr>
          <w:i/>
          <w:iCs/>
          <w:lang w:val="fr-FR"/>
        </w:rPr>
        <w:t>(Supprimé</w:t>
      </w:r>
      <w:r w:rsidR="00266264">
        <w:rPr>
          <w:i/>
          <w:iCs/>
          <w:lang w:val="fr-FR"/>
        </w:rPr>
        <w:t>s</w:t>
      </w:r>
      <w:r w:rsidRPr="00CA3533">
        <w:rPr>
          <w:i/>
          <w:iCs/>
          <w:lang w:val="fr-FR"/>
        </w:rPr>
        <w:t>)</w:t>
      </w:r>
      <w:r w:rsidRPr="00CA3533">
        <w:rPr>
          <w:lang w:val="fr-FR"/>
        </w:rPr>
        <w:t> ».</w:t>
      </w:r>
    </w:p>
    <w:p w14:paraId="0DECB5FC" w14:textId="77777777" w:rsidR="00CA3533" w:rsidRPr="00CA3533" w:rsidRDefault="00CA3533" w:rsidP="00CA3533">
      <w:pPr>
        <w:tabs>
          <w:tab w:val="left" w:pos="2268"/>
        </w:tabs>
        <w:spacing w:before="120" w:after="120"/>
        <w:ind w:left="1134" w:right="1134"/>
        <w:jc w:val="both"/>
        <w:rPr>
          <w:rFonts w:eastAsiaTheme="minorHAnsi"/>
          <w:lang w:val="fr-FR" w:eastAsia="en-US"/>
        </w:rPr>
      </w:pPr>
      <w:r w:rsidRPr="00CA3533">
        <w:rPr>
          <w:rFonts w:eastAsiaTheme="minorHAnsi"/>
          <w:lang w:val="fr-FR" w:eastAsia="en-US"/>
        </w:rPr>
        <w:t xml:space="preserve">1.6.1 </w:t>
      </w:r>
      <w:r w:rsidRPr="00CA3533">
        <w:rPr>
          <w:rFonts w:eastAsiaTheme="minorHAnsi"/>
          <w:lang w:val="fr-FR" w:eastAsia="en-US"/>
        </w:rPr>
        <w:tab/>
        <w:t>Ajouter les nouvelles mesures transitoires suivantes :</w:t>
      </w:r>
    </w:p>
    <w:p w14:paraId="4D0E3195" w14:textId="77777777" w:rsidR="00CA3533" w:rsidRPr="00CA3533" w:rsidRDefault="00CA3533" w:rsidP="00CA3533">
      <w:pPr>
        <w:tabs>
          <w:tab w:val="left" w:pos="2268"/>
        </w:tabs>
        <w:spacing w:before="120" w:after="120"/>
        <w:ind w:left="2268" w:right="1134" w:hanging="1134"/>
        <w:jc w:val="both"/>
        <w:rPr>
          <w:rFonts w:eastAsiaTheme="minorHAnsi"/>
          <w:lang w:val="fr-FR" w:eastAsia="en-US"/>
        </w:rPr>
      </w:pPr>
      <w:r w:rsidRPr="00CA3533">
        <w:rPr>
          <w:rFonts w:eastAsiaTheme="minorHAnsi"/>
          <w:lang w:val="fr-FR" w:eastAsia="en-US"/>
        </w:rPr>
        <w:t xml:space="preserve">« 1.6.1.49 </w:t>
      </w:r>
      <w:r w:rsidRPr="00CA3533">
        <w:rPr>
          <w:rFonts w:eastAsiaTheme="minorHAnsi"/>
          <w:lang w:val="fr-FR" w:eastAsia="en-US"/>
        </w:rPr>
        <w:tab/>
        <w:t>La marque illustrée à la figure 5.2.1.9.2 applicable jusqu'au 31 décembre 2022 peut continuer à être appliquée jusqu'au 31 décembre 2026. »</w:t>
      </w:r>
    </w:p>
    <w:p w14:paraId="379FDD49" w14:textId="77777777" w:rsidR="00CA3533" w:rsidRPr="00CA3533" w:rsidRDefault="00CA3533" w:rsidP="00CA3533">
      <w:pPr>
        <w:spacing w:after="120"/>
        <w:ind w:left="2268" w:right="1134" w:hanging="1134"/>
        <w:jc w:val="both"/>
        <w:rPr>
          <w:lang w:val="fr-FR" w:eastAsia="fr-FR"/>
        </w:rPr>
      </w:pPr>
      <w:r w:rsidRPr="00CA3533">
        <w:rPr>
          <w:lang w:val="fr-FR" w:eastAsia="fr-FR"/>
        </w:rPr>
        <w:lastRenderedPageBreak/>
        <w:t>« 1.6.1.50</w:t>
      </w:r>
      <w:r w:rsidRPr="00CA3533">
        <w:rPr>
          <w:lang w:val="fr-FR" w:eastAsia="fr-FR"/>
        </w:rPr>
        <w:tab/>
        <w:t>Pour les objets qui répondent à la définition des DÉTONATEURS ÉLECTRONIQUES telle que décrite au 2.2.1.4 Glossaire des noms et affectés aux Nos ONU 0511, 0512 et 0513, les rubriques pour DÉTONATEURS ÉLECTRIQUES (Nos ONU 0030, 0255 et 0456) peuvent encore être utilisées jusqu'au 30 juin 2025. » </w:t>
      </w:r>
    </w:p>
    <w:p w14:paraId="0AF90EB7" w14:textId="77777777" w:rsidR="00CA3533" w:rsidRPr="00CA3533" w:rsidRDefault="00CA3533" w:rsidP="00CA3533">
      <w:pPr>
        <w:spacing w:after="120"/>
        <w:ind w:left="2268" w:right="1134" w:hanging="1134"/>
        <w:jc w:val="both"/>
        <w:rPr>
          <w:lang w:val="fr-FR"/>
        </w:rPr>
      </w:pPr>
      <w:r w:rsidRPr="00CA3533">
        <w:rPr>
          <w:lang w:val="fr-FR"/>
        </w:rPr>
        <w:t xml:space="preserve">« 1.6.1.51 </w:t>
      </w:r>
      <w:r w:rsidRPr="00CA3533">
        <w:rPr>
          <w:lang w:val="fr-FR"/>
        </w:rPr>
        <w:tab/>
        <w:t>Les adhésifs, peintures et matières apparentées aux peintures, encres d’imprimerie et matières apparentées aux encres d’imprimerie et les résines en solution affectées au No ONU 3082 matière dangereuse du point de vue de l’environnement, liquide, N.S.A., groupe d’emballage III, conformément au 2.2.9.1.10.6 en conséquence du 2.2.9.1.10.5</w:t>
      </w:r>
      <w:r w:rsidRPr="00CA3533">
        <w:rPr>
          <w:vertAlign w:val="superscript"/>
          <w:lang w:val="fr-FR"/>
        </w:rPr>
        <w:t>1</w:t>
      </w:r>
      <w:r w:rsidRPr="00CA3533">
        <w:rPr>
          <w:lang w:val="fr-FR"/>
        </w:rPr>
        <w:t>, contenant 0,025 % ou plus des substances suivantes, seules ou en combinaison :</w:t>
      </w:r>
    </w:p>
    <w:p w14:paraId="0FB64A1D" w14:textId="52098FED" w:rsidR="00CA3533" w:rsidRPr="00CA3533" w:rsidRDefault="00CA3533" w:rsidP="00CA3533">
      <w:pPr>
        <w:spacing w:after="120"/>
        <w:ind w:left="2268" w:right="1134"/>
        <w:jc w:val="both"/>
        <w:rPr>
          <w:lang w:val="fr-FR"/>
        </w:rPr>
      </w:pPr>
      <w:r w:rsidRPr="00CA3533">
        <w:rPr>
          <w:lang w:val="fr-FR"/>
        </w:rPr>
        <w:t xml:space="preserve">- </w:t>
      </w:r>
      <w:r w:rsidRPr="00CA3533">
        <w:rPr>
          <w:lang w:val="fr-FR"/>
        </w:rPr>
        <w:tab/>
        <w:t>4,5-dichloro-2-octyl-2H-isothiazol-3-one (DCOIT) ;</w:t>
      </w:r>
    </w:p>
    <w:p w14:paraId="5F4606E3" w14:textId="77777777" w:rsidR="00CA3533" w:rsidRPr="00CA3533" w:rsidRDefault="00CA3533" w:rsidP="00CA3533">
      <w:pPr>
        <w:spacing w:after="120"/>
        <w:ind w:left="2268" w:right="1134"/>
        <w:jc w:val="both"/>
        <w:rPr>
          <w:lang w:val="fr-FR"/>
        </w:rPr>
      </w:pPr>
      <w:r w:rsidRPr="00CA3533">
        <w:rPr>
          <w:lang w:val="fr-FR"/>
        </w:rPr>
        <w:t>-</w:t>
      </w:r>
      <w:r w:rsidRPr="00CA3533">
        <w:rPr>
          <w:lang w:val="fr-FR"/>
        </w:rPr>
        <w:tab/>
      </w:r>
      <w:proofErr w:type="spellStart"/>
      <w:r w:rsidRPr="00CA3533">
        <w:rPr>
          <w:lang w:val="fr-FR"/>
        </w:rPr>
        <w:t>octhilinone</w:t>
      </w:r>
      <w:proofErr w:type="spellEnd"/>
      <w:r w:rsidRPr="00CA3533">
        <w:rPr>
          <w:lang w:val="fr-FR"/>
        </w:rPr>
        <w:t xml:space="preserve"> (OIT) ; et </w:t>
      </w:r>
    </w:p>
    <w:p w14:paraId="1C830FD4" w14:textId="77777777" w:rsidR="00CA3533" w:rsidRPr="00CA3533" w:rsidRDefault="00CA3533" w:rsidP="00CA3533">
      <w:pPr>
        <w:spacing w:after="120"/>
        <w:ind w:left="2268" w:right="1134"/>
        <w:jc w:val="both"/>
        <w:rPr>
          <w:lang w:val="fr-FR"/>
        </w:rPr>
      </w:pPr>
      <w:r w:rsidRPr="00CA3533">
        <w:rPr>
          <w:lang w:val="fr-FR"/>
        </w:rPr>
        <w:t>-</w:t>
      </w:r>
      <w:r w:rsidRPr="00CA3533">
        <w:rPr>
          <w:lang w:val="fr-FR"/>
        </w:rPr>
        <w:tab/>
      </w:r>
      <w:proofErr w:type="spellStart"/>
      <w:r w:rsidRPr="00CA3533">
        <w:rPr>
          <w:lang w:val="fr-FR"/>
        </w:rPr>
        <w:t>pyrithione</w:t>
      </w:r>
      <w:proofErr w:type="spellEnd"/>
      <w:r w:rsidRPr="00CA3533">
        <w:rPr>
          <w:lang w:val="fr-FR"/>
        </w:rPr>
        <w:t xml:space="preserve"> de zinc (</w:t>
      </w:r>
      <w:proofErr w:type="spellStart"/>
      <w:r w:rsidRPr="00CA3533">
        <w:rPr>
          <w:lang w:val="fr-FR"/>
        </w:rPr>
        <w:t>ZnPT</w:t>
      </w:r>
      <w:proofErr w:type="spellEnd"/>
      <w:r w:rsidRPr="00CA3533">
        <w:rPr>
          <w:lang w:val="fr-FR"/>
        </w:rPr>
        <w:t>) ;</w:t>
      </w:r>
    </w:p>
    <w:p w14:paraId="6B02F7ED" w14:textId="77777777" w:rsidR="00CA3533" w:rsidRPr="00CA3533" w:rsidRDefault="00CA3533" w:rsidP="00CA3533">
      <w:pPr>
        <w:spacing w:after="120"/>
        <w:ind w:left="2268" w:right="1134"/>
        <w:jc w:val="both"/>
        <w:rPr>
          <w:lang w:val="fr-FR"/>
        </w:rPr>
      </w:pPr>
      <w:r w:rsidRPr="00CA3533">
        <w:rPr>
          <w:lang w:val="fr-FR"/>
        </w:rPr>
        <w:t>peuvent être transportées jusqu'au 30 juin 2025 dans des emballages en acier, en aluminium, en métal autre que l'acier ou l'aluminium, ou en plastique, qui ne satisfont pas aux prescriptions du 4.1.1.3, lorsqu'ils sont transportés en quantités ne dépassant pas 30 litres par emballage comme suit :</w:t>
      </w:r>
    </w:p>
    <w:p w14:paraId="6BEE3CFA" w14:textId="77777777" w:rsidR="00CA3533" w:rsidRPr="00CA3533" w:rsidRDefault="00CA3533" w:rsidP="00CA3533">
      <w:pPr>
        <w:spacing w:after="120"/>
        <w:ind w:left="2835" w:right="1134" w:hanging="567"/>
        <w:jc w:val="both"/>
        <w:rPr>
          <w:lang w:val="fr-FR"/>
        </w:rPr>
      </w:pPr>
      <w:r w:rsidRPr="00CA3533">
        <w:rPr>
          <w:lang w:val="fr-FR"/>
        </w:rPr>
        <w:t xml:space="preserve">a) </w:t>
      </w:r>
      <w:r w:rsidRPr="00CA3533">
        <w:rPr>
          <w:lang w:val="fr-FR"/>
        </w:rPr>
        <w:tab/>
        <w:t>en chargements palettisés, en caisses-palettes ou en autres charges unitaires, par exemple d'emballages individuels placés ou empilés sur une palette et assujettis par des sangles, des housses rétractables ou étirables ou par toute autre méthode appropriée ; ou</w:t>
      </w:r>
    </w:p>
    <w:p w14:paraId="2DA622A8" w14:textId="77777777" w:rsidR="00CA3533" w:rsidRPr="00CA3533" w:rsidRDefault="00CA3533" w:rsidP="00CA3533">
      <w:pPr>
        <w:spacing w:after="120"/>
        <w:ind w:left="2835" w:right="1134" w:hanging="567"/>
        <w:jc w:val="both"/>
        <w:rPr>
          <w:lang w:val="fr-FR"/>
        </w:rPr>
      </w:pPr>
      <w:r w:rsidRPr="00CA3533">
        <w:rPr>
          <w:lang w:val="fr-FR"/>
        </w:rPr>
        <w:t xml:space="preserve">b) </w:t>
      </w:r>
      <w:r w:rsidRPr="00CA3533">
        <w:rPr>
          <w:lang w:val="fr-FR"/>
        </w:rPr>
        <w:tab/>
        <w:t>comme emballages intérieurs d'emballages combinés dont la masse nette ne dépasse pas 40 kg. »</w:t>
      </w:r>
    </w:p>
    <w:p w14:paraId="598C46CB" w14:textId="77777777" w:rsidR="00CA3533" w:rsidRPr="00CA3533" w:rsidRDefault="00CA3533" w:rsidP="00CA3533">
      <w:pPr>
        <w:spacing w:after="120"/>
        <w:ind w:left="2835" w:right="1134" w:hanging="567"/>
        <w:jc w:val="both"/>
        <w:rPr>
          <w:lang w:val="fr-FR"/>
        </w:rPr>
      </w:pPr>
      <w:r w:rsidRPr="00CA3533">
        <w:rPr>
          <w:lang w:val="fr-FR"/>
        </w:rPr>
        <w:t>La note de bas de page 1 se lit comme suit :</w:t>
      </w:r>
    </w:p>
    <w:p w14:paraId="7584C9B0" w14:textId="77777777" w:rsidR="00CA3533" w:rsidRPr="00CA3533" w:rsidRDefault="00CA3533" w:rsidP="00CA3533">
      <w:pPr>
        <w:spacing w:after="120"/>
        <w:ind w:left="2268" w:right="1134" w:hanging="1134"/>
        <w:jc w:val="both"/>
        <w:rPr>
          <w:lang w:val="fr-FR"/>
        </w:rPr>
      </w:pPr>
      <w:r w:rsidRPr="00CA3533">
        <w:rPr>
          <w:lang w:val="fr-FR"/>
        </w:rPr>
        <w:t>« </w:t>
      </w:r>
      <w:r w:rsidRPr="00CA3533">
        <w:rPr>
          <w:b/>
          <w:bCs/>
          <w:vertAlign w:val="superscript"/>
          <w:lang w:val="fr-FR"/>
        </w:rPr>
        <w:t>1</w:t>
      </w:r>
      <w:r w:rsidRPr="00CA3533">
        <w:rPr>
          <w:lang w:val="fr-FR"/>
        </w:rPr>
        <w:t xml:space="preserve"> </w:t>
      </w:r>
      <w:r w:rsidRPr="00CA3533">
        <w:rPr>
          <w:lang w:val="fr-FR"/>
        </w:rPr>
        <w:tab/>
        <w:t>Règlement délégué (UE) 2020/1182 de la Commission du 19 mai 2020 modifiant, aux fins de son adaptation au progrès technique et scientifique, l’annexe VI, partie 3, du règlement (CE) no 1272/2008 du Parlement européen et du Conseil relatif à la classification, à l’étiquetage et à l’emballage des substances et des mélanges (quinzième adaptation au progrès technique et scientifique (APT) du CLP), applicable à partir du 1er mars 2022. »</w:t>
      </w:r>
    </w:p>
    <w:p w14:paraId="023A4D04" w14:textId="77777777" w:rsidR="00CA3533" w:rsidRPr="00CA3533" w:rsidRDefault="00CA3533" w:rsidP="00CA3533">
      <w:pPr>
        <w:spacing w:after="120"/>
        <w:ind w:left="2268" w:right="1134" w:hanging="1134"/>
        <w:jc w:val="both"/>
        <w:rPr>
          <w:lang w:val="fr-FR"/>
        </w:rPr>
      </w:pPr>
      <w:r w:rsidRPr="00CA3533">
        <w:rPr>
          <w:lang w:val="fr-FR"/>
        </w:rPr>
        <w:tab/>
        <w:t>Dans le chapitre 1.6, renuméroter les notes de bas de page suivantes en conséquence.</w:t>
      </w:r>
    </w:p>
    <w:p w14:paraId="27A73939" w14:textId="77777777" w:rsidR="00CA3533" w:rsidRPr="00CA3533" w:rsidRDefault="00CA3533" w:rsidP="00CA3533">
      <w:pPr>
        <w:spacing w:after="120"/>
        <w:ind w:left="1134" w:right="1134"/>
        <w:jc w:val="both"/>
        <w:rPr>
          <w:lang w:val="fr-FR"/>
        </w:rPr>
      </w:pPr>
      <w:r w:rsidRPr="00CA3533">
        <w:rPr>
          <w:lang w:val="fr-FR"/>
        </w:rPr>
        <w:t>1.6.2.16</w:t>
      </w:r>
      <w:r w:rsidRPr="00CA3533">
        <w:rPr>
          <w:lang w:val="fr-FR"/>
        </w:rPr>
        <w:tab/>
        <w:t>Supprimer et ajouter « 1.6.2.16</w:t>
      </w:r>
      <w:r w:rsidRPr="00CA3533">
        <w:rPr>
          <w:i/>
          <w:iCs/>
          <w:lang w:val="fr-FR"/>
        </w:rPr>
        <w:t xml:space="preserve"> (Supprimé)</w:t>
      </w:r>
      <w:r w:rsidRPr="00CA3533">
        <w:rPr>
          <w:lang w:val="fr-FR"/>
        </w:rPr>
        <w:t> ».</w:t>
      </w:r>
    </w:p>
    <w:p w14:paraId="37A240C6" w14:textId="77777777" w:rsidR="00CA3533" w:rsidRPr="00CA3533" w:rsidRDefault="00CA3533" w:rsidP="00CA3533">
      <w:pPr>
        <w:tabs>
          <w:tab w:val="left" w:pos="2268"/>
        </w:tabs>
        <w:spacing w:before="120" w:after="120"/>
        <w:ind w:left="1134" w:right="1134"/>
        <w:jc w:val="both"/>
        <w:rPr>
          <w:rFonts w:eastAsiaTheme="minorHAnsi"/>
          <w:lang w:val="fr-FR" w:eastAsia="en-US"/>
        </w:rPr>
      </w:pPr>
      <w:r w:rsidRPr="00CA3533">
        <w:rPr>
          <w:rFonts w:eastAsiaTheme="minorHAnsi"/>
          <w:lang w:val="fr-FR" w:eastAsia="en-US"/>
        </w:rPr>
        <w:t xml:space="preserve">1.6.2 </w:t>
      </w:r>
      <w:r w:rsidRPr="00CA3533">
        <w:rPr>
          <w:rFonts w:eastAsiaTheme="minorHAnsi"/>
          <w:lang w:val="fr-FR" w:eastAsia="en-US"/>
        </w:rPr>
        <w:tab/>
        <w:t>Ajouter les nouvelles mesures transitoires suivantes :</w:t>
      </w:r>
    </w:p>
    <w:p w14:paraId="669BB342" w14:textId="77777777" w:rsidR="00CA3533" w:rsidRPr="00CA3533" w:rsidRDefault="00CA3533" w:rsidP="00CA3533">
      <w:pPr>
        <w:spacing w:after="120"/>
        <w:ind w:left="2268" w:right="1134" w:hanging="1134"/>
        <w:jc w:val="both"/>
        <w:rPr>
          <w:i/>
          <w:iCs/>
          <w:lang w:val="fr-FR" w:eastAsia="en-GB"/>
        </w:rPr>
      </w:pPr>
      <w:r w:rsidRPr="00CA3533">
        <w:rPr>
          <w:rFonts w:eastAsiaTheme="minorHAnsi"/>
          <w:lang w:val="fr-FR" w:eastAsia="en-US"/>
        </w:rPr>
        <w:t xml:space="preserve">« 1.6.2.17 </w:t>
      </w:r>
      <w:r w:rsidRPr="00CA3533">
        <w:rPr>
          <w:rFonts w:eastAsiaTheme="minorHAnsi"/>
          <w:lang w:val="fr-FR" w:eastAsia="en-US"/>
        </w:rPr>
        <w:tab/>
        <w:t>Les prescriptions du Nota 3 du 6.2.1.6.1, applicables jusqu'au 31 décembre 2022, peuvent continuer à être appliquées jusqu'au 31 décembre 2024. »</w:t>
      </w:r>
      <w:r w:rsidRPr="00CA3533">
        <w:rPr>
          <w:i/>
          <w:iCs/>
          <w:lang w:val="fr-FR" w:eastAsia="en-GB"/>
        </w:rPr>
        <w:t xml:space="preserve"> </w:t>
      </w:r>
    </w:p>
    <w:p w14:paraId="68301A8E" w14:textId="77777777" w:rsidR="00CA3533" w:rsidRPr="00CA3533" w:rsidRDefault="00CA3533" w:rsidP="00CA3533">
      <w:pPr>
        <w:spacing w:after="120"/>
        <w:ind w:left="2268" w:right="1134" w:hanging="1134"/>
        <w:jc w:val="both"/>
        <w:rPr>
          <w:lang w:val="fr-FR" w:eastAsia="fr-FR"/>
        </w:rPr>
      </w:pPr>
      <w:r w:rsidRPr="00CA3533">
        <w:rPr>
          <w:lang w:val="fr-FR" w:eastAsia="fr-FR"/>
        </w:rPr>
        <w:t xml:space="preserve">« 1.6.2.18 </w:t>
      </w:r>
      <w:r w:rsidRPr="00CA3533">
        <w:rPr>
          <w:lang w:val="fr-FR" w:eastAsia="fr-FR"/>
        </w:rPr>
        <w:tab/>
        <w:t>Les récipients cryogéniques fermés construits avant le 1er juillet 2023 qui ont été soumis aux prescriptions relatives aux contrôles et épreuves initiaux du 6.2.1.5.2 applicables jusqu'au 31 décembre 2022 mais qui ne sont cependant pas conformes aux prescriptions du 6.2.1.5.2 relatives aux contrôles et épreuves initiaux applicables à compter du 1er janvier 2023 peuvent encore être utilisés. »</w:t>
      </w:r>
    </w:p>
    <w:p w14:paraId="18779E84" w14:textId="0AF993BC" w:rsidR="00CA3533" w:rsidRPr="00CA3533" w:rsidRDefault="00CA3533" w:rsidP="00CA3533">
      <w:pPr>
        <w:spacing w:after="120"/>
        <w:ind w:left="2268" w:right="1134" w:hanging="1134"/>
        <w:jc w:val="both"/>
        <w:rPr>
          <w:lang w:val="fr-FR" w:eastAsia="fr-FR"/>
        </w:rPr>
      </w:pPr>
      <w:r w:rsidRPr="00CA3533">
        <w:rPr>
          <w:lang w:val="fr-FR" w:eastAsia="fr-FR"/>
        </w:rPr>
        <w:t>« 1.6.2.19</w:t>
      </w:r>
      <w:r w:rsidRPr="00CA3533">
        <w:rPr>
          <w:lang w:val="fr-FR" w:eastAsia="fr-FR"/>
        </w:rPr>
        <w:tab/>
        <w:t>Les bouteilles d'acétylène construites avant le 1er juillet 2023 qui ne sont pas marquées conformément au 6.2.2.7.3 k) ou l) applicable à partir du 1er janvier 2023 peuvent encore être utilisés jusqu'aux prochains contrôle et épreuve périodiques après 1er juillet 2023. »</w:t>
      </w:r>
    </w:p>
    <w:p w14:paraId="4008FB21" w14:textId="77777777" w:rsidR="00CA3533" w:rsidRPr="00CA3533" w:rsidRDefault="00CA3533" w:rsidP="00CA3533">
      <w:pPr>
        <w:spacing w:after="120"/>
        <w:ind w:left="2268" w:right="1134" w:hanging="1134"/>
        <w:jc w:val="both"/>
        <w:rPr>
          <w:lang w:val="fr-FR" w:eastAsia="fr-FR"/>
        </w:rPr>
      </w:pPr>
      <w:r w:rsidRPr="00CA3533">
        <w:rPr>
          <w:lang w:val="fr-FR" w:eastAsia="fr-FR"/>
        </w:rPr>
        <w:t>« 1.6.2.20</w:t>
      </w:r>
      <w:r w:rsidRPr="00CA3533">
        <w:rPr>
          <w:lang w:val="fr-FR" w:eastAsia="fr-FR"/>
        </w:rPr>
        <w:tab/>
        <w:t>Les fermetures des récipients à pression rechargeables construites avant le 1er juillet 2023 qui ne sont pas marquées conformément au 6.2.2.11 ou 6.2.3.9.8 applicables à partir du 1er janvier 2023 peuvent encore être utilisées. »</w:t>
      </w:r>
    </w:p>
    <w:p w14:paraId="42A5A2BD" w14:textId="77777777" w:rsidR="00CA3533" w:rsidRPr="00CA3533" w:rsidRDefault="00CA3533" w:rsidP="00CA3533">
      <w:pPr>
        <w:spacing w:after="120"/>
        <w:ind w:left="1134" w:right="1134"/>
        <w:jc w:val="both"/>
        <w:rPr>
          <w:lang w:val="fr-FR"/>
        </w:rPr>
      </w:pPr>
      <w:r w:rsidRPr="00CA3533">
        <w:rPr>
          <w:lang w:val="fr-FR"/>
        </w:rPr>
        <w:t>1.6.3.33</w:t>
      </w:r>
      <w:r w:rsidRPr="00CA3533">
        <w:rPr>
          <w:lang w:val="fr-FR"/>
        </w:rPr>
        <w:tab/>
        <w:t>Supprimer et ajouter « 1.6.3.33</w:t>
      </w:r>
      <w:r w:rsidRPr="00CA3533">
        <w:rPr>
          <w:i/>
          <w:iCs/>
          <w:lang w:val="fr-FR"/>
        </w:rPr>
        <w:t xml:space="preserve"> (Réservé)</w:t>
      </w:r>
      <w:r w:rsidRPr="00CA3533">
        <w:rPr>
          <w:lang w:val="fr-FR"/>
        </w:rPr>
        <w:t> ».</w:t>
      </w:r>
    </w:p>
    <w:p w14:paraId="6761084C" w14:textId="39C97DD4" w:rsidR="00CA3533" w:rsidRPr="00CA3533" w:rsidRDefault="00CA3533" w:rsidP="00CA3533">
      <w:pPr>
        <w:spacing w:after="120"/>
        <w:ind w:left="2268" w:right="1134" w:hanging="1134"/>
        <w:jc w:val="both"/>
        <w:rPr>
          <w:lang w:val="fr-FR" w:eastAsia="fr-FR"/>
        </w:rPr>
      </w:pPr>
      <w:r w:rsidRPr="00CA3533">
        <w:rPr>
          <w:lang w:val="fr-FR" w:eastAsia="fr-FR"/>
        </w:rPr>
        <w:lastRenderedPageBreak/>
        <w:t>1.6.3</w:t>
      </w:r>
      <w:r w:rsidRPr="00CA3533">
        <w:rPr>
          <w:lang w:val="fr-FR" w:eastAsia="fr-FR"/>
        </w:rPr>
        <w:tab/>
      </w:r>
      <w:r w:rsidRPr="00CA3533">
        <w:rPr>
          <w:lang w:val="fr-FR" w:eastAsia="fr-FR"/>
        </w:rPr>
        <w:tab/>
        <w:t>Ajouter les nouvelles mesures transitoires suivantes</w:t>
      </w:r>
      <w:r w:rsidR="004F77A5">
        <w:rPr>
          <w:lang w:val="fr-FR" w:eastAsia="fr-FR"/>
        </w:rPr>
        <w:t xml:space="preserve"> et remplacer « </w:t>
      </w:r>
      <w:r w:rsidR="004F77A5" w:rsidRPr="00CA3533">
        <w:rPr>
          <w:lang w:val="fr-FR"/>
        </w:rPr>
        <w:t>1.6.</w:t>
      </w:r>
      <w:r w:rsidR="004F77A5">
        <w:rPr>
          <w:lang w:val="fr-FR"/>
        </w:rPr>
        <w:t>3.54 à 1.6.3.99</w:t>
      </w:r>
      <w:r w:rsidR="004F77A5" w:rsidRPr="00CA3533">
        <w:rPr>
          <w:i/>
          <w:iCs/>
          <w:lang w:val="fr-FR"/>
        </w:rPr>
        <w:t xml:space="preserve"> (</w:t>
      </w:r>
      <w:r w:rsidR="0026444D">
        <w:rPr>
          <w:i/>
          <w:iCs/>
          <w:lang w:val="fr-FR"/>
        </w:rPr>
        <w:t>Réservés</w:t>
      </w:r>
      <w:r w:rsidR="004F77A5" w:rsidRPr="00CA3533">
        <w:rPr>
          <w:i/>
          <w:iCs/>
          <w:lang w:val="fr-FR"/>
        </w:rPr>
        <w:t>)</w:t>
      </w:r>
      <w:r w:rsidR="004F77A5" w:rsidRPr="00CA3533">
        <w:rPr>
          <w:lang w:val="fr-FR"/>
        </w:rPr>
        <w:t> »</w:t>
      </w:r>
      <w:r w:rsidR="0026444D">
        <w:rPr>
          <w:lang w:val="fr-FR"/>
        </w:rPr>
        <w:t xml:space="preserve"> par </w:t>
      </w:r>
      <w:r w:rsidR="0026444D">
        <w:rPr>
          <w:lang w:val="fr-FR" w:eastAsia="fr-FR"/>
        </w:rPr>
        <w:t>« </w:t>
      </w:r>
      <w:r w:rsidR="0026444D" w:rsidRPr="00CA3533">
        <w:rPr>
          <w:lang w:val="fr-FR"/>
        </w:rPr>
        <w:t>1.6.</w:t>
      </w:r>
      <w:r w:rsidR="0026444D">
        <w:rPr>
          <w:lang w:val="fr-FR"/>
        </w:rPr>
        <w:t>3.58 à 1.6.3.99</w:t>
      </w:r>
      <w:r w:rsidR="0026444D" w:rsidRPr="00CA3533">
        <w:rPr>
          <w:i/>
          <w:iCs/>
          <w:lang w:val="fr-FR"/>
        </w:rPr>
        <w:t xml:space="preserve"> (</w:t>
      </w:r>
      <w:r w:rsidR="0026444D">
        <w:rPr>
          <w:i/>
          <w:iCs/>
          <w:lang w:val="fr-FR"/>
        </w:rPr>
        <w:t>Réservés</w:t>
      </w:r>
      <w:r w:rsidR="0026444D" w:rsidRPr="00CA3533">
        <w:rPr>
          <w:i/>
          <w:iCs/>
          <w:lang w:val="fr-FR"/>
        </w:rPr>
        <w:t>)</w:t>
      </w:r>
      <w:r w:rsidR="0026444D" w:rsidRPr="00CA3533">
        <w:rPr>
          <w:lang w:val="fr-FR"/>
        </w:rPr>
        <w:t> »</w:t>
      </w:r>
      <w:r w:rsidRPr="00CA3533">
        <w:rPr>
          <w:lang w:val="fr-FR" w:eastAsia="fr-FR"/>
        </w:rPr>
        <w:t> :</w:t>
      </w:r>
    </w:p>
    <w:p w14:paraId="10882B12" w14:textId="77777777" w:rsidR="00CA3533" w:rsidRPr="00CA3533" w:rsidRDefault="00CA3533" w:rsidP="00CA3533">
      <w:pPr>
        <w:spacing w:after="120"/>
        <w:ind w:left="2268" w:right="1134" w:hanging="1134"/>
        <w:jc w:val="both"/>
        <w:rPr>
          <w:rFonts w:eastAsiaTheme="minorHAnsi"/>
          <w:lang w:val="fr-FR"/>
        </w:rPr>
      </w:pPr>
      <w:r w:rsidRPr="00CA3533">
        <w:rPr>
          <w:rFonts w:eastAsiaTheme="minorHAnsi"/>
          <w:lang w:val="fr-FR" w:eastAsia="en-US"/>
        </w:rPr>
        <w:t>« </w:t>
      </w:r>
      <w:r w:rsidRPr="00CA3533">
        <w:rPr>
          <w:rFonts w:eastAsiaTheme="minorHAnsi"/>
          <w:lang w:val="fr-FR"/>
        </w:rPr>
        <w:t>1.6.3.54</w:t>
      </w:r>
      <w:r w:rsidRPr="00CA3533">
        <w:rPr>
          <w:rFonts w:eastAsiaTheme="minorHAnsi"/>
          <w:lang w:val="fr-FR"/>
        </w:rPr>
        <w:tab/>
        <w:t>Les procédures utilisées par l’autorité compétente pour l’agrément des experts effectuant des activités concernant les citernes fixes (véhicules-citernes) et les citernes démontables destinées au transport de matières autres que celles auxquelles s’appliquent</w:t>
      </w:r>
      <w:r w:rsidRPr="00CA3533">
        <w:rPr>
          <w:rFonts w:eastAsiaTheme="minorHAnsi"/>
          <w:lang w:val="fr-FR" w:eastAsia="en-US"/>
        </w:rPr>
        <w:t xml:space="preserve"> </w:t>
      </w:r>
      <w:r w:rsidRPr="00CA3533">
        <w:rPr>
          <w:rFonts w:eastAsiaTheme="minorHAnsi"/>
          <w:lang w:val="fr-FR"/>
        </w:rPr>
        <w:t>les dispositions TA4 et TT9 du 6.8.4, qui sont conformes aux prescriptions du chapitre 6.8 en vigueur jusqu’au 31 décembre 2022 mais qui ne sont pas conformes aux prescriptions du 1.8.6 applicables aux organismes de contrôle à partir du 1er janvier 2023 peuvent continuer à être utilisées jusqu’au 31 décembre 2032.</w:t>
      </w:r>
    </w:p>
    <w:p w14:paraId="52E914C0" w14:textId="01ED126C" w:rsidR="00CA3533" w:rsidRPr="00CA3533" w:rsidRDefault="00CA3533" w:rsidP="00CA3533">
      <w:pPr>
        <w:spacing w:after="120"/>
        <w:ind w:left="2268" w:right="1134"/>
        <w:jc w:val="both"/>
        <w:rPr>
          <w:rFonts w:eastAsiaTheme="minorHAnsi"/>
          <w:i/>
          <w:lang w:val="fr-FR"/>
        </w:rPr>
      </w:pPr>
      <w:r w:rsidRPr="002C2714">
        <w:rPr>
          <w:rFonts w:eastAsiaTheme="minorHAnsi"/>
          <w:b/>
          <w:bCs/>
          <w:lang w:val="fr-FR"/>
        </w:rPr>
        <w:tab/>
      </w:r>
      <w:r w:rsidR="002C2714" w:rsidRPr="002C2714">
        <w:rPr>
          <w:rFonts w:eastAsiaTheme="minorHAnsi"/>
          <w:b/>
          <w:bCs/>
          <w:i/>
          <w:lang w:val="fr-FR"/>
        </w:rPr>
        <w:t>NOTA </w:t>
      </w:r>
      <w:r w:rsidRPr="002C2714">
        <w:rPr>
          <w:rFonts w:eastAsiaTheme="minorHAnsi"/>
          <w:b/>
          <w:bCs/>
          <w:i/>
          <w:lang w:val="fr-FR"/>
        </w:rPr>
        <w:t>:</w:t>
      </w:r>
      <w:r w:rsidRPr="00CA3533">
        <w:rPr>
          <w:rFonts w:eastAsiaTheme="minorHAnsi"/>
          <w:i/>
          <w:lang w:val="fr-FR"/>
        </w:rPr>
        <w:t xml:space="preserve"> Le terme “expert” a été remplacé par le terme “organisme de contrôle”. »</w:t>
      </w:r>
    </w:p>
    <w:p w14:paraId="52CDE0F7" w14:textId="77777777" w:rsidR="00CA3533" w:rsidRPr="00CA3533" w:rsidRDefault="00CA3533" w:rsidP="00CA3533">
      <w:pPr>
        <w:spacing w:after="120"/>
        <w:ind w:left="2268" w:right="1134" w:hanging="1134"/>
        <w:jc w:val="both"/>
        <w:rPr>
          <w:rFonts w:eastAsiaTheme="minorHAnsi"/>
          <w:lang w:val="fr-FR"/>
        </w:rPr>
      </w:pPr>
      <w:r w:rsidRPr="00CA3533">
        <w:rPr>
          <w:rFonts w:eastAsiaTheme="minorHAnsi"/>
          <w:lang w:val="fr-FR"/>
        </w:rPr>
        <w:t>« 1.6.3.55</w:t>
      </w:r>
      <w:r w:rsidRPr="00CA3533">
        <w:rPr>
          <w:rFonts w:eastAsiaTheme="minorHAnsi"/>
          <w:lang w:val="fr-FR"/>
        </w:rPr>
        <w:tab/>
        <w:t>Les certificats d’agrément de type délivrés pour les citernes fixes (véhicules-citernes) et les citernes démontables destinées au transport de matières autres que celles auxquelles s’appliquent les dispositions TA4 et TT9 du 6.8.4, délivrés avant le 1</w:t>
      </w:r>
      <w:r w:rsidRPr="00AC4237">
        <w:rPr>
          <w:rFonts w:eastAsiaTheme="minorHAnsi"/>
          <w:lang w:val="fr-FR"/>
        </w:rPr>
        <w:t>er</w:t>
      </w:r>
      <w:r w:rsidRPr="00CA3533">
        <w:rPr>
          <w:rFonts w:eastAsiaTheme="minorHAnsi"/>
          <w:lang w:val="fr-FR"/>
        </w:rPr>
        <w:t> juillet 2023 conformément au chapitre 6.8, qui ne sont pas conformes au 1.8.7 applicable à compter du 1</w:t>
      </w:r>
      <w:r w:rsidRPr="00CA3533">
        <w:rPr>
          <w:rFonts w:eastAsiaTheme="minorHAnsi"/>
          <w:vertAlign w:val="superscript"/>
          <w:lang w:val="fr-FR"/>
        </w:rPr>
        <w:t>er</w:t>
      </w:r>
      <w:r w:rsidRPr="00CA3533">
        <w:rPr>
          <w:rFonts w:eastAsiaTheme="minorHAnsi"/>
          <w:lang w:val="fr-FR"/>
        </w:rPr>
        <w:t> janvier 2023 peuvent continuer à être utilisés jusqu’à la fin de leur validité. »</w:t>
      </w:r>
    </w:p>
    <w:p w14:paraId="078B3F43" w14:textId="77777777" w:rsidR="00CA3533" w:rsidRPr="00CA3533" w:rsidRDefault="00CA3533" w:rsidP="00CA3533">
      <w:pPr>
        <w:spacing w:after="120"/>
        <w:ind w:left="2268" w:right="1134" w:hanging="1134"/>
        <w:jc w:val="both"/>
        <w:rPr>
          <w:rFonts w:eastAsia="Calibri"/>
          <w:lang w:val="fr-FR" w:eastAsia="en-US"/>
        </w:rPr>
      </w:pPr>
      <w:r w:rsidRPr="00CA3533">
        <w:rPr>
          <w:rFonts w:eastAsia="Calibri"/>
          <w:lang w:val="fr-FR" w:eastAsia="en-US"/>
        </w:rPr>
        <w:t>« 1.6.3.56</w:t>
      </w:r>
      <w:r w:rsidRPr="00CA3533">
        <w:rPr>
          <w:rFonts w:eastAsia="Calibri"/>
          <w:lang w:val="fr-FR" w:eastAsia="en-US"/>
        </w:rPr>
        <w:tab/>
        <w:t>Les citernes fixes (véhicules-citernes) et citernes démontables construites avant le 1er juillet 2033 conformément aux prescriptions du chapitre 6.9 applicables jusqu'au 31 décembre 2022, mais qui ne sont pas conformes aux prescriptions du chapitre 6.13 applicables à compter du 1er janvier 2023, peuvent encore être utilisées. »</w:t>
      </w:r>
    </w:p>
    <w:p w14:paraId="0406AE75" w14:textId="77777777" w:rsidR="00CA3533" w:rsidRPr="00CA3533" w:rsidRDefault="00CA3533" w:rsidP="00CA3533">
      <w:pPr>
        <w:spacing w:after="120"/>
        <w:ind w:left="2268" w:right="1134" w:hanging="1134"/>
        <w:jc w:val="both"/>
        <w:rPr>
          <w:rFonts w:eastAsia="Calibri"/>
          <w:lang w:val="fr-FR" w:eastAsia="en-US"/>
        </w:rPr>
      </w:pPr>
      <w:r w:rsidRPr="00CA3533">
        <w:rPr>
          <w:lang w:val="fr-FR" w:eastAsia="fr-FR"/>
        </w:rPr>
        <w:t>« 1.6.3.57</w:t>
      </w:r>
      <w:r w:rsidRPr="00CA3533">
        <w:rPr>
          <w:lang w:val="fr-FR" w:eastAsia="fr-FR"/>
        </w:rPr>
        <w:tab/>
        <w:t xml:space="preserve">Les citernes fixes (véhicules-citernes) et les citernes démontables construites avant le 1er janvier 2024 conformément aux prescriptions applicables jusqu’au 31 décembre 2022, mais qui ne sont cependant pas conformes aux prescriptions applicables à partir du 1er janvier 2023 en ce qui concerne le montage des soupapes de sécurité conformément au 6.8.3.2.9, peuvent encore être utilisées. </w:t>
      </w:r>
      <w:r w:rsidRPr="00CA3533">
        <w:rPr>
          <w:rFonts w:eastAsia="Calibri"/>
          <w:lang w:val="fr-FR" w:eastAsia="en-US"/>
        </w:rPr>
        <w:t>»</w:t>
      </w:r>
    </w:p>
    <w:p w14:paraId="3031F6D0" w14:textId="7A93405E" w:rsidR="00EF7488" w:rsidRPr="00CA3533" w:rsidRDefault="00EF7488" w:rsidP="00EF7488">
      <w:pPr>
        <w:spacing w:after="120"/>
        <w:ind w:left="2268" w:right="1134" w:hanging="1134"/>
        <w:jc w:val="both"/>
        <w:rPr>
          <w:lang w:val="fr-FR"/>
        </w:rPr>
      </w:pPr>
      <w:r w:rsidRPr="00CA3533">
        <w:rPr>
          <w:lang w:val="fr-FR"/>
        </w:rPr>
        <w:t>1.6.3.100.2</w:t>
      </w:r>
      <w:r w:rsidRPr="00CA3533">
        <w:rPr>
          <w:lang w:val="fr-FR"/>
        </w:rPr>
        <w:tab/>
      </w:r>
      <w:r>
        <w:rPr>
          <w:lang w:val="fr-FR"/>
        </w:rPr>
        <w:t xml:space="preserve">Remplacer « applicables à compter du 1er janvier 2021 » par « , applicables </w:t>
      </w:r>
      <w:r>
        <w:rPr>
          <w:rFonts w:asciiTheme="majorBidi" w:hAnsiTheme="majorBidi" w:cstheme="majorBidi"/>
          <w:lang w:val="fr-FR" w:eastAsia="en-US"/>
        </w:rPr>
        <w:t>du 1er janvier 2021 au 31 décembre 2022, ou du 6.13.6.1 applicables à compter du 1er janvier 2023,</w:t>
      </w:r>
      <w:r>
        <w:rPr>
          <w:lang w:val="fr-FR"/>
        </w:rPr>
        <w:t> ».</w:t>
      </w:r>
    </w:p>
    <w:p w14:paraId="3F55AEE4" w14:textId="534446ED" w:rsidR="00AD35F7" w:rsidRPr="00F637DE" w:rsidRDefault="00AD35F7" w:rsidP="00AD35F7">
      <w:pPr>
        <w:spacing w:after="120"/>
        <w:ind w:left="2268" w:right="1134" w:hanging="1134"/>
        <w:jc w:val="both"/>
        <w:rPr>
          <w:rFonts w:eastAsiaTheme="minorHAnsi"/>
        </w:rPr>
      </w:pPr>
      <w:r w:rsidRPr="00F637DE">
        <w:rPr>
          <w:rFonts w:eastAsiaTheme="minorHAnsi"/>
        </w:rPr>
        <w:t>1.6.4.32</w:t>
      </w:r>
      <w:r w:rsidRPr="00F637DE">
        <w:rPr>
          <w:rFonts w:eastAsiaTheme="minorHAnsi"/>
        </w:rPr>
        <w:tab/>
      </w:r>
      <w:r w:rsidR="00281B37">
        <w:rPr>
          <w:rFonts w:eastAsiaTheme="minorHAnsi"/>
        </w:rPr>
        <w:t xml:space="preserve">Supprimer et remplacer « 1.6.4.31 </w:t>
      </w:r>
      <w:r w:rsidR="00281B37" w:rsidRPr="00F637DE">
        <w:rPr>
          <w:rFonts w:eastAsiaTheme="minorHAnsi"/>
          <w:i/>
          <w:iCs/>
        </w:rPr>
        <w:t>(Supprimé)</w:t>
      </w:r>
      <w:r w:rsidR="00281B37">
        <w:rPr>
          <w:rFonts w:eastAsiaTheme="minorHAnsi"/>
        </w:rPr>
        <w:t xml:space="preserve"> » </w:t>
      </w:r>
      <w:r w:rsidRPr="00F637DE">
        <w:rPr>
          <w:rFonts w:eastAsiaTheme="minorHAnsi"/>
        </w:rPr>
        <w:t>par « </w:t>
      </w:r>
      <w:r w:rsidR="00281B37">
        <w:rPr>
          <w:rFonts w:eastAsiaTheme="minorHAnsi"/>
        </w:rPr>
        <w:t xml:space="preserve">1.6.4.31 et </w:t>
      </w:r>
      <w:r w:rsidRPr="00F637DE">
        <w:rPr>
          <w:rFonts w:eastAsiaTheme="minorHAnsi"/>
        </w:rPr>
        <w:t>1.6.4.32</w:t>
      </w:r>
      <w:r w:rsidRPr="00F637DE">
        <w:rPr>
          <w:rFonts w:eastAsiaTheme="minorHAnsi"/>
          <w:i/>
          <w:iCs/>
        </w:rPr>
        <w:t xml:space="preserve"> (Supprimé</w:t>
      </w:r>
      <w:r w:rsidR="008D06BA">
        <w:rPr>
          <w:rFonts w:eastAsiaTheme="minorHAnsi"/>
          <w:i/>
          <w:iCs/>
        </w:rPr>
        <w:t>s</w:t>
      </w:r>
      <w:r w:rsidRPr="00F637DE">
        <w:rPr>
          <w:rFonts w:eastAsiaTheme="minorHAnsi"/>
          <w:i/>
          <w:iCs/>
        </w:rPr>
        <w:t>)</w:t>
      </w:r>
      <w:r w:rsidRPr="00F637DE">
        <w:rPr>
          <w:rFonts w:eastAsiaTheme="minorHAnsi"/>
        </w:rPr>
        <w:t> ».</w:t>
      </w:r>
    </w:p>
    <w:p w14:paraId="656ACD7B" w14:textId="77777777" w:rsidR="00CA3533" w:rsidRPr="00CA3533" w:rsidRDefault="00CA3533" w:rsidP="00CA3533">
      <w:pPr>
        <w:tabs>
          <w:tab w:val="left" w:pos="2268"/>
        </w:tabs>
        <w:spacing w:after="120"/>
        <w:ind w:left="1134" w:right="1134"/>
        <w:jc w:val="both"/>
        <w:rPr>
          <w:lang w:val="fr-FR"/>
        </w:rPr>
      </w:pPr>
      <w:r w:rsidRPr="00CA3533">
        <w:rPr>
          <w:lang w:val="fr-FR"/>
        </w:rPr>
        <w:t>1.6.4</w:t>
      </w:r>
      <w:r w:rsidRPr="00CA3533">
        <w:rPr>
          <w:lang w:val="fr-FR"/>
        </w:rPr>
        <w:tab/>
        <w:t>Ajouter les nouvelles mesures transitoires suivantes :</w:t>
      </w:r>
    </w:p>
    <w:p w14:paraId="3FF868C2" w14:textId="1304537A" w:rsidR="00430BD4" w:rsidRPr="00430BD4" w:rsidRDefault="00430BD4" w:rsidP="00CA3533">
      <w:pPr>
        <w:spacing w:after="120"/>
        <w:ind w:left="2268" w:right="1134" w:hanging="1134"/>
        <w:jc w:val="both"/>
        <w:rPr>
          <w:lang w:val="fr-FR"/>
        </w:rPr>
      </w:pPr>
      <w:r w:rsidRPr="0018740B">
        <w:rPr>
          <w:lang w:val="fr-FR"/>
        </w:rPr>
        <w:t>« 1.6.4.55</w:t>
      </w:r>
      <w:r w:rsidRPr="0018740B">
        <w:rPr>
          <w:lang w:val="fr-FR"/>
        </w:rPr>
        <w:tab/>
      </w:r>
      <w:r w:rsidR="00853D96" w:rsidRPr="0018740B">
        <w:rPr>
          <w:i/>
          <w:iCs/>
          <w:lang w:val="fr-FR"/>
        </w:rPr>
        <w:t>(</w:t>
      </w:r>
      <w:r w:rsidRPr="0018740B">
        <w:rPr>
          <w:i/>
          <w:iCs/>
          <w:lang w:val="fr-FR"/>
        </w:rPr>
        <w:t>Réservé</w:t>
      </w:r>
      <w:r w:rsidR="00853D96" w:rsidRPr="0018740B">
        <w:rPr>
          <w:i/>
          <w:iCs/>
          <w:lang w:val="fr-FR"/>
        </w:rPr>
        <w:t>)</w:t>
      </w:r>
      <w:r w:rsidRPr="0018740B">
        <w:rPr>
          <w:lang w:val="fr-FR"/>
        </w:rPr>
        <w:t> »</w:t>
      </w:r>
    </w:p>
    <w:p w14:paraId="4D59E377" w14:textId="28032772" w:rsidR="00CA3533" w:rsidRPr="00CA3533" w:rsidRDefault="00CA3533" w:rsidP="00CA3533">
      <w:pPr>
        <w:spacing w:after="120"/>
        <w:ind w:left="2268" w:right="1134" w:hanging="1134"/>
        <w:jc w:val="both"/>
        <w:rPr>
          <w:lang w:val="fr-FR"/>
        </w:rPr>
      </w:pPr>
      <w:r w:rsidRPr="00CA3533">
        <w:rPr>
          <w:lang w:val="fr-FR"/>
        </w:rPr>
        <w:t>« 1.6.4.</w:t>
      </w:r>
      <w:r w:rsidR="001F5191">
        <w:rPr>
          <w:lang w:val="fr-FR"/>
        </w:rPr>
        <w:t>56</w:t>
      </w:r>
      <w:r w:rsidRPr="00CA3533">
        <w:rPr>
          <w:lang w:val="fr-FR"/>
        </w:rPr>
        <w:tab/>
        <w:t>Les conteneurs-citernes qui ne sont pas conformes aux prescriptions du 6.8.3.4.6 b) applicables à partir du 1er janvier 2023 pourront encore être utilisés si un contrôle intermédiaire a lieu au plus tard six ans après chaque contrôle périodique effectué après le 1er juillet 2023. »</w:t>
      </w:r>
    </w:p>
    <w:p w14:paraId="179A9F13" w14:textId="60EDE9E8" w:rsidR="00CA3533" w:rsidRPr="00CA3533" w:rsidRDefault="00CA3533" w:rsidP="00CA3533">
      <w:pPr>
        <w:spacing w:after="120"/>
        <w:ind w:left="2268" w:right="1134" w:hanging="1134"/>
        <w:jc w:val="both"/>
        <w:rPr>
          <w:rFonts w:eastAsiaTheme="minorHAnsi"/>
          <w:lang w:val="fr-FR"/>
        </w:rPr>
      </w:pPr>
      <w:r w:rsidRPr="00CA3533">
        <w:rPr>
          <w:rFonts w:eastAsiaTheme="minorHAnsi"/>
          <w:lang w:val="fr-FR"/>
        </w:rPr>
        <w:t>« 1.6.4.57</w:t>
      </w:r>
      <w:r w:rsidRPr="00CA3533">
        <w:rPr>
          <w:rFonts w:eastAsiaTheme="minorHAnsi"/>
          <w:lang w:val="fr-FR"/>
        </w:rPr>
        <w:tab/>
        <w:t>Sauf en ce qui concerne le deuxième tiret du deuxième paragraphe du 6.8.1.5, les procédures utilisées par l’autorité compétente pour l’agrément des experts effectuant des activités concernant les conteneurs-citernes destinés au transport de matières autres que celles auxquelles s’appliquent les dispositions TA4 et TT9 du 6.8.4, qui sont conformes aux prescriptions du chapitre 6.8 en vigueur jusqu’au 31 décembre 2022 mais qui ne sont pas conformes aux prescriptions du 1.8.6 applicables aux organismes de contrôle à partir du 1</w:t>
      </w:r>
      <w:r w:rsidRPr="00CA3533">
        <w:rPr>
          <w:rFonts w:eastAsiaTheme="minorHAnsi"/>
          <w:vertAlign w:val="superscript"/>
          <w:lang w:val="fr-FR"/>
        </w:rPr>
        <w:t>er</w:t>
      </w:r>
      <w:r w:rsidRPr="00CA3533">
        <w:rPr>
          <w:rFonts w:eastAsiaTheme="minorHAnsi"/>
          <w:lang w:val="fr-FR"/>
        </w:rPr>
        <w:t> janvier 2023 peuvent continuer à être utilisées jusqu’au 31 décembre 2032.</w:t>
      </w:r>
    </w:p>
    <w:p w14:paraId="21D55154" w14:textId="39B4394E" w:rsidR="00CA3533" w:rsidRPr="00CA3533" w:rsidRDefault="00CA3533" w:rsidP="00CA3533">
      <w:pPr>
        <w:spacing w:after="120"/>
        <w:ind w:left="2268" w:right="1134"/>
        <w:jc w:val="both"/>
        <w:rPr>
          <w:rFonts w:eastAsiaTheme="minorHAnsi"/>
          <w:i/>
          <w:lang w:val="fr-FR"/>
        </w:rPr>
      </w:pPr>
      <w:r w:rsidRPr="00311A83">
        <w:rPr>
          <w:rFonts w:eastAsiaTheme="minorHAnsi"/>
          <w:b/>
          <w:bCs/>
          <w:lang w:val="fr-FR" w:eastAsia="en-US"/>
        </w:rPr>
        <w:tab/>
      </w:r>
      <w:r w:rsidR="00311A83" w:rsidRPr="00311A83">
        <w:rPr>
          <w:rFonts w:eastAsiaTheme="minorHAnsi"/>
          <w:b/>
          <w:bCs/>
          <w:i/>
          <w:lang w:val="fr-FR"/>
        </w:rPr>
        <w:t>NOTA </w:t>
      </w:r>
      <w:r w:rsidRPr="00311A83">
        <w:rPr>
          <w:rFonts w:eastAsiaTheme="minorHAnsi"/>
          <w:b/>
          <w:bCs/>
          <w:i/>
          <w:lang w:val="fr-FR"/>
        </w:rPr>
        <w:t>:</w:t>
      </w:r>
      <w:r w:rsidRPr="00CA3533">
        <w:rPr>
          <w:rFonts w:eastAsiaTheme="minorHAnsi"/>
          <w:i/>
          <w:lang w:val="fr-FR"/>
        </w:rPr>
        <w:t xml:space="preserve"> Le terme “expert” a été remplacé par le terme “organisme de contrôle”.</w:t>
      </w:r>
      <w:r w:rsidRPr="0018740B">
        <w:rPr>
          <w:rFonts w:eastAsiaTheme="minorHAnsi"/>
          <w:iCs/>
          <w:lang w:val="fr-FR"/>
        </w:rPr>
        <w:t> »</w:t>
      </w:r>
    </w:p>
    <w:p w14:paraId="0F9DCA8D" w14:textId="77777777" w:rsidR="00CA3533" w:rsidRPr="00CA3533" w:rsidRDefault="00CA3533" w:rsidP="00CA3533">
      <w:pPr>
        <w:spacing w:after="120"/>
        <w:ind w:left="2268" w:right="1134" w:hanging="1134"/>
        <w:jc w:val="both"/>
        <w:rPr>
          <w:rFonts w:eastAsiaTheme="minorHAnsi"/>
          <w:lang w:val="fr-FR"/>
        </w:rPr>
      </w:pPr>
      <w:r w:rsidRPr="00CA3533">
        <w:rPr>
          <w:rFonts w:eastAsiaTheme="minorHAnsi"/>
          <w:lang w:val="fr-FR"/>
        </w:rPr>
        <w:t>« 1.6.4.58</w:t>
      </w:r>
      <w:r w:rsidRPr="00CA3533">
        <w:rPr>
          <w:rFonts w:eastAsiaTheme="minorHAnsi"/>
          <w:lang w:val="fr-FR"/>
        </w:rPr>
        <w:tab/>
        <w:t>Les certificats d’agrément de type délivrés pour les conteneurs-citernes destinés au transport de matières autres que celles auxquelles s’appliquent</w:t>
      </w:r>
      <w:r w:rsidRPr="00CA3533">
        <w:rPr>
          <w:rFonts w:eastAsiaTheme="minorHAnsi"/>
          <w:lang w:val="fr-FR" w:eastAsia="en-US"/>
        </w:rPr>
        <w:t xml:space="preserve"> </w:t>
      </w:r>
      <w:r w:rsidRPr="00CA3533">
        <w:rPr>
          <w:rFonts w:eastAsiaTheme="minorHAnsi"/>
          <w:lang w:val="fr-FR"/>
        </w:rPr>
        <w:t>les dispositions TA4 et TT9 du 6.8.4, délivrés avant le 1</w:t>
      </w:r>
      <w:r w:rsidRPr="00CA3533">
        <w:rPr>
          <w:rFonts w:eastAsiaTheme="minorHAnsi"/>
          <w:vertAlign w:val="superscript"/>
          <w:lang w:val="fr-FR"/>
        </w:rPr>
        <w:t>er</w:t>
      </w:r>
      <w:r w:rsidRPr="00CA3533">
        <w:rPr>
          <w:rFonts w:eastAsiaTheme="minorHAnsi"/>
          <w:lang w:val="fr-FR"/>
        </w:rPr>
        <w:t xml:space="preserve"> juillet 2023 </w:t>
      </w:r>
      <w:r w:rsidRPr="00CA3533">
        <w:rPr>
          <w:rFonts w:eastAsiaTheme="minorHAnsi"/>
          <w:lang w:val="fr-FR"/>
        </w:rPr>
        <w:lastRenderedPageBreak/>
        <w:t>conformément au chapitre 6.8, qui ne sont pas conformes au 1.8.7 applicable à compter du 1</w:t>
      </w:r>
      <w:r w:rsidRPr="00CA3533">
        <w:rPr>
          <w:rFonts w:eastAsiaTheme="minorHAnsi"/>
          <w:vertAlign w:val="superscript"/>
          <w:lang w:val="fr-FR"/>
        </w:rPr>
        <w:t>er</w:t>
      </w:r>
      <w:r w:rsidRPr="00CA3533">
        <w:rPr>
          <w:rFonts w:eastAsiaTheme="minorHAnsi"/>
          <w:lang w:val="fr-FR"/>
        </w:rPr>
        <w:t> janvier 2023 peuvent continuer à être utilisés jusqu’à la fin de leur validité.</w:t>
      </w:r>
      <w:r w:rsidRPr="00CA3533">
        <w:rPr>
          <w:rFonts w:eastAsiaTheme="minorHAnsi"/>
          <w:lang w:val="fr-FR" w:eastAsia="en-US"/>
        </w:rPr>
        <w:t> ».</w:t>
      </w:r>
    </w:p>
    <w:p w14:paraId="740EB5C4" w14:textId="77777777" w:rsidR="00CA3533" w:rsidRPr="00CA3533" w:rsidRDefault="00CA3533" w:rsidP="00CA3533">
      <w:pPr>
        <w:spacing w:after="120"/>
        <w:ind w:left="2268" w:right="1134" w:hanging="1134"/>
        <w:jc w:val="both"/>
        <w:rPr>
          <w:rFonts w:eastAsia="Calibri"/>
          <w:lang w:val="fr-FR" w:eastAsia="en-US"/>
        </w:rPr>
      </w:pPr>
      <w:r w:rsidRPr="00CA3533">
        <w:rPr>
          <w:rFonts w:eastAsia="Calibri"/>
          <w:lang w:val="fr-FR" w:eastAsia="en-US"/>
        </w:rPr>
        <w:t>« 1.6.4.59</w:t>
      </w:r>
      <w:r w:rsidRPr="00CA3533">
        <w:rPr>
          <w:rFonts w:eastAsia="Calibri"/>
          <w:lang w:val="fr-FR" w:eastAsia="en-US"/>
        </w:rPr>
        <w:tab/>
      </w:r>
      <w:r w:rsidRPr="00CA3533">
        <w:rPr>
          <w:lang w:val="fr-FR"/>
        </w:rPr>
        <w:t>Les conteneurs-citernes construits avant le 1er juillet 2033 conformément aux prescriptions du chapitre 6.9 applicables jusqu'au 31 décembre 2022, peuvent encore être utilisés</w:t>
      </w:r>
      <w:r w:rsidRPr="00CA3533">
        <w:rPr>
          <w:rFonts w:eastAsia="Calibri"/>
          <w:lang w:val="fr-FR" w:eastAsia="en-US"/>
        </w:rPr>
        <w:t>. »</w:t>
      </w:r>
    </w:p>
    <w:p w14:paraId="7360037B" w14:textId="77777777" w:rsidR="00CA3533" w:rsidRPr="00CA3533" w:rsidRDefault="00CA3533" w:rsidP="00CA3533">
      <w:pPr>
        <w:spacing w:after="120"/>
        <w:ind w:left="2268" w:right="1134" w:hanging="1134"/>
        <w:jc w:val="both"/>
        <w:rPr>
          <w:rFonts w:eastAsia="Calibri"/>
          <w:lang w:val="fr-FR" w:eastAsia="en-US"/>
        </w:rPr>
      </w:pPr>
      <w:r w:rsidRPr="00CA3533">
        <w:rPr>
          <w:lang w:val="fr-FR" w:eastAsia="fr-FR"/>
        </w:rPr>
        <w:t>« 1.6.4.60</w:t>
      </w:r>
      <w:r w:rsidRPr="00CA3533">
        <w:rPr>
          <w:lang w:val="fr-FR" w:eastAsia="fr-FR"/>
        </w:rPr>
        <w:tab/>
        <w:t>Les conteneurs-citernes construits avant le 1er janvier 2024 conformément aux prescriptions applicables jusqu’au 31 décembre 2022, mais qui ne sont cependant pas conformes aux prescriptions applicables à partir du 1er janvier 2023 en ce qui concerne le montage des soupapes de sécurité conformément au 6.8.3.2.9, peuvent encore être utilisés.</w:t>
      </w:r>
      <w:r w:rsidRPr="00CA3533">
        <w:rPr>
          <w:rFonts w:eastAsia="Calibri"/>
          <w:lang w:val="fr-FR" w:eastAsia="en-US"/>
        </w:rPr>
        <w:t> »</w:t>
      </w:r>
    </w:p>
    <w:p w14:paraId="1DE6E98F" w14:textId="77777777" w:rsidR="002D6702" w:rsidRPr="00476248" w:rsidRDefault="002D6702" w:rsidP="002D6702">
      <w:pPr>
        <w:pStyle w:val="SingleTxtG"/>
        <w:ind w:left="2268" w:hanging="1134"/>
        <w:rPr>
          <w:lang w:val="fr-FR"/>
        </w:rPr>
      </w:pPr>
      <w:r w:rsidRPr="00476248">
        <w:rPr>
          <w:lang w:val="fr-FR"/>
        </w:rPr>
        <w:t>1.6.5</w:t>
      </w:r>
      <w:r w:rsidRPr="00476248">
        <w:rPr>
          <w:lang w:val="fr-FR"/>
        </w:rPr>
        <w:tab/>
        <w:t>Ajouter les nouvelles mesures transitoires suivantes :</w:t>
      </w:r>
    </w:p>
    <w:p w14:paraId="3E9ADEC7" w14:textId="511EEFA0" w:rsidR="002D6702" w:rsidRPr="00476248" w:rsidRDefault="002D6702" w:rsidP="002D6702">
      <w:pPr>
        <w:pStyle w:val="SingleTxtG"/>
        <w:ind w:left="2268" w:hanging="1134"/>
        <w:rPr>
          <w:lang w:val="fr-FR"/>
        </w:rPr>
      </w:pPr>
      <w:r w:rsidRPr="00476248">
        <w:rPr>
          <w:lang w:val="fr-FR"/>
        </w:rPr>
        <w:t>«</w:t>
      </w:r>
      <w:r>
        <w:rPr>
          <w:lang w:val="fr-FR"/>
        </w:rPr>
        <w:t> </w:t>
      </w:r>
      <w:r w:rsidRPr="00476248">
        <w:rPr>
          <w:lang w:val="fr-FR"/>
        </w:rPr>
        <w:t>1.6.5.23</w:t>
      </w:r>
      <w:r w:rsidRPr="00476248">
        <w:rPr>
          <w:lang w:val="fr-FR"/>
        </w:rPr>
        <w:tab/>
        <w:t>Les véhicules EX</w:t>
      </w:r>
      <w:r>
        <w:rPr>
          <w:lang w:val="fr-FR"/>
        </w:rPr>
        <w:t>/</w:t>
      </w:r>
      <w:r w:rsidRPr="00476248">
        <w:rPr>
          <w:lang w:val="fr-FR"/>
        </w:rPr>
        <w:t xml:space="preserve">III immatriculés pour la première fois ou mis en service avant le 1er janvier 2027 </w:t>
      </w:r>
      <w:r>
        <w:rPr>
          <w:lang w:val="fr-FR"/>
        </w:rPr>
        <w:t>conformément</w:t>
      </w:r>
      <w:r w:rsidRPr="00476248">
        <w:rPr>
          <w:lang w:val="fr-FR"/>
        </w:rPr>
        <w:t xml:space="preserve"> aux prescriptions du 9.7.9.2 applicables jusqu’au 31 décembre 2022, mais qui ne sont pas conformes aux prescriptions du 9.7.9.2 applicables à compter du 1er janvier 2023, </w:t>
      </w:r>
      <w:r>
        <w:rPr>
          <w:lang w:val="fr-FR"/>
        </w:rPr>
        <w:t>peuvent</w:t>
      </w:r>
      <w:r w:rsidRPr="00476248">
        <w:rPr>
          <w:lang w:val="fr-FR"/>
        </w:rPr>
        <w:t xml:space="preserve"> encore être utilisés.</w:t>
      </w:r>
      <w:r w:rsidR="00907EC1">
        <w:rPr>
          <w:lang w:val="fr-FR"/>
        </w:rPr>
        <w:t> »</w:t>
      </w:r>
    </w:p>
    <w:p w14:paraId="56614B3D" w14:textId="0D389096" w:rsidR="002D6702" w:rsidRPr="00476248" w:rsidRDefault="00907EC1" w:rsidP="002D6702">
      <w:pPr>
        <w:pStyle w:val="SingleTxtG"/>
        <w:ind w:left="2268" w:hanging="1134"/>
        <w:rPr>
          <w:lang w:val="fr-FR"/>
        </w:rPr>
      </w:pPr>
      <w:r>
        <w:rPr>
          <w:lang w:val="fr-FR"/>
        </w:rPr>
        <w:t>« </w:t>
      </w:r>
      <w:r w:rsidR="002D6702" w:rsidRPr="00476248">
        <w:rPr>
          <w:lang w:val="fr-FR"/>
        </w:rPr>
        <w:t>1.6.5.24</w:t>
      </w:r>
      <w:r w:rsidR="002D6702" w:rsidRPr="00476248">
        <w:rPr>
          <w:lang w:val="fr-FR"/>
        </w:rPr>
        <w:tab/>
        <w:t xml:space="preserve">Les véhicules FL immatriculés pour la première fois ou mis en service avant le 1er janvier 2027 qui ne sont pas conformes aux prescriptions du 9.7.9.1 applicables à partir du 1er janvier 2023 </w:t>
      </w:r>
      <w:r w:rsidR="002D6702">
        <w:rPr>
          <w:lang w:val="fr-FR"/>
        </w:rPr>
        <w:t>peuvent</w:t>
      </w:r>
      <w:r w:rsidR="002D6702" w:rsidRPr="00476248">
        <w:rPr>
          <w:lang w:val="fr-FR"/>
        </w:rPr>
        <w:t xml:space="preserve"> encore être utilisés.</w:t>
      </w:r>
      <w:r>
        <w:rPr>
          <w:lang w:val="fr-FR"/>
        </w:rPr>
        <w:t> »</w:t>
      </w:r>
    </w:p>
    <w:p w14:paraId="6D903FEB" w14:textId="5066126B" w:rsidR="002D6702" w:rsidRPr="00476248" w:rsidRDefault="00907EC1" w:rsidP="002D6702">
      <w:pPr>
        <w:pStyle w:val="SingleTxtG"/>
        <w:ind w:left="2268" w:hanging="1134"/>
        <w:rPr>
          <w:lang w:val="fr-FR"/>
        </w:rPr>
      </w:pPr>
      <w:r>
        <w:rPr>
          <w:lang w:val="fr-FR"/>
        </w:rPr>
        <w:t>« </w:t>
      </w:r>
      <w:r w:rsidR="002D6702" w:rsidRPr="00476248">
        <w:rPr>
          <w:lang w:val="fr-FR"/>
        </w:rPr>
        <w:t>1.6.5.25</w:t>
      </w:r>
      <w:r w:rsidR="002D6702" w:rsidRPr="00476248">
        <w:rPr>
          <w:lang w:val="fr-FR"/>
        </w:rPr>
        <w:tab/>
        <w:t xml:space="preserve">Les véhicules FL immatriculés pour la première fois ou mis en service avant le 1er janvier 2027 qui ne sont pas conformes aux prescriptions du 9.7.9.2 applicables à partir du 1er janvier 2023 </w:t>
      </w:r>
      <w:r w:rsidR="002D6702">
        <w:rPr>
          <w:lang w:val="fr-FR"/>
        </w:rPr>
        <w:t>peuvent</w:t>
      </w:r>
      <w:r w:rsidR="002D6702" w:rsidRPr="00476248">
        <w:rPr>
          <w:lang w:val="fr-FR"/>
        </w:rPr>
        <w:t xml:space="preserve"> encore être utilisés.</w:t>
      </w:r>
      <w:r w:rsidR="002D6702">
        <w:rPr>
          <w:lang w:val="fr-FR"/>
        </w:rPr>
        <w:t> </w:t>
      </w:r>
      <w:r w:rsidR="002D6702" w:rsidRPr="00476248">
        <w:rPr>
          <w:lang w:val="fr-FR"/>
        </w:rPr>
        <w:t>»</w:t>
      </w:r>
    </w:p>
    <w:p w14:paraId="53A9FCAE" w14:textId="3990EFA2" w:rsidR="00CA3533" w:rsidRPr="00CA3533" w:rsidRDefault="00CA3533" w:rsidP="00CA3533">
      <w:pPr>
        <w:tabs>
          <w:tab w:val="left" w:pos="2268"/>
        </w:tabs>
        <w:spacing w:before="120" w:after="120"/>
        <w:ind w:left="1134" w:right="1134"/>
        <w:jc w:val="both"/>
        <w:rPr>
          <w:rFonts w:eastAsiaTheme="minorHAnsi"/>
          <w:lang w:val="fr-FR" w:eastAsia="en-US"/>
        </w:rPr>
      </w:pPr>
      <w:r w:rsidRPr="00CA3533">
        <w:rPr>
          <w:rFonts w:eastAsiaTheme="minorHAnsi"/>
          <w:lang w:val="fr-FR" w:eastAsia="en-US"/>
        </w:rPr>
        <w:t xml:space="preserve">1.6.6.1 </w:t>
      </w:r>
      <w:r w:rsidRPr="00CA3533">
        <w:rPr>
          <w:rFonts w:eastAsiaTheme="minorHAnsi"/>
          <w:lang w:val="fr-FR" w:eastAsia="en-US"/>
        </w:rPr>
        <w:tab/>
        <w:t>Dans le titre, remplacer « de 2009 et de 2012 » par « de 2009 ou de 2012 ».</w:t>
      </w:r>
    </w:p>
    <w:p w14:paraId="3B4F7920" w14:textId="77777777" w:rsidR="00CA3533" w:rsidRPr="00CA3533" w:rsidRDefault="00CA3533" w:rsidP="00CA3533">
      <w:pPr>
        <w:tabs>
          <w:tab w:val="left" w:pos="2268"/>
        </w:tabs>
        <w:spacing w:before="120" w:after="120"/>
        <w:ind w:left="1134" w:right="1134"/>
        <w:jc w:val="both"/>
        <w:rPr>
          <w:rFonts w:eastAsiaTheme="minorHAnsi"/>
          <w:lang w:val="fr-FR" w:eastAsia="en-US"/>
        </w:rPr>
      </w:pPr>
      <w:r w:rsidRPr="00CA3533">
        <w:rPr>
          <w:rFonts w:eastAsiaTheme="minorHAnsi"/>
          <w:lang w:val="fr-FR" w:eastAsia="en-US"/>
        </w:rPr>
        <w:t xml:space="preserve">1.6.6.2 </w:t>
      </w:r>
      <w:r w:rsidRPr="00CA3533">
        <w:rPr>
          <w:rFonts w:eastAsiaTheme="minorHAnsi"/>
          <w:lang w:val="fr-FR" w:eastAsia="en-US"/>
        </w:rPr>
        <w:tab/>
        <w:t>Dans le titre, remplacer « de 2009 et de 2012 » par « de 2009 ou de 2012 ».</w:t>
      </w:r>
    </w:p>
    <w:p w14:paraId="72E69943" w14:textId="77777777" w:rsidR="00CA3533" w:rsidRPr="00CA3533" w:rsidRDefault="00CA3533" w:rsidP="00CA3533">
      <w:pPr>
        <w:tabs>
          <w:tab w:val="left" w:pos="2268"/>
        </w:tabs>
        <w:spacing w:before="120" w:after="120"/>
        <w:ind w:left="2268" w:right="1134" w:hanging="1134"/>
        <w:jc w:val="both"/>
        <w:rPr>
          <w:rFonts w:eastAsiaTheme="minorHAnsi"/>
          <w:lang w:val="fr-FR" w:eastAsia="en-US"/>
        </w:rPr>
      </w:pPr>
      <w:r w:rsidRPr="00CA3533">
        <w:rPr>
          <w:rFonts w:eastAsiaTheme="minorHAnsi"/>
          <w:lang w:val="fr-FR" w:eastAsia="en-US"/>
        </w:rPr>
        <w:t xml:space="preserve">1.6.6.3 </w:t>
      </w:r>
      <w:r w:rsidRPr="00CA3533">
        <w:rPr>
          <w:rFonts w:eastAsiaTheme="minorHAnsi"/>
          <w:lang w:val="fr-FR" w:eastAsia="en-US"/>
        </w:rPr>
        <w:tab/>
        <w:t>La modification ne s’applique pas au texte français.</w:t>
      </w:r>
    </w:p>
    <w:p w14:paraId="13929AF9" w14:textId="54C501E5" w:rsidR="00CA3533" w:rsidRPr="00CA3533" w:rsidRDefault="00CA3533" w:rsidP="00CA3533">
      <w:pPr>
        <w:tabs>
          <w:tab w:val="left" w:pos="2268"/>
        </w:tabs>
        <w:spacing w:before="120" w:after="120"/>
        <w:ind w:left="2268" w:right="1134" w:hanging="1134"/>
        <w:jc w:val="both"/>
        <w:rPr>
          <w:rFonts w:eastAsiaTheme="minorHAnsi"/>
          <w:lang w:val="fr-FR" w:eastAsia="en-US"/>
        </w:rPr>
      </w:pPr>
      <w:r w:rsidRPr="00CA3533">
        <w:rPr>
          <w:rFonts w:eastAsiaTheme="minorHAnsi"/>
          <w:lang w:val="fr-FR" w:eastAsia="en-US"/>
        </w:rPr>
        <w:t xml:space="preserve">1.6.6.4 </w:t>
      </w:r>
      <w:r w:rsidRPr="00CA3533">
        <w:rPr>
          <w:rFonts w:eastAsiaTheme="minorHAnsi"/>
          <w:lang w:val="fr-FR" w:eastAsia="en-US"/>
        </w:rPr>
        <w:tab/>
        <w:t xml:space="preserve">Dans </w:t>
      </w:r>
      <w:r w:rsidR="00425790">
        <w:rPr>
          <w:rFonts w:eastAsiaTheme="minorHAnsi"/>
          <w:lang w:val="fr-FR" w:eastAsia="en-US"/>
        </w:rPr>
        <w:t>le titre</w:t>
      </w:r>
      <w:r w:rsidRPr="00CA3533">
        <w:rPr>
          <w:rFonts w:eastAsiaTheme="minorHAnsi"/>
          <w:lang w:val="fr-FR" w:eastAsia="en-US"/>
        </w:rPr>
        <w:t xml:space="preserve"> et dans le texte</w:t>
      </w:r>
      <w:r w:rsidR="00425790">
        <w:rPr>
          <w:rFonts w:eastAsiaTheme="minorHAnsi"/>
          <w:lang w:val="fr-FR" w:eastAsia="en-US"/>
        </w:rPr>
        <w:t xml:space="preserve"> (deux fois)</w:t>
      </w:r>
      <w:r w:rsidRPr="00CA3533">
        <w:rPr>
          <w:rFonts w:eastAsiaTheme="minorHAnsi"/>
          <w:lang w:val="fr-FR" w:eastAsia="en-US"/>
        </w:rPr>
        <w:t>, remplacer « de 2009 et de 2012 » par « de 2009 ou de 2012 ».</w:t>
      </w:r>
    </w:p>
    <w:p w14:paraId="6CB0F46B" w14:textId="77777777" w:rsidR="00CA3533" w:rsidRPr="00CA3533" w:rsidRDefault="00CA3533" w:rsidP="00CA3533">
      <w:pPr>
        <w:keepNext/>
        <w:keepLines/>
        <w:tabs>
          <w:tab w:val="right" w:pos="851"/>
        </w:tabs>
        <w:spacing w:before="360" w:after="240" w:line="270" w:lineRule="exact"/>
        <w:ind w:right="1134"/>
        <w:rPr>
          <w:b/>
          <w:sz w:val="24"/>
          <w:lang w:val="fr-FR"/>
        </w:rPr>
      </w:pPr>
      <w:r w:rsidRPr="00CA3533">
        <w:rPr>
          <w:b/>
          <w:sz w:val="24"/>
          <w:lang w:val="fr-FR"/>
        </w:rPr>
        <w:tab/>
      </w:r>
      <w:r w:rsidRPr="00CA3533">
        <w:rPr>
          <w:b/>
          <w:sz w:val="24"/>
          <w:lang w:val="fr-FR"/>
        </w:rPr>
        <w:tab/>
        <w:t>Chapitre 1.7</w:t>
      </w:r>
    </w:p>
    <w:p w14:paraId="5B9DA8E0" w14:textId="77777777" w:rsidR="00CA3533" w:rsidRPr="00CA3533" w:rsidRDefault="00CA3533" w:rsidP="00CA3533">
      <w:pPr>
        <w:tabs>
          <w:tab w:val="left" w:pos="2268"/>
        </w:tabs>
        <w:spacing w:after="120"/>
        <w:ind w:left="1134" w:right="1134"/>
        <w:jc w:val="both"/>
        <w:rPr>
          <w:rFonts w:eastAsiaTheme="minorHAnsi"/>
          <w:lang w:val="fr-FR" w:eastAsia="en-US"/>
        </w:rPr>
      </w:pPr>
      <w:r w:rsidRPr="00CA3533">
        <w:rPr>
          <w:rFonts w:eastAsiaTheme="minorHAnsi"/>
          <w:lang w:val="fr-FR" w:eastAsia="en-US"/>
        </w:rPr>
        <w:t>1.7.1</w:t>
      </w:r>
      <w:r w:rsidRPr="00CA3533">
        <w:rPr>
          <w:rFonts w:eastAsiaTheme="minorHAnsi"/>
          <w:lang w:val="fr-FR" w:eastAsia="en-US"/>
        </w:rPr>
        <w:tab/>
        <w:t>La modification ne s’applique pas au texte français.</w:t>
      </w:r>
    </w:p>
    <w:p w14:paraId="4A648AE4" w14:textId="60CC67C5"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1.7.1.1</w:t>
      </w:r>
      <w:r w:rsidRPr="00CA3533">
        <w:rPr>
          <w:rFonts w:eastAsiaTheme="minorHAnsi"/>
          <w:lang w:val="fr-FR" w:eastAsia="en-US"/>
        </w:rPr>
        <w:tab/>
      </w:r>
      <w:r w:rsidRPr="00CA3533">
        <w:rPr>
          <w:rFonts w:eastAsiaTheme="minorHAnsi"/>
          <w:lang w:val="fr-FR" w:eastAsia="en-US"/>
        </w:rPr>
        <w:tab/>
      </w:r>
      <w:r w:rsidR="00647F4F">
        <w:rPr>
          <w:rFonts w:eastAsiaTheme="minorHAnsi"/>
          <w:lang w:val="fr-FR" w:eastAsia="en-US"/>
        </w:rPr>
        <w:t>Dans</w:t>
      </w:r>
      <w:r w:rsidR="00647F4F" w:rsidRPr="00CA3533">
        <w:rPr>
          <w:rFonts w:eastAsiaTheme="minorHAnsi"/>
          <w:lang w:val="fr-FR" w:eastAsia="en-US"/>
        </w:rPr>
        <w:t xml:space="preserve"> </w:t>
      </w:r>
      <w:r w:rsidRPr="00CA3533">
        <w:rPr>
          <w:rFonts w:eastAsiaTheme="minorHAnsi"/>
          <w:lang w:val="fr-FR" w:eastAsia="en-US"/>
        </w:rPr>
        <w:t>la deuxième phrase</w:t>
      </w:r>
      <w:r w:rsidR="00647F4F">
        <w:rPr>
          <w:rFonts w:eastAsiaTheme="minorHAnsi"/>
          <w:lang w:val="fr-FR" w:eastAsia="en-US"/>
        </w:rPr>
        <w:t>, remplacer « </w:t>
      </w:r>
      <w:r w:rsidR="001F70AA">
        <w:rPr>
          <w:rFonts w:eastAsiaTheme="minorHAnsi"/>
          <w:lang w:val="fr-FR" w:eastAsia="en-US"/>
        </w:rPr>
        <w:t xml:space="preserve">Ces normes sont fondées sur l’édition </w:t>
      </w:r>
      <w:r w:rsidR="00D31915">
        <w:rPr>
          <w:rFonts w:eastAsiaTheme="minorHAnsi"/>
          <w:lang w:val="fr-FR" w:eastAsia="en-US"/>
        </w:rPr>
        <w:t xml:space="preserve">de </w:t>
      </w:r>
      <w:r w:rsidR="001F70AA">
        <w:rPr>
          <w:rFonts w:eastAsiaTheme="minorHAnsi"/>
          <w:lang w:val="fr-FR" w:eastAsia="en-US"/>
        </w:rPr>
        <w:t>2018 » par</w:t>
      </w:r>
      <w:r w:rsidRPr="00CA3533">
        <w:rPr>
          <w:rFonts w:eastAsiaTheme="minorHAnsi"/>
          <w:lang w:val="fr-FR" w:eastAsia="en-US"/>
        </w:rPr>
        <w:t xml:space="preserve"> « L’ADR est fondé sur l’édition 2018 ».</w:t>
      </w:r>
    </w:p>
    <w:p w14:paraId="0E312DCA" w14:textId="77777777" w:rsidR="00CA3533" w:rsidRPr="00CA3533" w:rsidRDefault="00CA3533" w:rsidP="00CA3533">
      <w:pPr>
        <w:spacing w:after="120"/>
        <w:ind w:left="3402" w:right="1134" w:hanging="1134"/>
        <w:jc w:val="both"/>
        <w:rPr>
          <w:rFonts w:eastAsiaTheme="minorHAnsi"/>
          <w:lang w:val="fr-FR" w:eastAsia="en-US"/>
        </w:rPr>
      </w:pPr>
      <w:r w:rsidRPr="00CA3533">
        <w:rPr>
          <w:rFonts w:eastAsiaTheme="minorHAnsi"/>
          <w:lang w:val="fr-FR" w:eastAsia="en-US"/>
        </w:rPr>
        <w:t>La deuxième modification ne s’applique pas au texte français.</w:t>
      </w:r>
    </w:p>
    <w:p w14:paraId="60AE73BF" w14:textId="4649F6ED" w:rsidR="00CA3533" w:rsidRPr="00CA3533" w:rsidRDefault="00CA3533" w:rsidP="00CA3533">
      <w:pPr>
        <w:spacing w:after="120"/>
        <w:ind w:left="1134" w:right="1134"/>
        <w:jc w:val="both"/>
        <w:rPr>
          <w:lang w:val="fr-FR" w:eastAsia="fr-FR"/>
        </w:rPr>
      </w:pPr>
      <w:r w:rsidRPr="00CA3533">
        <w:rPr>
          <w:lang w:val="fr-FR" w:eastAsia="fr-FR"/>
        </w:rPr>
        <w:t>1.7.2.5</w:t>
      </w:r>
      <w:r w:rsidRPr="00CA3533">
        <w:rPr>
          <w:lang w:val="fr-FR" w:eastAsia="fr-FR"/>
        </w:rPr>
        <w:tab/>
      </w:r>
      <w:r w:rsidRPr="00CA3533">
        <w:rPr>
          <w:lang w:val="fr-FR" w:eastAsia="fr-FR"/>
        </w:rPr>
        <w:tab/>
        <w:t>La modification ne s’applique pas au texte français.</w:t>
      </w:r>
    </w:p>
    <w:p w14:paraId="2593995C" w14:textId="77777777" w:rsidR="00CA3533" w:rsidRPr="00CA3533" w:rsidRDefault="00CA3533" w:rsidP="00CA3533">
      <w:pPr>
        <w:keepNext/>
        <w:keepLines/>
        <w:tabs>
          <w:tab w:val="right" w:pos="851"/>
        </w:tabs>
        <w:spacing w:before="360" w:after="240" w:line="270" w:lineRule="exact"/>
        <w:ind w:right="1134"/>
        <w:rPr>
          <w:b/>
          <w:sz w:val="24"/>
          <w:lang w:val="fr-FR"/>
        </w:rPr>
      </w:pPr>
      <w:r w:rsidRPr="00CA3533">
        <w:rPr>
          <w:b/>
          <w:sz w:val="24"/>
          <w:lang w:val="fr-FR"/>
        </w:rPr>
        <w:tab/>
      </w:r>
      <w:r w:rsidRPr="00CA3533">
        <w:rPr>
          <w:b/>
          <w:sz w:val="24"/>
          <w:lang w:val="fr-FR"/>
        </w:rPr>
        <w:tab/>
        <w:t>Chapitre 1.8</w:t>
      </w:r>
    </w:p>
    <w:p w14:paraId="2A6F296D" w14:textId="30D8489A" w:rsidR="00CA3533" w:rsidRPr="00CA3533" w:rsidRDefault="00CA3533" w:rsidP="00CA3533">
      <w:pPr>
        <w:spacing w:after="120"/>
        <w:ind w:left="2268" w:right="1134" w:hanging="1134"/>
        <w:jc w:val="both"/>
        <w:rPr>
          <w:lang w:val="fr-FR"/>
        </w:rPr>
      </w:pPr>
      <w:r w:rsidRPr="00CA3533">
        <w:rPr>
          <w:lang w:val="fr-FR"/>
        </w:rPr>
        <w:t>1.8.5.4</w:t>
      </w:r>
      <w:r w:rsidRPr="00CA3533">
        <w:rPr>
          <w:lang w:val="fr-FR"/>
        </w:rPr>
        <w:tab/>
      </w:r>
      <w:r w:rsidR="009C2555">
        <w:rPr>
          <w:lang w:val="fr-FR"/>
        </w:rPr>
        <w:t>Dans le</w:t>
      </w:r>
      <w:r w:rsidRPr="00CA3533">
        <w:rPr>
          <w:lang w:val="fr-FR"/>
        </w:rPr>
        <w:t xml:space="preserve"> « Modèle de rapport sur des événements survenus pendant le transport de marchandises dangereuses », </w:t>
      </w:r>
      <w:r w:rsidR="009C2555">
        <w:rPr>
          <w:lang w:val="fr-FR"/>
        </w:rPr>
        <w:t xml:space="preserve">section 6, </w:t>
      </w:r>
      <w:r w:rsidRPr="00CA3533">
        <w:rPr>
          <w:lang w:val="fr-FR"/>
        </w:rPr>
        <w:t xml:space="preserve">dans la note (3), ajouter en fin de liste </w:t>
      </w:r>
      <w:r w:rsidR="009C2555">
        <w:rPr>
          <w:lang w:val="fr-FR"/>
        </w:rPr>
        <w:t xml:space="preserve">la nouvelle rubrique </w:t>
      </w:r>
      <w:r w:rsidRPr="00CA3533">
        <w:rPr>
          <w:lang w:val="fr-FR"/>
        </w:rPr>
        <w:t>suivant</w:t>
      </w:r>
      <w:r w:rsidR="009C2555">
        <w:rPr>
          <w:lang w:val="fr-FR"/>
        </w:rPr>
        <w:t>e</w:t>
      </w:r>
      <w:r w:rsidRPr="00CA3533">
        <w:rPr>
          <w:lang w:val="fr-FR"/>
        </w:rPr>
        <w:t xml:space="preserve"> « 17 MEMU ».</w:t>
      </w:r>
    </w:p>
    <w:p w14:paraId="42384A21" w14:textId="77777777" w:rsidR="00CA3533" w:rsidRPr="00CA3533" w:rsidRDefault="00CA3533" w:rsidP="005406CC">
      <w:pPr>
        <w:tabs>
          <w:tab w:val="left" w:pos="2268"/>
        </w:tabs>
        <w:spacing w:after="120"/>
        <w:ind w:left="1134" w:right="1134"/>
        <w:jc w:val="both"/>
        <w:rPr>
          <w:lang w:val="fr-FR" w:eastAsia="fr-FR"/>
        </w:rPr>
      </w:pPr>
      <w:r w:rsidRPr="00CA3533">
        <w:rPr>
          <w:lang w:val="fr-FR" w:eastAsia="fr-FR"/>
        </w:rPr>
        <w:t>1.8.6</w:t>
      </w:r>
      <w:r w:rsidRPr="00CA3533">
        <w:rPr>
          <w:lang w:val="fr-FR" w:eastAsia="fr-FR"/>
        </w:rPr>
        <w:tab/>
        <w:t>Modifier pour lire comme suit :</w:t>
      </w:r>
    </w:p>
    <w:p w14:paraId="563D9F56" w14:textId="77777777" w:rsidR="00CA3533" w:rsidRPr="00CA3533" w:rsidRDefault="00CA3533" w:rsidP="00CA3533">
      <w:pPr>
        <w:spacing w:after="120"/>
        <w:ind w:left="2268" w:right="1134" w:hanging="1134"/>
        <w:jc w:val="both"/>
        <w:rPr>
          <w:rFonts w:eastAsiaTheme="minorHAnsi"/>
          <w:b/>
          <w:bCs/>
          <w:lang w:val="fr-FR" w:eastAsia="en-US"/>
        </w:rPr>
      </w:pPr>
      <w:r w:rsidRPr="00CA3533">
        <w:rPr>
          <w:lang w:val="fr-FR" w:eastAsia="fr-FR"/>
        </w:rPr>
        <w:t>« </w:t>
      </w:r>
      <w:r w:rsidRPr="00CA3533">
        <w:rPr>
          <w:rFonts w:eastAsiaTheme="minorHAnsi"/>
          <w:b/>
          <w:bCs/>
          <w:lang w:val="fr-FR" w:eastAsia="en-US"/>
        </w:rPr>
        <w:t>1.8.6</w:t>
      </w:r>
      <w:r w:rsidRPr="00CA3533">
        <w:rPr>
          <w:rFonts w:eastAsiaTheme="minorHAnsi"/>
          <w:lang w:val="fr-FR" w:eastAsia="en-US"/>
        </w:rPr>
        <w:tab/>
      </w:r>
      <w:r w:rsidRPr="00CA3533">
        <w:rPr>
          <w:rFonts w:eastAsiaTheme="minorHAnsi"/>
          <w:b/>
          <w:bCs/>
          <w:lang w:val="fr-FR" w:eastAsia="en-US"/>
        </w:rPr>
        <w:t>Contrôles administratifs pour les activités visées aux 1.8.7 et 1.8.8</w:t>
      </w:r>
    </w:p>
    <w:p w14:paraId="15167F8F" w14:textId="77777777" w:rsidR="00CA3533" w:rsidRPr="00CA3533" w:rsidRDefault="00CA3533" w:rsidP="00CA3533">
      <w:pPr>
        <w:spacing w:after="120"/>
        <w:ind w:left="2268" w:right="1134" w:hanging="1134"/>
        <w:jc w:val="both"/>
        <w:rPr>
          <w:rFonts w:eastAsiaTheme="minorHAnsi"/>
          <w:i/>
          <w:iCs/>
          <w:lang w:val="fr-FR" w:eastAsia="en-US"/>
        </w:rPr>
      </w:pPr>
      <w:r w:rsidRPr="00CA3533">
        <w:rPr>
          <w:rFonts w:eastAsiaTheme="minorHAnsi"/>
          <w:b/>
          <w:i/>
          <w:iCs/>
          <w:lang w:val="fr-FR" w:eastAsia="en-US"/>
        </w:rPr>
        <w:tab/>
        <w:t>NOTA 1</w:t>
      </w:r>
      <w:r w:rsidRPr="007C7D27">
        <w:rPr>
          <w:rFonts w:eastAsiaTheme="minorHAnsi"/>
          <w:b/>
          <w:bCs/>
          <w:i/>
          <w:iCs/>
          <w:lang w:val="fr-FR" w:eastAsia="en-US"/>
        </w:rPr>
        <w:t> :</w:t>
      </w:r>
      <w:r w:rsidRPr="00CA3533">
        <w:rPr>
          <w:rFonts w:eastAsiaTheme="minorHAnsi"/>
          <w:i/>
          <w:iCs/>
          <w:lang w:val="fr-FR" w:eastAsia="en-US"/>
        </w:rPr>
        <w:t xml:space="preserve"> Aux fins de la présente section, on entend par :</w:t>
      </w:r>
    </w:p>
    <w:p w14:paraId="1B285835" w14:textId="56F36C34" w:rsidR="00CA3533" w:rsidRPr="00CA3533" w:rsidRDefault="00CA3533" w:rsidP="00CA3533">
      <w:pPr>
        <w:spacing w:after="120"/>
        <w:ind w:left="2835" w:right="1134" w:hanging="567"/>
        <w:jc w:val="both"/>
        <w:rPr>
          <w:rFonts w:eastAsiaTheme="minorHAnsi"/>
          <w:i/>
          <w:iCs/>
          <w:lang w:val="fr-FR" w:eastAsia="en-US"/>
        </w:rPr>
      </w:pPr>
      <w:r w:rsidRPr="00CA3533">
        <w:rPr>
          <w:rFonts w:eastAsiaTheme="minorHAnsi"/>
          <w:i/>
          <w:iCs/>
          <w:lang w:val="fr-FR" w:eastAsia="en-US"/>
        </w:rPr>
        <w:t>-</w:t>
      </w:r>
      <w:r w:rsidRPr="00CA3533">
        <w:rPr>
          <w:rFonts w:eastAsiaTheme="minorHAnsi"/>
          <w:i/>
          <w:iCs/>
          <w:lang w:val="fr-FR" w:eastAsia="en-US"/>
        </w:rPr>
        <w:tab/>
      </w:r>
      <w:r w:rsidRPr="00CA3533">
        <w:rPr>
          <w:rFonts w:eastAsiaTheme="minorHAnsi"/>
          <w:i/>
          <w:iCs/>
          <w:lang w:eastAsia="en-US"/>
        </w:rPr>
        <w:t>“</w:t>
      </w:r>
      <w:r w:rsidRPr="00CA3533">
        <w:rPr>
          <w:rFonts w:eastAsiaTheme="minorHAnsi"/>
          <w:i/>
          <w:iCs/>
          <w:lang w:val="fr-FR" w:eastAsia="en-US"/>
        </w:rPr>
        <w:t>organisme de contrôle agréé</w:t>
      </w:r>
      <w:r w:rsidRPr="00CA3533">
        <w:rPr>
          <w:rFonts w:eastAsiaTheme="minorHAnsi"/>
          <w:i/>
          <w:iCs/>
          <w:lang w:eastAsia="en-US"/>
        </w:rPr>
        <w:t>”</w:t>
      </w:r>
      <w:r w:rsidRPr="00CA3533">
        <w:rPr>
          <w:rFonts w:eastAsiaTheme="minorHAnsi"/>
          <w:i/>
          <w:iCs/>
          <w:lang w:val="fr-FR" w:eastAsia="en-US"/>
        </w:rPr>
        <w:t xml:space="preserve">, un organisme de contrôle agréé par l’autorité compétente pour effectuer différentes activités </w:t>
      </w:r>
      <w:r w:rsidRPr="00CA3533">
        <w:rPr>
          <w:lang w:val="fr-FR" w:eastAsia="fr-FR"/>
        </w:rPr>
        <w:t>conformément</w:t>
      </w:r>
      <w:r w:rsidRPr="00CA3533">
        <w:rPr>
          <w:rFonts w:eastAsiaTheme="minorHAnsi"/>
          <w:i/>
          <w:iCs/>
          <w:lang w:val="fr-FR" w:eastAsia="en-US"/>
        </w:rPr>
        <w:t xml:space="preserve"> au 1.8.6.1, ; et</w:t>
      </w:r>
    </w:p>
    <w:p w14:paraId="75CCB920" w14:textId="1600E7E3" w:rsidR="00CA3533" w:rsidRPr="00CA3533" w:rsidRDefault="00CA3533" w:rsidP="00CA3533">
      <w:pPr>
        <w:spacing w:after="120"/>
        <w:ind w:left="2835" w:right="1134" w:hanging="567"/>
        <w:jc w:val="both"/>
        <w:rPr>
          <w:rFonts w:eastAsiaTheme="minorHAnsi"/>
          <w:i/>
          <w:iCs/>
          <w:lang w:val="fr-FR" w:eastAsia="en-US"/>
        </w:rPr>
      </w:pPr>
      <w:r w:rsidRPr="00CA3533">
        <w:rPr>
          <w:rFonts w:eastAsiaTheme="minorHAnsi"/>
          <w:i/>
          <w:iCs/>
          <w:lang w:val="fr-FR" w:eastAsia="en-US"/>
        </w:rPr>
        <w:lastRenderedPageBreak/>
        <w:t>-</w:t>
      </w:r>
      <w:r w:rsidRPr="00CA3533">
        <w:rPr>
          <w:rFonts w:eastAsiaTheme="minorHAnsi"/>
          <w:i/>
          <w:iCs/>
          <w:lang w:val="fr-FR" w:eastAsia="en-US"/>
        </w:rPr>
        <w:tab/>
        <w:t>“organisme de contrôle reconnu”, un organisme de contrôle agréé, reconnu par une autre autorité compétente.</w:t>
      </w:r>
    </w:p>
    <w:p w14:paraId="49E6F297" w14:textId="3BCCB05A" w:rsidR="00CA3533" w:rsidRPr="00CA3533" w:rsidRDefault="00CA3533" w:rsidP="00CA3533">
      <w:pPr>
        <w:spacing w:after="120"/>
        <w:ind w:left="2268" w:right="1134" w:hanging="1134"/>
        <w:jc w:val="both"/>
        <w:rPr>
          <w:rFonts w:eastAsiaTheme="minorHAnsi"/>
          <w:i/>
          <w:iCs/>
          <w:lang w:val="fr-FR" w:eastAsia="en-US"/>
        </w:rPr>
      </w:pPr>
      <w:r w:rsidRPr="00CA3533">
        <w:rPr>
          <w:rFonts w:eastAsiaTheme="minorHAnsi"/>
          <w:b/>
          <w:i/>
          <w:iCs/>
          <w:lang w:val="fr-FR" w:eastAsia="en-US"/>
        </w:rPr>
        <w:tab/>
      </w:r>
      <w:r w:rsidRPr="00CA3533">
        <w:rPr>
          <w:rFonts w:eastAsiaTheme="minorHAnsi"/>
          <w:b/>
          <w:i/>
          <w:iCs/>
          <w:lang w:val="fr-FR" w:eastAsia="en-US"/>
        </w:rPr>
        <w:tab/>
      </w:r>
      <w:r w:rsidRPr="00CA3533">
        <w:rPr>
          <w:rFonts w:eastAsiaTheme="minorHAnsi"/>
          <w:b/>
          <w:i/>
          <w:iCs/>
          <w:lang w:val="fr-FR" w:eastAsia="en-US"/>
        </w:rPr>
        <w:tab/>
        <w:t>2</w:t>
      </w:r>
      <w:r w:rsidRPr="00CA3533">
        <w:rPr>
          <w:rFonts w:eastAsiaTheme="minorHAnsi"/>
          <w:i/>
          <w:iCs/>
          <w:lang w:val="fr-FR" w:eastAsia="en-US"/>
        </w:rPr>
        <w:t> : Un organisme de contrôle peut être désigné par l’autorité compétente pour agir en tant qu’autorité compétente (voir la définition d’autorité compétente au 1.2.1).</w:t>
      </w:r>
    </w:p>
    <w:p w14:paraId="3BF56F56"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b/>
          <w:bCs/>
          <w:lang w:val="fr-FR" w:eastAsia="en-US"/>
        </w:rPr>
        <w:t>1.8.6.1</w:t>
      </w:r>
      <w:r w:rsidRPr="00CA3533">
        <w:rPr>
          <w:rFonts w:eastAsiaTheme="minorHAnsi"/>
          <w:lang w:val="fr-FR" w:eastAsia="en-US"/>
        </w:rPr>
        <w:tab/>
      </w:r>
      <w:r w:rsidRPr="00CA3533">
        <w:rPr>
          <w:rFonts w:eastAsiaTheme="minorHAnsi"/>
          <w:b/>
          <w:bCs/>
          <w:i/>
          <w:iCs/>
          <w:lang w:val="fr-FR" w:eastAsia="en-US"/>
        </w:rPr>
        <w:t>Règles générales</w:t>
      </w:r>
    </w:p>
    <w:p w14:paraId="51BCFFF9"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L’autorité compétente d’une Partie Contractante à l’ADR peut agréer des organismes de contrôle pour les activités suivantes : évaluations de la conformité, contrôles périodiques, contrôles intermédiaires, contrôles exceptionnels, vérifications de mise en service et supervision du service interne d’inspection comme applicables aux chapitres 6.2 et 6.8.</w:t>
      </w:r>
    </w:p>
    <w:p w14:paraId="5AB4C31B" w14:textId="77777777" w:rsidR="00CA3533" w:rsidRPr="00CA3533" w:rsidRDefault="00CA3533" w:rsidP="00CA3533">
      <w:pPr>
        <w:spacing w:after="120"/>
        <w:ind w:left="2268" w:right="1134" w:hanging="1134"/>
        <w:jc w:val="both"/>
        <w:rPr>
          <w:rFonts w:eastAsiaTheme="minorHAnsi"/>
          <w:strike/>
          <w:lang w:val="fr-FR" w:eastAsia="en-US"/>
        </w:rPr>
      </w:pPr>
      <w:r w:rsidRPr="00CA3533">
        <w:rPr>
          <w:rFonts w:eastAsiaTheme="minorHAnsi"/>
          <w:b/>
          <w:bCs/>
          <w:lang w:val="fr-FR" w:eastAsia="en-US"/>
        </w:rPr>
        <w:t>1.8.6.2</w:t>
      </w:r>
      <w:r w:rsidRPr="00CA3533">
        <w:rPr>
          <w:rFonts w:eastAsiaTheme="minorHAnsi"/>
          <w:b/>
          <w:bCs/>
          <w:lang w:val="fr-FR" w:eastAsia="en-US"/>
        </w:rPr>
        <w:tab/>
      </w:r>
      <w:r w:rsidRPr="00CA3533">
        <w:rPr>
          <w:rFonts w:eastAsiaTheme="minorHAnsi"/>
          <w:b/>
          <w:bCs/>
          <w:i/>
          <w:iCs/>
          <w:lang w:val="fr-FR" w:eastAsia="en-US"/>
        </w:rPr>
        <w:t>Obligations de l’autorité compétente</w:t>
      </w:r>
    </w:p>
    <w:p w14:paraId="63ADBFDE"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1.8.6.2.1</w:t>
      </w:r>
      <w:r w:rsidRPr="00CA3533">
        <w:rPr>
          <w:rFonts w:eastAsiaTheme="minorHAnsi"/>
          <w:lang w:val="fr-FR" w:eastAsia="en-US"/>
        </w:rPr>
        <w:tab/>
        <w:t>Lorsque l’autorité compétente agrée un organisme de contrôle pour effectuer les activités spécifiées au 1.8.6.1, l’accréditation de l’organisme de contrôle doit répondre aux exigences de type A de la norme EN ISO/CEI 17020:2012 (sauf article 8.1.3).</w:t>
      </w:r>
    </w:p>
    <w:p w14:paraId="1BA6986B"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Lorsque l’autorité compétente agrée un organisme de contrôle pour réaliser les contrôles périodiques de récipients à pression conformément au chapitre 6.2, l’accréditation de l’organisme de contrôle doit répondre aux exigences de type A ou de type B de la norme EN ISO/CEI 17020:2012 (sauf article 8.1.3).</w:t>
      </w:r>
    </w:p>
    <w:p w14:paraId="61320282"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L’accréditation doit clairement couvrir les activités de l’agrément.</w:t>
      </w:r>
    </w:p>
    <w:p w14:paraId="5697138F" w14:textId="77777777" w:rsidR="00CA3533" w:rsidRPr="00CA3533" w:rsidRDefault="00CA3533" w:rsidP="00CA3533">
      <w:pPr>
        <w:spacing w:after="120"/>
        <w:ind w:left="2268" w:right="1134" w:hanging="1134"/>
        <w:jc w:val="both"/>
        <w:rPr>
          <w:rFonts w:eastAsiaTheme="minorHAnsi"/>
          <w:lang w:val="fr-FR"/>
        </w:rPr>
      </w:pPr>
      <w:r w:rsidRPr="00CA3533">
        <w:rPr>
          <w:rFonts w:eastAsiaTheme="minorHAnsi"/>
          <w:lang w:val="fr-FR" w:eastAsia="en-US"/>
        </w:rPr>
        <w:tab/>
        <w:t>Lorsque l’autorité compétente n’agrée pas d’organismes de contrôle mais réalise</w:t>
      </w:r>
      <w:r w:rsidRPr="00CA3533">
        <w:rPr>
          <w:rFonts w:eastAsiaTheme="minorHAnsi"/>
          <w:lang w:val="fr-FR"/>
        </w:rPr>
        <w:t xml:space="preserve"> ces tâches elle-même, elle doit satisfaire aux dispositions du 1.8.6.3.</w:t>
      </w:r>
    </w:p>
    <w:p w14:paraId="7CD64916"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1.8.6.2.2</w:t>
      </w:r>
      <w:r w:rsidRPr="00CA3533">
        <w:rPr>
          <w:rFonts w:eastAsiaTheme="minorHAnsi"/>
          <w:lang w:val="fr-FR" w:eastAsia="en-US"/>
        </w:rPr>
        <w:tab/>
      </w:r>
      <w:r w:rsidRPr="00CA3533">
        <w:rPr>
          <w:rFonts w:eastAsiaTheme="minorHAnsi"/>
          <w:i/>
          <w:lang w:val="fr-FR" w:eastAsia="en-US"/>
        </w:rPr>
        <w:t>Agrément des organismes de contrôle</w:t>
      </w:r>
    </w:p>
    <w:p w14:paraId="43BEBFA9"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1.8.6.2.2.1</w:t>
      </w:r>
      <w:r w:rsidRPr="00CA3533">
        <w:rPr>
          <w:rFonts w:eastAsiaTheme="minorHAnsi"/>
          <w:lang w:val="fr-FR" w:eastAsia="en-US"/>
        </w:rPr>
        <w:tab/>
        <w:t>Les organismes de contrôle de type A doivent être établis en vertu du droit national et être une personne morale dans la Partie contractante à l’ADR où la demande d’agrément est présentée.</w:t>
      </w:r>
    </w:p>
    <w:p w14:paraId="07CB9B2D"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Les organismes de contrôle de type B doivent être établis en vertu du droit national et faire partie d’une personne morale fournissant du gaz dans la Partie contractante à l’ADR où la demande d’agrément est présentée.</w:t>
      </w:r>
    </w:p>
    <w:p w14:paraId="290CCC97"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1.8.6.2.2.2</w:t>
      </w:r>
      <w:r w:rsidRPr="00CA3533">
        <w:rPr>
          <w:rFonts w:eastAsiaTheme="minorHAnsi"/>
          <w:lang w:val="fr-FR" w:eastAsia="en-US"/>
        </w:rPr>
        <w:tab/>
        <w:t>L’autorité compétente doit s’assurer que l’organisme de contrôle remplit en permanence les conditions de son agrément et doit y mettre fin si ces conditions ne sont pas remplies. Toutefois, en cas de suspension de l’accréditation, l’agrément n’est suspendu que pendant la période de suspension de l’accréditation.</w:t>
      </w:r>
    </w:p>
    <w:p w14:paraId="6B117C05"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1.8.6.2.2.3</w:t>
      </w:r>
      <w:r w:rsidRPr="00CA3533">
        <w:rPr>
          <w:rFonts w:eastAsiaTheme="minorHAnsi"/>
          <w:lang w:val="fr-FR" w:eastAsia="en-US"/>
        </w:rPr>
        <w:tab/>
      </w:r>
      <w:r w:rsidRPr="00CA3533">
        <w:rPr>
          <w:rFonts w:eastAsia="Batang"/>
          <w:lang w:val="fr-FR" w:eastAsia="en-US"/>
        </w:rPr>
        <w:t xml:space="preserve">Un organisme de contrôle qui commence une nouvelle activité peut être agréé temporairement. Avant </w:t>
      </w:r>
      <w:r w:rsidRPr="00CA3533">
        <w:rPr>
          <w:rFonts w:eastAsiaTheme="minorHAnsi"/>
          <w:lang w:val="fr-FR" w:eastAsia="en-US"/>
        </w:rPr>
        <w:t>l’agrément</w:t>
      </w:r>
      <w:r w:rsidRPr="00CA3533">
        <w:rPr>
          <w:rFonts w:eastAsia="Batang"/>
          <w:lang w:val="fr-FR" w:eastAsia="en-US"/>
        </w:rPr>
        <w:t xml:space="preserve"> temporaire, l’autorité compétente doit s’assurer que l’organisme de contrôle satisfait aux prescriptions </w:t>
      </w:r>
      <w:r w:rsidRPr="00CA3533">
        <w:rPr>
          <w:rFonts w:eastAsiaTheme="minorHAnsi"/>
          <w:lang w:val="fr-FR" w:eastAsia="en-US"/>
        </w:rPr>
        <w:t>du 1.8.6.3.1</w:t>
      </w:r>
      <w:r w:rsidRPr="00CA3533">
        <w:rPr>
          <w:rFonts w:eastAsia="Batang"/>
          <w:lang w:val="fr-FR" w:eastAsia="en-US"/>
        </w:rPr>
        <w:t xml:space="preserve">. L’organisme de contrôle doit être accrédité </w:t>
      </w:r>
      <w:r w:rsidRPr="00CA3533">
        <w:rPr>
          <w:rFonts w:eastAsiaTheme="minorHAnsi"/>
          <w:lang w:val="fr-FR" w:eastAsia="en-US"/>
        </w:rPr>
        <w:t xml:space="preserve">selon la norme EN ISO/CEI 17020:2012 (sauf article 8.1.3) </w:t>
      </w:r>
      <w:r w:rsidRPr="00CA3533">
        <w:rPr>
          <w:rFonts w:eastAsia="Batang"/>
          <w:lang w:val="fr-FR" w:eastAsia="en-US"/>
        </w:rPr>
        <w:t>au cours de sa première année d’activité pour pouvoir continuer cette nouvelle activité.</w:t>
      </w:r>
    </w:p>
    <w:p w14:paraId="18CFAA61"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1.8.6.2.3</w:t>
      </w:r>
      <w:r w:rsidRPr="00CA3533">
        <w:rPr>
          <w:rFonts w:eastAsiaTheme="minorHAnsi"/>
          <w:lang w:val="fr-FR" w:eastAsia="en-US"/>
        </w:rPr>
        <w:tab/>
      </w:r>
      <w:r w:rsidRPr="00CA3533">
        <w:rPr>
          <w:rFonts w:eastAsiaTheme="minorHAnsi"/>
          <w:i/>
          <w:iCs/>
          <w:lang w:val="fr-FR" w:eastAsia="en-US"/>
        </w:rPr>
        <w:t>Surveillance des organismes de contrôle</w:t>
      </w:r>
    </w:p>
    <w:p w14:paraId="71C807B4"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1.8.6.2.3.1</w:t>
      </w:r>
      <w:r w:rsidRPr="00CA3533">
        <w:rPr>
          <w:rFonts w:eastAsiaTheme="minorHAnsi"/>
          <w:lang w:val="fr-FR" w:eastAsia="en-US"/>
        </w:rPr>
        <w:tab/>
        <w:t>Quel que soit l’endroit où les activités d’un organisme de contrôle sont réalisées, l’autorité compétente qui a agréé cet organisme doit assurer la surveillance des activités de cet organisme, y compris sur site. L’autorité compétente doit révoquer ou limiter l’agrément donné si cet organisme n’est plus en conformité avec l’agrément, les prescriptions du 1.8.6.3.1 ou n’applique pas les procédures précisées dans les dispositions de l’ADR.</w:t>
      </w:r>
    </w:p>
    <w:p w14:paraId="21DC74A3"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b/>
          <w:bCs/>
          <w:i/>
          <w:iCs/>
          <w:lang w:val="fr-FR" w:eastAsia="en-US"/>
        </w:rPr>
        <w:tab/>
        <w:t>NOTA :</w:t>
      </w:r>
      <w:r w:rsidRPr="00CA3533">
        <w:rPr>
          <w:rFonts w:eastAsiaTheme="minorHAnsi"/>
          <w:i/>
          <w:iCs/>
          <w:lang w:val="fr-FR" w:eastAsia="en-US"/>
        </w:rPr>
        <w:t xml:space="preserve"> La surveillance par l’organisme de contrôle des sous-traitants mentionnés au 1.8.6.3.3 doit également être incluse dans la surveillance de l’organisme de contrôle</w:t>
      </w:r>
      <w:r w:rsidRPr="00CA3533">
        <w:rPr>
          <w:rFonts w:eastAsiaTheme="minorHAnsi"/>
          <w:lang w:val="fr-FR" w:eastAsia="en-US"/>
        </w:rPr>
        <w:t>.</w:t>
      </w:r>
    </w:p>
    <w:p w14:paraId="21734897"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lastRenderedPageBreak/>
        <w:t>1.8.6.2.3.2</w:t>
      </w:r>
      <w:r w:rsidRPr="00CA3533">
        <w:rPr>
          <w:rFonts w:eastAsiaTheme="minorHAnsi"/>
          <w:lang w:val="fr-FR" w:eastAsia="en-US"/>
        </w:rPr>
        <w:tab/>
        <w:t>Si son agrément est révoqué ou limité ou si l’organisme de contrôle a cessé ses activités, l’autorité compétente prend les mesures appropriées pour veiller à ce que les dossiers soient traités par un autre organisme de contrôle ou tenus à disposition.</w:t>
      </w:r>
    </w:p>
    <w:p w14:paraId="5EB4853F"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1.8.6.2.4</w:t>
      </w:r>
      <w:r w:rsidRPr="00CA3533">
        <w:rPr>
          <w:rFonts w:eastAsiaTheme="minorHAnsi"/>
          <w:lang w:val="fr-FR" w:eastAsia="en-US"/>
        </w:rPr>
        <w:tab/>
      </w:r>
      <w:r w:rsidRPr="00CA3533">
        <w:rPr>
          <w:rFonts w:eastAsiaTheme="minorHAnsi"/>
          <w:i/>
          <w:iCs/>
          <w:lang w:val="fr-FR" w:eastAsia="en-US"/>
        </w:rPr>
        <w:t>Obligations d’information</w:t>
      </w:r>
    </w:p>
    <w:p w14:paraId="4E68AB29"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1.8.6.2.4.1</w:t>
      </w:r>
      <w:r w:rsidRPr="00CA3533">
        <w:rPr>
          <w:rFonts w:eastAsiaTheme="minorHAnsi"/>
          <w:lang w:val="fr-FR" w:eastAsia="en-US"/>
        </w:rPr>
        <w:tab/>
        <w:t>Les Parties contractantes à l’ADR doivent publier leurs procédures nationales concernant l’évaluation, l’agrément et la surveillance des organismes de contrôle et toute modification en la matière.</w:t>
      </w:r>
    </w:p>
    <w:p w14:paraId="207B259A"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1.8.6.2.4.2</w:t>
      </w:r>
      <w:r w:rsidRPr="00CA3533">
        <w:rPr>
          <w:rFonts w:eastAsiaTheme="minorHAnsi"/>
          <w:lang w:val="fr-FR" w:eastAsia="en-US"/>
        </w:rPr>
        <w:tab/>
        <w:t>L’autorité compétente de la Partie contractante à l’ADR doit publier une liste à jour de tous les organismes de contrôle qu’elle a agréés, y compris les organismes de contrôle agréés temporairement comme décrit au 1.8.6.2.2.3. Cette liste doit au moins contenir les informations suivantes :</w:t>
      </w:r>
    </w:p>
    <w:p w14:paraId="2F5E5964"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le nom et les adresses des bureaux de l’organisme de contrôle ;</w:t>
      </w:r>
    </w:p>
    <w:p w14:paraId="51982001"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le domaine d’activité pour lequel l’organisme de contrôle est agréé ;</w:t>
      </w:r>
    </w:p>
    <w:p w14:paraId="54109590"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la confirmation que l’organisme de contrôle est accrédité conformément à la norme EN ISO/CEI 17020:2012 (sauf article 8.1.3) par l’organisme d’accréditation national et que l’accréditation couvre le domaine d’activité pour lequel l’organisme de contrôle est agréé ;</w:t>
      </w:r>
    </w:p>
    <w:p w14:paraId="1B468EEE"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 xml:space="preserve">le signe distinctif ou le poinçon de l’organisme de contrôle, tel que prescrit aux chapitres 6.2 et 6.8, et la marque de tout service interne d’inspection autorisé </w:t>
      </w:r>
      <w:r w:rsidRPr="00CA3533">
        <w:rPr>
          <w:rFonts w:eastAsiaTheme="minorHAnsi"/>
          <w:iCs/>
          <w:lang w:val="fr-FR" w:eastAsia="ar-SA"/>
        </w:rPr>
        <w:t>par l’organisme de contrôle</w:t>
      </w:r>
      <w:r w:rsidRPr="00CA3533">
        <w:rPr>
          <w:rFonts w:eastAsiaTheme="minorHAnsi"/>
          <w:lang w:val="fr-FR" w:eastAsia="en-US"/>
        </w:rPr>
        <w:t>.</w:t>
      </w:r>
    </w:p>
    <w:p w14:paraId="7CE5FD39" w14:textId="61A69A33" w:rsidR="00CA3533" w:rsidRPr="00CA3533" w:rsidRDefault="00CA3533" w:rsidP="002829C0">
      <w:pPr>
        <w:spacing w:after="120"/>
        <w:ind w:left="2268" w:right="1134" w:hanging="1134"/>
        <w:jc w:val="both"/>
        <w:rPr>
          <w:rFonts w:eastAsiaTheme="minorHAnsi"/>
          <w:lang w:val="fr-FR" w:eastAsia="en-US"/>
        </w:rPr>
      </w:pPr>
      <w:r w:rsidRPr="00CA3533">
        <w:rPr>
          <w:rFonts w:eastAsiaTheme="minorHAnsi"/>
          <w:lang w:val="fr-FR" w:eastAsia="en-US"/>
        </w:rPr>
        <w:tab/>
        <w:t>Une référence à cette liste est faite sur le site internet du secrétariat de la CEE-ONU.</w:t>
      </w:r>
    </w:p>
    <w:p w14:paraId="1E307FD3"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1.8.6.2.4.3</w:t>
      </w:r>
      <w:r w:rsidRPr="00CA3533">
        <w:rPr>
          <w:rFonts w:eastAsiaTheme="minorHAnsi"/>
          <w:lang w:val="fr-FR" w:eastAsia="en-US"/>
        </w:rPr>
        <w:tab/>
        <w:t xml:space="preserve">Un organisme de contrôle agréé par une </w:t>
      </w:r>
      <w:r w:rsidRPr="00CA3533">
        <w:rPr>
          <w:lang w:val="fr-FR" w:eastAsia="fr-FR"/>
        </w:rPr>
        <w:t>autorité</w:t>
      </w:r>
      <w:r w:rsidRPr="00CA3533">
        <w:rPr>
          <w:rFonts w:eastAsiaTheme="minorHAnsi"/>
          <w:lang w:val="fr-FR" w:eastAsia="en-US"/>
        </w:rPr>
        <w:t xml:space="preserve"> compétente peut être reconnu par une autre autorité compétente.</w:t>
      </w:r>
    </w:p>
    <w:p w14:paraId="45A48EE7" w14:textId="77777777" w:rsidR="00CA3533" w:rsidRPr="00CA3533" w:rsidRDefault="00CA3533" w:rsidP="00CA3533">
      <w:pPr>
        <w:spacing w:after="120"/>
        <w:ind w:left="2268" w:right="1134" w:hanging="1134"/>
        <w:jc w:val="both"/>
        <w:rPr>
          <w:rFonts w:eastAsiaTheme="minorHAnsi"/>
          <w:lang w:val="fr-FR"/>
        </w:rPr>
      </w:pPr>
      <w:r w:rsidRPr="00CA3533">
        <w:rPr>
          <w:rFonts w:eastAsiaTheme="minorHAnsi"/>
          <w:lang w:eastAsia="en-US"/>
        </w:rPr>
        <w:tab/>
        <w:t xml:space="preserve">Lorsqu’une autorité compétente désire s’assurer les services d’un organisme de contrôle </w:t>
      </w:r>
      <w:r w:rsidRPr="00CA3533">
        <w:rPr>
          <w:rFonts w:eastAsiaTheme="minorHAnsi"/>
          <w:lang w:val="fr-FR" w:eastAsia="en-US"/>
        </w:rPr>
        <w:t>déjà</w:t>
      </w:r>
      <w:r w:rsidRPr="00CA3533">
        <w:rPr>
          <w:rFonts w:eastAsiaTheme="minorHAnsi"/>
          <w:lang w:eastAsia="en-US"/>
        </w:rPr>
        <w:t xml:space="preserve"> agréé par une autre autorité compétente pour réaliser des activités en relation avec la réalisation des évaluations de la conformité et des contrôles en son nom, cette autorité compétente </w:t>
      </w:r>
      <w:r w:rsidRPr="00CA3533">
        <w:rPr>
          <w:rFonts w:eastAsiaTheme="minorHAnsi"/>
          <w:lang w:val="fr-FR" w:eastAsia="en-US"/>
        </w:rPr>
        <w:t>ajoute cet organisme de contrôle, le domaine d’activité pour lequel il est reconnu, et l’autorité compétente qui a approuvé l’organisme de contrôle, à la liste mentionnée au 1.8.6.2.4.2 et informe le secrétariat de la CEE-ONU. Si l’agrément est retiré ou suspendu, l’organisme de contrôle n’est plus reconnu.</w:t>
      </w:r>
    </w:p>
    <w:p w14:paraId="550B182C" w14:textId="77777777" w:rsidR="00CA3533" w:rsidRPr="00CA3533" w:rsidRDefault="00CA3533" w:rsidP="00CA3533">
      <w:pPr>
        <w:spacing w:after="120"/>
        <w:ind w:left="2268" w:right="1134" w:hanging="1134"/>
        <w:jc w:val="both"/>
        <w:rPr>
          <w:rFonts w:eastAsiaTheme="minorHAnsi"/>
          <w:i/>
          <w:lang w:val="fr-FR"/>
        </w:rPr>
      </w:pPr>
      <w:r w:rsidRPr="00CA3533">
        <w:rPr>
          <w:rFonts w:eastAsiaTheme="minorHAnsi"/>
          <w:b/>
          <w:i/>
          <w:lang w:val="fr-FR"/>
        </w:rPr>
        <w:tab/>
        <w:t>NOTA</w:t>
      </w:r>
      <w:r w:rsidRPr="00CA3533">
        <w:rPr>
          <w:rFonts w:eastAsiaTheme="minorHAnsi"/>
          <w:i/>
          <w:lang w:val="fr-FR"/>
        </w:rPr>
        <w:t> </w:t>
      </w:r>
      <w:r w:rsidRPr="00CA3533">
        <w:rPr>
          <w:rFonts w:eastAsiaTheme="minorHAnsi"/>
          <w:b/>
          <w:bCs/>
          <w:i/>
          <w:lang w:val="fr-FR"/>
        </w:rPr>
        <w:t>:</w:t>
      </w:r>
      <w:r w:rsidRPr="00CA3533">
        <w:rPr>
          <w:rFonts w:eastAsiaTheme="minorHAnsi"/>
          <w:i/>
          <w:lang w:val="fr-FR"/>
        </w:rPr>
        <w:t xml:space="preserve"> Dans ce contexte, les accords de reconnaissance réciproque entre Parties contractantes à l’ADR doivent être respectés.</w:t>
      </w:r>
    </w:p>
    <w:p w14:paraId="25AB2B2D" w14:textId="77777777" w:rsidR="00CA3533" w:rsidRPr="00CA3533" w:rsidRDefault="00CA3533" w:rsidP="00CA3533">
      <w:pPr>
        <w:spacing w:after="120"/>
        <w:ind w:left="2268" w:right="1134" w:hanging="1134"/>
        <w:jc w:val="both"/>
        <w:rPr>
          <w:rFonts w:eastAsiaTheme="minorHAnsi"/>
          <w:b/>
          <w:bCs/>
          <w:i/>
          <w:iCs/>
          <w:strike/>
          <w:lang w:val="fr-FR" w:eastAsia="en-US"/>
        </w:rPr>
      </w:pPr>
      <w:r w:rsidRPr="00CA3533">
        <w:rPr>
          <w:rFonts w:eastAsiaTheme="minorHAnsi"/>
          <w:b/>
          <w:lang w:val="fr-FR" w:eastAsia="en-US"/>
        </w:rPr>
        <w:t>1.8.6.3</w:t>
      </w:r>
      <w:r w:rsidRPr="00CA3533">
        <w:rPr>
          <w:rFonts w:eastAsiaTheme="minorHAnsi"/>
          <w:b/>
          <w:bCs/>
          <w:lang w:val="fr-FR" w:eastAsia="en-US"/>
        </w:rPr>
        <w:tab/>
      </w:r>
      <w:r w:rsidRPr="00CA3533">
        <w:rPr>
          <w:rFonts w:eastAsiaTheme="minorHAnsi"/>
          <w:b/>
          <w:bCs/>
          <w:i/>
          <w:iCs/>
          <w:lang w:val="fr-FR" w:eastAsia="en-US"/>
        </w:rPr>
        <w:t>Obligations des organismes de contrôle</w:t>
      </w:r>
    </w:p>
    <w:p w14:paraId="32A412FF"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w:t>
      </w:r>
      <w:r w:rsidRPr="00CA3533">
        <w:rPr>
          <w:rFonts w:eastAsia="Arial Unicode MS"/>
          <w:lang w:val="fr-FR" w:eastAsia="en-US"/>
        </w:rPr>
        <w:t>3.1</w:t>
      </w:r>
      <w:r w:rsidRPr="00CA3533">
        <w:rPr>
          <w:rFonts w:eastAsiaTheme="minorHAnsi"/>
          <w:lang w:val="fr-FR" w:eastAsia="en-US"/>
        </w:rPr>
        <w:tab/>
      </w:r>
      <w:r w:rsidRPr="00CA3533">
        <w:rPr>
          <w:rFonts w:eastAsiaTheme="minorHAnsi"/>
          <w:bCs/>
          <w:i/>
          <w:iCs/>
          <w:lang w:val="fr-FR" w:eastAsia="en-US"/>
        </w:rPr>
        <w:t>Règles générales</w:t>
      </w:r>
    </w:p>
    <w:p w14:paraId="5B799C93"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L’organisme de contrôle doit :</w:t>
      </w:r>
    </w:p>
    <w:p w14:paraId="6378885F"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disposer d’un personnel travaillant dans un cadre organisationnel approprié, capable, compétent et qualifié pour s’acquitter correctement de ses tâches techniques ;</w:t>
      </w:r>
    </w:p>
    <w:p w14:paraId="22147D9B"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avoir accès aux installations et au matériel nécessaires ;</w:t>
      </w:r>
    </w:p>
    <w:p w14:paraId="072355AA"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travailler de façon impartiale, et à l’abri de toute influence qui pourrait l’en empêcher ;</w:t>
      </w:r>
    </w:p>
    <w:p w14:paraId="719A10A1"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garantir la confidentialité commerciale des activités commerciales et des activités protégées par des droits exclusifs, exercées par les fabricants et d’autres entités ;</w:t>
      </w:r>
    </w:p>
    <w:p w14:paraId="3E7CE155"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e)</w:t>
      </w:r>
      <w:r w:rsidRPr="00CA3533">
        <w:rPr>
          <w:rFonts w:eastAsiaTheme="minorHAnsi"/>
          <w:lang w:val="fr-FR" w:eastAsia="en-US"/>
        </w:rPr>
        <w:tab/>
        <w:t>bien séparer les activités de contrôle proprement dites des autres activités ;</w:t>
      </w:r>
    </w:p>
    <w:p w14:paraId="57DD42A2"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lastRenderedPageBreak/>
        <w:t>f)</w:t>
      </w:r>
      <w:r w:rsidRPr="00CA3533">
        <w:rPr>
          <w:rFonts w:eastAsiaTheme="minorHAnsi"/>
          <w:lang w:val="fr-FR" w:eastAsia="en-US"/>
        </w:rPr>
        <w:tab/>
        <w:t>disposer d’un système de management de la qualité documenté, équivalent à celui défini dans la norme EN ISO/CEI 17020:2012 (sauf article 8.1.3) ;</w:t>
      </w:r>
    </w:p>
    <w:p w14:paraId="5E522900"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g)</w:t>
      </w:r>
      <w:r w:rsidRPr="00CA3533">
        <w:rPr>
          <w:rFonts w:eastAsiaTheme="minorHAnsi"/>
          <w:lang w:val="fr-FR" w:eastAsia="en-US"/>
        </w:rPr>
        <w:tab/>
        <w:t>veiller à ce que les épreuves et les contrôles prévus dans les normes applicables et dans l’ADR soient menés à bien ; et</w:t>
      </w:r>
    </w:p>
    <w:p w14:paraId="10FBD146"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h)</w:t>
      </w:r>
      <w:r w:rsidRPr="00CA3533">
        <w:rPr>
          <w:rFonts w:eastAsiaTheme="minorHAnsi"/>
          <w:lang w:val="fr-FR" w:eastAsia="en-US"/>
        </w:rPr>
        <w:tab/>
        <w:t>maintenir un système efficace et approprié de rapports et d’enregistrements conformément aux 1.8.7 et 1.8.8 ;</w:t>
      </w:r>
    </w:p>
    <w:p w14:paraId="27982FF7"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i)</w:t>
      </w:r>
      <w:r w:rsidRPr="00CA3533">
        <w:rPr>
          <w:rFonts w:eastAsiaTheme="minorHAnsi"/>
          <w:lang w:val="fr-FR" w:eastAsia="en-US"/>
        </w:rPr>
        <w:tab/>
        <w:t>être libre de toute pression commerciale ou financière et ne pas rémunérer son personnel en fonction du nombre de contrôles effectués ou des résultats de ces contrôles ;</w:t>
      </w:r>
    </w:p>
    <w:p w14:paraId="1474DFCA"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j)</w:t>
      </w:r>
      <w:r w:rsidRPr="00CA3533">
        <w:rPr>
          <w:rFonts w:eastAsiaTheme="minorHAnsi"/>
          <w:lang w:val="fr-FR" w:eastAsia="en-US"/>
        </w:rPr>
        <w:tab/>
        <w:t>souscrire une assurance responsabilité civile couvrant les risques liés aux activités exercées ;</w:t>
      </w:r>
    </w:p>
    <w:p w14:paraId="62B9FFAE" w14:textId="06BAEB4E" w:rsidR="00CA3533" w:rsidRPr="00CA3533" w:rsidRDefault="00CA3533" w:rsidP="00CA3533">
      <w:pPr>
        <w:spacing w:after="120"/>
        <w:ind w:left="2835" w:right="1134" w:hanging="1134"/>
        <w:jc w:val="both"/>
        <w:rPr>
          <w:rFonts w:eastAsiaTheme="minorHAnsi"/>
          <w:i/>
          <w:iCs/>
          <w:lang w:val="fr-FR" w:eastAsia="en-US"/>
        </w:rPr>
      </w:pPr>
      <w:r w:rsidRPr="00CA3533">
        <w:rPr>
          <w:rFonts w:eastAsiaTheme="minorHAnsi"/>
          <w:b/>
          <w:i/>
          <w:iCs/>
          <w:lang w:val="fr-FR" w:eastAsia="en-US"/>
        </w:rPr>
        <w:tab/>
        <w:t>NOTA</w:t>
      </w:r>
      <w:r w:rsidR="00693AF1">
        <w:rPr>
          <w:rFonts w:eastAsiaTheme="minorHAnsi"/>
          <w:b/>
          <w:bCs/>
          <w:i/>
          <w:iCs/>
          <w:lang w:val="fr-FR" w:eastAsia="en-US"/>
        </w:rPr>
        <w:t> </w:t>
      </w:r>
      <w:r w:rsidRPr="00693AF1">
        <w:rPr>
          <w:rFonts w:eastAsiaTheme="minorHAnsi"/>
          <w:b/>
          <w:bCs/>
          <w:i/>
          <w:iCs/>
          <w:lang w:val="fr-FR" w:eastAsia="en-US"/>
        </w:rPr>
        <w:t xml:space="preserve">: </w:t>
      </w:r>
      <w:r w:rsidRPr="00CA3533">
        <w:rPr>
          <w:rFonts w:eastAsiaTheme="minorHAnsi"/>
          <w:i/>
          <w:iCs/>
          <w:lang w:val="fr-FR" w:eastAsia="en-US"/>
        </w:rPr>
        <w:t>Cela n’est pas nécessaire si la Partie contractante à l’ADR assume sa responsabilité conformément au droit national.</w:t>
      </w:r>
    </w:p>
    <w:p w14:paraId="14929200"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k)</w:t>
      </w:r>
      <w:r w:rsidRPr="00CA3533">
        <w:rPr>
          <w:rFonts w:eastAsiaTheme="minorHAnsi"/>
          <w:lang w:val="fr-FR" w:eastAsia="en-US"/>
        </w:rPr>
        <w:tab/>
        <w:t>disposer du personnel chargé de la réalisation des contrôles qui :</w:t>
      </w:r>
    </w:p>
    <w:p w14:paraId="55F7D108" w14:textId="677C66CD" w:rsidR="00CA3533" w:rsidRPr="00CA3533" w:rsidRDefault="00BB47E7" w:rsidP="00CA3533">
      <w:pPr>
        <w:spacing w:after="120"/>
        <w:ind w:left="3402" w:right="1134" w:hanging="567"/>
        <w:jc w:val="both"/>
        <w:rPr>
          <w:rFonts w:eastAsiaTheme="minorHAnsi"/>
          <w:lang w:val="fr-FR" w:eastAsia="en-US"/>
        </w:rPr>
      </w:pPr>
      <w:r>
        <w:rPr>
          <w:rFonts w:eastAsiaTheme="minorHAnsi"/>
          <w:lang w:val="fr-FR" w:eastAsia="en-US"/>
        </w:rPr>
        <w:t>i)</w:t>
      </w:r>
      <w:r w:rsidR="00CA3533" w:rsidRPr="00CA3533">
        <w:rPr>
          <w:rFonts w:eastAsiaTheme="minorHAnsi"/>
          <w:lang w:val="fr-FR" w:eastAsia="en-US"/>
        </w:rPr>
        <w:tab/>
        <w:t>ne doit pas être directement impliqué dans la conception, la fabrication, la fourniture, l’installation, l’acquisition, la possession, l’utilisation ou la maintenance du matériel (récipients à pression, citernes, véhicules-batteries ou CGEM) à contrôler ;</w:t>
      </w:r>
    </w:p>
    <w:p w14:paraId="1F1B013E" w14:textId="2A80B478" w:rsidR="00CA3533" w:rsidRPr="00CA3533" w:rsidRDefault="00BB47E7" w:rsidP="00CA3533">
      <w:pPr>
        <w:spacing w:after="120"/>
        <w:ind w:left="3402" w:right="1134" w:hanging="567"/>
        <w:jc w:val="both"/>
        <w:rPr>
          <w:rFonts w:eastAsiaTheme="minorHAnsi"/>
          <w:lang w:val="fr-FR" w:eastAsia="en-US"/>
        </w:rPr>
      </w:pPr>
      <w:r>
        <w:rPr>
          <w:rFonts w:eastAsiaTheme="minorHAnsi"/>
          <w:lang w:val="fr-FR" w:eastAsia="en-US"/>
        </w:rPr>
        <w:t>ii)</w:t>
      </w:r>
      <w:r w:rsidR="00CA3533" w:rsidRPr="00CA3533">
        <w:rPr>
          <w:rFonts w:eastAsiaTheme="minorHAnsi"/>
          <w:lang w:val="fr-FR" w:eastAsia="en-US"/>
        </w:rPr>
        <w:tab/>
        <w:t>doit avoir été formé sur tous les aspects des activités pour lesquelles l’organisme de contrôle a été agréé ;</w:t>
      </w:r>
    </w:p>
    <w:p w14:paraId="6A0B5920" w14:textId="26982BF3" w:rsidR="00CA3533" w:rsidRPr="00CA3533" w:rsidRDefault="00BB47E7" w:rsidP="00CA3533">
      <w:pPr>
        <w:spacing w:after="120"/>
        <w:ind w:left="3402" w:right="1134" w:hanging="567"/>
        <w:jc w:val="both"/>
        <w:rPr>
          <w:rFonts w:eastAsiaTheme="minorHAnsi"/>
          <w:lang w:val="fr-FR" w:eastAsia="en-US"/>
        </w:rPr>
      </w:pPr>
      <w:r>
        <w:rPr>
          <w:rFonts w:eastAsiaTheme="minorHAnsi"/>
          <w:lang w:val="fr-FR" w:eastAsia="en-US"/>
        </w:rPr>
        <w:t>iii)</w:t>
      </w:r>
      <w:r w:rsidR="00CA3533" w:rsidRPr="00CA3533">
        <w:rPr>
          <w:rFonts w:eastAsiaTheme="minorHAnsi"/>
          <w:lang w:val="fr-FR" w:eastAsia="en-US"/>
        </w:rPr>
        <w:tab/>
        <w:t>doit posséder une connaissance, des compétences techniques et une compréhension adéquates des prescriptions applicables, des normes applicables et des dispositions pertinentes des parties 4 et 6 ;</w:t>
      </w:r>
    </w:p>
    <w:p w14:paraId="506703E8" w14:textId="36DAC047" w:rsidR="00CA3533" w:rsidRPr="00CA3533" w:rsidRDefault="00BB47E7" w:rsidP="00CA3533">
      <w:pPr>
        <w:spacing w:after="120"/>
        <w:ind w:left="3402" w:right="1134" w:hanging="567"/>
        <w:jc w:val="both"/>
        <w:rPr>
          <w:rFonts w:eastAsiaTheme="minorHAnsi"/>
          <w:lang w:val="fr-FR" w:eastAsia="en-US"/>
        </w:rPr>
      </w:pPr>
      <w:r>
        <w:rPr>
          <w:rFonts w:eastAsiaTheme="minorHAnsi"/>
          <w:lang w:val="fr-FR" w:eastAsia="en-US"/>
        </w:rPr>
        <w:t>iv)</w:t>
      </w:r>
      <w:r w:rsidR="00CA3533" w:rsidRPr="00CA3533">
        <w:rPr>
          <w:rFonts w:eastAsiaTheme="minorHAnsi"/>
          <w:lang w:val="fr-FR" w:eastAsia="en-US"/>
        </w:rPr>
        <w:tab/>
        <w:t>doit posséder l’aptitude pour rédiger les attestations, enregistrements et rapports démontrant que des évaluations ont été effectuées ;</w:t>
      </w:r>
    </w:p>
    <w:p w14:paraId="1B0DA89C" w14:textId="010F23B6" w:rsidR="00CA3533" w:rsidRPr="00CA3533" w:rsidRDefault="00BB47E7" w:rsidP="00CA3533">
      <w:pPr>
        <w:spacing w:after="120"/>
        <w:ind w:left="3402" w:right="1134" w:hanging="567"/>
        <w:jc w:val="both"/>
        <w:rPr>
          <w:rFonts w:eastAsiaTheme="minorHAnsi"/>
          <w:lang w:val="fr-FR" w:eastAsia="en-US"/>
        </w:rPr>
      </w:pPr>
      <w:r>
        <w:rPr>
          <w:rFonts w:eastAsiaTheme="minorHAnsi"/>
          <w:lang w:val="fr-FR" w:eastAsia="en-US"/>
        </w:rPr>
        <w:t>v)</w:t>
      </w:r>
      <w:r w:rsidR="00CA3533" w:rsidRPr="00CA3533">
        <w:rPr>
          <w:rFonts w:eastAsiaTheme="minorHAnsi"/>
          <w:lang w:val="fr-FR" w:eastAsia="en-US"/>
        </w:rPr>
        <w:tab/>
        <w:t>est lié par le secret professionnel pour les informations dont il prend connaissance dans l’exercice de ses fonctions ou de toute disposition de droit national lui donnant effet, sauf en ce qui concerne les autorités compétentes de la Partie contractante à l’ADR dans lequel sont menées ses activités. À la demande d’autres organismes de contrôle, les informations peuvent être partagées autant que nécessaire pour la réalisation des contrôles et épreuves.</w:t>
      </w:r>
    </w:p>
    <w:p w14:paraId="760A2D87"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L’organisme de contrôle doit en outre être accrédité conformément à la norme EN ISO/CEI 17020:2012 (sauf article 8.1.3).</w:t>
      </w:r>
    </w:p>
    <w:p w14:paraId="7F819178"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1.8.6.3.2</w:t>
      </w:r>
      <w:r w:rsidRPr="00CA3533">
        <w:rPr>
          <w:rFonts w:eastAsiaTheme="minorHAnsi"/>
          <w:lang w:val="fr-FR" w:eastAsia="en-US"/>
        </w:rPr>
        <w:tab/>
      </w:r>
      <w:r w:rsidRPr="00CA3533">
        <w:rPr>
          <w:rFonts w:eastAsiaTheme="minorHAnsi"/>
          <w:i/>
          <w:iCs/>
          <w:lang w:val="fr-FR" w:eastAsia="en-US"/>
        </w:rPr>
        <w:t>Obligations opérationnelles</w:t>
      </w:r>
    </w:p>
    <w:p w14:paraId="28B6AB7F"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1.8.6.3.2.1</w:t>
      </w:r>
      <w:r w:rsidRPr="00CA3533">
        <w:rPr>
          <w:rFonts w:eastAsiaTheme="minorHAnsi"/>
          <w:lang w:val="fr-FR" w:eastAsia="en-US"/>
        </w:rPr>
        <w:tab/>
        <w:t>L’autorité compétente ou l’organisme de contrôle doit réaliser les évaluations de la conformité, les contrôles périodiques, les contrôles intermédiaires, les contrôles exceptionnels et les vérifications de mise en service de manière proportionnée en évitant d’imposer des charges inutiles. L’autorité compétente ou l’organisme de contrôle doit accomplir ses activités en tenant compte de la taille des entreprises concernées, du secteur et de leur structure, du degré de complexité de la technologie et de la nature de la production en série.</w:t>
      </w:r>
    </w:p>
    <w:p w14:paraId="02DDE734"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1.8.6.3.2.2</w:t>
      </w:r>
      <w:r w:rsidRPr="00CA3533">
        <w:rPr>
          <w:rFonts w:eastAsiaTheme="minorHAnsi"/>
          <w:lang w:val="fr-FR" w:eastAsia="en-US"/>
        </w:rPr>
        <w:tab/>
        <w:t>L’autorité compétente ou l’organisme de contrôle doit respecter le degré de rigueur et le niveau de protection requis pour la conformité avec les prescriptions applicables des parties 4 et 6.</w:t>
      </w:r>
    </w:p>
    <w:p w14:paraId="15FB74FC" w14:textId="37A6046B"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lastRenderedPageBreak/>
        <w:t>1.8.6.3.2.3</w:t>
      </w:r>
      <w:r w:rsidRPr="00CA3533">
        <w:rPr>
          <w:rFonts w:eastAsiaTheme="minorHAnsi"/>
          <w:lang w:val="fr-FR" w:eastAsia="en-US"/>
        </w:rPr>
        <w:tab/>
        <w:t xml:space="preserve">Si une autorité compétente ou un organisme de contrôle constate que les prescriptions énoncées dans les parties 4 ou 6 n’ont pas été respectées par le fabricant, elle ou il doit exiger du fabricant qu’il prenne les mesures correctives appropriées et elle ou il ne doit pas délivrer de certificat d’agrément de type ou d’attestation de </w:t>
      </w:r>
      <w:r w:rsidRPr="00CA3533">
        <w:rPr>
          <w:rFonts w:eastAsiaTheme="minorHAnsi"/>
          <w:lang w:val="fr-FR" w:eastAsia="ar-SA"/>
        </w:rPr>
        <w:t>contrôles et épreuves initiaux</w:t>
      </w:r>
      <w:r w:rsidRPr="00CA3533">
        <w:rPr>
          <w:rFonts w:eastAsiaTheme="minorHAnsi"/>
          <w:lang w:val="fr-FR" w:eastAsia="en-US"/>
        </w:rPr>
        <w:t xml:space="preserve"> jusqu’à ce que les mesures correctives appropriées soient mises en œuvre.</w:t>
      </w:r>
    </w:p>
    <w:p w14:paraId="6AC398C6"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1.8.6.3.3</w:t>
      </w:r>
      <w:r w:rsidRPr="00CA3533">
        <w:rPr>
          <w:rFonts w:eastAsiaTheme="minorHAnsi"/>
          <w:lang w:val="fr-FR" w:eastAsia="en-US"/>
        </w:rPr>
        <w:tab/>
      </w:r>
      <w:r w:rsidRPr="00CA3533">
        <w:rPr>
          <w:rFonts w:eastAsiaTheme="minorHAnsi"/>
          <w:i/>
          <w:iCs/>
          <w:lang w:val="fr-FR" w:eastAsia="en-US"/>
        </w:rPr>
        <w:t>Délégation de tâches de contrôles</w:t>
      </w:r>
    </w:p>
    <w:p w14:paraId="6CC8E1BB" w14:textId="77777777" w:rsidR="00CA3533" w:rsidRPr="00CA3533" w:rsidRDefault="00CA3533" w:rsidP="00CA3533">
      <w:pPr>
        <w:spacing w:after="120"/>
        <w:ind w:left="2268" w:right="1134" w:hanging="1134"/>
        <w:jc w:val="both"/>
        <w:rPr>
          <w:rFonts w:eastAsiaTheme="minorHAnsi"/>
          <w:i/>
          <w:iCs/>
          <w:lang w:eastAsia="en-US"/>
        </w:rPr>
      </w:pPr>
      <w:r w:rsidRPr="00CA3533">
        <w:rPr>
          <w:rFonts w:eastAsiaTheme="minorHAnsi"/>
          <w:b/>
          <w:bCs/>
          <w:i/>
          <w:iCs/>
          <w:lang w:eastAsia="en-US"/>
        </w:rPr>
        <w:tab/>
        <w:t>NOTA</w:t>
      </w:r>
      <w:r w:rsidRPr="00CA3533">
        <w:rPr>
          <w:rFonts w:eastAsiaTheme="minorHAnsi"/>
          <w:b/>
          <w:i/>
          <w:iCs/>
          <w:lang w:eastAsia="en-US"/>
        </w:rPr>
        <w:t> :</w:t>
      </w:r>
      <w:r w:rsidRPr="00CA3533">
        <w:rPr>
          <w:rFonts w:eastAsiaTheme="minorHAnsi"/>
          <w:i/>
          <w:iCs/>
          <w:lang w:eastAsia="en-US"/>
        </w:rPr>
        <w:t xml:space="preserve"> </w:t>
      </w:r>
      <w:r w:rsidRPr="00CA3533">
        <w:rPr>
          <w:rFonts w:eastAsiaTheme="minorHAnsi"/>
          <w:i/>
          <w:lang w:eastAsia="en-US"/>
        </w:rPr>
        <w:t xml:space="preserve">Les dispositions suivantes ne s’appliquent qu’aux organismes de contrôle de type A. Les organismes de contrôle de type B </w:t>
      </w:r>
      <w:r w:rsidRPr="00CA3533">
        <w:rPr>
          <w:rFonts w:eastAsiaTheme="minorHAnsi"/>
          <w:i/>
          <w:iCs/>
          <w:lang w:eastAsia="en-US"/>
        </w:rPr>
        <w:t xml:space="preserve">ne sont pas </w:t>
      </w:r>
      <w:r w:rsidRPr="00CA3533">
        <w:rPr>
          <w:rFonts w:eastAsiaTheme="minorHAnsi"/>
          <w:i/>
          <w:lang w:eastAsia="en-US"/>
        </w:rPr>
        <w:t>autorisés à déléguer les activités pour lesquelles ils sont agréés</w:t>
      </w:r>
      <w:r w:rsidRPr="00CA3533">
        <w:rPr>
          <w:rFonts w:eastAsiaTheme="minorHAnsi"/>
          <w:i/>
          <w:iCs/>
          <w:lang w:eastAsia="en-US"/>
        </w:rPr>
        <w:t>. Pour les services internes d’inspection, voir le 1.8.7.7.2.</w:t>
      </w:r>
    </w:p>
    <w:p w14:paraId="7188C229"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1.8.6.3.3.1</w:t>
      </w:r>
      <w:r w:rsidRPr="00CA3533">
        <w:rPr>
          <w:rFonts w:eastAsiaTheme="minorHAnsi"/>
          <w:lang w:val="fr-FR" w:eastAsia="en-US"/>
        </w:rPr>
        <w:tab/>
        <w:t>Si un organisme de contrôle a recours aux services d’un sous-traitant pour effectuer des tâches spécifiques dans le cadre de ses activités, le sous-traitant doit être évalué et surveillé par l’organisme de contrôle ou doit être accrédité séparément. En cas d’accréditation séparée, le sous-traitant doit être dûment accrédité conformément à la norme EN ISO/CEI 17025:2017 (sauf article 8.1.3) ou à la norme EN ISO/CEI 17020:2012 (sauf article 8.1.3) comme laboratoire d’essais ou organisme de contrôle, indépendant et impartial, pour pouvoir accomplir les tâches d’essais en conformité avec son accréditation. L’organisme de contrôle doit s’assurer que ce sous-traitant répond aux exigences fixées pour les tâches qui lui sont confiées avec le même degré de compétence et de sécurité que celui prescrit pour les organismes de contrôle (voir 1.8.6.3.1) et il doit le surveiller. L’organisme de contrôle doit tenir informée l’autorité compétente des mesures susmentionnées.</w:t>
      </w:r>
    </w:p>
    <w:p w14:paraId="268D8938"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1.8.6.3.3.2</w:t>
      </w:r>
      <w:r w:rsidRPr="00CA3533">
        <w:rPr>
          <w:rFonts w:eastAsiaTheme="minorHAnsi"/>
          <w:lang w:val="fr-FR" w:eastAsia="en-US"/>
        </w:rPr>
        <w:tab/>
        <w:t>L’organisme de contrôle doit assumer l’entière responsabilité des tâches effectuées par de tels sous-traitants quel que soit l’endroit où les tâches sont effectuées par ceux-ci.</w:t>
      </w:r>
    </w:p>
    <w:p w14:paraId="1ED5F998"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1.8.6.3.3.3</w:t>
      </w:r>
      <w:r w:rsidRPr="00CA3533">
        <w:rPr>
          <w:rFonts w:eastAsiaTheme="minorHAnsi"/>
          <w:lang w:val="fr-FR" w:eastAsia="en-US"/>
        </w:rPr>
        <w:tab/>
        <w:t>L’organisme de contrôle de type A ne peut déléguer qu’une partie de chacune de ses activités. Dans tous les cas, l’évaluation et la délivrance des certificats doivent être effectuées par l’organisme de contrôle lui-même.</w:t>
      </w:r>
    </w:p>
    <w:p w14:paraId="11D5044E"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1.8.6.3.3.4</w:t>
      </w:r>
      <w:r w:rsidRPr="00CA3533">
        <w:rPr>
          <w:rFonts w:eastAsiaTheme="minorHAnsi"/>
          <w:lang w:val="fr-FR" w:eastAsia="en-US"/>
        </w:rPr>
        <w:tab/>
        <w:t>Des activités ne doivent pas être déléguées sans l’accord du fabricant, du propriétaire ou de l’exploitant selon le cas.</w:t>
      </w:r>
    </w:p>
    <w:p w14:paraId="3412CDC6"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1.8.6.3.3.5</w:t>
      </w:r>
      <w:r w:rsidRPr="00CA3533">
        <w:rPr>
          <w:rFonts w:eastAsiaTheme="minorHAnsi"/>
          <w:lang w:val="fr-FR" w:eastAsia="en-US"/>
        </w:rPr>
        <w:tab/>
        <w:t>L’organisme de contrôle doit tenir à la disposition de l’autorité compétente les documents pertinents concernant l’évaluation des qualifications et des travaux effectués par les sous-traitants susmentionnés.</w:t>
      </w:r>
    </w:p>
    <w:p w14:paraId="506CE990" w14:textId="77777777" w:rsidR="00CA3533" w:rsidRPr="00CA3533" w:rsidRDefault="00CA3533" w:rsidP="00CA3533">
      <w:pPr>
        <w:spacing w:after="120"/>
        <w:ind w:left="2268" w:right="1134" w:hanging="1134"/>
        <w:jc w:val="both"/>
        <w:rPr>
          <w:rFonts w:eastAsiaTheme="minorHAnsi"/>
          <w:i/>
          <w:iCs/>
          <w:lang w:val="fr-FR" w:eastAsia="en-US"/>
        </w:rPr>
      </w:pPr>
      <w:r w:rsidRPr="00CA3533">
        <w:rPr>
          <w:rFonts w:eastAsiaTheme="minorHAnsi"/>
          <w:lang w:val="fr-FR" w:eastAsia="en-US"/>
        </w:rPr>
        <w:t>1.8.6.3.4</w:t>
      </w:r>
      <w:r w:rsidRPr="00CA3533">
        <w:rPr>
          <w:rFonts w:eastAsiaTheme="minorHAnsi"/>
          <w:b/>
          <w:bCs/>
          <w:lang w:val="fr-FR" w:eastAsia="en-US"/>
        </w:rPr>
        <w:tab/>
      </w:r>
      <w:r w:rsidRPr="00CA3533">
        <w:rPr>
          <w:rFonts w:eastAsiaTheme="minorHAnsi"/>
          <w:i/>
          <w:iCs/>
          <w:lang w:val="fr-FR" w:eastAsia="en-US"/>
        </w:rPr>
        <w:t>Obligations en matière d’information</w:t>
      </w:r>
    </w:p>
    <w:p w14:paraId="7D4921D6"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Tout organisme de contrôle doit fournir à l’autorité compétente qui l’a agréé les éléments suivants :</w:t>
      </w:r>
    </w:p>
    <w:p w14:paraId="79A3F77D"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sauf lorsque les dispositions du 1.8.7.2.2.2 s’appliquent, tout refus, restriction, suspension ou retrait de certificat d’agrément de type ;</w:t>
      </w:r>
    </w:p>
    <w:p w14:paraId="225A7438"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toute circonstance influant sur la portée et les conditions de l’agrément tel que délivré par l’autorité compétente ;</w:t>
      </w:r>
    </w:p>
    <w:p w14:paraId="03293AED"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 xml:space="preserve">tout refus d’attestations de contrôle ; </w:t>
      </w:r>
    </w:p>
    <w:p w14:paraId="5FC63A83"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toute demande d’information reçue des autorités compétentes contrôlant la conformité selon la présente section concernant des activités réalisées ;</w:t>
      </w:r>
    </w:p>
    <w:p w14:paraId="52BF9812"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e)</w:t>
      </w:r>
      <w:r w:rsidRPr="00CA3533">
        <w:rPr>
          <w:rFonts w:eastAsiaTheme="minorHAnsi"/>
          <w:lang w:val="fr-FR" w:eastAsia="en-US"/>
        </w:rPr>
        <w:tab/>
        <w:t>sur demande, les activités réalisées dans le cadre de leur agrément, y compris la délégation de tâches ;</w:t>
      </w:r>
    </w:p>
    <w:p w14:paraId="1B39CB46"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f)</w:t>
      </w:r>
      <w:r w:rsidRPr="00CA3533">
        <w:rPr>
          <w:rFonts w:eastAsiaTheme="minorHAnsi"/>
          <w:lang w:val="fr-FR" w:eastAsia="en-US"/>
        </w:rPr>
        <w:tab/>
        <w:t>toute autorisation, suspension ou tout retrait d’un service interne d’inspection. »</w:t>
      </w:r>
    </w:p>
    <w:p w14:paraId="13380304" w14:textId="77777777" w:rsidR="00CA3533" w:rsidRPr="00CA3533" w:rsidRDefault="00CA3533" w:rsidP="00CA3533">
      <w:pPr>
        <w:tabs>
          <w:tab w:val="left" w:pos="2268"/>
        </w:tabs>
        <w:spacing w:after="120"/>
        <w:ind w:left="1134" w:right="1134"/>
        <w:jc w:val="both"/>
        <w:rPr>
          <w:lang w:val="fr-FR" w:eastAsia="fr-FR"/>
        </w:rPr>
      </w:pPr>
      <w:r w:rsidRPr="00CA3533">
        <w:rPr>
          <w:lang w:val="fr-FR" w:eastAsia="fr-FR"/>
        </w:rPr>
        <w:t>1.8.7</w:t>
      </w:r>
      <w:r w:rsidRPr="00CA3533">
        <w:rPr>
          <w:lang w:val="fr-FR" w:eastAsia="fr-FR"/>
        </w:rPr>
        <w:tab/>
        <w:t>Modifier pour lire comme suit :</w:t>
      </w:r>
    </w:p>
    <w:p w14:paraId="1719AC27" w14:textId="77777777" w:rsidR="00CA3533" w:rsidRPr="00CA3533" w:rsidRDefault="00CA3533" w:rsidP="00CA3533">
      <w:pPr>
        <w:spacing w:after="120"/>
        <w:ind w:left="2268" w:right="1134" w:hanging="1134"/>
        <w:jc w:val="both"/>
        <w:rPr>
          <w:rFonts w:eastAsiaTheme="minorHAnsi"/>
          <w:lang w:val="fr-FR" w:eastAsia="en-US"/>
        </w:rPr>
      </w:pPr>
      <w:r w:rsidRPr="00CA3533">
        <w:rPr>
          <w:lang w:val="fr-FR" w:eastAsia="fr-FR"/>
        </w:rPr>
        <w:lastRenderedPageBreak/>
        <w:t>« </w:t>
      </w:r>
      <w:r w:rsidRPr="00CA3533">
        <w:rPr>
          <w:rFonts w:eastAsiaTheme="minorHAnsi"/>
          <w:b/>
          <w:bCs/>
          <w:lang w:val="fr-FR" w:eastAsia="en-US"/>
        </w:rPr>
        <w:t>1.8.</w:t>
      </w:r>
      <w:r w:rsidRPr="00CA3533">
        <w:rPr>
          <w:b/>
          <w:bCs/>
          <w:lang w:val="fr-FR"/>
        </w:rPr>
        <w:t>7</w:t>
      </w:r>
      <w:r w:rsidRPr="00CA3533">
        <w:rPr>
          <w:b/>
          <w:bCs/>
          <w:lang w:val="fr-FR"/>
        </w:rPr>
        <w:tab/>
        <w:t>Procédures</w:t>
      </w:r>
      <w:r w:rsidRPr="00CA3533">
        <w:rPr>
          <w:rFonts w:eastAsiaTheme="minorHAnsi"/>
          <w:b/>
          <w:bCs/>
          <w:lang w:val="fr-FR" w:eastAsia="en-US"/>
        </w:rPr>
        <w:t xml:space="preserve"> à suivre pour l’évaluation de la conformité, la </w:t>
      </w:r>
      <w:r w:rsidRPr="00CA3533">
        <w:rPr>
          <w:rFonts w:eastAsiaTheme="minorHAnsi"/>
          <w:b/>
          <w:bCs/>
          <w:lang w:val="fr-FR" w:eastAsia="ar-SA"/>
        </w:rPr>
        <w:t>délivrance</w:t>
      </w:r>
      <w:r w:rsidRPr="00CA3533">
        <w:rPr>
          <w:rFonts w:eastAsiaTheme="minorHAnsi"/>
          <w:b/>
          <w:bCs/>
          <w:lang w:val="fr-FR" w:eastAsia="en-US"/>
        </w:rPr>
        <w:t xml:space="preserve"> des certificats d’agrément de type et les contrôles</w:t>
      </w:r>
    </w:p>
    <w:p w14:paraId="4EEE0ED6" w14:textId="77777777" w:rsidR="00CA3533" w:rsidRPr="00CA3533" w:rsidRDefault="00CA3533" w:rsidP="00CA3533">
      <w:pPr>
        <w:spacing w:after="120"/>
        <w:ind w:left="2268" w:right="1134" w:hanging="1134"/>
        <w:jc w:val="both"/>
        <w:rPr>
          <w:rFonts w:eastAsiaTheme="minorHAnsi"/>
          <w:i/>
          <w:strike/>
          <w:lang w:val="fr-FR" w:eastAsia="en-US"/>
        </w:rPr>
      </w:pPr>
      <w:r w:rsidRPr="00CA3533">
        <w:rPr>
          <w:rFonts w:eastAsiaTheme="minorHAnsi"/>
          <w:b/>
          <w:i/>
          <w:iCs/>
          <w:lang w:val="fr-FR" w:eastAsia="en-US"/>
        </w:rPr>
        <w:tab/>
        <w:t>NOTA 1</w:t>
      </w:r>
      <w:r w:rsidRPr="00CA3533">
        <w:rPr>
          <w:rFonts w:eastAsiaTheme="minorHAnsi"/>
          <w:b/>
          <w:bCs/>
          <w:i/>
          <w:iCs/>
          <w:lang w:val="fr-FR" w:eastAsia="en-US"/>
        </w:rPr>
        <w:t xml:space="preserve"> : </w:t>
      </w:r>
      <w:r w:rsidRPr="00CA3533">
        <w:rPr>
          <w:rFonts w:eastAsiaTheme="minorHAnsi"/>
          <w:i/>
          <w:iCs/>
          <w:lang w:val="fr-FR" w:eastAsia="en-US"/>
        </w:rPr>
        <w:t>Dans la présente section, par “organisme compétent” on entend un organisme tel que visé aux chapitres 6.2 et 6.8.</w:t>
      </w:r>
      <w:r w:rsidRPr="00CA3533">
        <w:rPr>
          <w:rFonts w:eastAsiaTheme="minorHAnsi"/>
          <w:lang w:val="fr-FR" w:eastAsia="en-US"/>
        </w:rPr>
        <w:t xml:space="preserve"> </w:t>
      </w:r>
    </w:p>
    <w:p w14:paraId="1DBC0A33"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b/>
          <w:i/>
          <w:iCs/>
          <w:lang w:val="fr-FR" w:eastAsia="en-US"/>
        </w:rPr>
        <w:tab/>
        <w:t>NOTA 2</w:t>
      </w:r>
      <w:r w:rsidRPr="00CA3533">
        <w:rPr>
          <w:rFonts w:eastAsiaTheme="minorHAnsi"/>
          <w:b/>
          <w:bCs/>
          <w:i/>
          <w:iCs/>
          <w:lang w:val="fr-FR" w:eastAsia="en-US"/>
        </w:rPr>
        <w:t xml:space="preserve"> : </w:t>
      </w:r>
      <w:r w:rsidRPr="00CA3533">
        <w:rPr>
          <w:rFonts w:eastAsiaTheme="minorHAnsi"/>
          <w:i/>
          <w:iCs/>
          <w:lang w:val="fr-FR" w:eastAsia="en-US"/>
        </w:rPr>
        <w:t>Dans la présente section, par “fabricant” on entend l’entreprise qui est responsable devant l’autorité compétente de tous les aspects de l’évaluation de la conformité et de la garantie de la conformité de la fabrication dont le nom et la marque figurent dans les agréments et sur les marquages.</w:t>
      </w:r>
      <w:r w:rsidRPr="00CA3533">
        <w:rPr>
          <w:rFonts w:eastAsiaTheme="minorHAnsi"/>
          <w:lang w:val="fr-FR" w:eastAsia="en-US"/>
        </w:rPr>
        <w:t xml:space="preserve"> </w:t>
      </w:r>
      <w:r w:rsidRPr="00CA3533">
        <w:rPr>
          <w:rFonts w:eastAsiaTheme="minorHAnsi"/>
          <w:i/>
          <w:iCs/>
          <w:lang w:val="fr-FR" w:eastAsia="en-US"/>
        </w:rPr>
        <w:t>Il n’est pas nécessaire que l’entreprise participe directement à toutes les étapes de la fabrication de matériels (voir 1.8.7.1.5) soumis à l’évaluation de la conformité.</w:t>
      </w:r>
    </w:p>
    <w:p w14:paraId="51E013ED" w14:textId="77777777" w:rsidR="00CA3533" w:rsidRPr="00CA3533" w:rsidRDefault="00CA3533" w:rsidP="00CA3533">
      <w:pPr>
        <w:spacing w:after="120"/>
        <w:ind w:left="2268" w:right="1134" w:hanging="1134"/>
        <w:jc w:val="both"/>
        <w:rPr>
          <w:rFonts w:eastAsiaTheme="minorHAnsi"/>
          <w:b/>
          <w:lang w:val="fr-FR" w:eastAsia="en-US"/>
        </w:rPr>
      </w:pPr>
      <w:r w:rsidRPr="00CA3533">
        <w:rPr>
          <w:rFonts w:eastAsiaTheme="minorHAnsi"/>
          <w:b/>
          <w:bCs/>
          <w:lang w:val="fr-FR" w:eastAsia="en-US"/>
        </w:rPr>
        <w:t>1.8.7.1</w:t>
      </w:r>
      <w:r w:rsidRPr="00CA3533">
        <w:rPr>
          <w:rFonts w:eastAsiaTheme="minorHAnsi"/>
          <w:lang w:val="fr-FR" w:eastAsia="en-US"/>
        </w:rPr>
        <w:tab/>
      </w:r>
      <w:r w:rsidRPr="00CA3533">
        <w:rPr>
          <w:rFonts w:eastAsiaTheme="minorHAnsi"/>
          <w:b/>
          <w:bCs/>
          <w:i/>
          <w:iCs/>
          <w:lang w:val="fr-FR" w:eastAsia="en-US"/>
        </w:rPr>
        <w:t>Dispositions générales</w:t>
      </w:r>
    </w:p>
    <w:p w14:paraId="1C695D4A" w14:textId="77777777" w:rsidR="00CA3533" w:rsidRPr="00CA3533" w:rsidRDefault="00CA3533" w:rsidP="00CA3533">
      <w:pPr>
        <w:spacing w:after="120"/>
        <w:ind w:left="2268" w:right="1134" w:hanging="1134"/>
        <w:jc w:val="both"/>
        <w:rPr>
          <w:rFonts w:eastAsiaTheme="minorHAnsi"/>
          <w:bCs/>
          <w:strike/>
          <w:lang w:val="fr-FR" w:eastAsia="en-US"/>
        </w:rPr>
      </w:pPr>
      <w:r w:rsidRPr="00CA3533">
        <w:rPr>
          <w:rFonts w:eastAsiaTheme="minorHAnsi"/>
          <w:lang w:val="fr-FR" w:eastAsia="en-US"/>
        </w:rPr>
        <w:t>1.8.7.1.1</w:t>
      </w:r>
      <w:r w:rsidRPr="00CA3533">
        <w:rPr>
          <w:rFonts w:eastAsiaTheme="minorHAnsi"/>
          <w:lang w:val="fr-FR" w:eastAsia="en-US"/>
        </w:rPr>
        <w:tab/>
        <w:t>Les procédures de la section 1.8.7 doivent être appliquées tel que prescrit aux chapitres 6.2 et 6.8.</w:t>
      </w:r>
    </w:p>
    <w:p w14:paraId="112CB2D5"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Lorsque l’autorité compétente réalise elle-même ces tâches, elle doit respecter les dispositions de la présente section.</w:t>
      </w:r>
    </w:p>
    <w:p w14:paraId="7AD54BC6" w14:textId="77777777" w:rsidR="00CA3533" w:rsidRPr="00CA3533" w:rsidRDefault="00CA3533" w:rsidP="00CA3533">
      <w:pPr>
        <w:spacing w:after="120"/>
        <w:ind w:left="2268" w:right="1134" w:hanging="1134"/>
        <w:jc w:val="both"/>
        <w:rPr>
          <w:rFonts w:eastAsiaTheme="minorHAnsi"/>
          <w:b/>
          <w:lang w:val="fr-FR" w:eastAsia="en-US"/>
        </w:rPr>
      </w:pPr>
      <w:r w:rsidRPr="00CA3533">
        <w:rPr>
          <w:rFonts w:eastAsiaTheme="minorHAnsi"/>
          <w:lang w:val="fr-FR" w:eastAsia="en-US"/>
        </w:rPr>
        <w:t>1.8.7.1.2</w:t>
      </w:r>
      <w:r w:rsidRPr="00CA3533">
        <w:rPr>
          <w:rFonts w:eastAsiaTheme="minorHAnsi"/>
          <w:lang w:val="fr-FR" w:eastAsia="en-US"/>
        </w:rPr>
        <w:tab/>
        <w:t>Toute demande concernant :</w:t>
      </w:r>
    </w:p>
    <w:p w14:paraId="63C8E62F"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 xml:space="preserve">l’examen de type conformément au 1.8.7.2.1 ; </w:t>
      </w:r>
    </w:p>
    <w:p w14:paraId="2D3391A3"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la délivrance du certificat d’agrément de type conformément au 1.8.7.2.2 ;</w:t>
      </w:r>
    </w:p>
    <w:p w14:paraId="2E66D7A8"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le suivi de fabrication conformément au 1.8.7.3 ; ou</w:t>
      </w:r>
    </w:p>
    <w:p w14:paraId="3A6C1FC6"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les contrôles et épreuves initiaux conformément au 1.8.7.4</w:t>
      </w:r>
    </w:p>
    <w:p w14:paraId="610BBD4E"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doit être adressée par le fabricant à une autorité compétente ou un organisme de contrôle, selon le cas, conformément aux chapitres 6.2 et 6.8.</w:t>
      </w:r>
    </w:p>
    <w:p w14:paraId="1A6A3307"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Toute demande concernant :</w:t>
      </w:r>
    </w:p>
    <w:p w14:paraId="77345746"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e)</w:t>
      </w:r>
      <w:r w:rsidRPr="00CA3533">
        <w:rPr>
          <w:rFonts w:eastAsiaTheme="minorHAnsi"/>
          <w:lang w:val="fr-FR" w:eastAsia="en-US"/>
        </w:rPr>
        <w:tab/>
        <w:t>la vérification de mise en service conformément au 1.8.7.5 ; ou</w:t>
      </w:r>
    </w:p>
    <w:p w14:paraId="2E05206D"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f)</w:t>
      </w:r>
      <w:r w:rsidRPr="00CA3533">
        <w:rPr>
          <w:rFonts w:eastAsiaTheme="minorHAnsi"/>
          <w:lang w:val="fr-FR" w:eastAsia="en-US"/>
        </w:rPr>
        <w:tab/>
        <w:t>les contrôles périodiques, les contrôles intermédiaires ou les contrôles exceptionnels à effectuer conformément au 1.8.7.6</w:t>
      </w:r>
    </w:p>
    <w:p w14:paraId="15B9C327"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doit être adressée par le propriétaire ou son représentant autorisé, ou l’exploitant ou son représentant autorisé, à une autorité compétente ou un organisme de contrôle.</w:t>
      </w:r>
    </w:p>
    <w:p w14:paraId="12806292"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Lorsque le service interne d’inspection est autorisé pour c), d) ou f), il n’est pas nécessaire de déposer une demande pour c), d) ou f).</w:t>
      </w:r>
    </w:p>
    <w:p w14:paraId="625245BE" w14:textId="77777777" w:rsidR="00CA3533" w:rsidRPr="00CA3533" w:rsidRDefault="00CA3533" w:rsidP="00CA3533">
      <w:pPr>
        <w:spacing w:after="120"/>
        <w:ind w:left="2268" w:right="1134" w:hanging="1134"/>
        <w:jc w:val="both"/>
        <w:rPr>
          <w:rFonts w:eastAsiaTheme="minorHAnsi"/>
          <w:b/>
          <w:lang w:val="fr-FR" w:eastAsia="en-US"/>
        </w:rPr>
      </w:pPr>
      <w:r w:rsidRPr="00CA3533">
        <w:rPr>
          <w:rFonts w:eastAsiaTheme="minorHAnsi"/>
          <w:lang w:val="fr-FR" w:eastAsia="en-US"/>
        </w:rPr>
        <w:t>1.8.7.1.3</w:t>
      </w:r>
      <w:r w:rsidRPr="00CA3533">
        <w:rPr>
          <w:rFonts w:eastAsiaTheme="minorHAnsi"/>
          <w:lang w:val="fr-FR" w:eastAsia="en-US"/>
        </w:rPr>
        <w:tab/>
        <w:t>La demande doit comporter :</w:t>
      </w:r>
    </w:p>
    <w:p w14:paraId="094A678A"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le nom et l’adresse du demandeur conformément au 1.8.7.1.2 ;</w:t>
      </w:r>
    </w:p>
    <w:p w14:paraId="0672C0A0"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une déclaration écrite selon laquelle la même demande n’a pas été formulée auprès de toute autre autorité compétente ou organisme de contrôle ;</w:t>
      </w:r>
    </w:p>
    <w:p w14:paraId="7B546308"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la documentation technique pertinente du 1.8.7.8 ;</w:t>
      </w:r>
    </w:p>
    <w:p w14:paraId="6F6830D9"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une déclaration autorisant l’autorité compétente ou l’organisme de contrôle, selon le cas, d’accéder, à des fins d’évaluation de la conformité ou de contrôle, aux lieux de fabrication, de contrôle, d’épreuve et de stockage et lui donnant toutes les informations nécessaires pour réaliser ses tâches.</w:t>
      </w:r>
    </w:p>
    <w:p w14:paraId="0B26FA48" w14:textId="77777777" w:rsidR="00CA3533" w:rsidRPr="00CA3533" w:rsidRDefault="00CA3533" w:rsidP="00CA3533">
      <w:pPr>
        <w:spacing w:after="120"/>
        <w:ind w:left="2268" w:right="1134" w:hanging="1134"/>
        <w:jc w:val="both"/>
        <w:rPr>
          <w:rFonts w:eastAsiaTheme="minorHAnsi"/>
          <w:strike/>
          <w:lang w:val="fr-FR" w:eastAsia="en-US"/>
        </w:rPr>
      </w:pPr>
      <w:r w:rsidRPr="00CA3533">
        <w:rPr>
          <w:rFonts w:eastAsiaTheme="minorHAnsi"/>
          <w:lang w:val="fr-FR" w:eastAsia="en-US"/>
        </w:rPr>
        <w:t>1.8.7.1.4</w:t>
      </w:r>
      <w:r w:rsidRPr="00CA3533">
        <w:rPr>
          <w:rFonts w:eastAsiaTheme="minorHAnsi"/>
          <w:lang w:val="fr-FR" w:eastAsia="en-US"/>
        </w:rPr>
        <w:tab/>
        <w:t xml:space="preserve">Lorsque le fabricant ou un centre d’épreuves est autorisé à établir un service interne d’inspection conformément aux 6.2.2.12, 6.2.3.6.1, 6.8.1.5.3 b) ou 6.8.1.5.4 b), il doit démontrer, à la satisfaction de l’organisme de contrôle, que </w:t>
      </w:r>
      <w:r w:rsidRPr="00CA3533">
        <w:rPr>
          <w:rFonts w:eastAsiaTheme="minorHAnsi"/>
          <w:lang w:val="fr-FR" w:eastAsia="en-US"/>
        </w:rPr>
        <w:lastRenderedPageBreak/>
        <w:t>le service interne d’inspection est capable de procéder aux contrôles et épreuves conformément au 1.8.7.</w:t>
      </w:r>
    </w:p>
    <w:p w14:paraId="715C62F6"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1.8.7.1.5</w:t>
      </w:r>
      <w:r w:rsidRPr="00CA3533">
        <w:rPr>
          <w:rFonts w:eastAsiaTheme="minorHAnsi"/>
          <w:lang w:val="fr-FR" w:eastAsia="en-US"/>
        </w:rPr>
        <w:tab/>
        <w:t>Les certificats d’agrément de type, attestations de contrôle et procès-verbaux des matériels (récipients à pression, citernes, équipement de service, et l’ensemble des éléments, équipements de structure et équipements de service des véhicules-batteries ou CGEM), y compris la documentation technique, doivent être conservés :</w:t>
      </w:r>
    </w:p>
    <w:p w14:paraId="004D6A29"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par le fabricant pendant une durée d’au moins vingt ans à compter de la date d’expiration de l’agrément de type ;</w:t>
      </w:r>
    </w:p>
    <w:p w14:paraId="34EE64DC"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par l’autorité compétente ou l’organisme de contrôle, qui les a délivrés, pendant une durée d’au moins vingt ans à compter de la date de délivrance ;</w:t>
      </w:r>
    </w:p>
    <w:p w14:paraId="38A02E15"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par le propriétaire ou l’exploitant pendant une durée d’au moins quinze mois après la mise hors service du matériel.</w:t>
      </w:r>
    </w:p>
    <w:p w14:paraId="74149B8A" w14:textId="77777777" w:rsidR="00CA3533" w:rsidRPr="00CA3533" w:rsidRDefault="00CA3533" w:rsidP="00CA3533">
      <w:pPr>
        <w:spacing w:after="120"/>
        <w:ind w:left="2268" w:right="1134" w:hanging="1134"/>
        <w:jc w:val="both"/>
        <w:rPr>
          <w:rFonts w:eastAsiaTheme="minorHAnsi"/>
          <w:b/>
          <w:i/>
          <w:iCs/>
          <w:lang w:val="fr-FR" w:eastAsia="en-US"/>
        </w:rPr>
      </w:pPr>
      <w:r w:rsidRPr="00CA3533">
        <w:rPr>
          <w:rFonts w:eastAsiaTheme="minorHAnsi"/>
          <w:b/>
          <w:bCs/>
          <w:lang w:val="fr-FR" w:eastAsia="en-US"/>
        </w:rPr>
        <w:t>1.8.7.2</w:t>
      </w:r>
      <w:r w:rsidRPr="00CA3533">
        <w:rPr>
          <w:rFonts w:eastAsiaTheme="minorHAnsi"/>
          <w:lang w:val="fr-FR" w:eastAsia="en-US"/>
        </w:rPr>
        <w:tab/>
      </w:r>
      <w:r w:rsidRPr="00CA3533">
        <w:rPr>
          <w:rFonts w:eastAsiaTheme="minorHAnsi"/>
          <w:b/>
          <w:bCs/>
          <w:i/>
          <w:iCs/>
          <w:lang w:val="fr-FR" w:eastAsia="en-US"/>
        </w:rPr>
        <w:t>Examen de type et délivrance du certificat d’agrément de type</w:t>
      </w:r>
    </w:p>
    <w:p w14:paraId="559FFB03" w14:textId="77777777" w:rsidR="00CA3533" w:rsidRPr="00CA3533" w:rsidRDefault="00CA3533" w:rsidP="00CA3533">
      <w:pPr>
        <w:spacing w:after="120"/>
        <w:ind w:left="2268" w:right="1134" w:hanging="1134"/>
        <w:jc w:val="both"/>
        <w:rPr>
          <w:rFonts w:eastAsiaTheme="minorHAnsi"/>
          <w:b/>
          <w:lang w:val="fr-FR" w:eastAsia="en-US"/>
        </w:rPr>
      </w:pPr>
      <w:r w:rsidRPr="00CA3533">
        <w:rPr>
          <w:rFonts w:eastAsiaTheme="minorHAnsi"/>
          <w:lang w:val="fr-FR" w:eastAsia="en-US"/>
        </w:rPr>
        <w:t>1.8.7.2.1</w:t>
      </w:r>
      <w:r w:rsidRPr="00CA3533">
        <w:rPr>
          <w:rFonts w:eastAsiaTheme="minorHAnsi"/>
          <w:lang w:val="fr-FR" w:eastAsia="en-US"/>
        </w:rPr>
        <w:tab/>
      </w:r>
      <w:r w:rsidRPr="00CA3533">
        <w:rPr>
          <w:rFonts w:eastAsiaTheme="minorHAnsi"/>
          <w:i/>
          <w:iCs/>
          <w:lang w:val="fr-FR" w:eastAsia="en-US"/>
        </w:rPr>
        <w:t>Examen de type</w:t>
      </w:r>
    </w:p>
    <w:p w14:paraId="756D81EC"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1.8.7.2.1.1</w:t>
      </w:r>
      <w:r w:rsidRPr="00CA3533">
        <w:rPr>
          <w:rFonts w:eastAsiaTheme="minorHAnsi"/>
          <w:lang w:val="fr-FR" w:eastAsia="en-US"/>
        </w:rPr>
        <w:tab/>
        <w:t>Le fabricant doit :</w:t>
      </w:r>
    </w:p>
    <w:p w14:paraId="051E20CA"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dans le cas de récipients à pression, mettre à la disposition de l’organisme de contrôle des échantillons représentatifs de la production envisagée. L’organisme de contrôle peut demander des échantillons supplémentaires si cela est nécessaire pour le programme d’essais ;</w:t>
      </w:r>
    </w:p>
    <w:p w14:paraId="6FDCA824"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dans le cas de citernes, de véhicules-batteries ou de CGEM, donner accès au prototype pour les épreuves du type ;</w:t>
      </w:r>
    </w:p>
    <w:p w14:paraId="7F2B6735" w14:textId="77777777" w:rsidR="00CA3533" w:rsidRPr="00CA3533" w:rsidRDefault="00CA3533" w:rsidP="00CA3533">
      <w:pPr>
        <w:spacing w:after="120"/>
        <w:ind w:left="2835" w:right="1134" w:hanging="567"/>
        <w:jc w:val="both"/>
        <w:rPr>
          <w:rFonts w:eastAsiaTheme="minorHAnsi"/>
          <w:bCs/>
          <w:lang w:val="fr-FR" w:eastAsia="en-US"/>
        </w:rPr>
      </w:pPr>
      <w:r w:rsidRPr="00CA3533">
        <w:rPr>
          <w:rFonts w:eastAsiaTheme="minorHAnsi"/>
          <w:lang w:val="fr-FR" w:eastAsia="en-US"/>
        </w:rPr>
        <w:t>c)</w:t>
      </w:r>
      <w:r w:rsidRPr="00CA3533">
        <w:rPr>
          <w:rFonts w:eastAsiaTheme="minorHAnsi"/>
          <w:lang w:val="fr-FR" w:eastAsia="en-US"/>
        </w:rPr>
        <w:tab/>
        <w:t>dans le cas d’équipement de service, mettre à la disposition de l’organisme de contrôle des échantillons représentatifs de la production envisagée. L’organisme de contrôle peut demander des échantillons supplémentaires si cela est nécessaire pour le programme d’essais.</w:t>
      </w:r>
    </w:p>
    <w:p w14:paraId="3F235F74" w14:textId="77777777" w:rsidR="00CA3533" w:rsidRPr="00CA3533" w:rsidRDefault="00CA3533" w:rsidP="00CA3533">
      <w:pPr>
        <w:spacing w:after="120"/>
        <w:ind w:left="2268" w:right="1134" w:hanging="1134"/>
        <w:jc w:val="both"/>
        <w:rPr>
          <w:rFonts w:eastAsiaTheme="minorHAnsi"/>
          <w:i/>
          <w:lang w:val="fr-FR" w:eastAsia="en-US"/>
        </w:rPr>
      </w:pPr>
      <w:r w:rsidRPr="00CA3533">
        <w:rPr>
          <w:rFonts w:eastAsiaTheme="minorHAnsi"/>
          <w:b/>
          <w:bCs/>
          <w:i/>
          <w:iCs/>
          <w:lang w:val="fr-FR" w:eastAsia="en-US"/>
        </w:rPr>
        <w:tab/>
        <w:t>NOTA :</w:t>
      </w:r>
      <w:r w:rsidRPr="00CA3533">
        <w:rPr>
          <w:rFonts w:eastAsiaTheme="minorHAnsi"/>
          <w:i/>
          <w:iCs/>
          <w:lang w:val="fr-FR" w:eastAsia="en-US"/>
        </w:rPr>
        <w:t xml:space="preserve"> Les résultats d’évaluations et d’essais selon d’autres réglementations ou normes peuvent être pris en compte.</w:t>
      </w:r>
    </w:p>
    <w:p w14:paraId="4B11C114" w14:textId="77777777" w:rsidR="00CA3533" w:rsidRPr="00CA3533" w:rsidRDefault="00CA3533" w:rsidP="00CA3533">
      <w:pPr>
        <w:spacing w:after="120"/>
        <w:ind w:left="2268" w:right="1134" w:hanging="1134"/>
        <w:jc w:val="both"/>
        <w:rPr>
          <w:rFonts w:eastAsiaTheme="minorHAnsi"/>
          <w:b/>
          <w:lang w:val="fr-FR" w:eastAsia="en-US"/>
        </w:rPr>
      </w:pPr>
      <w:r w:rsidRPr="00CA3533">
        <w:rPr>
          <w:rFonts w:eastAsiaTheme="minorHAnsi"/>
          <w:lang w:val="fr-FR" w:eastAsia="en-US"/>
        </w:rPr>
        <w:t>1.8.7.2.1.2</w:t>
      </w:r>
      <w:r w:rsidRPr="00CA3533">
        <w:rPr>
          <w:rFonts w:eastAsiaTheme="minorHAnsi"/>
          <w:lang w:val="fr-FR" w:eastAsia="en-US"/>
        </w:rPr>
        <w:tab/>
        <w:t>L’organisme de contrôle doit :</w:t>
      </w:r>
    </w:p>
    <w:p w14:paraId="0328F13D"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examiner la documentation technique indiquée au 1.8.7.8.1 pour vérifier que la conception est conforme aux dispositions pertinentes de l’ADR et que le prototype ou le lot prototype a été fabriqué conformément à la documentation technique et est représentatif du modèle type ;</w:t>
      </w:r>
    </w:p>
    <w:p w14:paraId="54BB63E3"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effectuer les examens, les essais et épreuves ou effectuer les examens et vérifier les conditions d’essais et d’épreuves et les superviser sur site, tels que prescrits dans l’ADR, y compris les normes applicables, pour établir que les dispositions ont été appliquées et respectées et que les procédures adoptées par le fabricant satisfont aux prescriptions ;</w:t>
      </w:r>
    </w:p>
    <w:p w14:paraId="33F3D42F"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vérifier le ou les certificats de matériaux délivrés par le ou les fabricants des matériaux vis-à-vis des dispositions pertinentes de l’ADR ;</w:t>
      </w:r>
    </w:p>
    <w:p w14:paraId="2C1FDBF4"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le cas échéant, approuver les procédures pour l’assemblage permanent des parties ou vérifier qu’elles ont été antérieurement agréées et que le personnel réalisant l’assemblage permanent des parties et les contrôles non destructifs est qualifié ou agréé ;</w:t>
      </w:r>
    </w:p>
    <w:p w14:paraId="5D45E10D"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e)</w:t>
      </w:r>
      <w:r w:rsidRPr="00CA3533">
        <w:rPr>
          <w:rFonts w:eastAsiaTheme="minorHAnsi"/>
          <w:lang w:val="fr-FR" w:eastAsia="en-US"/>
        </w:rPr>
        <w:tab/>
        <w:t>convenir avec le fabricant des lieux où les examens et les essais et épreuves nécessaires doivent être réalisés.</w:t>
      </w:r>
    </w:p>
    <w:p w14:paraId="5CD79F84"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L’organisme de contrôle délivre au fabricant un procès</w:t>
      </w:r>
      <w:r w:rsidRPr="00CA3533">
        <w:rPr>
          <w:rFonts w:eastAsiaTheme="minorHAnsi"/>
          <w:lang w:val="fr-FR" w:eastAsia="en-US"/>
        </w:rPr>
        <w:noBreakHyphen/>
        <w:t>verbal d’examen de type.</w:t>
      </w:r>
    </w:p>
    <w:p w14:paraId="570F6517" w14:textId="77777777" w:rsidR="00CA3533" w:rsidRPr="00CA3533" w:rsidRDefault="00CA3533" w:rsidP="00CA3533">
      <w:pPr>
        <w:spacing w:after="120"/>
        <w:ind w:left="2268" w:right="1134" w:hanging="1134"/>
        <w:jc w:val="both"/>
        <w:rPr>
          <w:rFonts w:eastAsiaTheme="minorHAnsi"/>
          <w:b/>
          <w:lang w:val="fr-FR" w:eastAsia="en-US"/>
        </w:rPr>
      </w:pPr>
      <w:r w:rsidRPr="00CA3533">
        <w:rPr>
          <w:rFonts w:eastAsiaTheme="minorHAnsi"/>
          <w:lang w:val="fr-FR" w:eastAsia="en-US"/>
        </w:rPr>
        <w:lastRenderedPageBreak/>
        <w:t>1.8.7.2.2</w:t>
      </w:r>
      <w:r w:rsidRPr="00CA3533">
        <w:rPr>
          <w:rFonts w:eastAsiaTheme="minorHAnsi"/>
          <w:lang w:val="fr-FR" w:eastAsia="en-US"/>
        </w:rPr>
        <w:tab/>
      </w:r>
      <w:r w:rsidRPr="00CA3533">
        <w:rPr>
          <w:rFonts w:eastAsiaTheme="minorHAnsi"/>
          <w:i/>
          <w:iCs/>
          <w:lang w:val="fr-FR" w:eastAsia="en-US"/>
        </w:rPr>
        <w:t>Délivrance du certificat d’agrément de type</w:t>
      </w:r>
    </w:p>
    <w:p w14:paraId="04A610E8"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Les agréments de type autorisent la fabrication des matériels dans les limites de la durée de validité de l’agrément.</w:t>
      </w:r>
    </w:p>
    <w:p w14:paraId="71E336D2"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1.8.7.2.2.1</w:t>
      </w:r>
      <w:r w:rsidRPr="00CA3533">
        <w:rPr>
          <w:rFonts w:eastAsiaTheme="minorHAnsi"/>
          <w:lang w:val="fr-FR" w:eastAsia="en-US"/>
        </w:rPr>
        <w:tab/>
        <w:t>Lorsque le type satisfait à toutes les dispositions applicables, l’autorité compétente ou l’organisme de contrôle doit délivrer un certificat d’agrément de type au fabricant conformément aux chapitres 6.2 et 6.8.</w:t>
      </w:r>
    </w:p>
    <w:p w14:paraId="34BB0C61"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Ce certificat doit comporter :</w:t>
      </w:r>
    </w:p>
    <w:p w14:paraId="06D6A2E8"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le nom et l’adresse de l’émetteur ;</w:t>
      </w:r>
    </w:p>
    <w:p w14:paraId="73346490"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l’autorité compétente au nom de laquelle le certificat est délivré ;</w:t>
      </w:r>
    </w:p>
    <w:p w14:paraId="3C02D0B0"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le nom et l’adresse du fabricant ;</w:t>
      </w:r>
    </w:p>
    <w:p w14:paraId="530CCAD3"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une référence à la version de l’ADR et aux normes utilisées pour l’examen de type ;</w:t>
      </w:r>
    </w:p>
    <w:p w14:paraId="2CCDE728"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e)</w:t>
      </w:r>
      <w:r w:rsidRPr="00CA3533">
        <w:rPr>
          <w:rFonts w:eastAsiaTheme="minorHAnsi"/>
          <w:lang w:val="fr-FR" w:eastAsia="en-US"/>
        </w:rPr>
        <w:tab/>
        <w:t>toutes prescriptions résultant de l’examen de type ;</w:t>
      </w:r>
    </w:p>
    <w:p w14:paraId="7229AF96"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f)</w:t>
      </w:r>
      <w:r w:rsidRPr="00CA3533">
        <w:rPr>
          <w:rFonts w:eastAsiaTheme="minorHAnsi"/>
          <w:lang w:val="fr-FR" w:eastAsia="en-US"/>
        </w:rPr>
        <w:tab/>
        <w:t>les données nécessaires pour l’identification du type et des variantes, tels que définis par les normes pertinentes ;</w:t>
      </w:r>
    </w:p>
    <w:p w14:paraId="44420753"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g)</w:t>
      </w:r>
      <w:r w:rsidRPr="00CA3533">
        <w:rPr>
          <w:rFonts w:eastAsiaTheme="minorHAnsi"/>
          <w:lang w:val="fr-FR" w:eastAsia="en-US"/>
        </w:rPr>
        <w:tab/>
        <w:t>la référence aux procès-verbaux d’examen de type ;</w:t>
      </w:r>
    </w:p>
    <w:p w14:paraId="341FE27B"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h)</w:t>
      </w:r>
      <w:r w:rsidRPr="00CA3533">
        <w:rPr>
          <w:rFonts w:eastAsiaTheme="minorHAnsi"/>
          <w:lang w:val="fr-FR" w:eastAsia="en-US"/>
        </w:rPr>
        <w:tab/>
        <w:t>la période de validité maximale de l’agrément de type ; et</w:t>
      </w:r>
    </w:p>
    <w:p w14:paraId="46404EAB"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i)</w:t>
      </w:r>
      <w:r w:rsidRPr="00CA3533">
        <w:rPr>
          <w:rFonts w:eastAsiaTheme="minorHAnsi"/>
          <w:lang w:val="fr-FR" w:eastAsia="en-US"/>
        </w:rPr>
        <w:tab/>
        <w:t>toute prescription spécifique conformément aux chapitres 6.2 et 6.8.</w:t>
      </w:r>
    </w:p>
    <w:p w14:paraId="2C16C2A0"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Une liste des parties pertinentes de la documentation technique doit être annexée au certificat (voir 1.8.7.8.1).</w:t>
      </w:r>
    </w:p>
    <w:p w14:paraId="00353910"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1.8.7.2.2.2</w:t>
      </w:r>
      <w:r w:rsidRPr="00CA3533">
        <w:rPr>
          <w:rFonts w:eastAsiaTheme="minorHAnsi"/>
          <w:lang w:val="fr-FR" w:eastAsia="en-US"/>
        </w:rPr>
        <w:tab/>
        <w:t>L’agrément de type a une durée de validité de dix ans au maximum. Si au cours de cette période les prescriptions techniques pertinentes de l’ADR ont été modifiées de telle manière que le type agréé n’est plus conforme à celles-ci, l’agrément de type n’est plus valide. Si au cours de cette période, la date de retrait selon la colonne 3) des tableaux des 6.2.2.1 et 6.2.2.3, ou la colonne 5) des tableaux des 6.2.4.1, 6.8.2.6.1 et 6.8.3.6 s’applique, l’agrément de type n’est également plus valide. Il doit alors être retiré par l’autorité compétente ou l’organisme de contrôle qui a délivré le certificat d’agrément de type.</w:t>
      </w:r>
    </w:p>
    <w:p w14:paraId="14DAD27D" w14:textId="77777777" w:rsidR="00CA3533" w:rsidRPr="00CA3533" w:rsidRDefault="00CA3533" w:rsidP="00CA3533">
      <w:pPr>
        <w:spacing w:after="120"/>
        <w:ind w:left="2268" w:right="1134" w:hanging="1134"/>
        <w:jc w:val="both"/>
        <w:rPr>
          <w:rFonts w:eastAsiaTheme="minorHAnsi"/>
          <w:i/>
          <w:lang w:val="fr-FR" w:eastAsia="en-US"/>
        </w:rPr>
      </w:pPr>
      <w:r w:rsidRPr="00CA3533">
        <w:rPr>
          <w:rFonts w:eastAsiaTheme="minorHAnsi"/>
          <w:b/>
          <w:bCs/>
          <w:i/>
          <w:iCs/>
          <w:lang w:val="fr-FR" w:eastAsia="en-US"/>
        </w:rPr>
        <w:tab/>
        <w:t xml:space="preserve">NOTA : </w:t>
      </w:r>
      <w:r w:rsidRPr="00CA3533">
        <w:rPr>
          <w:rFonts w:eastAsiaTheme="minorHAnsi"/>
          <w:i/>
          <w:iCs/>
          <w:lang w:val="fr-FR" w:eastAsia="en-US"/>
        </w:rPr>
        <w:t>En ce qui concerne la date limite de retrait des agréments de type existants, voir la colonne 5) des tableaux des 6.2.4.1 et 6.8.2.6.1 ou 6.8.3.6 selon le cas.</w:t>
      </w:r>
    </w:p>
    <w:p w14:paraId="29C9B751"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Lorsqu’un agrément de type a expiré ou a été retiré, la fabrication de</w:t>
      </w:r>
      <w:r w:rsidRPr="00CA3533">
        <w:rPr>
          <w:rFonts w:eastAsiaTheme="minorHAnsi"/>
          <w:strike/>
          <w:lang w:val="fr-FR" w:eastAsia="ar-SA"/>
        </w:rPr>
        <w:t>s</w:t>
      </w:r>
      <w:r w:rsidRPr="00CA3533">
        <w:rPr>
          <w:rFonts w:eastAsiaTheme="minorHAnsi"/>
          <w:lang w:val="fr-FR" w:eastAsia="en-US"/>
        </w:rPr>
        <w:t xml:space="preserve"> </w:t>
      </w:r>
      <w:r w:rsidRPr="00CA3533">
        <w:rPr>
          <w:rFonts w:eastAsiaTheme="minorHAnsi"/>
          <w:lang w:val="fr-FR" w:eastAsia="ar-SA"/>
        </w:rPr>
        <w:t>matériels</w:t>
      </w:r>
      <w:r w:rsidRPr="00CA3533">
        <w:rPr>
          <w:rFonts w:eastAsiaTheme="minorHAnsi"/>
          <w:lang w:val="fr-FR" w:eastAsia="en-US"/>
        </w:rPr>
        <w:t xml:space="preserve"> conformément à cet agrément n’est plus autorisée.</w:t>
      </w:r>
    </w:p>
    <w:p w14:paraId="3A8A5F38" w14:textId="7704574E" w:rsidR="00CA3533" w:rsidRPr="00CA3533" w:rsidRDefault="00CA3533" w:rsidP="00CA3533">
      <w:pPr>
        <w:spacing w:after="120"/>
        <w:ind w:left="2268" w:right="1134" w:hanging="1134"/>
        <w:jc w:val="both"/>
        <w:rPr>
          <w:rFonts w:eastAsiaTheme="minorHAnsi"/>
          <w:lang w:val="fr-FR" w:eastAsia="en-US"/>
        </w:rPr>
      </w:pPr>
      <w:bookmarkStart w:id="4" w:name="_Hlk77943003"/>
      <w:r w:rsidRPr="00CA3533">
        <w:rPr>
          <w:rFonts w:eastAsiaTheme="minorHAnsi"/>
          <w:b/>
          <w:i/>
          <w:lang w:val="fr-FR" w:eastAsia="en-US"/>
        </w:rPr>
        <w:tab/>
        <w:t xml:space="preserve">NOTA : </w:t>
      </w:r>
      <w:r w:rsidRPr="00CA3533">
        <w:rPr>
          <w:rFonts w:eastAsiaTheme="minorHAnsi"/>
          <w:i/>
          <w:iCs/>
          <w:lang w:val="fr-FR" w:eastAsia="ar-SA"/>
        </w:rPr>
        <w:t>L</w:t>
      </w:r>
      <w:r w:rsidRPr="00CA3533">
        <w:rPr>
          <w:rFonts w:eastAsiaTheme="minorHAnsi"/>
          <w:i/>
          <w:lang w:val="fr-FR" w:eastAsia="en-US"/>
        </w:rPr>
        <w:t xml:space="preserve">es dispositions pertinentes relatives à l’utilisation, au contrôle périodique et au contrôle intermédiaire de </w:t>
      </w:r>
      <w:r w:rsidRPr="00CA3533">
        <w:rPr>
          <w:rFonts w:eastAsiaTheme="minorHAnsi"/>
          <w:i/>
          <w:lang w:val="fr-FR" w:eastAsia="ar-SA"/>
        </w:rPr>
        <w:t>matériels</w:t>
      </w:r>
      <w:r w:rsidRPr="00CA3533">
        <w:rPr>
          <w:rFonts w:eastAsiaTheme="minorHAnsi"/>
          <w:i/>
          <w:lang w:val="fr-FR" w:eastAsia="en-US"/>
        </w:rPr>
        <w:t xml:space="preserve"> contenues dans un agrément de type qui a expiré ou qui a été retiré continuent à être applicables aux </w:t>
      </w:r>
      <w:r w:rsidRPr="00CA3533">
        <w:rPr>
          <w:rFonts w:eastAsiaTheme="minorHAnsi"/>
          <w:i/>
          <w:lang w:val="fr-FR" w:eastAsia="ar-SA"/>
        </w:rPr>
        <w:t>matériels</w:t>
      </w:r>
      <w:r w:rsidRPr="00CA3533">
        <w:rPr>
          <w:rFonts w:eastAsiaTheme="minorHAnsi"/>
          <w:i/>
          <w:lang w:val="fr-FR" w:eastAsia="en-US"/>
        </w:rPr>
        <w:t xml:space="preserve"> construits </w:t>
      </w:r>
      <w:r w:rsidRPr="00CA3533">
        <w:rPr>
          <w:rFonts w:eastAsiaTheme="minorHAnsi"/>
          <w:i/>
          <w:lang w:val="fr-FR" w:eastAsia="ar-SA"/>
        </w:rPr>
        <w:t>conformément à cet agrément de type</w:t>
      </w:r>
      <w:r w:rsidRPr="00CA3533">
        <w:rPr>
          <w:rFonts w:eastAsiaTheme="minorHAnsi"/>
          <w:i/>
          <w:lang w:val="fr-FR" w:eastAsia="en-US"/>
        </w:rPr>
        <w:t xml:space="preserve"> avant </w:t>
      </w:r>
      <w:r w:rsidRPr="00CA3533">
        <w:rPr>
          <w:rFonts w:eastAsiaTheme="minorHAnsi"/>
          <w:i/>
          <w:lang w:val="fr-FR" w:eastAsia="ar-SA"/>
        </w:rPr>
        <w:t xml:space="preserve">son </w:t>
      </w:r>
      <w:r w:rsidRPr="00CA3533">
        <w:rPr>
          <w:rFonts w:eastAsiaTheme="minorHAnsi"/>
          <w:i/>
          <w:lang w:val="fr-FR" w:eastAsia="en-US"/>
        </w:rPr>
        <w:t xml:space="preserve">expiration ou </w:t>
      </w:r>
      <w:r w:rsidRPr="00CA3533">
        <w:rPr>
          <w:rFonts w:eastAsiaTheme="minorHAnsi"/>
          <w:i/>
          <w:lang w:val="fr-FR" w:eastAsia="ar-SA"/>
        </w:rPr>
        <w:t>son</w:t>
      </w:r>
      <w:r w:rsidRPr="00CA3533">
        <w:rPr>
          <w:rFonts w:eastAsiaTheme="minorHAnsi"/>
          <w:i/>
          <w:lang w:val="fr-FR" w:eastAsia="en-US"/>
        </w:rPr>
        <w:t xml:space="preserve"> retrait s’ils peuvent </w:t>
      </w:r>
      <w:r w:rsidRPr="00CA3533">
        <w:rPr>
          <w:rFonts w:eastAsiaTheme="minorHAnsi"/>
          <w:i/>
          <w:lang w:val="fr-FR" w:eastAsia="ar-SA"/>
        </w:rPr>
        <w:t>encore</w:t>
      </w:r>
      <w:r w:rsidRPr="00CA3533">
        <w:rPr>
          <w:rFonts w:eastAsiaTheme="minorHAnsi"/>
          <w:i/>
          <w:lang w:val="fr-FR" w:eastAsia="en-US"/>
        </w:rPr>
        <w:t xml:space="preserve"> être utilisés. </w:t>
      </w:r>
    </w:p>
    <w:p w14:paraId="6973CD9E" w14:textId="77777777" w:rsidR="00CA3533" w:rsidRPr="00CA3533" w:rsidRDefault="00CA3533" w:rsidP="00CA3533">
      <w:pPr>
        <w:spacing w:after="120"/>
        <w:ind w:left="2268" w:right="1134" w:hanging="1134"/>
        <w:jc w:val="both"/>
        <w:rPr>
          <w:rFonts w:eastAsiaTheme="minorHAnsi"/>
          <w:lang w:val="fr-FR" w:eastAsia="en-US"/>
        </w:rPr>
      </w:pPr>
      <w:bookmarkStart w:id="5" w:name="_Hlk77943064"/>
      <w:bookmarkEnd w:id="4"/>
      <w:r w:rsidRPr="00CA3533">
        <w:rPr>
          <w:rFonts w:eastAsiaTheme="minorHAnsi"/>
          <w:lang w:val="fr-FR" w:eastAsia="en-US"/>
        </w:rPr>
        <w:tab/>
        <w:t xml:space="preserve">Les agréments de type peuvent être renouvelés sur la base d’un </w:t>
      </w:r>
      <w:r w:rsidRPr="00CA3533">
        <w:rPr>
          <w:rFonts w:eastAsiaTheme="minorHAnsi"/>
          <w:lang w:val="fr-FR" w:eastAsia="ar-SA"/>
        </w:rPr>
        <w:t xml:space="preserve">nouvel examen </w:t>
      </w:r>
      <w:r w:rsidRPr="00CA3533">
        <w:rPr>
          <w:rFonts w:eastAsiaTheme="minorHAnsi"/>
          <w:lang w:val="fr-FR" w:eastAsia="en-US"/>
        </w:rPr>
        <w:t xml:space="preserve">de </w:t>
      </w:r>
      <w:r w:rsidRPr="00CA3533">
        <w:rPr>
          <w:rFonts w:eastAsiaTheme="minorHAnsi"/>
          <w:lang w:val="fr-FR" w:eastAsia="ar-SA"/>
        </w:rPr>
        <w:t>type</w:t>
      </w:r>
      <w:r w:rsidRPr="00CA3533">
        <w:rPr>
          <w:rFonts w:eastAsiaTheme="minorHAnsi"/>
          <w:lang w:val="fr-FR" w:eastAsia="en-US"/>
        </w:rPr>
        <w:t xml:space="preserve">. </w:t>
      </w:r>
      <w:r w:rsidRPr="00CA3533">
        <w:rPr>
          <w:rFonts w:eastAsiaTheme="minorHAnsi"/>
          <w:lang w:val="fr-FR" w:eastAsia="ar-SA"/>
        </w:rPr>
        <w:t>Les résultats des essais de l’examen de type précédent doivent être pris en compte si ces essais sont toujours conformes aux dispositions de l’ADR, y compris les normes, à la date du renouvellement.</w:t>
      </w:r>
      <w:r w:rsidRPr="00CA3533">
        <w:rPr>
          <w:rFonts w:eastAsiaTheme="minorHAnsi"/>
          <w:lang w:val="fr-FR" w:eastAsia="en-US"/>
        </w:rPr>
        <w:t xml:space="preserve"> Le renouvellement n’est pas autorisé après qu’un agrément de type a été retiré.</w:t>
      </w:r>
    </w:p>
    <w:bookmarkEnd w:id="5"/>
    <w:p w14:paraId="1AA42448" w14:textId="77777777" w:rsidR="00CA3533" w:rsidRPr="00CA3533" w:rsidRDefault="00CA3533" w:rsidP="00CA3533">
      <w:pPr>
        <w:spacing w:after="120"/>
        <w:ind w:left="2268" w:right="1134" w:hanging="1134"/>
        <w:jc w:val="both"/>
        <w:rPr>
          <w:rFonts w:eastAsiaTheme="minorHAnsi"/>
          <w:i/>
          <w:lang w:val="fr-FR" w:eastAsia="en-US"/>
        </w:rPr>
      </w:pPr>
      <w:r w:rsidRPr="00CA3533">
        <w:rPr>
          <w:rFonts w:eastAsiaTheme="minorHAnsi"/>
          <w:b/>
          <w:bCs/>
          <w:i/>
          <w:lang w:val="fr-FR" w:eastAsia="en-US"/>
        </w:rPr>
        <w:tab/>
        <w:t>NOTA</w:t>
      </w:r>
      <w:r w:rsidRPr="00CA3533">
        <w:rPr>
          <w:rFonts w:eastAsiaTheme="minorHAnsi"/>
          <w:b/>
          <w:i/>
          <w:lang w:val="fr-FR" w:eastAsia="en-US"/>
        </w:rPr>
        <w:t xml:space="preserve"> : </w:t>
      </w:r>
      <w:r w:rsidRPr="00CA3533">
        <w:rPr>
          <w:rFonts w:eastAsiaTheme="minorHAnsi"/>
          <w:i/>
          <w:iCs/>
          <w:lang w:val="fr-FR" w:eastAsia="ar-SA"/>
        </w:rPr>
        <w:t>L’examen de type pour le renouvellement</w:t>
      </w:r>
      <w:r w:rsidRPr="00CA3533">
        <w:rPr>
          <w:rFonts w:eastAsiaTheme="minorHAnsi"/>
          <w:i/>
          <w:iCs/>
          <w:lang w:val="fr-FR" w:eastAsia="en-US"/>
        </w:rPr>
        <w:t xml:space="preserve"> peut être </w:t>
      </w:r>
      <w:r w:rsidRPr="00CA3533">
        <w:rPr>
          <w:rFonts w:eastAsiaTheme="minorHAnsi"/>
          <w:i/>
          <w:iCs/>
          <w:lang w:val="fr-FR" w:eastAsia="ar-SA"/>
        </w:rPr>
        <w:t>effectué</w:t>
      </w:r>
      <w:r w:rsidRPr="00CA3533">
        <w:rPr>
          <w:rFonts w:eastAsiaTheme="minorHAnsi"/>
          <w:i/>
          <w:iCs/>
          <w:lang w:val="fr-FR" w:eastAsia="en-US"/>
        </w:rPr>
        <w:t xml:space="preserve"> par un organisme </w:t>
      </w:r>
      <w:r w:rsidRPr="00CA3533">
        <w:rPr>
          <w:rFonts w:eastAsiaTheme="minorHAnsi"/>
          <w:i/>
          <w:iCs/>
          <w:lang w:val="fr-FR" w:eastAsia="ar-SA"/>
        </w:rPr>
        <w:t>de contrôle</w:t>
      </w:r>
      <w:r w:rsidRPr="00CA3533">
        <w:rPr>
          <w:rFonts w:eastAsiaTheme="minorHAnsi"/>
          <w:i/>
          <w:iCs/>
          <w:lang w:val="fr-FR" w:eastAsia="en-US"/>
        </w:rPr>
        <w:t xml:space="preserve"> autre que celui qui a délivré le procès-verbal d’examen de type d’origine</w:t>
      </w:r>
      <w:r w:rsidRPr="00CA3533">
        <w:rPr>
          <w:rFonts w:eastAsiaTheme="minorHAnsi"/>
          <w:i/>
          <w:lang w:val="fr-FR" w:eastAsia="en-US"/>
        </w:rPr>
        <w:t>.</w:t>
      </w:r>
    </w:p>
    <w:p w14:paraId="261097A1"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 xml:space="preserve">Des modifications d’un agrément de type existant survenues pendant sa période de validité (par exemple pour les récipients à pression, des modifications mineures telles que l’addition d’autres dimensions ou volumes </w:t>
      </w:r>
      <w:r w:rsidRPr="00CA3533">
        <w:rPr>
          <w:rFonts w:eastAsiaTheme="minorHAnsi"/>
          <w:lang w:val="fr-FR" w:eastAsia="en-US"/>
        </w:rPr>
        <w:lastRenderedPageBreak/>
        <w:t>admis sans qu’il y ait remise en cause de la conformité, ou, pour les citernes, voir le 6.8.2.3.</w:t>
      </w:r>
      <w:r w:rsidRPr="00CA3533">
        <w:rPr>
          <w:rFonts w:eastAsiaTheme="minorHAnsi"/>
          <w:lang w:val="fr-FR" w:eastAsia="ar-SA"/>
        </w:rPr>
        <w:t>3</w:t>
      </w:r>
      <w:r w:rsidRPr="00CA3533">
        <w:rPr>
          <w:rFonts w:eastAsiaTheme="minorHAnsi"/>
          <w:lang w:val="fr-FR" w:eastAsia="en-US"/>
        </w:rPr>
        <w:t>) ne prolongent pas ni ne modifient cette période de validité.</w:t>
      </w:r>
    </w:p>
    <w:p w14:paraId="6595BB2D" w14:textId="77777777" w:rsidR="00CA3533" w:rsidRPr="00CA3533" w:rsidRDefault="00CA3533" w:rsidP="00CA3533">
      <w:pPr>
        <w:spacing w:after="120"/>
        <w:ind w:left="2268" w:right="1134" w:hanging="1134"/>
        <w:jc w:val="both"/>
        <w:rPr>
          <w:rFonts w:eastAsiaTheme="minorHAnsi"/>
          <w:bCs/>
          <w:lang w:val="fr-FR" w:eastAsia="en-US"/>
        </w:rPr>
      </w:pPr>
      <w:r w:rsidRPr="00CA3533">
        <w:rPr>
          <w:rFonts w:eastAsiaTheme="minorHAnsi"/>
          <w:lang w:val="fr-FR" w:eastAsia="en-US"/>
        </w:rPr>
        <w:t>1.8.7.2.</w:t>
      </w:r>
      <w:r w:rsidRPr="00CA3533">
        <w:rPr>
          <w:rFonts w:eastAsiaTheme="minorHAnsi"/>
          <w:lang w:val="fr-FR" w:eastAsia="ar-SA"/>
        </w:rPr>
        <w:t>2.3</w:t>
      </w:r>
      <w:r w:rsidRPr="00CA3533">
        <w:rPr>
          <w:rFonts w:eastAsiaTheme="minorHAnsi"/>
          <w:lang w:val="fr-FR" w:eastAsia="en-US"/>
        </w:rPr>
        <w:tab/>
        <w:t xml:space="preserve">En cas de transformation d’un </w:t>
      </w:r>
      <w:r w:rsidRPr="00CA3533">
        <w:rPr>
          <w:rFonts w:eastAsiaTheme="minorHAnsi"/>
          <w:lang w:val="fr-FR" w:eastAsia="ar-SA"/>
        </w:rPr>
        <w:t xml:space="preserve">matériel </w:t>
      </w:r>
      <w:r w:rsidRPr="00CA3533">
        <w:rPr>
          <w:rFonts w:eastAsiaTheme="minorHAnsi"/>
          <w:lang w:val="fr-FR" w:eastAsia="en-US"/>
        </w:rPr>
        <w:t xml:space="preserve">avec un agrément de type en cours de validité, ayant expiré ou ayant été retiré, </w:t>
      </w:r>
      <w:r w:rsidRPr="00CA3533">
        <w:rPr>
          <w:rFonts w:eastAsiaTheme="minorHAnsi"/>
          <w:lang w:val="fr-FR" w:eastAsia="ar-SA"/>
        </w:rPr>
        <w:t>l’examen de type,</w:t>
      </w:r>
      <w:r w:rsidRPr="00CA3533">
        <w:rPr>
          <w:rFonts w:eastAsiaTheme="minorHAnsi"/>
          <w:lang w:val="fr-FR" w:eastAsia="en-US"/>
        </w:rPr>
        <w:t xml:space="preserve"> les épreuves, contrôles et agréments </w:t>
      </w:r>
      <w:r w:rsidRPr="00CA3533">
        <w:rPr>
          <w:rFonts w:eastAsiaTheme="minorHAnsi"/>
          <w:lang w:val="fr-FR" w:eastAsia="ar-SA"/>
        </w:rPr>
        <w:t xml:space="preserve">pertinents </w:t>
      </w:r>
      <w:r w:rsidRPr="00CA3533">
        <w:rPr>
          <w:rFonts w:eastAsiaTheme="minorHAnsi"/>
          <w:lang w:val="fr-FR" w:eastAsia="en-US"/>
        </w:rPr>
        <w:t xml:space="preserve">sont limités aux parties du </w:t>
      </w:r>
      <w:r w:rsidRPr="00CA3533">
        <w:rPr>
          <w:rFonts w:eastAsiaTheme="minorHAnsi"/>
          <w:lang w:val="fr-FR" w:eastAsia="ar-SA"/>
        </w:rPr>
        <w:t>matériel</w:t>
      </w:r>
      <w:r w:rsidRPr="00CA3533">
        <w:rPr>
          <w:rFonts w:eastAsiaTheme="minorHAnsi"/>
          <w:lang w:val="fr-FR" w:eastAsia="en-US"/>
        </w:rPr>
        <w:t xml:space="preserve"> qui ont été </w:t>
      </w:r>
      <w:r w:rsidRPr="00CA3533">
        <w:rPr>
          <w:rFonts w:eastAsiaTheme="minorHAnsi"/>
          <w:lang w:val="fr-FR" w:eastAsia="ar-SA"/>
        </w:rPr>
        <w:t>transformées</w:t>
      </w:r>
      <w:r w:rsidRPr="00CA3533">
        <w:rPr>
          <w:rFonts w:eastAsiaTheme="minorHAnsi"/>
          <w:lang w:val="fr-FR" w:eastAsia="en-US"/>
        </w:rPr>
        <w:t>.</w:t>
      </w:r>
    </w:p>
    <w:p w14:paraId="3C3A9653"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 xml:space="preserve">La transformation doit satisfaire aux dispositions de l’ADR applicables au moment où elle a lieu. Pour toutes les parties du </w:t>
      </w:r>
      <w:r w:rsidRPr="00CA3533">
        <w:rPr>
          <w:rFonts w:eastAsiaTheme="minorHAnsi"/>
          <w:lang w:val="fr-FR" w:eastAsia="ar-SA"/>
        </w:rPr>
        <w:t xml:space="preserve">matériel </w:t>
      </w:r>
      <w:r w:rsidRPr="00CA3533">
        <w:rPr>
          <w:rFonts w:eastAsiaTheme="minorHAnsi"/>
          <w:lang w:val="fr-FR" w:eastAsia="en-US"/>
        </w:rPr>
        <w:t>qui ne sont pas concernées par la transformation, la documentation de l’agrément de type initial reste valable.</w:t>
      </w:r>
    </w:p>
    <w:p w14:paraId="2EA5B3FD"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 xml:space="preserve">Une transformation peut s’appliquer à un ou à plusieurs </w:t>
      </w:r>
      <w:r w:rsidRPr="00CA3533">
        <w:rPr>
          <w:rFonts w:eastAsiaTheme="minorHAnsi"/>
          <w:lang w:val="fr-FR" w:eastAsia="ar-SA"/>
        </w:rPr>
        <w:t>matériels</w:t>
      </w:r>
      <w:r w:rsidRPr="00CA3533">
        <w:rPr>
          <w:rFonts w:eastAsiaTheme="minorHAnsi"/>
          <w:lang w:val="fr-FR" w:eastAsia="en-US"/>
        </w:rPr>
        <w:t xml:space="preserve"> couverts par </w:t>
      </w:r>
      <w:r w:rsidRPr="00CA3533">
        <w:rPr>
          <w:rFonts w:eastAsiaTheme="minorHAnsi"/>
          <w:lang w:val="fr-FR" w:eastAsia="ar-SA"/>
        </w:rPr>
        <w:t xml:space="preserve">le même </w:t>
      </w:r>
      <w:r w:rsidRPr="00CA3533">
        <w:rPr>
          <w:rFonts w:eastAsiaTheme="minorHAnsi"/>
          <w:lang w:val="fr-FR" w:eastAsia="en-US"/>
        </w:rPr>
        <w:t>agrément de type.</w:t>
      </w:r>
    </w:p>
    <w:p w14:paraId="25F6AF7A"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ar-SA"/>
        </w:rPr>
        <w:tab/>
        <w:t>Lorsque le matériel transformé satisfait à toutes les dispositions applicables, u</w:t>
      </w:r>
      <w:r w:rsidRPr="00CA3533">
        <w:rPr>
          <w:rFonts w:eastAsiaTheme="minorHAnsi"/>
          <w:lang w:val="fr-FR" w:eastAsia="en-US"/>
        </w:rPr>
        <w:t xml:space="preserve">n certificat </w:t>
      </w:r>
      <w:r w:rsidRPr="00CA3533">
        <w:rPr>
          <w:rFonts w:eastAsiaTheme="minorHAnsi"/>
          <w:lang w:val="fr-FR" w:eastAsia="ar-SA"/>
        </w:rPr>
        <w:t>d’agrément complémentaire</w:t>
      </w:r>
      <w:r w:rsidRPr="00CA3533">
        <w:rPr>
          <w:rFonts w:eastAsiaTheme="minorHAnsi"/>
          <w:lang w:val="fr-FR" w:eastAsia="en-US"/>
        </w:rPr>
        <w:t xml:space="preserve"> pour la transformation doit être délivré au </w:t>
      </w:r>
      <w:r w:rsidRPr="00CA3533">
        <w:rPr>
          <w:rFonts w:eastAsiaTheme="minorHAnsi"/>
          <w:lang w:val="fr-FR" w:eastAsia="ar-SA"/>
        </w:rPr>
        <w:t xml:space="preserve">propriétaire ou à l’exploitant </w:t>
      </w:r>
      <w:r w:rsidRPr="00CA3533">
        <w:rPr>
          <w:rFonts w:eastAsiaTheme="minorHAnsi"/>
          <w:lang w:val="fr-FR" w:eastAsia="en-US"/>
        </w:rPr>
        <w:t xml:space="preserve">par l’autorité compétente </w:t>
      </w:r>
      <w:r w:rsidRPr="00CA3533">
        <w:rPr>
          <w:rFonts w:eastAsiaTheme="minorHAnsi"/>
          <w:lang w:val="fr-FR" w:eastAsia="ar-SA"/>
        </w:rPr>
        <w:t xml:space="preserve">ou l’organisme de contrôle </w:t>
      </w:r>
      <w:r w:rsidRPr="00CA3533">
        <w:rPr>
          <w:rFonts w:eastAsiaTheme="minorHAnsi"/>
          <w:lang w:val="fr-FR" w:eastAsia="en-US"/>
        </w:rPr>
        <w:t xml:space="preserve">d’une Partie contractante à l’ADR </w:t>
      </w:r>
      <w:r w:rsidRPr="00CA3533">
        <w:rPr>
          <w:rFonts w:eastAsiaTheme="minorHAnsi"/>
          <w:lang w:val="fr-FR" w:eastAsia="ar-SA"/>
        </w:rPr>
        <w:t>conformément aux chapitres 6.2 et 6.8</w:t>
      </w:r>
      <w:r w:rsidRPr="00CA3533">
        <w:rPr>
          <w:rFonts w:eastAsiaTheme="minorHAnsi"/>
          <w:lang w:val="fr-FR" w:eastAsia="en-US"/>
        </w:rPr>
        <w:t>. Pour les citernes, véhicules-batteries ou CGEM une copie doit être conservée en tant qu’élément du dossier de citerne.</w:t>
      </w:r>
    </w:p>
    <w:p w14:paraId="03B6A880" w14:textId="77777777" w:rsidR="00CA3533" w:rsidRPr="00CA3533" w:rsidRDefault="00CA3533" w:rsidP="00CA3533">
      <w:pPr>
        <w:spacing w:after="120"/>
        <w:ind w:left="2268" w:right="1134" w:hanging="1134"/>
        <w:jc w:val="both"/>
        <w:rPr>
          <w:rFonts w:eastAsiaTheme="minorHAnsi"/>
          <w:bCs/>
          <w:lang w:val="fr-FR" w:eastAsia="en-US"/>
        </w:rPr>
      </w:pPr>
      <w:r w:rsidRPr="00CA3533">
        <w:rPr>
          <w:rFonts w:eastAsiaTheme="minorHAnsi"/>
          <w:b/>
          <w:bCs/>
          <w:lang w:val="fr-FR" w:eastAsia="en-US"/>
        </w:rPr>
        <w:t>1.8.7.3</w:t>
      </w:r>
      <w:r w:rsidRPr="00CA3533">
        <w:rPr>
          <w:rFonts w:eastAsiaTheme="minorHAnsi"/>
          <w:lang w:val="fr-FR" w:eastAsia="en-US"/>
        </w:rPr>
        <w:tab/>
      </w:r>
      <w:r w:rsidRPr="00CA3533">
        <w:rPr>
          <w:rFonts w:eastAsiaTheme="minorHAnsi"/>
          <w:b/>
          <w:i/>
          <w:lang w:val="fr-FR" w:eastAsia="en-US"/>
        </w:rPr>
        <w:t xml:space="preserve">Suivi </w:t>
      </w:r>
      <w:r w:rsidRPr="00CA3533">
        <w:rPr>
          <w:rFonts w:eastAsiaTheme="minorHAnsi"/>
          <w:b/>
          <w:bCs/>
          <w:i/>
          <w:iCs/>
          <w:lang w:val="fr-FR" w:eastAsia="en-US"/>
        </w:rPr>
        <w:t>de fabrication</w:t>
      </w:r>
    </w:p>
    <w:p w14:paraId="116AED6D" w14:textId="77777777" w:rsidR="00CA3533" w:rsidRPr="00CA3533" w:rsidRDefault="00CA3533" w:rsidP="00CA3533">
      <w:pPr>
        <w:spacing w:after="120"/>
        <w:ind w:left="2268" w:right="1134" w:hanging="1134"/>
        <w:jc w:val="both"/>
        <w:rPr>
          <w:rFonts w:eastAsiaTheme="minorHAnsi"/>
          <w:strike/>
          <w:lang w:val="fr-FR" w:eastAsia="en-US"/>
        </w:rPr>
      </w:pPr>
      <w:r w:rsidRPr="00CA3533">
        <w:rPr>
          <w:rFonts w:eastAsiaTheme="minorHAnsi"/>
          <w:lang w:val="fr-FR" w:eastAsia="en-US"/>
        </w:rPr>
        <w:t>1.8.7.3.1</w:t>
      </w:r>
      <w:r w:rsidRPr="00CA3533">
        <w:rPr>
          <w:rFonts w:eastAsiaTheme="minorHAnsi"/>
          <w:lang w:val="fr-FR" w:eastAsia="en-US"/>
        </w:rPr>
        <w:tab/>
        <w:t>Le fabricant doit prendre toutes les mesures nécessaires pour veiller à ce que le procédé de fabrication soit conforme aux dispositions applicables de l’ADR ainsi qu’au certificat d’agrément de type, à la documentation technique selon le 1.8.7.8.3 et aux procès-verbaux.</w:t>
      </w:r>
    </w:p>
    <w:p w14:paraId="4E23278B"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1.8.7.3.</w:t>
      </w:r>
      <w:r w:rsidRPr="00CA3533">
        <w:rPr>
          <w:rFonts w:eastAsiaTheme="minorHAnsi"/>
          <w:lang w:val="fr-FR" w:eastAsia="ar-SA"/>
        </w:rPr>
        <w:t>2</w:t>
      </w:r>
      <w:r w:rsidRPr="00CA3533">
        <w:rPr>
          <w:rFonts w:eastAsiaTheme="minorHAnsi"/>
          <w:lang w:val="fr-FR" w:eastAsia="en-US"/>
        </w:rPr>
        <w:tab/>
      </w:r>
      <w:r w:rsidRPr="00CA3533">
        <w:rPr>
          <w:rFonts w:eastAsiaTheme="minorHAnsi"/>
          <w:lang w:val="fr-FR" w:eastAsia="ar-SA"/>
        </w:rPr>
        <w:t>Le procédé de fabrication est soumis au suivi de l’organisme compétent.</w:t>
      </w:r>
    </w:p>
    <w:p w14:paraId="35B0DB22"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L’organisme compétent doit :</w:t>
      </w:r>
    </w:p>
    <w:p w14:paraId="5CD386CF"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vérifier la conformité avec la documentation technique prescrite au 1.8.7.</w:t>
      </w:r>
      <w:r w:rsidRPr="00CA3533">
        <w:rPr>
          <w:rFonts w:eastAsiaTheme="minorHAnsi"/>
          <w:lang w:val="fr-FR" w:eastAsia="ar-SA"/>
        </w:rPr>
        <w:t>8</w:t>
      </w:r>
      <w:r w:rsidRPr="00CA3533">
        <w:rPr>
          <w:rFonts w:eastAsiaTheme="minorHAnsi"/>
          <w:lang w:val="fr-FR" w:eastAsia="en-US"/>
        </w:rPr>
        <w:t>.</w:t>
      </w:r>
      <w:r w:rsidRPr="00CA3533">
        <w:rPr>
          <w:rFonts w:eastAsiaTheme="minorHAnsi"/>
          <w:lang w:val="fr-FR" w:eastAsia="ar-SA"/>
        </w:rPr>
        <w:t>3</w:t>
      </w:r>
      <w:r w:rsidRPr="00CA3533">
        <w:rPr>
          <w:rFonts w:eastAsiaTheme="minorHAnsi"/>
          <w:lang w:val="fr-FR" w:eastAsia="en-US"/>
        </w:rPr>
        <w:t xml:space="preserve"> et avec les dispositions applicables de l’ADR, ainsi que du certificat d’agrément de type et des procès-verbaux ;</w:t>
      </w:r>
    </w:p>
    <w:p w14:paraId="39E79CC6"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 xml:space="preserve">vérifier que le procédé de fabrication débouche sur des </w:t>
      </w:r>
      <w:r w:rsidRPr="00CA3533">
        <w:rPr>
          <w:rFonts w:eastAsiaTheme="minorHAnsi"/>
          <w:lang w:val="fr-FR" w:eastAsia="ar-SA"/>
        </w:rPr>
        <w:t>matériels</w:t>
      </w:r>
      <w:r w:rsidRPr="00CA3533">
        <w:rPr>
          <w:rFonts w:eastAsiaTheme="minorHAnsi"/>
          <w:lang w:val="fr-FR" w:eastAsia="en-US"/>
        </w:rPr>
        <w:t xml:space="preserve"> conformes aux prescriptions et à la documentation qui s’y applique ;</w:t>
      </w:r>
    </w:p>
    <w:p w14:paraId="05762F26"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vérifier la traçabilité des matériaux et contrôler les certificats des matériaux vis-à-vis des spécifications ;</w:t>
      </w:r>
    </w:p>
    <w:p w14:paraId="21FB88C4"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 xml:space="preserve">le cas échéant, vérifier que le personnel qui réalise l’assemblage permanent des parties et les </w:t>
      </w:r>
      <w:r w:rsidRPr="00CA3533">
        <w:rPr>
          <w:rFonts w:eastAsiaTheme="minorHAnsi"/>
          <w:lang w:val="fr-FR" w:eastAsia="ar-SA"/>
        </w:rPr>
        <w:t>contrôles</w:t>
      </w:r>
      <w:r w:rsidRPr="00CA3533">
        <w:rPr>
          <w:rFonts w:eastAsiaTheme="minorHAnsi"/>
          <w:lang w:val="fr-FR" w:eastAsia="en-US"/>
        </w:rPr>
        <w:t xml:space="preserve"> non destructifs est qualifié ou agréé ;</w:t>
      </w:r>
    </w:p>
    <w:p w14:paraId="49BA9760"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e)</w:t>
      </w:r>
      <w:r w:rsidRPr="00CA3533">
        <w:rPr>
          <w:rFonts w:eastAsiaTheme="minorHAnsi"/>
          <w:lang w:val="fr-FR" w:eastAsia="en-US"/>
        </w:rPr>
        <w:tab/>
        <w:t xml:space="preserve">convenir avec le </w:t>
      </w:r>
      <w:r w:rsidRPr="00CA3533">
        <w:rPr>
          <w:rFonts w:eastAsiaTheme="minorHAnsi"/>
          <w:lang w:val="fr-FR" w:eastAsia="ar-SA"/>
        </w:rPr>
        <w:t>fabricant du lieu</w:t>
      </w:r>
      <w:r w:rsidRPr="00CA3533">
        <w:rPr>
          <w:rFonts w:eastAsiaTheme="minorHAnsi"/>
          <w:lang w:val="fr-FR" w:eastAsia="en-US"/>
        </w:rPr>
        <w:t xml:space="preserve"> où les examens et essais nécessaires doivent être réalisés ; et</w:t>
      </w:r>
    </w:p>
    <w:p w14:paraId="164E255B"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f)</w:t>
      </w:r>
      <w:r w:rsidRPr="00CA3533">
        <w:rPr>
          <w:rFonts w:eastAsiaTheme="minorHAnsi"/>
          <w:lang w:val="fr-FR" w:eastAsia="en-US"/>
        </w:rPr>
        <w:tab/>
      </w:r>
      <w:r w:rsidRPr="00CA3533">
        <w:rPr>
          <w:rFonts w:eastAsiaTheme="minorHAnsi"/>
          <w:lang w:val="fr-FR" w:eastAsia="ar-SA"/>
        </w:rPr>
        <w:t xml:space="preserve">émettre un procès-verbal sur </w:t>
      </w:r>
      <w:r w:rsidRPr="00CA3533">
        <w:rPr>
          <w:rFonts w:eastAsiaTheme="minorHAnsi"/>
          <w:lang w:val="fr-FR" w:eastAsia="en-US"/>
        </w:rPr>
        <w:t xml:space="preserve">les résultats </w:t>
      </w:r>
      <w:r w:rsidRPr="00CA3533">
        <w:rPr>
          <w:rFonts w:eastAsiaTheme="minorHAnsi"/>
          <w:lang w:val="fr-FR" w:eastAsia="ar-SA"/>
        </w:rPr>
        <w:t>du suivi de fabrication</w:t>
      </w:r>
      <w:r w:rsidRPr="00CA3533">
        <w:rPr>
          <w:rFonts w:eastAsiaTheme="minorHAnsi"/>
          <w:lang w:val="fr-FR" w:eastAsia="en-US"/>
        </w:rPr>
        <w:t>.</w:t>
      </w:r>
    </w:p>
    <w:p w14:paraId="4EFBC19D" w14:textId="77777777" w:rsidR="00CA3533" w:rsidRPr="00CA3533" w:rsidRDefault="00CA3533" w:rsidP="00CA3533">
      <w:pPr>
        <w:spacing w:after="120"/>
        <w:ind w:left="2268" w:right="1134" w:hanging="1134"/>
        <w:jc w:val="both"/>
        <w:rPr>
          <w:rFonts w:eastAsiaTheme="minorHAnsi"/>
          <w:i/>
          <w:iCs/>
          <w:lang w:val="fr-FR" w:eastAsia="en-US"/>
        </w:rPr>
      </w:pPr>
      <w:r w:rsidRPr="00CA3533">
        <w:rPr>
          <w:rFonts w:eastAsiaTheme="minorHAnsi"/>
          <w:b/>
          <w:bCs/>
          <w:lang w:val="fr-FR" w:eastAsia="en-US"/>
        </w:rPr>
        <w:t>1.8.7.4</w:t>
      </w:r>
      <w:r w:rsidRPr="00CA3533">
        <w:rPr>
          <w:rFonts w:eastAsiaTheme="minorHAnsi"/>
          <w:lang w:val="fr-FR" w:eastAsia="en-US"/>
        </w:rPr>
        <w:tab/>
      </w:r>
      <w:r w:rsidRPr="00CA3533">
        <w:rPr>
          <w:rFonts w:eastAsiaTheme="minorHAnsi"/>
          <w:b/>
          <w:bCs/>
          <w:i/>
          <w:iCs/>
          <w:lang w:val="fr-FR" w:eastAsia="en-US"/>
        </w:rPr>
        <w:t>Contrôles et épreuves initiaux</w:t>
      </w:r>
    </w:p>
    <w:p w14:paraId="2B3F8EA9"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1.8.7.4.1</w:t>
      </w:r>
      <w:r w:rsidRPr="00CA3533">
        <w:rPr>
          <w:rFonts w:eastAsiaTheme="minorHAnsi"/>
          <w:lang w:val="fr-FR" w:eastAsia="en-US"/>
        </w:rPr>
        <w:tab/>
        <w:t xml:space="preserve">Le </w:t>
      </w:r>
      <w:r w:rsidRPr="00CA3533">
        <w:rPr>
          <w:rFonts w:eastAsiaTheme="minorHAnsi"/>
          <w:lang w:val="fr-FR" w:eastAsia="ar-SA"/>
        </w:rPr>
        <w:t xml:space="preserve">fabricant </w:t>
      </w:r>
      <w:r w:rsidRPr="00CA3533">
        <w:rPr>
          <w:rFonts w:eastAsiaTheme="minorHAnsi"/>
          <w:lang w:val="fr-FR" w:eastAsia="en-US"/>
        </w:rPr>
        <w:t>doit :</w:t>
      </w:r>
    </w:p>
    <w:p w14:paraId="4050AF14"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apposer les marques prescrites dans l’ADR ; et</w:t>
      </w:r>
    </w:p>
    <w:p w14:paraId="72596941"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r>
      <w:r w:rsidRPr="00CA3533">
        <w:rPr>
          <w:rFonts w:eastAsiaTheme="minorHAnsi"/>
          <w:lang w:val="fr-FR" w:eastAsia="ar-SA"/>
        </w:rPr>
        <w:t>fournir</w:t>
      </w:r>
      <w:r w:rsidRPr="00CA3533">
        <w:rPr>
          <w:rFonts w:eastAsiaTheme="minorHAnsi"/>
          <w:lang w:val="fr-FR" w:eastAsia="en-US"/>
        </w:rPr>
        <w:t xml:space="preserve"> à l’organisme compétent la documentation technique prescrite au 1.8.7.</w:t>
      </w:r>
      <w:r w:rsidRPr="00CA3533">
        <w:rPr>
          <w:rFonts w:eastAsiaTheme="minorHAnsi"/>
          <w:lang w:val="fr-FR" w:eastAsia="ar-SA"/>
        </w:rPr>
        <w:t>8.4</w:t>
      </w:r>
      <w:r w:rsidRPr="00CA3533">
        <w:rPr>
          <w:rFonts w:eastAsiaTheme="minorHAnsi"/>
          <w:lang w:val="fr-FR" w:eastAsia="en-US"/>
        </w:rPr>
        <w:t>.</w:t>
      </w:r>
    </w:p>
    <w:p w14:paraId="6B27DE64"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1.8.7.4.2</w:t>
      </w:r>
      <w:r w:rsidRPr="00CA3533">
        <w:rPr>
          <w:rFonts w:eastAsiaTheme="minorHAnsi"/>
          <w:lang w:val="fr-FR" w:eastAsia="en-US"/>
        </w:rPr>
        <w:tab/>
        <w:t>L’organisme compétent doit :</w:t>
      </w:r>
    </w:p>
    <w:p w14:paraId="738BA53A"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réaliser les examens et les épreuves ou réaliser les examens et vérifier les conditions d’épreuves et les superviser sur site, pour s’assurer que le matériel est fabriqué conformément à l’agrément de type et aux dispositions pertinentes ;</w:t>
      </w:r>
    </w:p>
    <w:p w14:paraId="4F4E887F"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lastRenderedPageBreak/>
        <w:t>b)</w:t>
      </w:r>
      <w:r w:rsidRPr="00CA3533">
        <w:rPr>
          <w:rFonts w:eastAsiaTheme="minorHAnsi"/>
          <w:lang w:val="fr-FR" w:eastAsia="en-US"/>
        </w:rPr>
        <w:tab/>
        <w:t>vérifier, en fonction de l’équipement de service, les certificats fournis par les fabricants de ces équipements ;</w:t>
      </w:r>
    </w:p>
    <w:p w14:paraId="12D755AB"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délivrer un procès-verbal des contrôles et épreuves initiaux relatif aux épreuves et vérifications effectuées et à la documentation technique vérifiée ;</w:t>
      </w:r>
    </w:p>
    <w:p w14:paraId="69FE3951"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délivrer une attestation de contrôles et épreuves initiaux et apposer sa marque lorsque la fabrication est conforme aux dispositions ; et</w:t>
      </w:r>
    </w:p>
    <w:p w14:paraId="58E9BB1B"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e)</w:t>
      </w:r>
      <w:r w:rsidRPr="00CA3533">
        <w:rPr>
          <w:rFonts w:eastAsiaTheme="minorHAnsi"/>
          <w:lang w:val="fr-FR" w:eastAsia="en-US"/>
        </w:rPr>
        <w:tab/>
        <w:t>vérifier si l’agrément de type demeure valide après que des dispositions de l’ADR (y compris les normes citées en référence) se rapportant à l’agrément de type ont été modifiées. Si l’agrément de type n’est plus valide, l’organisme compétent doit délivrer un procès-verbal de refus et en informer l’autorité compétente ou l’organisme de contrôle qui a délivré le certificat d’agrément de type.</w:t>
      </w:r>
    </w:p>
    <w:p w14:paraId="19BBDD1E"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w:t>
      </w:r>
      <w:r w:rsidRPr="00CA3533">
        <w:rPr>
          <w:rFonts w:eastAsiaTheme="minorHAnsi"/>
          <w:lang w:val="fr-FR" w:eastAsia="ar-SA"/>
        </w:rPr>
        <w:t>’attestation</w:t>
      </w:r>
      <w:r w:rsidRPr="00CA3533">
        <w:rPr>
          <w:rFonts w:eastAsiaTheme="minorHAnsi"/>
          <w:lang w:val="fr-FR" w:eastAsia="en-US"/>
        </w:rPr>
        <w:t xml:space="preserve"> visé</w:t>
      </w:r>
      <w:r w:rsidRPr="00CA3533">
        <w:rPr>
          <w:rFonts w:eastAsiaTheme="minorHAnsi"/>
          <w:lang w:val="fr-FR" w:eastAsia="ar-SA"/>
        </w:rPr>
        <w:t>e</w:t>
      </w:r>
      <w:r w:rsidRPr="00CA3533">
        <w:rPr>
          <w:rFonts w:eastAsiaTheme="minorHAnsi"/>
          <w:lang w:val="fr-FR" w:eastAsia="en-US"/>
        </w:rPr>
        <w:t xml:space="preserve"> en d) et le procès-verbal visé en c) peuvent couvrir un certain nombre </w:t>
      </w:r>
      <w:r w:rsidRPr="00CA3533">
        <w:rPr>
          <w:rFonts w:eastAsiaTheme="minorHAnsi"/>
          <w:lang w:val="fr-FR" w:eastAsia="ar-SA"/>
        </w:rPr>
        <w:t>de matériels</w:t>
      </w:r>
      <w:r w:rsidRPr="00CA3533">
        <w:rPr>
          <w:rFonts w:eastAsiaTheme="minorHAnsi"/>
          <w:lang w:val="fr-FR" w:eastAsia="en-US"/>
        </w:rPr>
        <w:t xml:space="preserve"> du même type (</w:t>
      </w:r>
      <w:r w:rsidRPr="00CA3533">
        <w:rPr>
          <w:rFonts w:eastAsiaTheme="minorHAnsi"/>
          <w:lang w:val="fr-FR" w:eastAsia="ar-SA"/>
        </w:rPr>
        <w:t>attestation</w:t>
      </w:r>
      <w:r w:rsidRPr="00CA3533">
        <w:rPr>
          <w:rFonts w:eastAsiaTheme="minorHAnsi"/>
          <w:lang w:val="fr-FR" w:eastAsia="en-US"/>
        </w:rPr>
        <w:t xml:space="preserve"> ou procès-verbal pour un groupe </w:t>
      </w:r>
      <w:r w:rsidRPr="00CA3533">
        <w:rPr>
          <w:rFonts w:eastAsiaTheme="minorHAnsi"/>
          <w:lang w:val="fr-FR" w:eastAsia="ar-SA"/>
        </w:rPr>
        <w:t>de matériels</w:t>
      </w:r>
      <w:r w:rsidRPr="00CA3533">
        <w:rPr>
          <w:rFonts w:eastAsiaTheme="minorHAnsi"/>
          <w:lang w:val="fr-FR" w:eastAsia="en-US"/>
        </w:rPr>
        <w:t>).</w:t>
      </w:r>
    </w:p>
    <w:p w14:paraId="571E875D" w14:textId="77777777" w:rsidR="00CA3533" w:rsidRPr="00CA3533" w:rsidRDefault="00CA3533" w:rsidP="00CA3533">
      <w:pPr>
        <w:spacing w:after="120"/>
        <w:ind w:left="2268" w:right="1134" w:hanging="1134"/>
        <w:jc w:val="both"/>
        <w:rPr>
          <w:rFonts w:eastAsiaTheme="minorHAnsi"/>
          <w:bCs/>
          <w:lang w:val="fr-FR" w:eastAsia="en-US"/>
        </w:rPr>
      </w:pPr>
      <w:r w:rsidRPr="00CA3533">
        <w:rPr>
          <w:rFonts w:eastAsiaTheme="minorHAnsi"/>
          <w:lang w:val="fr-FR" w:eastAsia="en-US"/>
        </w:rPr>
        <w:t>1.8.7.4.3</w:t>
      </w:r>
      <w:r w:rsidRPr="00CA3533">
        <w:rPr>
          <w:rFonts w:eastAsiaTheme="minorHAnsi"/>
          <w:lang w:val="fr-FR" w:eastAsia="en-US"/>
        </w:rPr>
        <w:tab/>
        <w:t>L</w:t>
      </w:r>
      <w:r w:rsidRPr="00CA3533">
        <w:rPr>
          <w:rFonts w:eastAsiaTheme="minorHAnsi"/>
          <w:lang w:val="fr-FR" w:eastAsia="ar-SA"/>
        </w:rPr>
        <w:t>’attestation</w:t>
      </w:r>
      <w:r w:rsidRPr="00CA3533">
        <w:rPr>
          <w:rFonts w:eastAsiaTheme="minorHAnsi"/>
          <w:lang w:val="fr-FR" w:eastAsia="en-US"/>
        </w:rPr>
        <w:t xml:space="preserve"> </w:t>
      </w:r>
      <w:r w:rsidRPr="00CA3533">
        <w:rPr>
          <w:rFonts w:eastAsiaTheme="minorHAnsi"/>
          <w:lang w:val="fr-FR" w:eastAsia="ar-SA"/>
        </w:rPr>
        <w:t xml:space="preserve">visée au 1.8.7.4.2 d) </w:t>
      </w:r>
      <w:r w:rsidRPr="00CA3533">
        <w:rPr>
          <w:rFonts w:eastAsiaTheme="minorHAnsi"/>
          <w:lang w:val="fr-FR" w:eastAsia="en-US"/>
        </w:rPr>
        <w:t>doit comporter au moins :</w:t>
      </w:r>
    </w:p>
    <w:p w14:paraId="493BCEDB"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 xml:space="preserve">le nom et l’adresse de l’organisme </w:t>
      </w:r>
      <w:r w:rsidRPr="00CA3533">
        <w:rPr>
          <w:rFonts w:eastAsiaTheme="minorHAnsi"/>
          <w:lang w:val="fr-FR" w:eastAsia="ar-SA"/>
        </w:rPr>
        <w:t>de contrôle, et le cas échéant, le nom et l’adresse du service interne d’inspection ;</w:t>
      </w:r>
    </w:p>
    <w:p w14:paraId="167B79C2"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le nom et l’adresse du fabricant ;</w:t>
      </w:r>
    </w:p>
    <w:p w14:paraId="19FAC4EC"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c)</w:t>
      </w:r>
      <w:r w:rsidRPr="00CA3533">
        <w:rPr>
          <w:rFonts w:eastAsiaTheme="minorHAnsi"/>
          <w:lang w:val="fr-FR" w:eastAsia="ar-SA"/>
        </w:rPr>
        <w:tab/>
        <w:t>le lieu du contrôle initial ;</w:t>
      </w:r>
    </w:p>
    <w:p w14:paraId="4461431D"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ar-SA"/>
        </w:rPr>
        <w:t>d</w:t>
      </w:r>
      <w:r w:rsidRPr="00CA3533">
        <w:rPr>
          <w:rFonts w:eastAsiaTheme="minorHAnsi"/>
          <w:lang w:val="fr-FR" w:eastAsia="en-US"/>
        </w:rPr>
        <w:t>)</w:t>
      </w:r>
      <w:r w:rsidRPr="00CA3533">
        <w:rPr>
          <w:rFonts w:eastAsiaTheme="minorHAnsi"/>
          <w:lang w:val="fr-FR" w:eastAsia="en-US"/>
        </w:rPr>
        <w:tab/>
        <w:t>une référence à la version de l’ADR et aux normes utilisées pour les contrôles et les épreuves initiaux ;</w:t>
      </w:r>
    </w:p>
    <w:p w14:paraId="62587DE9" w14:textId="77777777" w:rsidR="00CA3533" w:rsidRPr="00CA3533" w:rsidRDefault="00CA3533" w:rsidP="00CA3533">
      <w:pPr>
        <w:spacing w:after="120"/>
        <w:ind w:left="2835" w:right="1134" w:hanging="567"/>
        <w:jc w:val="both"/>
        <w:rPr>
          <w:rFonts w:eastAsiaTheme="minorHAnsi"/>
          <w:bCs/>
          <w:lang w:val="fr-FR" w:eastAsia="en-US"/>
        </w:rPr>
      </w:pPr>
      <w:r w:rsidRPr="00CA3533">
        <w:rPr>
          <w:rFonts w:eastAsiaTheme="minorHAnsi"/>
          <w:lang w:val="fr-FR" w:eastAsia="ar-SA"/>
        </w:rPr>
        <w:t>e</w:t>
      </w:r>
      <w:r w:rsidRPr="00CA3533">
        <w:rPr>
          <w:rFonts w:eastAsiaTheme="minorHAnsi"/>
          <w:lang w:val="fr-FR" w:eastAsia="en-US"/>
        </w:rPr>
        <w:t>)</w:t>
      </w:r>
      <w:r w:rsidRPr="00CA3533">
        <w:rPr>
          <w:rFonts w:eastAsiaTheme="minorHAnsi"/>
          <w:lang w:val="fr-FR" w:eastAsia="en-US"/>
        </w:rPr>
        <w:tab/>
        <w:t>les résultats des contrôle</w:t>
      </w:r>
      <w:r w:rsidRPr="00CA3533">
        <w:rPr>
          <w:rFonts w:eastAsiaTheme="minorHAnsi"/>
          <w:lang w:val="fr-FR" w:eastAsia="ar-SA"/>
        </w:rPr>
        <w:t>s</w:t>
      </w:r>
      <w:r w:rsidRPr="00CA3533">
        <w:rPr>
          <w:rFonts w:eastAsiaTheme="minorHAnsi"/>
          <w:lang w:val="fr-FR" w:eastAsia="en-US"/>
        </w:rPr>
        <w:t xml:space="preserve"> et des épreuves ;</w:t>
      </w:r>
    </w:p>
    <w:p w14:paraId="77E32D55"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ar-SA"/>
        </w:rPr>
        <w:t>f</w:t>
      </w:r>
      <w:r w:rsidRPr="00CA3533">
        <w:rPr>
          <w:rFonts w:eastAsiaTheme="minorHAnsi"/>
          <w:lang w:val="fr-FR" w:eastAsia="en-US"/>
        </w:rPr>
        <w:t>)</w:t>
      </w:r>
      <w:r w:rsidRPr="00CA3533">
        <w:rPr>
          <w:rFonts w:eastAsiaTheme="minorHAnsi"/>
          <w:lang w:val="fr-FR" w:eastAsia="en-US"/>
        </w:rPr>
        <w:tab/>
        <w:t xml:space="preserve">les données pour l’identification des </w:t>
      </w:r>
      <w:r w:rsidRPr="00CA3533">
        <w:rPr>
          <w:rFonts w:eastAsiaTheme="minorHAnsi"/>
          <w:lang w:val="fr-FR" w:eastAsia="ar-SA"/>
        </w:rPr>
        <w:t>matériels</w:t>
      </w:r>
      <w:r w:rsidRPr="00CA3533">
        <w:rPr>
          <w:rFonts w:eastAsiaTheme="minorHAnsi"/>
          <w:lang w:val="fr-FR" w:eastAsia="en-US"/>
        </w:rPr>
        <w:t xml:space="preserve"> contrôlés, au moins le numéro de série ou, pour les bouteilles non rechargeables, le numéro de lot ;</w:t>
      </w:r>
    </w:p>
    <w:p w14:paraId="614EFFFA"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ar-SA"/>
        </w:rPr>
        <w:t>g</w:t>
      </w:r>
      <w:r w:rsidRPr="00CA3533">
        <w:rPr>
          <w:rFonts w:eastAsiaTheme="minorHAnsi"/>
          <w:lang w:val="fr-FR" w:eastAsia="en-US"/>
        </w:rPr>
        <w:t>)</w:t>
      </w:r>
      <w:r w:rsidRPr="00CA3533">
        <w:rPr>
          <w:rFonts w:eastAsiaTheme="minorHAnsi"/>
          <w:lang w:val="fr-FR" w:eastAsia="en-US"/>
        </w:rPr>
        <w:tab/>
        <w:t>le numéro d’agrément de type ;</w:t>
      </w:r>
      <w:r w:rsidRPr="00CA3533">
        <w:rPr>
          <w:rFonts w:eastAsiaTheme="minorHAnsi"/>
          <w:lang w:val="fr-FR" w:eastAsia="ar-SA"/>
        </w:rPr>
        <w:t xml:space="preserve"> et</w:t>
      </w:r>
    </w:p>
    <w:p w14:paraId="2EBEFB74"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ar-SA"/>
        </w:rPr>
        <w:t>h)</w:t>
      </w:r>
      <w:r w:rsidRPr="00CA3533">
        <w:rPr>
          <w:rFonts w:eastAsiaTheme="minorHAnsi"/>
          <w:lang w:val="fr-FR" w:eastAsia="en-US"/>
        </w:rPr>
        <w:tab/>
      </w:r>
      <w:r w:rsidRPr="00CA3533">
        <w:rPr>
          <w:rFonts w:eastAsiaTheme="minorHAnsi"/>
          <w:lang w:val="fr-FR" w:eastAsia="ar-SA"/>
        </w:rPr>
        <w:t>la référence au certificat d’autorisation du service interne d’inspection, le cas échéant</w:t>
      </w:r>
      <w:r w:rsidRPr="00CA3533">
        <w:rPr>
          <w:rFonts w:eastAsiaTheme="minorHAnsi"/>
          <w:lang w:val="fr-FR" w:eastAsia="en-US"/>
        </w:rPr>
        <w:t>.</w:t>
      </w:r>
    </w:p>
    <w:p w14:paraId="6FC15E9D" w14:textId="77777777" w:rsidR="00CA3533" w:rsidRPr="00CA3533" w:rsidRDefault="00CA3533" w:rsidP="00CA3533">
      <w:pPr>
        <w:spacing w:after="120"/>
        <w:ind w:left="2268" w:right="1134" w:hanging="1134"/>
        <w:jc w:val="both"/>
        <w:rPr>
          <w:rFonts w:eastAsiaTheme="minorHAnsi"/>
          <w:b/>
          <w:bCs/>
          <w:i/>
          <w:iCs/>
          <w:lang w:val="fr-FR" w:eastAsia="en-US"/>
        </w:rPr>
      </w:pPr>
      <w:r w:rsidRPr="00CA3533">
        <w:rPr>
          <w:rFonts w:eastAsiaTheme="minorHAnsi"/>
          <w:b/>
          <w:bCs/>
          <w:lang w:val="fr-FR" w:eastAsia="ar-SA"/>
        </w:rPr>
        <w:t>1.8.7.5</w:t>
      </w:r>
      <w:r w:rsidRPr="00CA3533">
        <w:rPr>
          <w:rFonts w:eastAsiaTheme="minorHAnsi"/>
          <w:b/>
          <w:bCs/>
          <w:lang w:val="fr-FR" w:eastAsia="en-US"/>
        </w:rPr>
        <w:tab/>
      </w:r>
      <w:r w:rsidRPr="00CA3533">
        <w:rPr>
          <w:rFonts w:eastAsiaTheme="minorHAnsi"/>
          <w:b/>
          <w:bCs/>
          <w:i/>
          <w:iCs/>
          <w:lang w:val="fr-FR" w:eastAsia="ar-SA"/>
        </w:rPr>
        <w:t>Vérification de mise en service</w:t>
      </w:r>
    </w:p>
    <w:p w14:paraId="6857A631" w14:textId="77777777" w:rsidR="00CA3533" w:rsidRPr="00CA3533" w:rsidRDefault="00CA3533" w:rsidP="00CA3533">
      <w:pPr>
        <w:spacing w:after="120"/>
        <w:ind w:left="2268" w:right="1134" w:hanging="1134"/>
        <w:jc w:val="both"/>
        <w:rPr>
          <w:rFonts w:eastAsiaTheme="minorHAnsi"/>
          <w:lang w:val="fr-FR" w:eastAsia="ar-SA"/>
        </w:rPr>
      </w:pPr>
      <w:r w:rsidRPr="00CA3533">
        <w:rPr>
          <w:rFonts w:eastAsiaTheme="minorHAnsi"/>
          <w:lang w:val="fr-FR" w:eastAsia="ar-SA"/>
        </w:rPr>
        <w:t>1.8.7.5.1</w:t>
      </w:r>
      <w:r w:rsidRPr="00CA3533">
        <w:rPr>
          <w:rFonts w:eastAsiaTheme="minorHAnsi"/>
          <w:lang w:val="fr-FR" w:eastAsia="ar-SA"/>
        </w:rPr>
        <w:tab/>
        <w:t>Si l’autorité compétente exige une vérification de mise en service conformément au 6.8.1.5.5, le propriétaire ou l’exploitant doit faire appel à un organisme de contrôle unique pour effectuer la vérification de mise en service et doit lui fournir le certificat d’agrément de type et la documentation technique spécifiée au 1.8.7.8.4.</w:t>
      </w:r>
    </w:p>
    <w:p w14:paraId="058F9B11" w14:textId="77777777" w:rsidR="00CA3533" w:rsidRPr="00CA3533" w:rsidRDefault="00CA3533" w:rsidP="00CA3533">
      <w:pPr>
        <w:spacing w:after="120"/>
        <w:ind w:left="2268" w:right="1134" w:hanging="1134"/>
        <w:jc w:val="both"/>
        <w:rPr>
          <w:rFonts w:eastAsiaTheme="minorHAnsi"/>
          <w:b/>
          <w:bCs/>
          <w:lang w:val="fr-FR" w:eastAsia="en-US"/>
        </w:rPr>
      </w:pPr>
      <w:r w:rsidRPr="00CA3533">
        <w:rPr>
          <w:rFonts w:eastAsiaTheme="minorHAnsi"/>
          <w:lang w:val="fr-FR" w:eastAsia="ar-SA"/>
        </w:rPr>
        <w:t>1.8.7.5.2</w:t>
      </w:r>
      <w:r w:rsidRPr="00CA3533">
        <w:rPr>
          <w:rFonts w:eastAsiaTheme="minorHAnsi"/>
          <w:lang w:val="fr-FR" w:eastAsia="ar-SA"/>
        </w:rPr>
        <w:tab/>
        <w:t>L’organisme de contrôle doit examiner la documentation et :</w:t>
      </w:r>
    </w:p>
    <w:p w14:paraId="713C98EA"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a)</w:t>
      </w:r>
      <w:r w:rsidRPr="00CA3533">
        <w:rPr>
          <w:rFonts w:eastAsiaTheme="minorHAnsi"/>
          <w:lang w:val="fr-FR" w:eastAsia="en-US"/>
        </w:rPr>
        <w:tab/>
      </w:r>
      <w:r w:rsidRPr="00CA3533">
        <w:rPr>
          <w:rFonts w:eastAsiaTheme="minorHAnsi"/>
          <w:lang w:val="fr-FR" w:eastAsia="ar-SA"/>
        </w:rPr>
        <w:t>réaliser des vérifications extérieures (par exemple le marquage, l’état) ;</w:t>
      </w:r>
    </w:p>
    <w:p w14:paraId="3CC33C9F"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b)</w:t>
      </w:r>
      <w:r w:rsidRPr="00CA3533">
        <w:rPr>
          <w:rFonts w:eastAsiaTheme="minorHAnsi"/>
          <w:lang w:val="fr-FR" w:eastAsia="ar-SA"/>
        </w:rPr>
        <w:tab/>
        <w:t>vérifier la conformité avec le certificat d’agrément de type ;</w:t>
      </w:r>
    </w:p>
    <w:p w14:paraId="28F98418"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c)</w:t>
      </w:r>
      <w:r w:rsidRPr="00CA3533">
        <w:rPr>
          <w:rFonts w:eastAsiaTheme="minorHAnsi"/>
          <w:lang w:val="fr-FR" w:eastAsia="ar-SA"/>
        </w:rPr>
        <w:tab/>
        <w:t>vérifier la validité des agréments des organismes de contrôle qui ont réalisé les contrôles et épreuves précédents ;</w:t>
      </w:r>
    </w:p>
    <w:p w14:paraId="074D4884"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d)</w:t>
      </w:r>
      <w:r w:rsidRPr="00CA3533">
        <w:rPr>
          <w:rFonts w:eastAsiaTheme="minorHAnsi"/>
          <w:lang w:val="fr-FR" w:eastAsia="ar-SA"/>
        </w:rPr>
        <w:tab/>
        <w:t>vérifier que les mesures transitoires du 1.6.3 ou 1.6.4 ont été respectées.</w:t>
      </w:r>
    </w:p>
    <w:p w14:paraId="3AE3A17B" w14:textId="77777777" w:rsidR="00CA3533" w:rsidRPr="00CA3533" w:rsidRDefault="00CA3533" w:rsidP="00CA3533">
      <w:pPr>
        <w:spacing w:after="120"/>
        <w:ind w:left="2268" w:right="1134" w:hanging="1134"/>
        <w:jc w:val="both"/>
        <w:rPr>
          <w:rFonts w:eastAsiaTheme="minorHAnsi"/>
          <w:lang w:val="fr-FR" w:eastAsia="ar-SA"/>
        </w:rPr>
      </w:pPr>
      <w:r w:rsidRPr="00CA3533">
        <w:rPr>
          <w:rFonts w:eastAsiaTheme="minorHAnsi"/>
          <w:lang w:val="fr-FR" w:eastAsia="ar-SA"/>
        </w:rPr>
        <w:t>1.8.7.5.3</w:t>
      </w:r>
      <w:r w:rsidRPr="00CA3533">
        <w:rPr>
          <w:rFonts w:eastAsiaTheme="minorHAnsi"/>
          <w:lang w:val="fr-FR" w:eastAsia="ar-SA"/>
        </w:rPr>
        <w:tab/>
        <w:t>L’organisme de contrôle doit délivrer un procès-verbal de vérification de mise en service contenant les résultats de l’évaluation. Le propriétaire ou l’exploitant doit être en mesure de présenter ce procès-verbal à toute demande de l’autorité compétente exigeant la vérification de la mise en service, et à tout organisme de contrôle chargé des contrôles et épreuves ultérieurs.</w:t>
      </w:r>
    </w:p>
    <w:p w14:paraId="49B6C7FF" w14:textId="77777777" w:rsidR="00CA3533" w:rsidRPr="00CA3533" w:rsidRDefault="00CA3533" w:rsidP="00CA3533">
      <w:pPr>
        <w:spacing w:after="120"/>
        <w:ind w:left="2268" w:right="1134" w:hanging="1134"/>
        <w:jc w:val="both"/>
        <w:rPr>
          <w:rFonts w:eastAsiaTheme="minorHAnsi"/>
          <w:lang w:val="fr-FR" w:eastAsia="ar-SA"/>
        </w:rPr>
      </w:pPr>
      <w:r w:rsidRPr="00CA3533">
        <w:rPr>
          <w:rFonts w:eastAsiaTheme="minorHAnsi"/>
          <w:lang w:val="fr-FR" w:eastAsia="ar-SA"/>
        </w:rPr>
        <w:lastRenderedPageBreak/>
        <w:tab/>
        <w:t>En cas d’échec de la vérification de mise en service, les non-conformités doivent être corrigées et une nouvelle vérification de mise en service doit être passée avec succès avant que la citerne ne soit utilisée.</w:t>
      </w:r>
    </w:p>
    <w:p w14:paraId="04235316" w14:textId="77777777" w:rsidR="00CA3533" w:rsidRPr="00CA3533" w:rsidRDefault="00CA3533" w:rsidP="00CA3533">
      <w:pPr>
        <w:spacing w:after="120"/>
        <w:ind w:left="2268" w:right="1134" w:hanging="1134"/>
        <w:jc w:val="both"/>
        <w:rPr>
          <w:rFonts w:eastAsiaTheme="minorHAnsi"/>
          <w:lang w:val="fr-FR" w:eastAsia="ar-SA"/>
        </w:rPr>
      </w:pPr>
      <w:r w:rsidRPr="00CA3533">
        <w:rPr>
          <w:rFonts w:eastAsiaTheme="minorHAnsi"/>
          <w:lang w:val="fr-FR" w:eastAsia="ar-SA"/>
        </w:rPr>
        <w:tab/>
        <w:t>L’organisme de contrôle chargé de la vérification de mise en service doit informer sans délai son autorité compétente de tout refus éventuel.</w:t>
      </w:r>
    </w:p>
    <w:p w14:paraId="5A37377A"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b/>
          <w:bCs/>
          <w:lang w:val="fr-FR" w:eastAsia="en-US"/>
        </w:rPr>
        <w:t>1.8.7.</w:t>
      </w:r>
      <w:r w:rsidRPr="00CA3533">
        <w:rPr>
          <w:rFonts w:eastAsiaTheme="minorHAnsi"/>
          <w:b/>
          <w:bCs/>
          <w:lang w:val="fr-FR" w:eastAsia="ar-SA"/>
        </w:rPr>
        <w:t>6</w:t>
      </w:r>
      <w:r w:rsidRPr="00CA3533">
        <w:rPr>
          <w:rFonts w:eastAsiaTheme="minorHAnsi"/>
          <w:lang w:val="fr-FR" w:eastAsia="en-US"/>
        </w:rPr>
        <w:tab/>
      </w:r>
      <w:r w:rsidRPr="00CA3533">
        <w:rPr>
          <w:rFonts w:eastAsiaTheme="minorHAnsi"/>
          <w:b/>
          <w:bCs/>
          <w:i/>
          <w:iCs/>
          <w:lang w:val="fr-FR" w:eastAsia="en-US"/>
        </w:rPr>
        <w:t>Contrôles périodiques, contrôles intermédiaires et contrôles exceptionnels</w:t>
      </w:r>
    </w:p>
    <w:p w14:paraId="13581DE9" w14:textId="77777777" w:rsidR="00CA3533" w:rsidRPr="00CA3533" w:rsidRDefault="00CA3533" w:rsidP="00CA3533">
      <w:pPr>
        <w:spacing w:after="120"/>
        <w:ind w:left="2268" w:right="1134" w:hanging="1134"/>
        <w:jc w:val="both"/>
        <w:rPr>
          <w:rFonts w:eastAsiaTheme="minorHAnsi"/>
          <w:b/>
          <w:bCs/>
          <w:lang w:val="fr-FR" w:eastAsia="en-US"/>
        </w:rPr>
      </w:pPr>
      <w:r w:rsidRPr="00CA3533">
        <w:rPr>
          <w:rFonts w:eastAsiaTheme="minorHAnsi"/>
          <w:lang w:val="fr-FR" w:eastAsia="en-US"/>
        </w:rPr>
        <w:t>1.8.7.</w:t>
      </w:r>
      <w:r w:rsidRPr="00CA3533">
        <w:rPr>
          <w:rFonts w:eastAsiaTheme="minorHAnsi"/>
          <w:lang w:val="fr-FR" w:eastAsia="ar-SA"/>
        </w:rPr>
        <w:t>6</w:t>
      </w:r>
      <w:r w:rsidRPr="00CA3533">
        <w:rPr>
          <w:rFonts w:eastAsiaTheme="minorHAnsi"/>
          <w:lang w:val="fr-FR" w:eastAsia="en-US"/>
        </w:rPr>
        <w:t>.1</w:t>
      </w:r>
      <w:r w:rsidRPr="00CA3533">
        <w:rPr>
          <w:rFonts w:eastAsiaTheme="minorHAnsi"/>
          <w:lang w:val="fr-FR" w:eastAsia="en-US"/>
        </w:rPr>
        <w:tab/>
        <w:t>L’organisme compétent doit :</w:t>
      </w:r>
    </w:p>
    <w:p w14:paraId="36803E46"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effectuer l’identification et vérifier la conformité avec la documentation ;</w:t>
      </w:r>
    </w:p>
    <w:p w14:paraId="70E1D9F8"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réaliser les contrôles</w:t>
      </w:r>
      <w:r w:rsidRPr="00CA3533">
        <w:rPr>
          <w:rFonts w:eastAsiaTheme="minorHAnsi"/>
          <w:lang w:val="fr-FR" w:eastAsia="ar-SA"/>
        </w:rPr>
        <w:t>,</w:t>
      </w:r>
      <w:r w:rsidRPr="00CA3533">
        <w:rPr>
          <w:rFonts w:eastAsiaTheme="minorHAnsi"/>
          <w:lang w:val="fr-FR" w:eastAsia="en-US"/>
        </w:rPr>
        <w:t xml:space="preserve"> les épreuves ou réaliser les contrôles et vérifier les conditions d’épreuves et les superviser sur site, afin de vérifier que les prescriptions sont satisfaites ;</w:t>
      </w:r>
    </w:p>
    <w:p w14:paraId="2373F76E"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émettre des procès-verbaux et attestations, selon le cas, sur les résultats des contrôles et des épreuves, qui peuvent couvrir un certain nombre de matériels ; et</w:t>
      </w:r>
    </w:p>
    <w:p w14:paraId="32E80603"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r>
      <w:r w:rsidRPr="00CA3533">
        <w:rPr>
          <w:rFonts w:eastAsiaTheme="minorHAnsi"/>
          <w:lang w:val="fr-FR" w:eastAsia="ar-SA"/>
        </w:rPr>
        <w:t>veiller</w:t>
      </w:r>
      <w:r w:rsidRPr="00CA3533">
        <w:rPr>
          <w:rFonts w:eastAsiaTheme="minorHAnsi"/>
          <w:lang w:val="fr-FR" w:eastAsia="en-US"/>
        </w:rPr>
        <w:t xml:space="preserve"> à ce que les marques requises soient apposées.</w:t>
      </w:r>
    </w:p>
    <w:p w14:paraId="0A3B6CC5" w14:textId="77777777" w:rsidR="00CA3533" w:rsidRPr="00CA3533" w:rsidRDefault="00CA3533" w:rsidP="00CA3533">
      <w:pPr>
        <w:spacing w:after="120"/>
        <w:ind w:left="2268" w:right="1134" w:hanging="1134"/>
        <w:jc w:val="both"/>
        <w:rPr>
          <w:rFonts w:eastAsiaTheme="minorHAnsi"/>
          <w:b/>
          <w:bCs/>
          <w:lang w:val="fr-FR" w:eastAsia="en-US"/>
        </w:rPr>
      </w:pPr>
      <w:r w:rsidRPr="00CA3533">
        <w:rPr>
          <w:rFonts w:eastAsiaTheme="minorHAnsi"/>
          <w:lang w:val="fr-FR" w:eastAsia="en-US"/>
        </w:rPr>
        <w:t>1.8.7.</w:t>
      </w:r>
      <w:r w:rsidRPr="00CA3533">
        <w:rPr>
          <w:rFonts w:eastAsiaTheme="minorHAnsi"/>
          <w:lang w:val="fr-FR" w:eastAsia="ar-SA"/>
        </w:rPr>
        <w:t>6</w:t>
      </w:r>
      <w:r w:rsidRPr="00CA3533">
        <w:rPr>
          <w:rFonts w:eastAsiaTheme="minorHAnsi"/>
          <w:lang w:val="fr-FR" w:eastAsia="en-US"/>
        </w:rPr>
        <w:t>.2</w:t>
      </w:r>
      <w:r w:rsidRPr="00CA3533">
        <w:rPr>
          <w:rFonts w:eastAsiaTheme="minorHAnsi"/>
          <w:lang w:val="fr-FR" w:eastAsia="en-US"/>
        </w:rPr>
        <w:tab/>
        <w:t>Les procès-verbaux de contrôles et épreuves périodiques des récipients à pression doivent être conservés par le propriétaire ou l’exploitant au moins jusqu’au prochain contrôle périodique.</w:t>
      </w:r>
    </w:p>
    <w:p w14:paraId="24C88694" w14:textId="77777777" w:rsidR="00CA3533" w:rsidRPr="00CA3533" w:rsidRDefault="00CA3533" w:rsidP="00CA3533">
      <w:pPr>
        <w:spacing w:after="120"/>
        <w:ind w:left="2268" w:right="1134" w:hanging="1134"/>
        <w:jc w:val="both"/>
        <w:rPr>
          <w:rFonts w:eastAsiaTheme="minorHAnsi"/>
          <w:i/>
          <w:iCs/>
          <w:lang w:val="fr-FR" w:eastAsia="en-US"/>
        </w:rPr>
      </w:pPr>
      <w:r w:rsidRPr="00CA3533">
        <w:rPr>
          <w:rFonts w:eastAsiaTheme="minorHAnsi"/>
          <w:b/>
          <w:bCs/>
          <w:i/>
          <w:iCs/>
          <w:lang w:val="fr-FR" w:eastAsia="en-US"/>
        </w:rPr>
        <w:tab/>
        <w:t>NOTA</w:t>
      </w:r>
      <w:r w:rsidRPr="00CA3533">
        <w:rPr>
          <w:rFonts w:eastAsiaTheme="minorHAnsi"/>
          <w:i/>
          <w:iCs/>
          <w:lang w:val="fr-FR" w:eastAsia="en-US"/>
        </w:rPr>
        <w:t> : Pour les citernes, voir les dispositions concernant le dossier de citerne au 4.3.2.1.7.</w:t>
      </w:r>
    </w:p>
    <w:p w14:paraId="3BDF9A68"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b/>
          <w:bCs/>
          <w:lang w:val="fr-FR" w:eastAsia="en-US"/>
        </w:rPr>
        <w:t>1.8.7.</w:t>
      </w:r>
      <w:r w:rsidRPr="00CA3533">
        <w:rPr>
          <w:rFonts w:eastAsiaTheme="minorHAnsi"/>
          <w:b/>
          <w:bCs/>
          <w:lang w:val="fr-FR" w:eastAsia="ar-SA"/>
        </w:rPr>
        <w:t>7</w:t>
      </w:r>
      <w:r w:rsidRPr="00CA3533">
        <w:rPr>
          <w:rFonts w:eastAsiaTheme="minorHAnsi"/>
          <w:lang w:val="fr-FR" w:eastAsia="en-US"/>
        </w:rPr>
        <w:tab/>
      </w:r>
      <w:r w:rsidRPr="00CA3533">
        <w:rPr>
          <w:rFonts w:eastAsiaTheme="minorHAnsi"/>
          <w:b/>
          <w:bCs/>
          <w:i/>
          <w:iCs/>
          <w:lang w:val="fr-FR" w:eastAsia="en-US"/>
        </w:rPr>
        <w:t>Supervision du service interne d’inspection</w:t>
      </w:r>
    </w:p>
    <w:p w14:paraId="0C335BEE"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1.8.7.</w:t>
      </w:r>
      <w:r w:rsidRPr="00CA3533">
        <w:rPr>
          <w:rFonts w:eastAsiaTheme="minorHAnsi"/>
          <w:lang w:val="fr-FR" w:eastAsia="ar-SA"/>
        </w:rPr>
        <w:t>7</w:t>
      </w:r>
      <w:r w:rsidRPr="00CA3533">
        <w:rPr>
          <w:rFonts w:eastAsiaTheme="minorHAnsi"/>
          <w:lang w:val="fr-FR" w:eastAsia="en-US"/>
        </w:rPr>
        <w:t>.1</w:t>
      </w:r>
      <w:r w:rsidRPr="00CA3533">
        <w:rPr>
          <w:rFonts w:eastAsiaTheme="minorHAnsi"/>
          <w:lang w:val="fr-FR" w:eastAsia="en-US"/>
        </w:rPr>
        <w:tab/>
      </w:r>
      <w:r w:rsidRPr="00CA3533">
        <w:rPr>
          <w:rFonts w:eastAsiaTheme="minorHAnsi"/>
          <w:lang w:val="fr-FR" w:eastAsia="ar-SA"/>
        </w:rPr>
        <w:t>Lorsqu’un service interne d’inspection est utilisé conformément aux 6.2.2.12, 6.2.3.6.1, 6.8.1.5.3 b) ou 6.8.1.5.4 b), l</w:t>
      </w:r>
      <w:r w:rsidRPr="00CA3533">
        <w:rPr>
          <w:rFonts w:eastAsiaTheme="minorHAnsi"/>
          <w:lang w:val="fr-FR" w:eastAsia="en-US"/>
        </w:rPr>
        <w:t xml:space="preserve">e </w:t>
      </w:r>
      <w:r w:rsidRPr="00CA3533">
        <w:rPr>
          <w:rFonts w:eastAsiaTheme="minorHAnsi"/>
          <w:lang w:val="fr-FR" w:eastAsia="ar-SA"/>
        </w:rPr>
        <w:t xml:space="preserve">fabricant ou le centre d’épreuves, </w:t>
      </w:r>
      <w:r w:rsidRPr="00CA3533">
        <w:rPr>
          <w:rFonts w:eastAsiaTheme="minorHAnsi"/>
          <w:lang w:val="fr-FR" w:eastAsia="en-US"/>
        </w:rPr>
        <w:t>doit :</w:t>
      </w:r>
    </w:p>
    <w:p w14:paraId="295A6C44"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 xml:space="preserve">mettre en place un système qualité </w:t>
      </w:r>
      <w:r w:rsidRPr="00CA3533">
        <w:rPr>
          <w:rFonts w:eastAsiaTheme="minorHAnsi"/>
          <w:lang w:val="fr-FR" w:eastAsia="ar-SA"/>
        </w:rPr>
        <w:t>pour le service interne d’inspection, y compris des procédures techniques,</w:t>
      </w:r>
      <w:r w:rsidRPr="00CA3533">
        <w:rPr>
          <w:rFonts w:eastAsiaTheme="minorHAnsi"/>
          <w:lang w:val="fr-FR" w:eastAsia="en-US"/>
        </w:rPr>
        <w:t xml:space="preserve"> couvrant les contrôles et les épreuves documentés au 1.8.7.</w:t>
      </w:r>
      <w:r w:rsidRPr="00CA3533">
        <w:rPr>
          <w:rFonts w:eastAsiaTheme="minorHAnsi"/>
          <w:lang w:val="fr-FR" w:eastAsia="ar-SA"/>
        </w:rPr>
        <w:t>8</w:t>
      </w:r>
      <w:r w:rsidRPr="00CA3533">
        <w:rPr>
          <w:rFonts w:eastAsiaTheme="minorHAnsi"/>
          <w:lang w:val="fr-FR" w:eastAsia="en-US"/>
        </w:rPr>
        <w:t>.</w:t>
      </w:r>
      <w:r w:rsidRPr="00CA3533">
        <w:rPr>
          <w:rFonts w:eastAsiaTheme="minorHAnsi"/>
          <w:lang w:val="fr-FR" w:eastAsia="ar-SA"/>
        </w:rPr>
        <w:t>6</w:t>
      </w:r>
      <w:r w:rsidRPr="00CA3533">
        <w:rPr>
          <w:rFonts w:eastAsiaTheme="minorHAnsi"/>
          <w:lang w:val="fr-FR" w:eastAsia="en-US"/>
        </w:rPr>
        <w:t xml:space="preserve"> et faisant l’objet d’une supervision ;</w:t>
      </w:r>
    </w:p>
    <w:p w14:paraId="0CF82607"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respecter les obligations découlant du système qualité tel qu’il a été approuvé et veiller à ce qu’il reste satisfaisant et efficace</w:t>
      </w:r>
      <w:r w:rsidRPr="00CA3533">
        <w:rPr>
          <w:rFonts w:eastAsiaTheme="minorHAnsi"/>
          <w:lang w:val="fr-FR" w:eastAsia="ar-SA"/>
        </w:rPr>
        <w:t>, en particulier :</w:t>
      </w:r>
    </w:p>
    <w:p w14:paraId="26D78C4C" w14:textId="77777777" w:rsidR="00CA3533" w:rsidRPr="00CA3533" w:rsidRDefault="00CA3533" w:rsidP="00CA3533">
      <w:pPr>
        <w:spacing w:after="120"/>
        <w:ind w:left="3402" w:right="1134" w:hanging="567"/>
        <w:jc w:val="both"/>
        <w:rPr>
          <w:rFonts w:eastAsiaTheme="minorHAnsi"/>
          <w:lang w:val="fr-FR" w:eastAsia="en-US"/>
        </w:rPr>
      </w:pPr>
      <w:r w:rsidRPr="00CA3533">
        <w:rPr>
          <w:rFonts w:eastAsiaTheme="minorHAnsi"/>
          <w:lang w:val="fr-FR" w:eastAsia="ar-SA"/>
        </w:rPr>
        <w:t>i)</w:t>
      </w:r>
      <w:r w:rsidRPr="00CA3533">
        <w:rPr>
          <w:rFonts w:eastAsiaTheme="minorHAnsi"/>
          <w:lang w:val="fr-FR" w:eastAsia="en-US"/>
        </w:rPr>
        <w:tab/>
        <w:t>autoriser un personnel formé et compétent pour le service interne d’inspection ; et</w:t>
      </w:r>
    </w:p>
    <w:p w14:paraId="362E0A77" w14:textId="77777777" w:rsidR="00CA3533" w:rsidRPr="00CA3533" w:rsidRDefault="00CA3533" w:rsidP="00CA3533">
      <w:pPr>
        <w:spacing w:after="120"/>
        <w:ind w:left="3402" w:right="1134" w:hanging="567"/>
        <w:jc w:val="both"/>
        <w:rPr>
          <w:rFonts w:eastAsiaTheme="minorHAnsi"/>
          <w:lang w:val="fr-FR" w:eastAsia="en-US"/>
        </w:rPr>
      </w:pPr>
      <w:r w:rsidRPr="00CA3533">
        <w:rPr>
          <w:rFonts w:eastAsiaTheme="minorHAnsi"/>
          <w:lang w:val="fr-FR" w:eastAsia="ar-SA"/>
        </w:rPr>
        <w:t>ii</w:t>
      </w:r>
      <w:r w:rsidRPr="00CA3533">
        <w:rPr>
          <w:rFonts w:eastAsiaTheme="minorHAnsi"/>
          <w:lang w:val="fr-FR" w:eastAsia="en-US"/>
        </w:rPr>
        <w:t>)</w:t>
      </w:r>
      <w:r w:rsidRPr="00CA3533">
        <w:rPr>
          <w:rFonts w:eastAsiaTheme="minorHAnsi"/>
          <w:lang w:val="fr-FR" w:eastAsia="en-US"/>
        </w:rPr>
        <w:tab/>
        <w:t>apposer le signe distinctif ou le poinçon de l’organisme de contrôle, tel que prescrit aux chapitre 6.2 et 6.8, et la marque du service interne d’</w:t>
      </w:r>
      <w:r w:rsidRPr="00CA3533">
        <w:rPr>
          <w:rFonts w:eastAsiaTheme="minorHAnsi"/>
          <w:lang w:val="fr-FR" w:eastAsia="ar-SA"/>
        </w:rPr>
        <w:t>inspection</w:t>
      </w:r>
      <w:r w:rsidRPr="00CA3533">
        <w:rPr>
          <w:rFonts w:eastAsiaTheme="minorHAnsi"/>
          <w:lang w:val="fr-FR" w:eastAsia="en-US"/>
        </w:rPr>
        <w:t xml:space="preserve"> lorsqu’il y a lieu, sur le matériel pour assurer la traçabilité.</w:t>
      </w:r>
    </w:p>
    <w:p w14:paraId="1F543C51"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1.8.7.</w:t>
      </w:r>
      <w:r w:rsidRPr="00CA3533">
        <w:rPr>
          <w:rFonts w:eastAsiaTheme="minorHAnsi"/>
          <w:lang w:val="fr-FR" w:eastAsia="ar-SA"/>
        </w:rPr>
        <w:t>7</w:t>
      </w:r>
      <w:r w:rsidRPr="00CA3533">
        <w:rPr>
          <w:rFonts w:eastAsiaTheme="minorHAnsi"/>
          <w:lang w:val="fr-FR" w:eastAsia="en-US"/>
        </w:rPr>
        <w:t>.2</w:t>
      </w:r>
      <w:r w:rsidRPr="00CA3533">
        <w:rPr>
          <w:rFonts w:eastAsiaTheme="minorHAnsi"/>
          <w:lang w:val="fr-FR" w:eastAsia="en-US"/>
        </w:rPr>
        <w:tab/>
        <w:t>L’organisme de contrôle doit effectuer un audit initial</w:t>
      </w:r>
      <w:r w:rsidRPr="00CA3533">
        <w:rPr>
          <w:rFonts w:eastAsiaTheme="minorHAnsi"/>
          <w:lang w:val="fr-FR" w:eastAsia="ar-SA"/>
        </w:rPr>
        <w:t xml:space="preserve"> de chaque site</w:t>
      </w:r>
      <w:r w:rsidRPr="00CA3533">
        <w:rPr>
          <w:rFonts w:eastAsiaTheme="minorHAnsi"/>
          <w:lang w:val="fr-FR" w:eastAsia="en-US"/>
        </w:rPr>
        <w:t xml:space="preserve">. Si cet audit est satisfaisant, l’organisme de contrôle </w:t>
      </w:r>
      <w:r w:rsidRPr="00CA3533">
        <w:rPr>
          <w:rFonts w:eastAsiaTheme="minorHAnsi"/>
          <w:lang w:val="fr-FR" w:eastAsia="ar-SA"/>
        </w:rPr>
        <w:t xml:space="preserve">doit informer l’autorité compétente de l’autorisation du service interne d’inspection et </w:t>
      </w:r>
      <w:r w:rsidRPr="00CA3533">
        <w:rPr>
          <w:rFonts w:eastAsiaTheme="minorHAnsi"/>
          <w:lang w:val="fr-FR" w:eastAsia="en-US"/>
        </w:rPr>
        <w:t>délivre</w:t>
      </w:r>
      <w:r w:rsidRPr="00CA3533">
        <w:rPr>
          <w:rFonts w:eastAsiaTheme="minorHAnsi"/>
          <w:lang w:val="fr-FR" w:eastAsia="ar-SA"/>
        </w:rPr>
        <w:t>r</w:t>
      </w:r>
      <w:r w:rsidRPr="00CA3533">
        <w:rPr>
          <w:rFonts w:eastAsiaTheme="minorHAnsi"/>
          <w:lang w:val="fr-FR" w:eastAsia="en-US"/>
        </w:rPr>
        <w:t xml:space="preserve"> un </w:t>
      </w:r>
      <w:r w:rsidRPr="00CA3533">
        <w:rPr>
          <w:rFonts w:eastAsiaTheme="minorHAnsi"/>
          <w:lang w:val="fr-FR" w:eastAsia="ar-SA"/>
        </w:rPr>
        <w:t>certificat d’</w:t>
      </w:r>
      <w:r w:rsidRPr="00CA3533">
        <w:rPr>
          <w:rFonts w:eastAsiaTheme="minorHAnsi"/>
          <w:lang w:val="fr-FR" w:eastAsia="en-US"/>
        </w:rPr>
        <w:t>autorisation pour une période maximale de trois ans</w:t>
      </w:r>
      <w:r w:rsidRPr="00CA3533">
        <w:rPr>
          <w:rFonts w:eastAsiaTheme="minorHAnsi"/>
          <w:lang w:val="fr-FR" w:eastAsia="ar-SA"/>
        </w:rPr>
        <w:t>,</w:t>
      </w:r>
      <w:r w:rsidRPr="00CA3533">
        <w:rPr>
          <w:rFonts w:eastAsiaTheme="minorHAnsi"/>
          <w:lang w:val="fr-FR" w:eastAsia="en-US"/>
        </w:rPr>
        <w:t xml:space="preserve"> et les dispositions suivantes doivent être satisfaites :</w:t>
      </w:r>
    </w:p>
    <w:p w14:paraId="7D9AB508"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 xml:space="preserve">cet audit doit </w:t>
      </w:r>
      <w:r w:rsidRPr="00CA3533">
        <w:rPr>
          <w:rFonts w:eastAsiaTheme="minorHAnsi"/>
          <w:lang w:val="fr-FR" w:eastAsia="ar-SA"/>
        </w:rPr>
        <w:t xml:space="preserve">être effectué sur chaque site pour </w:t>
      </w:r>
      <w:r w:rsidRPr="00CA3533">
        <w:rPr>
          <w:rFonts w:eastAsiaTheme="minorHAnsi"/>
          <w:lang w:val="fr-FR" w:eastAsia="en-US"/>
        </w:rPr>
        <w:t>confirmer que les contrôles et les épreuves effectués sont conformes aux prescriptions de l’ADR ;</w:t>
      </w:r>
    </w:p>
    <w:p w14:paraId="331FEA4B"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l’organisme de contrôle peut autoriser le service interne d’inspection à apposer le signe distinctif ou le poinçon de l’organisme de contrôle, tel que prescrit aux chapitre 6.2 et 6.8, sur chaque matériel agréé ;</w:t>
      </w:r>
    </w:p>
    <w:p w14:paraId="6A6C18C8"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 xml:space="preserve">l’autorisation peut être renouvelée après un audit </w:t>
      </w:r>
      <w:r w:rsidRPr="00CA3533">
        <w:rPr>
          <w:rFonts w:eastAsiaTheme="minorHAnsi"/>
          <w:lang w:val="fr-FR" w:eastAsia="ar-SA"/>
        </w:rPr>
        <w:t xml:space="preserve">sur chaque site </w:t>
      </w:r>
      <w:r w:rsidRPr="00CA3533">
        <w:rPr>
          <w:rFonts w:eastAsiaTheme="minorHAnsi"/>
          <w:lang w:val="fr-FR" w:eastAsia="en-US"/>
        </w:rPr>
        <w:t xml:space="preserve">satisfaisant dans l’année qui précède l’expiration. La nouvelle période commence à la date d’expiration de l’autorisation ; </w:t>
      </w:r>
    </w:p>
    <w:p w14:paraId="4FFFB32E"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lastRenderedPageBreak/>
        <w:t>d)</w:t>
      </w:r>
      <w:r w:rsidRPr="00CA3533">
        <w:rPr>
          <w:rFonts w:eastAsiaTheme="minorHAnsi"/>
          <w:lang w:val="fr-FR" w:eastAsia="en-US"/>
        </w:rPr>
        <w:tab/>
        <w:t xml:space="preserve">les inspecteurs de l’organisme de contrôle </w:t>
      </w:r>
      <w:r w:rsidRPr="00CA3533">
        <w:rPr>
          <w:rFonts w:eastAsiaTheme="minorHAnsi"/>
          <w:lang w:val="fr-FR" w:eastAsia="ar-SA"/>
        </w:rPr>
        <w:t>effectuant les audits</w:t>
      </w:r>
      <w:r w:rsidRPr="00CA3533">
        <w:rPr>
          <w:rFonts w:eastAsiaTheme="minorHAnsi"/>
          <w:lang w:val="fr-FR" w:eastAsia="en-US"/>
        </w:rPr>
        <w:t xml:space="preserve"> doivent être compétents pour évaluer la conformité du </w:t>
      </w:r>
      <w:r w:rsidRPr="00CA3533">
        <w:rPr>
          <w:rFonts w:eastAsiaTheme="minorHAnsi"/>
          <w:lang w:val="fr-FR" w:eastAsia="ar-SA"/>
        </w:rPr>
        <w:t>matériel</w:t>
      </w:r>
      <w:r w:rsidRPr="00CA3533">
        <w:rPr>
          <w:rFonts w:eastAsiaTheme="minorHAnsi"/>
          <w:lang w:val="fr-FR" w:eastAsia="en-US"/>
        </w:rPr>
        <w:t xml:space="preserve"> couvert par le système qualité et le système qualité lui-même ; et</w:t>
      </w:r>
    </w:p>
    <w:p w14:paraId="1F89D596"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ar-SA"/>
        </w:rPr>
        <w:t>e)</w:t>
      </w:r>
      <w:r w:rsidRPr="00CA3533">
        <w:rPr>
          <w:rFonts w:eastAsiaTheme="minorHAnsi"/>
          <w:lang w:val="fr-FR" w:eastAsia="ar-SA"/>
        </w:rPr>
        <w:tab/>
      </w:r>
      <w:r w:rsidRPr="00CA3533">
        <w:rPr>
          <w:rFonts w:eastAsiaTheme="minorHAnsi"/>
          <w:lang w:val="fr-FR" w:eastAsia="en-US"/>
        </w:rPr>
        <w:t>le service interne d’inspection doit exercer des activités à une fréquence qui assure le niveau de compétence nécessaire.</w:t>
      </w:r>
    </w:p>
    <w:p w14:paraId="05D3A839" w14:textId="77777777" w:rsidR="00CA3533" w:rsidRPr="00CA3533" w:rsidRDefault="00CA3533" w:rsidP="00CA3533">
      <w:pPr>
        <w:spacing w:after="120"/>
        <w:ind w:left="2268" w:right="1134" w:hanging="1134"/>
        <w:jc w:val="both"/>
        <w:rPr>
          <w:rFonts w:eastAsiaTheme="minorHAnsi"/>
          <w:lang w:val="fr-FR" w:eastAsia="ar-SA"/>
        </w:rPr>
      </w:pPr>
      <w:r w:rsidRPr="00CA3533">
        <w:rPr>
          <w:rFonts w:eastAsiaTheme="minorHAnsi"/>
          <w:bCs/>
          <w:iCs/>
          <w:lang w:eastAsia="en-US"/>
        </w:rPr>
        <w:tab/>
        <w:t>Le service interne d'inspection peut, dans des cas spécifiques uniquement, sous-traiter certaines parties de ses activités avec l’accord de l'organisme de contrôle qui l'a autorisé. Le sous-traitant doit en outre être accrédité conformément à la norme EN ISO/IEC 17025:2017 (sauf article 8.1.3) ou EN ISO/IEC 17020:2012 (sauf article 8.1.3) comme laboratoire d'essai ou organisme de contrôle indépendant et impartial pour pouvoir accomplir les tâches d’essais en conformité avec son accréditation.</w:t>
      </w:r>
    </w:p>
    <w:p w14:paraId="23E9462F" w14:textId="77777777" w:rsidR="00CA3533" w:rsidRPr="00CA3533" w:rsidRDefault="00CA3533" w:rsidP="00CA3533">
      <w:pPr>
        <w:spacing w:after="120"/>
        <w:ind w:left="2268" w:right="1134" w:hanging="1134"/>
        <w:jc w:val="both"/>
        <w:rPr>
          <w:rFonts w:eastAsiaTheme="minorHAnsi"/>
          <w:lang w:val="fr-FR" w:eastAsia="ar-SA"/>
        </w:rPr>
      </w:pPr>
      <w:r w:rsidRPr="00CA3533">
        <w:rPr>
          <w:rFonts w:eastAsiaTheme="minorHAnsi"/>
          <w:lang w:val="fr-FR" w:eastAsia="ar-SA"/>
        </w:rPr>
        <w:t>1.8.7.7.3</w:t>
      </w:r>
      <w:r w:rsidRPr="00CA3533">
        <w:rPr>
          <w:rFonts w:eastAsiaTheme="minorHAnsi"/>
          <w:lang w:val="fr-FR" w:eastAsia="ar-SA"/>
        </w:rPr>
        <w:tab/>
        <w:t>Le certificat d’autorisation doit comporter au moins :</w:t>
      </w:r>
    </w:p>
    <w:p w14:paraId="47364ABF"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a)</w:t>
      </w:r>
      <w:r w:rsidRPr="00CA3533">
        <w:rPr>
          <w:rFonts w:eastAsiaTheme="minorHAnsi"/>
          <w:lang w:val="fr-FR" w:eastAsia="ar-SA"/>
        </w:rPr>
        <w:tab/>
      </w:r>
      <w:r w:rsidRPr="00CA3533">
        <w:rPr>
          <w:rFonts w:eastAsiaTheme="minorHAnsi"/>
          <w:lang w:val="fr-FR" w:eastAsia="en-US"/>
        </w:rPr>
        <w:t>le</w:t>
      </w:r>
      <w:r w:rsidRPr="00CA3533">
        <w:rPr>
          <w:rFonts w:eastAsiaTheme="minorHAnsi"/>
          <w:lang w:val="fr-FR" w:eastAsia="ar-SA"/>
        </w:rPr>
        <w:t xml:space="preserve"> nom et l’adresse de l’organisme de contrôle ;</w:t>
      </w:r>
    </w:p>
    <w:p w14:paraId="08DE5AC8"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b)</w:t>
      </w:r>
      <w:r w:rsidRPr="00CA3533">
        <w:rPr>
          <w:rFonts w:eastAsiaTheme="minorHAnsi"/>
          <w:lang w:val="fr-FR" w:eastAsia="ar-SA"/>
        </w:rPr>
        <w:tab/>
        <w:t>le nom et l’adresse du fabricant ou du centre d’épreuves, et les adresses de tous les sites du service interne d’inspection ;</w:t>
      </w:r>
    </w:p>
    <w:p w14:paraId="554D5284"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c)</w:t>
      </w:r>
      <w:r w:rsidRPr="00CA3533">
        <w:rPr>
          <w:rFonts w:eastAsiaTheme="minorHAnsi"/>
          <w:lang w:val="fr-FR" w:eastAsia="en-US"/>
        </w:rPr>
        <w:tab/>
      </w:r>
      <w:r w:rsidRPr="00CA3533">
        <w:rPr>
          <w:rFonts w:eastAsiaTheme="minorHAnsi"/>
          <w:lang w:val="fr-FR" w:eastAsia="ar-SA"/>
        </w:rPr>
        <w:t>une référence à la version de l’ADR utilisée pour l’autorisation du service interne d’inspection et aux normes ou codes techniques reconnus conformément au 6.2.5 utilisés pour les contrôles et épreuves initiaux ou les contrôles périodiques ;</w:t>
      </w:r>
    </w:p>
    <w:p w14:paraId="12638412"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d)</w:t>
      </w:r>
      <w:r w:rsidRPr="00CA3533">
        <w:rPr>
          <w:rFonts w:eastAsiaTheme="minorHAnsi"/>
          <w:lang w:val="fr-FR" w:eastAsia="ar-SA"/>
        </w:rPr>
        <w:tab/>
        <w:t>la référence au rapport d’audit initial ;</w:t>
      </w:r>
    </w:p>
    <w:p w14:paraId="0ECE7285"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e)</w:t>
      </w:r>
      <w:r w:rsidRPr="00CA3533">
        <w:rPr>
          <w:rFonts w:eastAsiaTheme="minorHAnsi"/>
          <w:lang w:val="fr-FR" w:eastAsia="ar-SA"/>
        </w:rPr>
        <w:tab/>
        <w:t>le cas échéant, des informations complémentaires permettant de définir le domaine d’activité du service d’inspection interne (par exemple agréments de type des matériels pour les contrôles et épreuves initiaux) ;</w:t>
      </w:r>
    </w:p>
    <w:p w14:paraId="210C12D6"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ar-SA"/>
        </w:rPr>
        <w:t>f)</w:t>
      </w:r>
      <w:r w:rsidRPr="00CA3533">
        <w:rPr>
          <w:rFonts w:eastAsiaTheme="minorHAnsi"/>
          <w:lang w:val="fr-FR" w:eastAsia="ar-SA"/>
        </w:rPr>
        <w:tab/>
        <w:t>la marque du service interne d’inspection, le cas échéant ; et</w:t>
      </w:r>
    </w:p>
    <w:p w14:paraId="673B7042"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g)</w:t>
      </w:r>
      <w:r w:rsidRPr="00CA3533">
        <w:rPr>
          <w:rFonts w:eastAsiaTheme="minorHAnsi"/>
          <w:lang w:val="fr-FR" w:eastAsia="ar-SA"/>
        </w:rPr>
        <w:tab/>
        <w:t>la date d’expiration.</w:t>
      </w:r>
    </w:p>
    <w:p w14:paraId="6E4E8FFB"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1.8.7.</w:t>
      </w:r>
      <w:r w:rsidRPr="00CA3533">
        <w:rPr>
          <w:rFonts w:eastAsiaTheme="minorHAnsi"/>
          <w:lang w:val="fr-FR" w:eastAsia="ar-SA"/>
        </w:rPr>
        <w:t>7</w:t>
      </w:r>
      <w:r w:rsidRPr="00CA3533">
        <w:rPr>
          <w:rFonts w:eastAsiaTheme="minorHAnsi"/>
          <w:lang w:val="fr-FR" w:eastAsia="en-US"/>
        </w:rPr>
        <w:t>.</w:t>
      </w:r>
      <w:r w:rsidRPr="00CA3533">
        <w:rPr>
          <w:rFonts w:eastAsiaTheme="minorHAnsi"/>
          <w:lang w:val="fr-FR" w:eastAsia="ar-SA"/>
        </w:rPr>
        <w:t>4</w:t>
      </w:r>
      <w:r w:rsidRPr="00CA3533">
        <w:rPr>
          <w:rFonts w:eastAsiaTheme="minorHAnsi"/>
          <w:lang w:val="fr-FR" w:eastAsia="en-US"/>
        </w:rPr>
        <w:tab/>
        <w:t xml:space="preserve">L’organisme de contrôle doit effectuer des audits périodiques </w:t>
      </w:r>
      <w:r w:rsidRPr="00CA3533">
        <w:rPr>
          <w:rFonts w:eastAsiaTheme="minorHAnsi"/>
          <w:lang w:val="fr-FR" w:eastAsia="ar-SA"/>
        </w:rPr>
        <w:t xml:space="preserve">de chaque site </w:t>
      </w:r>
      <w:r w:rsidRPr="00CA3533">
        <w:rPr>
          <w:rFonts w:eastAsiaTheme="minorHAnsi"/>
          <w:lang w:val="fr-FR" w:eastAsia="en-US"/>
        </w:rPr>
        <w:t>pendant la durée de validité de l’autorisation pour s’assurer que le service interne d’inspection maintient et applique le système qualité</w:t>
      </w:r>
      <w:r w:rsidRPr="00CA3533">
        <w:rPr>
          <w:rFonts w:eastAsiaTheme="minorHAnsi"/>
          <w:lang w:val="fr-FR" w:eastAsia="ar-SA"/>
        </w:rPr>
        <w:t>, y compris les procédures techniques</w:t>
      </w:r>
      <w:r w:rsidRPr="00CA3533">
        <w:rPr>
          <w:rFonts w:eastAsiaTheme="minorHAnsi"/>
          <w:lang w:val="fr-FR" w:eastAsia="en-US"/>
        </w:rPr>
        <w:t>. Les dispositions suivantes doivent être satisfaites :</w:t>
      </w:r>
    </w:p>
    <w:p w14:paraId="56F681A0"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r>
      <w:r w:rsidRPr="00CA3533">
        <w:rPr>
          <w:rFonts w:eastAsiaTheme="minorHAnsi"/>
          <w:lang w:val="fr-FR" w:eastAsia="ar-SA"/>
        </w:rPr>
        <w:t xml:space="preserve">les </w:t>
      </w:r>
      <w:r w:rsidRPr="00CA3533">
        <w:rPr>
          <w:rFonts w:eastAsiaTheme="minorHAnsi"/>
          <w:lang w:val="fr-FR" w:eastAsia="en-US"/>
        </w:rPr>
        <w:t xml:space="preserve">audits doivent être effectués </w:t>
      </w:r>
      <w:r w:rsidRPr="00CA3533">
        <w:rPr>
          <w:rFonts w:eastAsiaTheme="minorHAnsi"/>
          <w:lang w:val="fr-FR" w:eastAsia="ar-SA"/>
        </w:rPr>
        <w:t xml:space="preserve">au plus tard tous les six </w:t>
      </w:r>
      <w:r w:rsidRPr="00CA3533">
        <w:rPr>
          <w:rFonts w:eastAsiaTheme="minorHAnsi"/>
          <w:lang w:val="fr-FR" w:eastAsia="en-US"/>
        </w:rPr>
        <w:t>mois ;</w:t>
      </w:r>
    </w:p>
    <w:p w14:paraId="49D7B143"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l’organisme de contrôle peut exiger des visites supplémentaires, des formations, des modifications techniques ou des modifications du système qualité et limiter ou interdire les contrôles et épreuves devant être réalisés par le service interne d’inspection ;</w:t>
      </w:r>
    </w:p>
    <w:p w14:paraId="72B844E2"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l’organisme de contrôle doit évaluer toute modification du système qualité et déterminer si le système qualité modifié satisfait toujours aux prescriptions de l’audit initial ou si une réévaluation complète est nécessaire ;</w:t>
      </w:r>
    </w:p>
    <w:p w14:paraId="2237815F"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 xml:space="preserve">les inspecteurs de l’organisme de contrôle </w:t>
      </w:r>
      <w:r w:rsidRPr="00CA3533">
        <w:rPr>
          <w:rFonts w:eastAsiaTheme="minorHAnsi"/>
          <w:lang w:val="fr-FR" w:eastAsia="ar-SA"/>
        </w:rPr>
        <w:t>effectuant les audits</w:t>
      </w:r>
      <w:r w:rsidRPr="00CA3533">
        <w:rPr>
          <w:rFonts w:eastAsiaTheme="minorHAnsi"/>
          <w:lang w:val="fr-FR" w:eastAsia="en-US"/>
        </w:rPr>
        <w:t xml:space="preserve"> doivent être compétents pour évaluer la conformité du </w:t>
      </w:r>
      <w:r w:rsidRPr="00CA3533">
        <w:rPr>
          <w:rFonts w:eastAsiaTheme="minorHAnsi"/>
          <w:lang w:val="fr-FR" w:eastAsia="ar-SA"/>
        </w:rPr>
        <w:t>matériel</w:t>
      </w:r>
      <w:r w:rsidRPr="00CA3533">
        <w:rPr>
          <w:rFonts w:eastAsiaTheme="minorHAnsi"/>
          <w:lang w:val="fr-FR" w:eastAsia="en-US"/>
        </w:rPr>
        <w:t xml:space="preserve"> couvert par le système qualité et le système qualité lui-même ; et</w:t>
      </w:r>
    </w:p>
    <w:p w14:paraId="466AE94F"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e)</w:t>
      </w:r>
      <w:r w:rsidRPr="00CA3533">
        <w:rPr>
          <w:rFonts w:eastAsiaTheme="minorHAnsi"/>
          <w:lang w:val="fr-FR" w:eastAsia="en-US"/>
        </w:rPr>
        <w:tab/>
        <w:t xml:space="preserve">l’organisme de contrôle doit remettre au </w:t>
      </w:r>
      <w:r w:rsidRPr="00CA3533">
        <w:rPr>
          <w:rFonts w:eastAsiaTheme="minorHAnsi"/>
          <w:lang w:val="fr-FR" w:eastAsia="ar-SA"/>
        </w:rPr>
        <w:t>fabricant ou au centre d’épreuves, selon le cas, et au service interne d’inspection,</w:t>
      </w:r>
      <w:r w:rsidRPr="00CA3533">
        <w:rPr>
          <w:rFonts w:eastAsiaTheme="minorHAnsi"/>
          <w:lang w:val="fr-FR" w:eastAsia="en-US"/>
        </w:rPr>
        <w:t xml:space="preserve"> un </w:t>
      </w:r>
      <w:r w:rsidRPr="00CA3533">
        <w:rPr>
          <w:rFonts w:eastAsiaTheme="minorHAnsi"/>
          <w:lang w:val="fr-FR" w:eastAsia="ar-SA"/>
        </w:rPr>
        <w:t xml:space="preserve">rapport </w:t>
      </w:r>
      <w:r w:rsidRPr="00CA3533">
        <w:rPr>
          <w:rFonts w:eastAsiaTheme="minorHAnsi"/>
          <w:lang w:val="fr-FR" w:eastAsia="en-US"/>
        </w:rPr>
        <w:t xml:space="preserve">d’audit et, si </w:t>
      </w:r>
      <w:r w:rsidRPr="00CA3533">
        <w:rPr>
          <w:rFonts w:eastAsiaTheme="minorHAnsi"/>
          <w:lang w:val="fr-FR" w:eastAsia="ar-SA"/>
        </w:rPr>
        <w:t xml:space="preserve">des </w:t>
      </w:r>
      <w:r w:rsidRPr="00CA3533">
        <w:rPr>
          <w:rFonts w:eastAsiaTheme="minorHAnsi"/>
          <w:lang w:val="fr-FR" w:eastAsia="en-US"/>
        </w:rPr>
        <w:t>épreuve</w:t>
      </w:r>
      <w:r w:rsidRPr="00CA3533">
        <w:rPr>
          <w:rFonts w:eastAsiaTheme="minorHAnsi"/>
          <w:lang w:val="fr-FR" w:eastAsia="ar-SA"/>
        </w:rPr>
        <w:t>s</w:t>
      </w:r>
      <w:r w:rsidRPr="00CA3533">
        <w:rPr>
          <w:rFonts w:eastAsiaTheme="minorHAnsi"/>
          <w:lang w:val="fr-FR" w:eastAsia="en-US"/>
        </w:rPr>
        <w:t xml:space="preserve"> </w:t>
      </w:r>
      <w:r w:rsidRPr="00CA3533">
        <w:rPr>
          <w:rFonts w:eastAsiaTheme="minorHAnsi"/>
          <w:lang w:val="fr-FR" w:eastAsia="ar-SA"/>
        </w:rPr>
        <w:t xml:space="preserve">ont </w:t>
      </w:r>
      <w:r w:rsidRPr="00CA3533">
        <w:rPr>
          <w:rFonts w:eastAsiaTheme="minorHAnsi"/>
          <w:lang w:val="fr-FR" w:eastAsia="en-US"/>
        </w:rPr>
        <w:t>été réalisée</w:t>
      </w:r>
      <w:r w:rsidRPr="00CA3533">
        <w:rPr>
          <w:rFonts w:eastAsiaTheme="minorHAnsi"/>
          <w:lang w:val="fr-FR" w:eastAsia="ar-SA"/>
        </w:rPr>
        <w:t>s</w:t>
      </w:r>
      <w:r w:rsidRPr="00CA3533">
        <w:rPr>
          <w:rFonts w:eastAsiaTheme="minorHAnsi"/>
          <w:lang w:val="fr-FR" w:eastAsia="en-US"/>
        </w:rPr>
        <w:t>, un procès-verbal d’épreuve.</w:t>
      </w:r>
    </w:p>
    <w:p w14:paraId="0E8566B3"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1.8.7.</w:t>
      </w:r>
      <w:r w:rsidRPr="00CA3533">
        <w:rPr>
          <w:rFonts w:eastAsiaTheme="minorHAnsi"/>
          <w:lang w:val="fr-FR" w:eastAsia="ar-SA"/>
        </w:rPr>
        <w:t>7</w:t>
      </w:r>
      <w:r w:rsidRPr="00CA3533">
        <w:rPr>
          <w:rFonts w:eastAsiaTheme="minorHAnsi"/>
          <w:lang w:val="fr-FR" w:eastAsia="en-US"/>
        </w:rPr>
        <w:t>.</w:t>
      </w:r>
      <w:r w:rsidRPr="00CA3533">
        <w:rPr>
          <w:rFonts w:eastAsiaTheme="minorHAnsi"/>
          <w:lang w:val="fr-FR" w:eastAsia="ar-SA"/>
        </w:rPr>
        <w:t>5</w:t>
      </w:r>
      <w:r w:rsidRPr="00CA3533">
        <w:rPr>
          <w:rFonts w:eastAsiaTheme="minorHAnsi"/>
          <w:lang w:val="fr-FR" w:eastAsia="en-US"/>
        </w:rPr>
        <w:tab/>
        <w:t xml:space="preserve">En cas de non-conformité avec les prescriptions pertinentes, l’organisme de contrôle veille à ce que des mesures correctives soient prises. Si des mesures correctives ne sont pas prises en temps voulu, il suspend ou retire </w:t>
      </w:r>
      <w:r w:rsidRPr="00CA3533">
        <w:rPr>
          <w:rFonts w:eastAsiaTheme="minorHAnsi"/>
          <w:lang w:val="fr-FR" w:eastAsia="ar-SA"/>
        </w:rPr>
        <w:t>l’autorisation</w:t>
      </w:r>
      <w:r w:rsidRPr="00CA3533">
        <w:rPr>
          <w:rFonts w:eastAsiaTheme="minorHAnsi"/>
          <w:lang w:val="fr-FR" w:eastAsia="en-US"/>
        </w:rPr>
        <w:t xml:space="preserve"> donnée au service interne d’inspection de réaliser ses activités. L’avis de suspension ou de retrait est communiqué à l’autorité compétente. Il est remis </w:t>
      </w:r>
      <w:r w:rsidRPr="00CA3533">
        <w:rPr>
          <w:rFonts w:eastAsiaTheme="minorHAnsi"/>
          <w:lang w:val="fr-FR" w:eastAsia="en-US"/>
        </w:rPr>
        <w:lastRenderedPageBreak/>
        <w:t xml:space="preserve">au </w:t>
      </w:r>
      <w:r w:rsidRPr="00CA3533">
        <w:rPr>
          <w:rFonts w:eastAsiaTheme="minorHAnsi"/>
          <w:lang w:val="fr-FR" w:eastAsia="ar-SA"/>
        </w:rPr>
        <w:t>fabricant ou au centre d’épreuves, selon le cas, et au service interne d’inspection</w:t>
      </w:r>
      <w:r w:rsidRPr="00CA3533">
        <w:rPr>
          <w:rFonts w:eastAsiaTheme="minorHAnsi"/>
          <w:lang w:val="fr-FR" w:eastAsia="en-US"/>
        </w:rPr>
        <w:t xml:space="preserve"> un procès-verbal indiquant en détail les raisons pour lesquelles l’organisme de contrôle a pris ses décisions.</w:t>
      </w:r>
    </w:p>
    <w:p w14:paraId="2EC1A331" w14:textId="77777777" w:rsidR="00CA3533" w:rsidRPr="00CA3533" w:rsidRDefault="00CA3533" w:rsidP="00CA3533">
      <w:pPr>
        <w:spacing w:after="120"/>
        <w:ind w:left="2268" w:right="1134" w:hanging="1134"/>
        <w:jc w:val="both"/>
        <w:rPr>
          <w:rFonts w:eastAsiaTheme="minorHAnsi"/>
          <w:b/>
          <w:lang w:val="fr-FR" w:eastAsia="en-US"/>
        </w:rPr>
      </w:pPr>
      <w:r w:rsidRPr="00CA3533">
        <w:rPr>
          <w:rFonts w:eastAsiaTheme="minorHAnsi"/>
          <w:b/>
          <w:lang w:val="fr-FR" w:eastAsia="en-US"/>
        </w:rPr>
        <w:t>1.8.7.</w:t>
      </w:r>
      <w:r w:rsidRPr="00CA3533">
        <w:rPr>
          <w:rFonts w:eastAsiaTheme="minorHAnsi"/>
          <w:b/>
          <w:lang w:val="fr-FR" w:eastAsia="ar-SA"/>
        </w:rPr>
        <w:t>8</w:t>
      </w:r>
      <w:r w:rsidRPr="00CA3533">
        <w:rPr>
          <w:rFonts w:eastAsiaTheme="minorHAnsi"/>
          <w:b/>
          <w:lang w:val="fr-FR" w:eastAsia="en-US"/>
        </w:rPr>
        <w:tab/>
      </w:r>
      <w:r w:rsidRPr="00CA3533">
        <w:rPr>
          <w:rFonts w:eastAsiaTheme="minorHAnsi"/>
          <w:b/>
          <w:i/>
          <w:iCs/>
          <w:lang w:val="fr-FR" w:eastAsia="en-US"/>
        </w:rPr>
        <w:t>Documents</w:t>
      </w:r>
    </w:p>
    <w:p w14:paraId="559E5130"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La documentation technique doit permettre d’évaluer la conformité avec les prescriptions pertinentes.</w:t>
      </w:r>
    </w:p>
    <w:p w14:paraId="359D75BB"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1.8.7.</w:t>
      </w:r>
      <w:r w:rsidRPr="00CA3533">
        <w:rPr>
          <w:rFonts w:eastAsiaTheme="minorHAnsi"/>
          <w:lang w:val="fr-FR" w:eastAsia="ar-SA"/>
        </w:rPr>
        <w:t>8</w:t>
      </w:r>
      <w:r w:rsidRPr="00CA3533">
        <w:rPr>
          <w:rFonts w:eastAsiaTheme="minorHAnsi"/>
          <w:lang w:val="fr-FR" w:eastAsia="en-US"/>
        </w:rPr>
        <w:t>.1</w:t>
      </w:r>
      <w:r w:rsidRPr="00CA3533">
        <w:rPr>
          <w:rFonts w:eastAsiaTheme="minorHAnsi"/>
          <w:lang w:val="fr-FR" w:eastAsia="en-US"/>
        </w:rPr>
        <w:tab/>
      </w:r>
      <w:r w:rsidRPr="00CA3533">
        <w:rPr>
          <w:rFonts w:eastAsiaTheme="minorHAnsi"/>
          <w:i/>
          <w:iCs/>
          <w:lang w:val="fr-FR" w:eastAsia="en-US"/>
        </w:rPr>
        <w:t>Documents pour l’</w:t>
      </w:r>
      <w:r w:rsidRPr="00CA3533">
        <w:rPr>
          <w:rFonts w:eastAsiaTheme="minorHAnsi"/>
          <w:i/>
          <w:iCs/>
          <w:lang w:val="fr-FR" w:eastAsia="ar-SA"/>
        </w:rPr>
        <w:t xml:space="preserve">examen </w:t>
      </w:r>
      <w:r w:rsidRPr="00CA3533">
        <w:rPr>
          <w:rFonts w:eastAsiaTheme="minorHAnsi"/>
          <w:i/>
          <w:iCs/>
          <w:lang w:val="fr-FR" w:eastAsia="en-US"/>
        </w:rPr>
        <w:t>de type</w:t>
      </w:r>
    </w:p>
    <w:p w14:paraId="74BA51DC"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 xml:space="preserve">Le </w:t>
      </w:r>
      <w:r w:rsidRPr="00CA3533">
        <w:rPr>
          <w:rFonts w:eastAsiaTheme="minorHAnsi"/>
          <w:lang w:val="fr-FR" w:eastAsia="ar-SA"/>
        </w:rPr>
        <w:t xml:space="preserve">fabricant </w:t>
      </w:r>
      <w:r w:rsidRPr="00CA3533">
        <w:rPr>
          <w:rFonts w:eastAsiaTheme="minorHAnsi"/>
          <w:lang w:val="fr-FR" w:eastAsia="en-US"/>
        </w:rPr>
        <w:t xml:space="preserve">doit </w:t>
      </w:r>
      <w:r w:rsidRPr="00CA3533">
        <w:rPr>
          <w:rFonts w:eastAsiaTheme="minorHAnsi"/>
          <w:lang w:val="fr-FR" w:eastAsia="ar-SA"/>
        </w:rPr>
        <w:t>fournir</w:t>
      </w:r>
      <w:r w:rsidRPr="00CA3533">
        <w:rPr>
          <w:rFonts w:eastAsiaTheme="minorHAnsi"/>
          <w:lang w:val="fr-FR" w:eastAsia="en-US"/>
        </w:rPr>
        <w:t>, selon qu’il convient :</w:t>
      </w:r>
    </w:p>
    <w:p w14:paraId="2AE35757"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la liste des normes utilisées pour la conception et la fabrication ;</w:t>
      </w:r>
    </w:p>
    <w:p w14:paraId="6E9A662A"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une description du type avec toutes les variantes ;</w:t>
      </w:r>
    </w:p>
    <w:p w14:paraId="344E56FD"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 xml:space="preserve">les instructions selon la colonne pertinente du tableau A du chapitre 3.2 ou une liste des marchandises dangereuses à transporter pour des </w:t>
      </w:r>
      <w:r w:rsidRPr="00CA3533">
        <w:rPr>
          <w:rFonts w:eastAsiaTheme="minorHAnsi"/>
          <w:lang w:val="fr-FR" w:eastAsia="ar-SA"/>
        </w:rPr>
        <w:t xml:space="preserve">matériels </w:t>
      </w:r>
      <w:r w:rsidRPr="00CA3533">
        <w:rPr>
          <w:rFonts w:eastAsiaTheme="minorHAnsi"/>
          <w:lang w:val="fr-FR" w:eastAsia="en-US"/>
        </w:rPr>
        <w:t>dédiés ;</w:t>
      </w:r>
    </w:p>
    <w:p w14:paraId="3C6BF9F5"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un ou plusieurs plans d’ensemble ;</w:t>
      </w:r>
    </w:p>
    <w:p w14:paraId="156101E0" w14:textId="7C9654C0"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e)</w:t>
      </w:r>
      <w:r w:rsidRPr="00CA3533">
        <w:rPr>
          <w:rFonts w:eastAsiaTheme="minorHAnsi"/>
          <w:lang w:val="fr-FR" w:eastAsia="en-US"/>
        </w:rPr>
        <w:tab/>
        <w:t xml:space="preserve">les plans détaillés avec les dimensions utilisées pour les calculs, </w:t>
      </w:r>
      <w:r w:rsidRPr="00CA3533">
        <w:rPr>
          <w:rFonts w:eastAsiaTheme="minorHAnsi"/>
          <w:lang w:val="fr-FR" w:eastAsia="ar-SA"/>
        </w:rPr>
        <w:t>du matériel</w:t>
      </w:r>
      <w:r w:rsidRPr="00CA3533">
        <w:rPr>
          <w:rFonts w:eastAsiaTheme="minorHAnsi"/>
          <w:lang w:val="fr-FR" w:eastAsia="en-US"/>
        </w:rPr>
        <w:t>, de l’équipement de service, de l’équipement de structure, du marquage et de l’étiquetage nécessaire pour vérifier la conformité ;</w:t>
      </w:r>
    </w:p>
    <w:p w14:paraId="4591A7FF"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f)</w:t>
      </w:r>
      <w:r w:rsidRPr="00CA3533">
        <w:rPr>
          <w:rFonts w:eastAsiaTheme="minorHAnsi"/>
          <w:lang w:val="fr-FR" w:eastAsia="en-US"/>
        </w:rPr>
        <w:tab/>
        <w:t>les notes de calcul, les résultats et les conclusions ;</w:t>
      </w:r>
    </w:p>
    <w:p w14:paraId="7FE6AF42"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g)</w:t>
      </w:r>
      <w:r w:rsidRPr="00CA3533">
        <w:rPr>
          <w:rFonts w:eastAsiaTheme="minorHAnsi"/>
          <w:lang w:val="fr-FR" w:eastAsia="en-US"/>
        </w:rPr>
        <w:tab/>
        <w:t>la liste des équipements de service et de leurs données techniques pertinentes et des informations sur les dispositifs de sécurité, y compris le calcul du débit de décompression le cas échéant ;</w:t>
      </w:r>
    </w:p>
    <w:p w14:paraId="4FDE7E12"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h)</w:t>
      </w:r>
      <w:r w:rsidRPr="00CA3533">
        <w:rPr>
          <w:rFonts w:eastAsiaTheme="minorHAnsi"/>
          <w:lang w:val="fr-FR" w:eastAsia="en-US"/>
        </w:rPr>
        <w:tab/>
        <w:t>la liste des matériaux requis par la norme de construction utilisée pour chaque partie, sous-partie, revêtement, équipement de service et équipement de structure ainsi que les spécifications correspondantes pour les matériaux ou la déclaration de conformité à l’ADR correspondante ;</w:t>
      </w:r>
    </w:p>
    <w:p w14:paraId="25976590"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i)</w:t>
      </w:r>
      <w:r w:rsidRPr="00CA3533">
        <w:rPr>
          <w:rFonts w:eastAsiaTheme="minorHAnsi"/>
          <w:lang w:val="fr-FR" w:eastAsia="en-US"/>
        </w:rPr>
        <w:tab/>
        <w:t>la qualification agréée du mode opératoire d’assemblage permanent ;</w:t>
      </w:r>
    </w:p>
    <w:p w14:paraId="3C2003CE"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j)</w:t>
      </w:r>
      <w:r w:rsidRPr="00CA3533">
        <w:rPr>
          <w:rFonts w:eastAsiaTheme="minorHAnsi"/>
          <w:lang w:val="fr-FR" w:eastAsia="en-US"/>
        </w:rPr>
        <w:tab/>
        <w:t>la description des procédés de traitement thermique ; et</w:t>
      </w:r>
    </w:p>
    <w:p w14:paraId="333EBC0B"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k)</w:t>
      </w:r>
      <w:r w:rsidRPr="00CA3533">
        <w:rPr>
          <w:rFonts w:eastAsiaTheme="minorHAnsi"/>
          <w:lang w:val="fr-FR" w:eastAsia="en-US"/>
        </w:rPr>
        <w:tab/>
        <w:t>les procédures, descriptions et procès-verbaux de toutes les épreuves pertinentes énumérées dans les normes ou l’ADR pour l’agrément de type et pour la fabrication.</w:t>
      </w:r>
    </w:p>
    <w:p w14:paraId="08C0D368" w14:textId="77777777" w:rsidR="00CA3533" w:rsidRPr="00CA3533" w:rsidRDefault="00CA3533" w:rsidP="00CA3533">
      <w:pPr>
        <w:spacing w:after="120"/>
        <w:ind w:left="2268" w:right="1134" w:hanging="1134"/>
        <w:jc w:val="both"/>
        <w:rPr>
          <w:rFonts w:eastAsiaTheme="minorHAnsi"/>
          <w:b/>
          <w:bCs/>
          <w:lang w:val="fr-FR" w:eastAsia="ar-SA"/>
        </w:rPr>
      </w:pPr>
      <w:r w:rsidRPr="00CA3533">
        <w:rPr>
          <w:rFonts w:eastAsiaTheme="minorHAnsi"/>
          <w:lang w:val="fr-FR" w:eastAsia="ar-SA"/>
        </w:rPr>
        <w:t>1.8.7.8.2</w:t>
      </w:r>
      <w:r w:rsidRPr="00CA3533">
        <w:rPr>
          <w:rFonts w:eastAsiaTheme="minorHAnsi"/>
          <w:lang w:val="fr-FR" w:eastAsia="ar-SA"/>
        </w:rPr>
        <w:tab/>
      </w:r>
      <w:r w:rsidRPr="00CA3533">
        <w:rPr>
          <w:rFonts w:eastAsiaTheme="minorHAnsi"/>
          <w:i/>
          <w:iCs/>
          <w:lang w:val="fr-FR" w:eastAsia="ar-SA"/>
        </w:rPr>
        <w:t>Documents pour la délivrance du certificat d’agrément de type</w:t>
      </w:r>
    </w:p>
    <w:p w14:paraId="687AF55A"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ar-SA"/>
        </w:rPr>
        <w:tab/>
        <w:t>Le fabricant doit fournir, selon qu’il convient :</w:t>
      </w:r>
    </w:p>
    <w:p w14:paraId="50235CDB"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a)</w:t>
      </w:r>
      <w:r w:rsidRPr="00CA3533">
        <w:rPr>
          <w:rFonts w:eastAsiaTheme="minorHAnsi"/>
          <w:lang w:val="fr-FR" w:eastAsia="ar-SA"/>
        </w:rPr>
        <w:tab/>
        <w:t>la liste des normes utilisées pour la conception et la fabrication ;</w:t>
      </w:r>
    </w:p>
    <w:p w14:paraId="77AE0B42"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b)</w:t>
      </w:r>
      <w:r w:rsidRPr="00CA3533">
        <w:rPr>
          <w:rFonts w:eastAsiaTheme="minorHAnsi"/>
          <w:lang w:val="fr-FR" w:eastAsia="ar-SA"/>
        </w:rPr>
        <w:tab/>
        <w:t>une description du type avec toutes les variantes ;</w:t>
      </w:r>
    </w:p>
    <w:p w14:paraId="6AF2CAAD"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c)</w:t>
      </w:r>
      <w:r w:rsidRPr="00CA3533">
        <w:rPr>
          <w:rFonts w:eastAsiaTheme="minorHAnsi"/>
          <w:lang w:val="fr-FR" w:eastAsia="ar-SA"/>
        </w:rPr>
        <w:tab/>
        <w:t>les instructions selon la colonne pertinente du tableau A du chapitre 3.2 ou une liste des marchandises dangereuses à transporter pour des matériels dédiés ;</w:t>
      </w:r>
    </w:p>
    <w:p w14:paraId="7F5637AB"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d)</w:t>
      </w:r>
      <w:r w:rsidRPr="00CA3533">
        <w:rPr>
          <w:rFonts w:eastAsiaTheme="minorHAnsi"/>
          <w:lang w:val="fr-FR" w:eastAsia="ar-SA"/>
        </w:rPr>
        <w:tab/>
        <w:t>un ou plusieurs plans d’ensemble ;</w:t>
      </w:r>
    </w:p>
    <w:p w14:paraId="29A29FD2"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e)</w:t>
      </w:r>
      <w:r w:rsidRPr="00CA3533">
        <w:rPr>
          <w:rFonts w:eastAsiaTheme="minorHAnsi"/>
          <w:lang w:val="fr-FR" w:eastAsia="ar-SA"/>
        </w:rPr>
        <w:tab/>
        <w:t>la liste des matériaux en contact avec les marchandises dangereuses ;</w:t>
      </w:r>
    </w:p>
    <w:p w14:paraId="5EDA0923"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f)</w:t>
      </w:r>
      <w:r w:rsidRPr="00CA3533">
        <w:rPr>
          <w:rFonts w:eastAsiaTheme="minorHAnsi"/>
          <w:lang w:val="fr-FR" w:eastAsia="ar-SA"/>
        </w:rPr>
        <w:tab/>
        <w:t>la liste des équipements de service ;</w:t>
      </w:r>
    </w:p>
    <w:p w14:paraId="6D9D795A"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g)</w:t>
      </w:r>
      <w:r w:rsidRPr="00CA3533">
        <w:rPr>
          <w:rFonts w:eastAsiaTheme="minorHAnsi"/>
          <w:lang w:val="fr-FR" w:eastAsia="ar-SA"/>
        </w:rPr>
        <w:tab/>
        <w:t>le procès-verbal d’examen de type ; et</w:t>
      </w:r>
    </w:p>
    <w:p w14:paraId="4D455247" w14:textId="77777777" w:rsidR="00CA3533" w:rsidRPr="00CA3533" w:rsidRDefault="00CA3533" w:rsidP="00CA3533">
      <w:pPr>
        <w:spacing w:after="120"/>
        <w:ind w:left="2835" w:right="1134" w:hanging="567"/>
        <w:jc w:val="both"/>
        <w:rPr>
          <w:rFonts w:eastAsiaTheme="minorHAnsi"/>
          <w:lang w:val="fr-FR" w:eastAsia="ar-SA"/>
        </w:rPr>
      </w:pPr>
      <w:r w:rsidRPr="00CA3533">
        <w:rPr>
          <w:rFonts w:eastAsiaTheme="minorHAnsi"/>
          <w:lang w:val="fr-FR" w:eastAsia="ar-SA"/>
        </w:rPr>
        <w:t>h)</w:t>
      </w:r>
      <w:r w:rsidRPr="00CA3533">
        <w:rPr>
          <w:rFonts w:eastAsiaTheme="minorHAnsi"/>
          <w:lang w:val="fr-FR" w:eastAsia="ar-SA"/>
        </w:rPr>
        <w:tab/>
        <w:t>autres documents mentionnés au 1.8.7.8.1 à la demande de l’autorité compétente ou de l’organisme de contrôle.</w:t>
      </w:r>
    </w:p>
    <w:p w14:paraId="77724CE0" w14:textId="77777777" w:rsidR="00CA3533" w:rsidRPr="00CA3533" w:rsidRDefault="00CA3533" w:rsidP="00CA3533">
      <w:pPr>
        <w:spacing w:after="120"/>
        <w:ind w:left="2268" w:right="1134" w:hanging="1134"/>
        <w:jc w:val="both"/>
        <w:rPr>
          <w:rFonts w:eastAsiaTheme="minorHAnsi"/>
          <w:b/>
          <w:bCs/>
          <w:lang w:val="fr-FR" w:eastAsia="en-US"/>
        </w:rPr>
      </w:pPr>
      <w:r w:rsidRPr="00CA3533">
        <w:rPr>
          <w:rFonts w:eastAsiaTheme="minorHAnsi"/>
          <w:lang w:val="fr-FR" w:eastAsia="en-US"/>
        </w:rPr>
        <w:t>1.8.7.</w:t>
      </w:r>
      <w:r w:rsidRPr="00CA3533">
        <w:rPr>
          <w:rFonts w:eastAsiaTheme="minorHAnsi"/>
          <w:lang w:val="fr-FR" w:eastAsia="ar-SA"/>
        </w:rPr>
        <w:t>8</w:t>
      </w:r>
      <w:r w:rsidRPr="00CA3533">
        <w:rPr>
          <w:rFonts w:eastAsiaTheme="minorHAnsi"/>
          <w:lang w:val="fr-FR" w:eastAsia="en-US"/>
        </w:rPr>
        <w:t>.</w:t>
      </w:r>
      <w:r w:rsidRPr="00CA3533">
        <w:rPr>
          <w:rFonts w:eastAsiaTheme="minorHAnsi"/>
          <w:lang w:val="fr-FR" w:eastAsia="ar-SA"/>
        </w:rPr>
        <w:t>3</w:t>
      </w:r>
      <w:r w:rsidRPr="00CA3533">
        <w:rPr>
          <w:rFonts w:eastAsiaTheme="minorHAnsi"/>
          <w:lang w:val="fr-FR" w:eastAsia="en-US"/>
        </w:rPr>
        <w:tab/>
      </w:r>
      <w:r w:rsidRPr="00CA3533">
        <w:rPr>
          <w:rFonts w:eastAsiaTheme="minorHAnsi"/>
          <w:i/>
          <w:iCs/>
          <w:lang w:val="fr-FR" w:eastAsia="en-US"/>
        </w:rPr>
        <w:t>Documents pour</w:t>
      </w:r>
      <w:r w:rsidRPr="00CA3533">
        <w:rPr>
          <w:rFonts w:eastAsiaTheme="minorHAnsi"/>
          <w:i/>
          <w:lang w:val="fr-FR" w:eastAsia="ar-SA"/>
        </w:rPr>
        <w:t xml:space="preserve"> le suivi</w:t>
      </w:r>
      <w:r w:rsidRPr="00CA3533">
        <w:rPr>
          <w:rFonts w:eastAsiaTheme="minorHAnsi"/>
          <w:i/>
          <w:iCs/>
          <w:lang w:val="fr-FR" w:eastAsia="en-US"/>
        </w:rPr>
        <w:t xml:space="preserve"> de fabrication</w:t>
      </w:r>
    </w:p>
    <w:p w14:paraId="76FC1A78"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 xml:space="preserve">Le </w:t>
      </w:r>
      <w:r w:rsidRPr="00CA3533">
        <w:rPr>
          <w:rFonts w:eastAsiaTheme="minorHAnsi"/>
          <w:lang w:val="fr-FR" w:eastAsia="ar-SA"/>
        </w:rPr>
        <w:t>fabricant doit fournir, selon qu’il convient </w:t>
      </w:r>
      <w:r w:rsidRPr="00CA3533">
        <w:rPr>
          <w:rFonts w:eastAsiaTheme="minorHAnsi"/>
          <w:lang w:val="fr-FR" w:eastAsia="en-US"/>
        </w:rPr>
        <w:t>:</w:t>
      </w:r>
    </w:p>
    <w:p w14:paraId="4090596A"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lastRenderedPageBreak/>
        <w:t>a)</w:t>
      </w:r>
      <w:r w:rsidRPr="00CA3533">
        <w:rPr>
          <w:rFonts w:eastAsiaTheme="minorHAnsi"/>
          <w:lang w:val="fr-FR" w:eastAsia="en-US"/>
        </w:rPr>
        <w:tab/>
        <w:t>les documents énumérés aux 1.8.7.</w:t>
      </w:r>
      <w:r w:rsidRPr="00CA3533">
        <w:rPr>
          <w:rFonts w:eastAsiaTheme="minorHAnsi"/>
          <w:lang w:val="fr-FR" w:eastAsia="ar-SA"/>
        </w:rPr>
        <w:t>8</w:t>
      </w:r>
      <w:r w:rsidRPr="00CA3533">
        <w:rPr>
          <w:rFonts w:eastAsiaTheme="minorHAnsi"/>
          <w:lang w:val="fr-FR" w:eastAsia="en-US"/>
        </w:rPr>
        <w:t>.1</w:t>
      </w:r>
      <w:r w:rsidRPr="00CA3533">
        <w:rPr>
          <w:rFonts w:eastAsiaTheme="minorHAnsi"/>
          <w:lang w:val="fr-FR" w:eastAsia="ar-SA"/>
        </w:rPr>
        <w:t xml:space="preserve"> et 1.8.7.8.2</w:t>
      </w:r>
      <w:r w:rsidRPr="00CA3533">
        <w:rPr>
          <w:rFonts w:eastAsiaTheme="minorHAnsi"/>
          <w:lang w:val="fr-FR" w:eastAsia="en-US"/>
        </w:rPr>
        <w:t>;</w:t>
      </w:r>
    </w:p>
    <w:p w14:paraId="7CC32008"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une copie du certificat d’agrément de type ;</w:t>
      </w:r>
    </w:p>
    <w:p w14:paraId="64B0BBA7"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les procédures de fabrication, y compris les procédures d’essais ;</w:t>
      </w:r>
    </w:p>
    <w:p w14:paraId="6B1BF378"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les rapports de fabrication ;</w:t>
      </w:r>
    </w:p>
    <w:p w14:paraId="2A5841D3"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e)</w:t>
      </w:r>
      <w:r w:rsidRPr="00CA3533">
        <w:rPr>
          <w:rFonts w:eastAsiaTheme="minorHAnsi"/>
          <w:lang w:val="fr-FR" w:eastAsia="en-US"/>
        </w:rPr>
        <w:tab/>
        <w:t>les qualifications agréées du personnel chargé de l’assemblage permanent ;</w:t>
      </w:r>
    </w:p>
    <w:p w14:paraId="16E1FF9D"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f)</w:t>
      </w:r>
      <w:r w:rsidRPr="00CA3533">
        <w:rPr>
          <w:rFonts w:eastAsiaTheme="minorHAnsi"/>
          <w:lang w:val="fr-FR" w:eastAsia="en-US"/>
        </w:rPr>
        <w:tab/>
        <w:t xml:space="preserve">les qualifications agréées du personnel chargé des </w:t>
      </w:r>
      <w:r w:rsidRPr="00CA3533">
        <w:rPr>
          <w:rFonts w:eastAsiaTheme="minorHAnsi"/>
          <w:lang w:val="fr-FR" w:eastAsia="ar-SA"/>
        </w:rPr>
        <w:t>contrôles</w:t>
      </w:r>
      <w:r w:rsidRPr="00CA3533">
        <w:rPr>
          <w:rFonts w:eastAsiaTheme="minorHAnsi"/>
          <w:lang w:val="fr-FR" w:eastAsia="en-US"/>
        </w:rPr>
        <w:t xml:space="preserve"> non destructifs ;</w:t>
      </w:r>
    </w:p>
    <w:p w14:paraId="7717FA35"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g)</w:t>
      </w:r>
      <w:r w:rsidRPr="00CA3533">
        <w:rPr>
          <w:rFonts w:eastAsiaTheme="minorHAnsi"/>
          <w:lang w:val="fr-FR" w:eastAsia="en-US"/>
        </w:rPr>
        <w:tab/>
        <w:t xml:space="preserve">les procès-verbaux des essais destructifs et </w:t>
      </w:r>
      <w:r w:rsidRPr="00CA3533">
        <w:rPr>
          <w:rFonts w:eastAsiaTheme="minorHAnsi"/>
          <w:lang w:val="fr-FR" w:eastAsia="ar-SA"/>
        </w:rPr>
        <w:t>des contrôles</w:t>
      </w:r>
      <w:r w:rsidRPr="00CA3533">
        <w:rPr>
          <w:rFonts w:eastAsiaTheme="minorHAnsi"/>
          <w:lang w:val="fr-FR" w:eastAsia="en-US"/>
        </w:rPr>
        <w:t xml:space="preserve"> non destructifs ;</w:t>
      </w:r>
    </w:p>
    <w:p w14:paraId="6DE6AABA"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h)</w:t>
      </w:r>
      <w:r w:rsidRPr="00CA3533">
        <w:rPr>
          <w:rFonts w:eastAsiaTheme="minorHAnsi"/>
          <w:lang w:val="fr-FR" w:eastAsia="en-US"/>
        </w:rPr>
        <w:tab/>
        <w:t>les enregistrements des traitements thermiques ; et</w:t>
      </w:r>
    </w:p>
    <w:p w14:paraId="45309BEE"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i)</w:t>
      </w:r>
      <w:r w:rsidRPr="00CA3533">
        <w:rPr>
          <w:rFonts w:eastAsiaTheme="minorHAnsi"/>
          <w:lang w:val="fr-FR" w:eastAsia="en-US"/>
        </w:rPr>
        <w:tab/>
        <w:t>les rapports d’étalonnage.</w:t>
      </w:r>
    </w:p>
    <w:p w14:paraId="74DAC4C3" w14:textId="77777777" w:rsidR="00CA3533" w:rsidRPr="00CA3533" w:rsidRDefault="00CA3533" w:rsidP="00CA3533">
      <w:pPr>
        <w:spacing w:after="120"/>
        <w:ind w:left="2268" w:right="1134" w:hanging="1134"/>
        <w:jc w:val="both"/>
        <w:rPr>
          <w:rFonts w:eastAsiaTheme="minorHAnsi"/>
          <w:b/>
          <w:bCs/>
          <w:lang w:val="fr-FR" w:eastAsia="en-US"/>
        </w:rPr>
      </w:pPr>
      <w:bookmarkStart w:id="6" w:name="_Hlk77944055"/>
      <w:r w:rsidRPr="00CA3533">
        <w:rPr>
          <w:rFonts w:eastAsiaTheme="minorHAnsi"/>
          <w:lang w:val="fr-FR" w:eastAsia="en-US"/>
        </w:rPr>
        <w:t>1.8.7.</w:t>
      </w:r>
      <w:r w:rsidRPr="00CA3533">
        <w:rPr>
          <w:rFonts w:eastAsiaTheme="minorHAnsi"/>
          <w:lang w:val="fr-FR" w:eastAsia="ar-SA"/>
        </w:rPr>
        <w:t>8</w:t>
      </w:r>
      <w:r w:rsidRPr="00CA3533">
        <w:rPr>
          <w:rFonts w:eastAsiaTheme="minorHAnsi"/>
          <w:lang w:val="fr-FR" w:eastAsia="en-US"/>
        </w:rPr>
        <w:t>.</w:t>
      </w:r>
      <w:r w:rsidRPr="00CA3533">
        <w:rPr>
          <w:rFonts w:eastAsiaTheme="minorHAnsi"/>
          <w:lang w:val="fr-FR" w:eastAsia="ar-SA"/>
        </w:rPr>
        <w:t>4</w:t>
      </w:r>
      <w:r w:rsidRPr="00CA3533">
        <w:rPr>
          <w:rFonts w:eastAsiaTheme="minorHAnsi"/>
          <w:lang w:val="fr-FR" w:eastAsia="en-US"/>
        </w:rPr>
        <w:tab/>
      </w:r>
      <w:r w:rsidRPr="00CA3533">
        <w:rPr>
          <w:rFonts w:eastAsiaTheme="minorHAnsi"/>
          <w:i/>
          <w:iCs/>
          <w:lang w:val="fr-FR" w:eastAsia="en-US"/>
        </w:rPr>
        <w:t xml:space="preserve">Documents pour les contrôles </w:t>
      </w:r>
      <w:r w:rsidRPr="00CA3533">
        <w:rPr>
          <w:rFonts w:eastAsiaTheme="minorHAnsi"/>
          <w:i/>
          <w:iCs/>
          <w:lang w:val="fr-FR" w:eastAsia="ar-SA"/>
        </w:rPr>
        <w:t>et épreuves</w:t>
      </w:r>
      <w:r w:rsidRPr="00CA3533">
        <w:rPr>
          <w:rFonts w:eastAsiaTheme="minorHAnsi"/>
          <w:i/>
          <w:iCs/>
          <w:lang w:val="fr-FR" w:eastAsia="en-US"/>
        </w:rPr>
        <w:t xml:space="preserve"> initiaux</w:t>
      </w:r>
      <w:r w:rsidRPr="00CA3533">
        <w:rPr>
          <w:rFonts w:eastAsiaTheme="minorHAnsi"/>
          <w:i/>
          <w:iCs/>
          <w:lang w:val="fr-FR" w:eastAsia="ar-SA"/>
        </w:rPr>
        <w:t>, ainsi que pour la vérification de mise en service</w:t>
      </w:r>
    </w:p>
    <w:p w14:paraId="07BB5BBD"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 xml:space="preserve">Le </w:t>
      </w:r>
      <w:r w:rsidRPr="00CA3533">
        <w:rPr>
          <w:rFonts w:eastAsiaTheme="minorHAnsi"/>
          <w:lang w:val="fr-FR" w:eastAsia="ar-SA"/>
        </w:rPr>
        <w:t>fabricant pour les contrôles et épreuves initiaux, et le propriétaire ou l’exploitant pour la vérification de mise en service, doivent, selon qu’il convient </w:t>
      </w:r>
      <w:r w:rsidRPr="00CA3533">
        <w:rPr>
          <w:rFonts w:eastAsiaTheme="minorHAnsi"/>
          <w:lang w:val="fr-FR" w:eastAsia="en-US"/>
        </w:rPr>
        <w:t>:</w:t>
      </w:r>
    </w:p>
    <w:p w14:paraId="39BB0E8B"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les documents énumérés aux 1.8.7.</w:t>
      </w:r>
      <w:r w:rsidRPr="00CA3533">
        <w:rPr>
          <w:rFonts w:eastAsiaTheme="minorHAnsi"/>
          <w:lang w:val="fr-FR" w:eastAsia="ar-SA"/>
        </w:rPr>
        <w:t>8</w:t>
      </w:r>
      <w:r w:rsidRPr="00CA3533">
        <w:rPr>
          <w:rFonts w:eastAsiaTheme="minorHAnsi"/>
          <w:lang w:val="fr-FR" w:eastAsia="en-US"/>
        </w:rPr>
        <w:t>.1</w:t>
      </w:r>
      <w:r w:rsidRPr="00CA3533">
        <w:rPr>
          <w:rFonts w:eastAsiaTheme="minorHAnsi"/>
          <w:lang w:val="fr-FR" w:eastAsia="ar-SA"/>
        </w:rPr>
        <w:t>, 1.8.7.8.2,</w:t>
      </w:r>
      <w:r w:rsidRPr="00CA3533">
        <w:rPr>
          <w:rFonts w:eastAsiaTheme="minorHAnsi"/>
          <w:lang w:val="fr-FR" w:eastAsia="en-US"/>
        </w:rPr>
        <w:t xml:space="preserve"> et 1.8.7.</w:t>
      </w:r>
      <w:r w:rsidRPr="00CA3533">
        <w:rPr>
          <w:rFonts w:eastAsiaTheme="minorHAnsi"/>
          <w:lang w:val="fr-FR" w:eastAsia="ar-SA"/>
        </w:rPr>
        <w:t>8.3 ;</w:t>
      </w:r>
    </w:p>
    <w:p w14:paraId="5829BCC4"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 xml:space="preserve">les certificats des matériaux </w:t>
      </w:r>
      <w:r w:rsidRPr="00CA3533">
        <w:rPr>
          <w:rFonts w:eastAsiaTheme="minorHAnsi"/>
          <w:lang w:val="fr-FR" w:eastAsia="ar-SA"/>
        </w:rPr>
        <w:t xml:space="preserve">du matériel </w:t>
      </w:r>
      <w:r w:rsidRPr="00CA3533">
        <w:rPr>
          <w:rFonts w:eastAsiaTheme="minorHAnsi"/>
          <w:lang w:val="fr-FR" w:eastAsia="en-US"/>
        </w:rPr>
        <w:t>et de toute sous-partie</w:t>
      </w:r>
      <w:r w:rsidRPr="00CA3533">
        <w:rPr>
          <w:rFonts w:eastAsiaTheme="minorHAnsi"/>
          <w:lang w:val="fr-FR" w:eastAsia="ar-SA"/>
        </w:rPr>
        <w:t xml:space="preserve"> y compris les équipements de service ;</w:t>
      </w:r>
    </w:p>
    <w:p w14:paraId="543B95FA"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les certificats de conformité de</w:t>
      </w:r>
      <w:r w:rsidRPr="00CA3533">
        <w:rPr>
          <w:rFonts w:eastAsiaTheme="minorHAnsi"/>
          <w:lang w:val="fr-FR" w:eastAsia="ar-SA"/>
        </w:rPr>
        <w:t>s</w:t>
      </w:r>
      <w:r w:rsidRPr="00CA3533">
        <w:rPr>
          <w:rFonts w:eastAsiaTheme="minorHAnsi"/>
          <w:lang w:val="fr-FR" w:eastAsia="en-US"/>
        </w:rPr>
        <w:t xml:space="preserve"> équipement</w:t>
      </w:r>
      <w:r w:rsidRPr="00CA3533">
        <w:rPr>
          <w:rFonts w:eastAsiaTheme="minorHAnsi"/>
          <w:lang w:val="fr-FR" w:eastAsia="ar-SA"/>
        </w:rPr>
        <w:t>s</w:t>
      </w:r>
      <w:r w:rsidRPr="00CA3533">
        <w:rPr>
          <w:rFonts w:eastAsiaTheme="minorHAnsi"/>
          <w:lang w:val="fr-FR" w:eastAsia="en-US"/>
        </w:rPr>
        <w:t xml:space="preserve"> de service ; et</w:t>
      </w:r>
    </w:p>
    <w:p w14:paraId="0CF56B72"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 xml:space="preserve">une déclaration de conformité comportant la description </w:t>
      </w:r>
      <w:r w:rsidRPr="00CA3533">
        <w:rPr>
          <w:rFonts w:eastAsiaTheme="minorHAnsi"/>
          <w:lang w:val="fr-FR" w:eastAsia="ar-SA"/>
        </w:rPr>
        <w:t xml:space="preserve">du matériel </w:t>
      </w:r>
      <w:r w:rsidRPr="00CA3533">
        <w:rPr>
          <w:rFonts w:eastAsiaTheme="minorHAnsi"/>
          <w:lang w:val="fr-FR" w:eastAsia="en-US"/>
        </w:rPr>
        <w:t>et de toutes les variantes adoptées depuis l’agrément de type.</w:t>
      </w:r>
      <w:bookmarkEnd w:id="6"/>
    </w:p>
    <w:p w14:paraId="3E279CCD" w14:textId="77777777" w:rsidR="00CA3533" w:rsidRPr="00CA3533" w:rsidRDefault="00CA3533" w:rsidP="00CA3533">
      <w:pPr>
        <w:spacing w:after="120"/>
        <w:ind w:left="2268" w:right="1134" w:hanging="1134"/>
        <w:jc w:val="both"/>
        <w:rPr>
          <w:rFonts w:eastAsiaTheme="minorHAnsi"/>
          <w:i/>
          <w:iCs/>
          <w:lang w:val="fr-FR" w:eastAsia="en-US"/>
        </w:rPr>
      </w:pPr>
      <w:r w:rsidRPr="00CA3533">
        <w:rPr>
          <w:rFonts w:eastAsiaTheme="minorHAnsi"/>
          <w:lang w:val="fr-FR" w:eastAsia="en-US"/>
        </w:rPr>
        <w:t>1.8.7.</w:t>
      </w:r>
      <w:r w:rsidRPr="00CA3533">
        <w:rPr>
          <w:rFonts w:eastAsiaTheme="minorHAnsi"/>
          <w:lang w:val="fr-FR" w:eastAsia="ar-SA"/>
        </w:rPr>
        <w:t>8</w:t>
      </w:r>
      <w:r w:rsidRPr="00CA3533">
        <w:rPr>
          <w:rFonts w:eastAsiaTheme="minorHAnsi"/>
          <w:lang w:val="fr-FR" w:eastAsia="en-US"/>
        </w:rPr>
        <w:t>.</w:t>
      </w:r>
      <w:r w:rsidRPr="00CA3533">
        <w:rPr>
          <w:rFonts w:eastAsiaTheme="minorHAnsi"/>
          <w:lang w:val="fr-FR" w:eastAsia="ar-SA"/>
        </w:rPr>
        <w:t>5</w:t>
      </w:r>
      <w:r w:rsidRPr="00CA3533">
        <w:rPr>
          <w:rFonts w:eastAsiaTheme="minorHAnsi"/>
          <w:lang w:val="fr-FR" w:eastAsia="en-US"/>
        </w:rPr>
        <w:tab/>
      </w:r>
      <w:r w:rsidRPr="00CA3533">
        <w:rPr>
          <w:rFonts w:eastAsiaTheme="minorHAnsi"/>
          <w:i/>
          <w:iCs/>
          <w:lang w:val="fr-FR" w:eastAsia="en-US"/>
        </w:rPr>
        <w:t>Documents pour les contrôles périodiques, les contrôles intermédiaires et les contrôles exceptionnels</w:t>
      </w:r>
    </w:p>
    <w:p w14:paraId="10B73AA5"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 xml:space="preserve">Le </w:t>
      </w:r>
      <w:r w:rsidRPr="00CA3533">
        <w:rPr>
          <w:rFonts w:eastAsiaTheme="minorHAnsi"/>
          <w:lang w:val="fr-FR" w:eastAsia="ar-SA"/>
        </w:rPr>
        <w:t>propriétaire ou l’exploitant, ou son représentant autorisé</w:t>
      </w:r>
      <w:r w:rsidRPr="00CA3533">
        <w:rPr>
          <w:rFonts w:eastAsiaTheme="minorHAnsi"/>
          <w:lang w:val="fr-FR" w:eastAsia="en-US"/>
        </w:rPr>
        <w:t xml:space="preserve"> </w:t>
      </w:r>
      <w:r w:rsidRPr="00CA3533">
        <w:rPr>
          <w:rFonts w:eastAsiaTheme="minorHAnsi"/>
          <w:lang w:val="fr-FR" w:eastAsia="ar-SA"/>
        </w:rPr>
        <w:t>doit fournir, selon qu’il convient </w:t>
      </w:r>
      <w:r w:rsidRPr="00CA3533">
        <w:rPr>
          <w:rFonts w:eastAsiaTheme="minorHAnsi"/>
          <w:lang w:val="fr-FR" w:eastAsia="en-US"/>
        </w:rPr>
        <w:t>:</w:t>
      </w:r>
    </w:p>
    <w:p w14:paraId="60517B12"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pour les récipients à pression, les documents énonçant des prescriptions spéciales lorsque les normes relatives à la construction et aux contrôles et épreuves périodiques l’imposent ;</w:t>
      </w:r>
    </w:p>
    <w:p w14:paraId="30EB450C"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pour les citernes :</w:t>
      </w:r>
    </w:p>
    <w:p w14:paraId="4CC4993A" w14:textId="77777777" w:rsidR="00CA3533" w:rsidRPr="00CA3533" w:rsidRDefault="00CA3533" w:rsidP="00CA3533">
      <w:pPr>
        <w:spacing w:after="120"/>
        <w:ind w:left="3402" w:right="1134" w:hanging="567"/>
        <w:jc w:val="both"/>
        <w:rPr>
          <w:rFonts w:eastAsiaTheme="minorHAnsi"/>
          <w:lang w:val="fr-FR" w:eastAsia="en-US"/>
        </w:rPr>
      </w:pPr>
      <w:r w:rsidRPr="00CA3533">
        <w:rPr>
          <w:rFonts w:eastAsiaTheme="minorHAnsi"/>
          <w:lang w:val="fr-FR" w:eastAsia="en-US"/>
        </w:rPr>
        <w:t>i)</w:t>
      </w:r>
      <w:r w:rsidRPr="00CA3533">
        <w:rPr>
          <w:rFonts w:eastAsiaTheme="minorHAnsi"/>
          <w:lang w:val="fr-FR" w:eastAsia="en-US"/>
        </w:rPr>
        <w:tab/>
        <w:t>le dossier de citerne ; et</w:t>
      </w:r>
    </w:p>
    <w:p w14:paraId="2D3724EE" w14:textId="77777777" w:rsidR="00CA3533" w:rsidRPr="00CA3533" w:rsidRDefault="00CA3533" w:rsidP="00CA3533">
      <w:pPr>
        <w:spacing w:after="120"/>
        <w:ind w:left="3402" w:right="1134" w:hanging="567"/>
        <w:jc w:val="both"/>
        <w:rPr>
          <w:rFonts w:eastAsiaTheme="minorHAnsi"/>
          <w:lang w:val="fr-FR" w:eastAsia="en-US"/>
        </w:rPr>
      </w:pPr>
      <w:r w:rsidRPr="00CA3533">
        <w:rPr>
          <w:rFonts w:eastAsiaTheme="minorHAnsi"/>
          <w:lang w:val="fr-FR" w:eastAsia="en-US"/>
        </w:rPr>
        <w:t>ii)</w:t>
      </w:r>
      <w:r w:rsidRPr="00CA3533">
        <w:rPr>
          <w:rFonts w:eastAsiaTheme="minorHAnsi"/>
          <w:lang w:val="fr-FR" w:eastAsia="en-US"/>
        </w:rPr>
        <w:tab/>
      </w:r>
      <w:r w:rsidRPr="00CA3533">
        <w:rPr>
          <w:rFonts w:eastAsiaTheme="minorHAnsi"/>
          <w:lang w:val="fr-FR" w:eastAsia="ar-SA"/>
        </w:rPr>
        <w:t>tout</w:t>
      </w:r>
      <w:r w:rsidRPr="00CA3533">
        <w:rPr>
          <w:rFonts w:eastAsiaTheme="minorHAnsi"/>
          <w:lang w:val="fr-FR" w:eastAsia="en-US"/>
        </w:rPr>
        <w:t xml:space="preserve"> document </w:t>
      </w:r>
      <w:r w:rsidRPr="00CA3533">
        <w:rPr>
          <w:rFonts w:eastAsiaTheme="minorHAnsi"/>
          <w:lang w:val="fr-FR" w:eastAsia="ar-SA"/>
        </w:rPr>
        <w:t xml:space="preserve">pertinent </w:t>
      </w:r>
      <w:r w:rsidRPr="00CA3533">
        <w:rPr>
          <w:rFonts w:eastAsiaTheme="minorHAnsi"/>
          <w:lang w:val="fr-FR" w:eastAsia="en-US"/>
        </w:rPr>
        <w:t>mentionné aux 1.8.7.</w:t>
      </w:r>
      <w:r w:rsidRPr="00CA3533">
        <w:rPr>
          <w:rFonts w:eastAsiaTheme="minorHAnsi"/>
          <w:lang w:val="fr-FR" w:eastAsia="ar-SA"/>
        </w:rPr>
        <w:t>8</w:t>
      </w:r>
      <w:r w:rsidRPr="00CA3533">
        <w:rPr>
          <w:rFonts w:eastAsiaTheme="minorHAnsi"/>
          <w:lang w:val="fr-FR" w:eastAsia="en-US"/>
        </w:rPr>
        <w:t>.1 à 1.8.7.</w:t>
      </w:r>
      <w:r w:rsidRPr="00CA3533">
        <w:rPr>
          <w:rFonts w:eastAsiaTheme="minorHAnsi"/>
          <w:lang w:val="fr-FR" w:eastAsia="ar-SA"/>
        </w:rPr>
        <w:t>8</w:t>
      </w:r>
      <w:r w:rsidRPr="00CA3533">
        <w:rPr>
          <w:rFonts w:eastAsiaTheme="minorHAnsi"/>
          <w:lang w:val="fr-FR" w:eastAsia="en-US"/>
        </w:rPr>
        <w:t>.</w:t>
      </w:r>
      <w:r w:rsidRPr="00CA3533">
        <w:rPr>
          <w:rFonts w:eastAsiaTheme="minorHAnsi"/>
          <w:lang w:val="fr-FR" w:eastAsia="ar-SA"/>
        </w:rPr>
        <w:t>4 si l’organisme de contrôle le demande</w:t>
      </w:r>
      <w:r w:rsidRPr="00CA3533">
        <w:rPr>
          <w:rFonts w:eastAsiaTheme="minorHAnsi"/>
          <w:lang w:val="fr-FR" w:eastAsia="en-US"/>
        </w:rPr>
        <w:t>.</w:t>
      </w:r>
    </w:p>
    <w:p w14:paraId="379096A7" w14:textId="77777777" w:rsidR="00CA3533" w:rsidRPr="00CA3533" w:rsidRDefault="00CA3533" w:rsidP="00CA3533">
      <w:pPr>
        <w:spacing w:after="120"/>
        <w:ind w:left="2268" w:right="1134" w:hanging="1134"/>
        <w:jc w:val="both"/>
        <w:rPr>
          <w:rFonts w:eastAsiaTheme="minorHAnsi"/>
          <w:bCs/>
          <w:lang w:val="fr-FR" w:eastAsia="en-US"/>
        </w:rPr>
      </w:pPr>
      <w:r w:rsidRPr="00CA3533">
        <w:rPr>
          <w:rFonts w:eastAsiaTheme="minorHAnsi"/>
          <w:lang w:val="fr-FR" w:eastAsia="en-US"/>
        </w:rPr>
        <w:t>1.8.7.</w:t>
      </w:r>
      <w:r w:rsidRPr="00CA3533">
        <w:rPr>
          <w:rFonts w:eastAsiaTheme="minorHAnsi"/>
          <w:lang w:val="fr-FR" w:eastAsia="ar-SA"/>
        </w:rPr>
        <w:t>8</w:t>
      </w:r>
      <w:r w:rsidRPr="00CA3533">
        <w:rPr>
          <w:rFonts w:eastAsiaTheme="minorHAnsi"/>
          <w:lang w:val="fr-FR" w:eastAsia="en-US"/>
        </w:rPr>
        <w:t>.</w:t>
      </w:r>
      <w:r w:rsidRPr="00CA3533">
        <w:rPr>
          <w:rFonts w:eastAsiaTheme="minorHAnsi"/>
          <w:lang w:val="fr-FR" w:eastAsia="ar-SA"/>
        </w:rPr>
        <w:t>6</w:t>
      </w:r>
      <w:r w:rsidRPr="00CA3533">
        <w:rPr>
          <w:rFonts w:eastAsiaTheme="minorHAnsi"/>
          <w:lang w:val="fr-FR" w:eastAsia="en-US"/>
        </w:rPr>
        <w:tab/>
      </w:r>
      <w:r w:rsidRPr="00CA3533">
        <w:rPr>
          <w:rFonts w:eastAsiaTheme="minorHAnsi"/>
          <w:i/>
          <w:iCs/>
          <w:lang w:val="fr-FR" w:eastAsia="en-US"/>
        </w:rPr>
        <w:t xml:space="preserve">Documents pour </w:t>
      </w:r>
      <w:r w:rsidRPr="00CA3533">
        <w:rPr>
          <w:rFonts w:eastAsiaTheme="minorHAnsi"/>
          <w:i/>
          <w:lang w:val="fr-FR" w:eastAsia="ar-SA"/>
        </w:rPr>
        <w:t>la supervision</w:t>
      </w:r>
      <w:r w:rsidRPr="00CA3533">
        <w:rPr>
          <w:rFonts w:eastAsiaTheme="minorHAnsi"/>
          <w:i/>
          <w:iCs/>
          <w:lang w:val="fr-FR" w:eastAsia="en-US"/>
        </w:rPr>
        <w:t xml:space="preserve"> du service interne d’inspection</w:t>
      </w:r>
    </w:p>
    <w:p w14:paraId="40F0567D"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 xml:space="preserve">Le service interne d’inspection doit </w:t>
      </w:r>
      <w:r w:rsidRPr="00CA3533">
        <w:rPr>
          <w:rFonts w:eastAsiaTheme="minorHAnsi"/>
          <w:lang w:val="fr-FR" w:eastAsia="ar-SA"/>
        </w:rPr>
        <w:t>fournir</w:t>
      </w:r>
      <w:r w:rsidRPr="00CA3533">
        <w:rPr>
          <w:rFonts w:eastAsiaTheme="minorHAnsi"/>
          <w:lang w:val="fr-FR" w:eastAsia="en-US"/>
        </w:rPr>
        <w:t xml:space="preserve"> la documentation relative au système qualité selon qu’il convient :</w:t>
      </w:r>
    </w:p>
    <w:p w14:paraId="5F32E0BC"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la structure organisationnelle et les responsabilités ;</w:t>
      </w:r>
    </w:p>
    <w:p w14:paraId="3DE478A5"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 xml:space="preserve">les règles concernant les contrôles et </w:t>
      </w:r>
      <w:r w:rsidRPr="00CA3533">
        <w:rPr>
          <w:rFonts w:eastAsiaTheme="minorHAnsi"/>
          <w:lang w:val="fr-FR" w:eastAsia="ar-SA"/>
        </w:rPr>
        <w:t>épreuves</w:t>
      </w:r>
      <w:r w:rsidRPr="00CA3533">
        <w:rPr>
          <w:rFonts w:eastAsiaTheme="minorHAnsi"/>
          <w:lang w:val="fr-FR" w:eastAsia="en-US"/>
        </w:rPr>
        <w:t>, le contrôle qualité, l’assurance-qualité et les modes opératoires ainsi que les mesures systématiques qui seront utilisées ;</w:t>
      </w:r>
    </w:p>
    <w:p w14:paraId="00F51E73"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 xml:space="preserve">les relevés d’évaluation de la qualité, tels que </w:t>
      </w:r>
      <w:r w:rsidRPr="00CA3533">
        <w:rPr>
          <w:rFonts w:eastAsiaTheme="minorHAnsi"/>
          <w:lang w:val="fr-FR" w:eastAsia="ar-SA"/>
        </w:rPr>
        <w:t>procès-verbaux</w:t>
      </w:r>
      <w:r w:rsidRPr="00CA3533">
        <w:rPr>
          <w:rFonts w:eastAsiaTheme="minorHAnsi"/>
          <w:lang w:val="fr-FR" w:eastAsia="en-US"/>
        </w:rPr>
        <w:t xml:space="preserve"> de contrôle, données d’épreuve et données d’étalonnage, et des certificats ;</w:t>
      </w:r>
    </w:p>
    <w:p w14:paraId="569DC059"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 xml:space="preserve">l’évaluation par la direction de l’efficacité du système qualité sur la base des résultats des audits </w:t>
      </w:r>
      <w:r w:rsidRPr="00CA3533">
        <w:rPr>
          <w:rFonts w:eastAsiaTheme="minorHAnsi"/>
          <w:lang w:val="fr-FR" w:eastAsia="ar-SA"/>
        </w:rPr>
        <w:t xml:space="preserve">sur site </w:t>
      </w:r>
      <w:r w:rsidRPr="00CA3533">
        <w:rPr>
          <w:rFonts w:eastAsiaTheme="minorHAnsi"/>
          <w:lang w:val="fr-FR" w:eastAsia="en-US"/>
        </w:rPr>
        <w:t>conformément au 1.8.7.</w:t>
      </w:r>
      <w:r w:rsidRPr="00CA3533">
        <w:rPr>
          <w:rFonts w:eastAsiaTheme="minorHAnsi"/>
          <w:lang w:val="fr-FR" w:eastAsia="ar-SA"/>
        </w:rPr>
        <w:t>7 ;</w:t>
      </w:r>
    </w:p>
    <w:p w14:paraId="7CE8F45D"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lastRenderedPageBreak/>
        <w:t>e)</w:t>
      </w:r>
      <w:r w:rsidRPr="00CA3533">
        <w:rPr>
          <w:rFonts w:eastAsiaTheme="minorHAnsi"/>
          <w:lang w:val="fr-FR" w:eastAsia="en-US"/>
        </w:rPr>
        <w:tab/>
        <w:t>la procédure décrivant comment il est satisfait aux exigences des clients et des règlements ;</w:t>
      </w:r>
    </w:p>
    <w:p w14:paraId="0FF39DE2"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f)</w:t>
      </w:r>
      <w:r w:rsidRPr="00CA3533">
        <w:rPr>
          <w:rFonts w:eastAsiaTheme="minorHAnsi"/>
          <w:lang w:val="fr-FR" w:eastAsia="en-US"/>
        </w:rPr>
        <w:tab/>
        <w:t>la procédure de contrôle des documents et de leur révision ;</w:t>
      </w:r>
    </w:p>
    <w:p w14:paraId="0FFC9197"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g)</w:t>
      </w:r>
      <w:r w:rsidRPr="00CA3533">
        <w:rPr>
          <w:rFonts w:eastAsiaTheme="minorHAnsi"/>
          <w:lang w:val="fr-FR" w:eastAsia="en-US"/>
        </w:rPr>
        <w:tab/>
        <w:t xml:space="preserve">les procédures à suivre pour les </w:t>
      </w:r>
      <w:r w:rsidRPr="00CA3533">
        <w:rPr>
          <w:rFonts w:eastAsiaTheme="minorHAnsi"/>
          <w:lang w:val="fr-FR" w:eastAsia="ar-SA"/>
        </w:rPr>
        <w:t>matériels</w:t>
      </w:r>
      <w:r w:rsidRPr="00CA3533">
        <w:rPr>
          <w:rFonts w:eastAsiaTheme="minorHAnsi"/>
          <w:lang w:val="fr-FR" w:eastAsia="en-US"/>
        </w:rPr>
        <w:t xml:space="preserve"> non conformes ; et</w:t>
      </w:r>
    </w:p>
    <w:p w14:paraId="676A00F4"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h)</w:t>
      </w:r>
      <w:r w:rsidRPr="00CA3533">
        <w:rPr>
          <w:rFonts w:eastAsiaTheme="minorHAnsi"/>
          <w:lang w:val="fr-FR" w:eastAsia="en-US"/>
        </w:rPr>
        <w:tab/>
        <w:t>des programmes de formation et procédures de qualification s’appliquant au personnel. »</w:t>
      </w:r>
    </w:p>
    <w:p w14:paraId="68B38C32" w14:textId="77777777" w:rsidR="00CA3533" w:rsidRPr="00CA3533" w:rsidRDefault="00CA3533" w:rsidP="00CA3533">
      <w:pPr>
        <w:tabs>
          <w:tab w:val="left" w:pos="2268"/>
        </w:tabs>
        <w:spacing w:after="120"/>
        <w:ind w:left="1134" w:right="1134"/>
        <w:jc w:val="both"/>
        <w:rPr>
          <w:rFonts w:eastAsiaTheme="minorHAnsi"/>
          <w:lang w:val="fr-FR" w:eastAsia="en-US"/>
        </w:rPr>
      </w:pPr>
      <w:r w:rsidRPr="00CA3533">
        <w:rPr>
          <w:rFonts w:eastAsiaTheme="minorHAnsi"/>
          <w:lang w:val="fr-FR" w:eastAsia="en-US"/>
        </w:rPr>
        <w:t>1.8.8 a)</w:t>
      </w:r>
      <w:r w:rsidRPr="00CA3533">
        <w:rPr>
          <w:rFonts w:eastAsiaTheme="minorHAnsi"/>
          <w:lang w:val="fr-FR" w:eastAsia="en-US"/>
        </w:rPr>
        <w:tab/>
        <w:t>Remplacer « 1.8.7.5 » par « 1.8.7.6 ».</w:t>
      </w:r>
    </w:p>
    <w:p w14:paraId="4B164829" w14:textId="02249B6E" w:rsidR="00CA3533" w:rsidRPr="00CA3533" w:rsidRDefault="00CA3533" w:rsidP="00CA3533">
      <w:pPr>
        <w:tabs>
          <w:tab w:val="left" w:pos="2268"/>
        </w:tabs>
        <w:spacing w:after="120"/>
        <w:ind w:left="2268" w:right="1134" w:hanging="1134"/>
        <w:jc w:val="both"/>
        <w:rPr>
          <w:rFonts w:eastAsiaTheme="minorHAnsi"/>
          <w:lang w:val="fr-FR" w:eastAsia="en-US"/>
        </w:rPr>
      </w:pPr>
      <w:r w:rsidRPr="00CA3533">
        <w:rPr>
          <w:rFonts w:eastAsiaTheme="minorHAnsi"/>
          <w:lang w:val="fr-FR" w:eastAsia="en-US"/>
        </w:rPr>
        <w:t>1.8.8.1.1</w:t>
      </w:r>
      <w:r w:rsidRPr="00CA3533">
        <w:rPr>
          <w:rFonts w:eastAsiaTheme="minorHAnsi"/>
          <w:lang w:val="fr-FR" w:eastAsia="en-US"/>
        </w:rPr>
        <w:tab/>
      </w:r>
      <w:r w:rsidR="00A802F4">
        <w:rPr>
          <w:rFonts w:eastAsiaTheme="minorHAnsi"/>
          <w:lang w:val="fr-FR" w:eastAsia="en-US"/>
        </w:rPr>
        <w:t xml:space="preserve">Dans la première </w:t>
      </w:r>
      <w:r w:rsidR="000A3220">
        <w:rPr>
          <w:rFonts w:eastAsiaTheme="minorHAnsi"/>
          <w:lang w:val="fr-FR" w:eastAsia="en-US"/>
        </w:rPr>
        <w:t>phrase, r</w:t>
      </w:r>
      <w:r w:rsidR="000A3220" w:rsidRPr="00CA3533">
        <w:rPr>
          <w:rFonts w:eastAsiaTheme="minorHAnsi"/>
          <w:lang w:val="fr-FR" w:eastAsia="en-US"/>
        </w:rPr>
        <w:t xml:space="preserve">emplacer </w:t>
      </w:r>
      <w:r w:rsidRPr="00CA3533">
        <w:rPr>
          <w:rFonts w:eastAsiaTheme="minorHAnsi"/>
          <w:lang w:val="fr-FR" w:eastAsia="en-US"/>
        </w:rPr>
        <w:t>« un organisme IS agréé » par « un IS autorisé » et « des organismes Xa et IS » par « de Xa et IS ».</w:t>
      </w:r>
    </w:p>
    <w:p w14:paraId="30DB193F" w14:textId="77777777" w:rsidR="00CA3533" w:rsidRPr="00CA3533" w:rsidRDefault="00CA3533" w:rsidP="00CA3533">
      <w:pPr>
        <w:tabs>
          <w:tab w:val="left" w:pos="2268"/>
        </w:tabs>
        <w:spacing w:after="120"/>
        <w:ind w:left="2268" w:right="1134" w:hanging="1134"/>
        <w:jc w:val="both"/>
        <w:rPr>
          <w:rFonts w:eastAsiaTheme="minorHAnsi"/>
          <w:lang w:val="fr-FR" w:eastAsia="en-US"/>
        </w:rPr>
      </w:pPr>
      <w:r w:rsidRPr="00CA3533">
        <w:rPr>
          <w:rFonts w:eastAsiaTheme="minorHAnsi"/>
          <w:lang w:val="fr-FR" w:eastAsia="en-US"/>
        </w:rPr>
        <w:t>1.8.8.1.4</w:t>
      </w:r>
      <w:r w:rsidRPr="00CA3533">
        <w:rPr>
          <w:rFonts w:eastAsiaTheme="minorHAnsi"/>
          <w:lang w:val="fr-FR" w:eastAsia="en-US"/>
        </w:rPr>
        <w:tab/>
        <w:t>Remplacer « 1.8.7.6, à l’exception des 1.8.7.6.1 d) et 1.8.7.6.2 b) » par « 1.8.7.7, à l’exception des 1.8.7.7.1 d) et 1.8.7.7.2 b) ».</w:t>
      </w:r>
    </w:p>
    <w:p w14:paraId="6064633F" w14:textId="516B70A6" w:rsidR="00CA3533" w:rsidRPr="00CA3533" w:rsidRDefault="00CA3533" w:rsidP="00CA3533">
      <w:pPr>
        <w:tabs>
          <w:tab w:val="left" w:pos="2268"/>
        </w:tabs>
        <w:spacing w:after="120"/>
        <w:ind w:left="2268" w:right="1134" w:hanging="1134"/>
        <w:jc w:val="both"/>
        <w:rPr>
          <w:rFonts w:eastAsiaTheme="minorHAnsi"/>
          <w:lang w:val="fr-FR" w:eastAsia="en-US"/>
        </w:rPr>
      </w:pPr>
      <w:r w:rsidRPr="00CA3533">
        <w:rPr>
          <w:rFonts w:eastAsiaTheme="minorHAnsi"/>
          <w:lang w:val="fr-FR" w:eastAsia="en-US"/>
        </w:rPr>
        <w:t>1.8.8.6</w:t>
      </w:r>
      <w:r w:rsidRPr="00CA3533">
        <w:rPr>
          <w:rFonts w:eastAsiaTheme="minorHAnsi"/>
          <w:lang w:val="fr-FR" w:eastAsia="en-US"/>
        </w:rPr>
        <w:tab/>
      </w:r>
      <w:r w:rsidR="00674335">
        <w:rPr>
          <w:rFonts w:eastAsiaTheme="minorHAnsi"/>
          <w:lang w:val="fr-FR" w:eastAsia="en-US"/>
        </w:rPr>
        <w:t>Dans la première phrase, r</w:t>
      </w:r>
      <w:r w:rsidR="00674335" w:rsidRPr="00CA3533">
        <w:rPr>
          <w:rFonts w:eastAsiaTheme="minorHAnsi"/>
          <w:lang w:val="fr-FR" w:eastAsia="en-US"/>
        </w:rPr>
        <w:t xml:space="preserve">emplacer </w:t>
      </w:r>
      <w:r w:rsidRPr="00CA3533">
        <w:rPr>
          <w:rFonts w:eastAsiaTheme="minorHAnsi"/>
          <w:lang w:val="fr-FR" w:eastAsia="en-US"/>
        </w:rPr>
        <w:t>« 1.8.7.6, à l’exception des 1.8.7.6.1 d) et 1.8.7.6.2 b) » par « 1.8.7.7, à l’exception des 1.8.7.7.1 d) et 1.8.7.7.2 b) ».</w:t>
      </w:r>
    </w:p>
    <w:p w14:paraId="06404E2B" w14:textId="77777777" w:rsidR="00CA3533" w:rsidRPr="00CA3533" w:rsidRDefault="00CA3533" w:rsidP="00CA3533">
      <w:pPr>
        <w:tabs>
          <w:tab w:val="left" w:pos="2268"/>
        </w:tabs>
        <w:spacing w:after="120"/>
        <w:ind w:left="2268" w:right="1134" w:hanging="1134"/>
        <w:jc w:val="both"/>
        <w:rPr>
          <w:rFonts w:eastAsiaTheme="minorHAnsi"/>
          <w:lang w:val="fr-FR" w:eastAsia="en-US"/>
        </w:rPr>
      </w:pPr>
      <w:r w:rsidRPr="00CA3533">
        <w:rPr>
          <w:rFonts w:eastAsiaTheme="minorHAnsi"/>
          <w:lang w:val="fr-FR" w:eastAsia="en-US"/>
        </w:rPr>
        <w:t>1.8.8.7</w:t>
      </w:r>
      <w:r w:rsidRPr="00CA3533">
        <w:rPr>
          <w:rFonts w:eastAsiaTheme="minorHAnsi"/>
          <w:lang w:val="fr-FR" w:eastAsia="en-US"/>
        </w:rPr>
        <w:tab/>
        <w:t>Remplacer « 1.8.7.7.1, 1.8.7.7.2, 1.8.7.7.3 et 1.8.7.7.5 » par « 1.8.7.8.1, 1.8.7.8.2, 1.8.7.8.3, 1.8.7.8.4 et 1.8.7.8.6 ».</w:t>
      </w:r>
    </w:p>
    <w:p w14:paraId="5C3D23C3" w14:textId="77777777" w:rsidR="00CA3533" w:rsidRPr="00CA3533" w:rsidRDefault="00CA3533" w:rsidP="00CA3533">
      <w:pPr>
        <w:keepNext/>
        <w:keepLines/>
        <w:tabs>
          <w:tab w:val="right" w:pos="851"/>
        </w:tabs>
        <w:spacing w:before="360" w:after="240" w:line="270" w:lineRule="exact"/>
        <w:ind w:right="1134"/>
        <w:rPr>
          <w:b/>
          <w:sz w:val="24"/>
          <w:lang w:val="fr-FR"/>
        </w:rPr>
      </w:pPr>
      <w:r w:rsidRPr="00CA3533">
        <w:rPr>
          <w:b/>
          <w:sz w:val="24"/>
          <w:lang w:val="fr-FR"/>
        </w:rPr>
        <w:tab/>
      </w:r>
      <w:r w:rsidRPr="00CA3533">
        <w:rPr>
          <w:b/>
          <w:sz w:val="24"/>
          <w:lang w:val="fr-FR"/>
        </w:rPr>
        <w:tab/>
        <w:t>Chapitre 1.9</w:t>
      </w:r>
    </w:p>
    <w:p w14:paraId="31B3BF56" w14:textId="4E078775" w:rsidR="00EF5392" w:rsidRDefault="00EF5392" w:rsidP="00EF5392">
      <w:pPr>
        <w:pStyle w:val="SingleTxtG"/>
        <w:ind w:left="2268" w:hanging="1134"/>
        <w:jc w:val="left"/>
      </w:pPr>
      <w:r>
        <w:rPr>
          <w:lang w:val="fr-FR"/>
        </w:rPr>
        <w:t>1.9.4</w:t>
      </w:r>
      <w:r>
        <w:rPr>
          <w:lang w:val="fr-FR"/>
        </w:rPr>
        <w:tab/>
        <w:t>Dans la note de bas de page 1, remplacer « </w:t>
      </w:r>
      <w:r w:rsidRPr="006C7694">
        <w:rPr>
          <w:i/>
          <w:iCs/>
        </w:rPr>
        <w:t>(http://www.unece.org/trans/danger/danger.htm</w:t>
      </w:r>
      <w:r>
        <w:rPr>
          <w:i/>
          <w:iCs/>
        </w:rPr>
        <w:t>l</w:t>
      </w:r>
      <w:r w:rsidRPr="006C7694">
        <w:rPr>
          <w:i/>
          <w:iCs/>
        </w:rPr>
        <w:t>)</w:t>
      </w:r>
      <w:r>
        <w:rPr>
          <w:lang w:val="fr-FR"/>
        </w:rPr>
        <w:t> » par « </w:t>
      </w:r>
      <w:r w:rsidRPr="009A0626">
        <w:rPr>
          <w:i/>
          <w:iCs/>
        </w:rPr>
        <w:t>(</w:t>
      </w:r>
      <w:r w:rsidR="00877DEB" w:rsidRPr="00877DEB">
        <w:rPr>
          <w:i/>
          <w:iCs/>
        </w:rPr>
        <w:t>https://unece.org/guidelines-telematics-application-standards-construction-and-approval-vehicles-calculation-risks</w:t>
      </w:r>
      <w:r w:rsidRPr="003D76A9">
        <w:rPr>
          <w:i/>
          <w:iCs/>
        </w:rPr>
        <w:t>)</w:t>
      </w:r>
      <w:r>
        <w:rPr>
          <w:lang w:val="fr-FR"/>
        </w:rPr>
        <w:t> ».</w:t>
      </w:r>
    </w:p>
    <w:p w14:paraId="1EEF25B5" w14:textId="77777777" w:rsidR="002D4BE7" w:rsidRDefault="00CA3533">
      <w:pPr>
        <w:spacing w:after="120"/>
        <w:ind w:left="2268" w:right="1134" w:hanging="1134"/>
        <w:jc w:val="both"/>
        <w:rPr>
          <w:lang w:val="fr-FR"/>
        </w:rPr>
      </w:pPr>
      <w:r w:rsidRPr="00CA3533">
        <w:rPr>
          <w:lang w:val="fr-FR"/>
        </w:rPr>
        <w:t>1.9.4</w:t>
      </w:r>
      <w:r w:rsidRPr="00CA3533">
        <w:rPr>
          <w:lang w:val="fr-FR"/>
        </w:rPr>
        <w:tab/>
        <w:t>Après la référence à la note de bas de page 1, ajouter une référence une nouvelle note de bas de page 2 ainsi conçue :</w:t>
      </w:r>
    </w:p>
    <w:p w14:paraId="65CA54AC" w14:textId="5D2CE8E3" w:rsidR="00CA3533" w:rsidRDefault="00CA3533" w:rsidP="002D4BE7">
      <w:pPr>
        <w:spacing w:after="120"/>
        <w:ind w:left="2268" w:right="1134" w:hanging="1134"/>
        <w:jc w:val="both"/>
        <w:rPr>
          <w:lang w:val="fr-FR"/>
        </w:rPr>
      </w:pPr>
      <w:r w:rsidRPr="00CA3533">
        <w:rPr>
          <w:lang w:val="fr-FR"/>
        </w:rPr>
        <w:t xml:space="preserve">« </w:t>
      </w:r>
      <w:r w:rsidRPr="00CA3533">
        <w:rPr>
          <w:b/>
          <w:bCs/>
          <w:vertAlign w:val="superscript"/>
          <w:lang w:val="fr-FR"/>
        </w:rPr>
        <w:t>2</w:t>
      </w:r>
      <w:r w:rsidRPr="00CA3533">
        <w:rPr>
          <w:lang w:val="fr-FR"/>
        </w:rPr>
        <w:tab/>
      </w:r>
      <w:r w:rsidRPr="00CA3533">
        <w:rPr>
          <w:i/>
          <w:iCs/>
          <w:lang w:val="fr-FR"/>
        </w:rPr>
        <w:t>Des lignes directrices multimodales (</w:t>
      </w:r>
      <w:proofErr w:type="spellStart"/>
      <w:r w:rsidRPr="00CA3533">
        <w:rPr>
          <w:i/>
          <w:iCs/>
          <w:lang w:val="fr-FR"/>
        </w:rPr>
        <w:t>Inland</w:t>
      </w:r>
      <w:proofErr w:type="spellEnd"/>
      <w:r w:rsidRPr="00CA3533">
        <w:rPr>
          <w:i/>
          <w:iCs/>
          <w:lang w:val="fr-FR"/>
        </w:rPr>
        <w:t xml:space="preserve"> TDG Risk Management Framework) peuvent être consultées sur le site Internet de la Direction générale de la mobilité et des transports de la Commission européenne (https://ec.europa.eu/transport/themes/dangerous_good/risk_management_framework_en). </w:t>
      </w:r>
      <w:r w:rsidRPr="00CA3533">
        <w:rPr>
          <w:lang w:val="fr-FR"/>
        </w:rPr>
        <w:t>».</w:t>
      </w:r>
    </w:p>
    <w:p w14:paraId="6DDEED2E" w14:textId="7B18AE93" w:rsidR="00CB5E47" w:rsidRPr="00CA3533" w:rsidRDefault="00CB5E47" w:rsidP="00CB5E47">
      <w:pPr>
        <w:spacing w:after="120"/>
        <w:ind w:left="2268" w:right="1134" w:hanging="1134"/>
        <w:jc w:val="both"/>
        <w:rPr>
          <w:lang w:val="fr-FR"/>
        </w:rPr>
      </w:pPr>
      <w:r w:rsidRPr="00CA3533">
        <w:rPr>
          <w:lang w:val="fr-FR"/>
        </w:rPr>
        <w:t>1.9.</w:t>
      </w:r>
      <w:r>
        <w:rPr>
          <w:lang w:val="fr-FR"/>
        </w:rPr>
        <w:t>5.2.2</w:t>
      </w:r>
      <w:r w:rsidRPr="00CA3533">
        <w:rPr>
          <w:lang w:val="fr-FR"/>
        </w:rPr>
        <w:tab/>
      </w:r>
      <w:r>
        <w:rPr>
          <w:lang w:val="fr-FR"/>
        </w:rPr>
        <w:t xml:space="preserve">Renuméroter la note de </w:t>
      </w:r>
      <w:r w:rsidR="00195439">
        <w:rPr>
          <w:lang w:val="fr-FR"/>
        </w:rPr>
        <w:t>b</w:t>
      </w:r>
      <w:r>
        <w:rPr>
          <w:lang w:val="fr-FR"/>
        </w:rPr>
        <w:t xml:space="preserve">as de page </w:t>
      </w:r>
      <w:r w:rsidR="00195439">
        <w:rPr>
          <w:lang w:val="fr-FR"/>
        </w:rPr>
        <w:t>2 en tant que note 3.</w:t>
      </w:r>
    </w:p>
    <w:p w14:paraId="126CAC4F" w14:textId="77777777" w:rsidR="00CB5E47" w:rsidRPr="00CA3533" w:rsidRDefault="00CB5E47" w:rsidP="00CA3533">
      <w:pPr>
        <w:spacing w:after="120"/>
        <w:ind w:left="2268" w:right="1134"/>
        <w:jc w:val="both"/>
        <w:rPr>
          <w:lang w:val="fr-FR"/>
        </w:rPr>
      </w:pPr>
    </w:p>
    <w:p w14:paraId="2DE37D41" w14:textId="77777777" w:rsidR="00CA3533" w:rsidRPr="00CA3533" w:rsidRDefault="00CA3533" w:rsidP="00CA3533">
      <w:pPr>
        <w:keepNext/>
        <w:keepLines/>
        <w:tabs>
          <w:tab w:val="right" w:pos="851"/>
        </w:tabs>
        <w:spacing w:before="360" w:after="240" w:line="270" w:lineRule="exact"/>
        <w:ind w:right="1134"/>
        <w:rPr>
          <w:b/>
          <w:sz w:val="24"/>
          <w:lang w:val="fr-FR"/>
        </w:rPr>
      </w:pPr>
      <w:r w:rsidRPr="00CA3533">
        <w:rPr>
          <w:b/>
          <w:sz w:val="24"/>
          <w:lang w:val="fr-FR"/>
        </w:rPr>
        <w:tab/>
      </w:r>
      <w:r w:rsidRPr="00CA3533">
        <w:rPr>
          <w:b/>
          <w:sz w:val="24"/>
          <w:lang w:val="fr-FR"/>
        </w:rPr>
        <w:tab/>
        <w:t>Chapitre 1.10</w:t>
      </w:r>
    </w:p>
    <w:p w14:paraId="0B48F045" w14:textId="77777777" w:rsidR="00CA3533" w:rsidRPr="00CA3533" w:rsidRDefault="00CA3533" w:rsidP="00CA3533">
      <w:pPr>
        <w:tabs>
          <w:tab w:val="left" w:pos="2268"/>
        </w:tabs>
        <w:spacing w:after="120"/>
        <w:ind w:left="1134" w:right="1134"/>
        <w:jc w:val="both"/>
        <w:rPr>
          <w:bCs/>
          <w:lang w:val="fr-FR"/>
        </w:rPr>
      </w:pPr>
      <w:r w:rsidRPr="00CA3533">
        <w:rPr>
          <w:bCs/>
          <w:lang w:val="fr-FR"/>
        </w:rPr>
        <w:t>1.10.4</w:t>
      </w:r>
      <w:r w:rsidRPr="00CA3533">
        <w:rPr>
          <w:bCs/>
          <w:lang w:val="fr-FR"/>
        </w:rPr>
        <w:tab/>
        <w:t>Dans la première phrase, après « 0500, », insérer « 0511, ».</w:t>
      </w:r>
    </w:p>
    <w:p w14:paraId="269E3392" w14:textId="77777777" w:rsidR="00CA3533" w:rsidRPr="00CA3533" w:rsidRDefault="00CA3533" w:rsidP="00CA3533">
      <w:pPr>
        <w:spacing w:after="120"/>
        <w:ind w:left="2268" w:right="1134" w:hanging="1134"/>
        <w:jc w:val="both"/>
        <w:rPr>
          <w:lang w:val="fr-FR"/>
        </w:rPr>
      </w:pPr>
      <w:r w:rsidRPr="00CA3533">
        <w:rPr>
          <w:lang w:val="fr-FR"/>
        </w:rPr>
        <w:t>1.10.5</w:t>
      </w:r>
      <w:r w:rsidRPr="00CA3533">
        <w:rPr>
          <w:lang w:val="fr-FR"/>
        </w:rPr>
        <w:tab/>
        <w:t>Supprimer les notes de bas de page 1 et 2. Après « Convention sur la protection physique des matières nucléaires » ajouter « (INFCIRC/274/Rev.1, AIEA, Vienne (1980)) ». Après « "Recommandations de sécurité nucléaire sur la protection physique des matières nucléaires et des installations nucléaires" » ajouter « (INFCIRC/225/Rev.5, AIEA, Vienne (2011)) ».</w:t>
      </w:r>
    </w:p>
    <w:p w14:paraId="46E6A1B3" w14:textId="77777777" w:rsidR="00CA3533" w:rsidRPr="00CA3533" w:rsidRDefault="00CA3533" w:rsidP="00CA3533">
      <w:pPr>
        <w:keepNext/>
        <w:keepLines/>
        <w:tabs>
          <w:tab w:val="right" w:pos="851"/>
        </w:tabs>
        <w:spacing w:before="360" w:after="240" w:line="270" w:lineRule="exact"/>
        <w:ind w:left="1134" w:right="1134" w:hanging="1134"/>
        <w:rPr>
          <w:b/>
          <w:sz w:val="24"/>
          <w:lang w:val="fr-FR" w:eastAsia="en-US"/>
        </w:rPr>
      </w:pPr>
      <w:r w:rsidRPr="00CA3533">
        <w:rPr>
          <w:b/>
          <w:sz w:val="24"/>
          <w:lang w:val="fr-FR" w:eastAsia="en-US"/>
        </w:rPr>
        <w:tab/>
      </w:r>
      <w:r w:rsidRPr="00CA3533">
        <w:rPr>
          <w:b/>
          <w:sz w:val="24"/>
          <w:lang w:val="fr-FR" w:eastAsia="en-US"/>
        </w:rPr>
        <w:tab/>
        <w:t>Chapitre 2.1</w:t>
      </w:r>
    </w:p>
    <w:p w14:paraId="18D61C9B" w14:textId="77777777" w:rsidR="00CA3533" w:rsidRPr="00CA3533" w:rsidRDefault="00CA3533" w:rsidP="00CA3533">
      <w:pPr>
        <w:kinsoku/>
        <w:overflowPunct/>
        <w:autoSpaceDE/>
        <w:autoSpaceDN/>
        <w:adjustRightInd/>
        <w:snapToGrid/>
        <w:spacing w:after="120"/>
        <w:ind w:left="2268" w:right="1134" w:hanging="1134"/>
        <w:jc w:val="both"/>
        <w:rPr>
          <w:lang w:val="fr-FR" w:eastAsia="en-US"/>
        </w:rPr>
      </w:pPr>
      <w:r w:rsidRPr="00CA3533">
        <w:rPr>
          <w:lang w:val="fr-FR" w:eastAsia="en-US"/>
        </w:rPr>
        <w:t>2.1.4.3.1</w:t>
      </w:r>
      <w:r w:rsidRPr="00CA3533">
        <w:rPr>
          <w:lang w:val="fr-FR" w:eastAsia="en-US"/>
        </w:rPr>
        <w:tab/>
        <w:t>Sous a), numéroter les tirets en tant qu’alinéas i) à iv). Sous b), numéroter les tirets en tant qu’alinéas i) et ii).</w:t>
      </w:r>
    </w:p>
    <w:p w14:paraId="46D71B88"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tab/>
      </w:r>
      <w:r w:rsidRPr="00CA3533">
        <w:rPr>
          <w:rFonts w:asciiTheme="majorBidi" w:hAnsiTheme="majorBidi" w:cstheme="majorBidi"/>
          <w:b/>
          <w:sz w:val="24"/>
          <w:lang w:val="fr-FR"/>
        </w:rPr>
        <w:tab/>
      </w:r>
      <w:r w:rsidRPr="00CA3533">
        <w:rPr>
          <w:b/>
          <w:sz w:val="24"/>
          <w:lang w:val="fr-FR"/>
        </w:rPr>
        <w:t>Chapitre</w:t>
      </w:r>
      <w:r w:rsidRPr="00CA3533">
        <w:rPr>
          <w:rFonts w:asciiTheme="majorBidi" w:hAnsiTheme="majorBidi" w:cstheme="majorBidi"/>
          <w:b/>
          <w:sz w:val="24"/>
          <w:lang w:val="fr-FR"/>
        </w:rPr>
        <w:t xml:space="preserve"> 2.2</w:t>
      </w:r>
    </w:p>
    <w:p w14:paraId="4548090C" w14:textId="77777777" w:rsidR="00CA3533" w:rsidRPr="00CA3533" w:rsidRDefault="00CA3533" w:rsidP="00CA3533">
      <w:pPr>
        <w:kinsoku/>
        <w:overflowPunct/>
        <w:autoSpaceDE/>
        <w:autoSpaceDN/>
        <w:adjustRightInd/>
        <w:snapToGrid/>
        <w:spacing w:after="120"/>
        <w:ind w:left="2268" w:right="1134" w:hanging="1134"/>
        <w:jc w:val="both"/>
        <w:rPr>
          <w:lang w:val="fr-FR" w:eastAsia="en-US"/>
        </w:rPr>
      </w:pPr>
      <w:r w:rsidRPr="00CA3533">
        <w:rPr>
          <w:lang w:val="fr-FR" w:eastAsia="en-US"/>
        </w:rPr>
        <w:t>2.2.1.1.7.5</w:t>
      </w:r>
      <w:r w:rsidRPr="00CA3533">
        <w:rPr>
          <w:lang w:val="fr-FR" w:eastAsia="en-US"/>
        </w:rPr>
        <w:tab/>
        <w:t>Dans le Nota 3, numéroter les tirets en tant qu’alinéas a) à d).</w:t>
      </w:r>
    </w:p>
    <w:p w14:paraId="668F7D16" w14:textId="77777777" w:rsidR="00CA3533" w:rsidRPr="00CA3533" w:rsidRDefault="00CA3533" w:rsidP="00CA3533">
      <w:pPr>
        <w:spacing w:after="120"/>
        <w:ind w:left="2268" w:right="1134" w:hanging="1134"/>
        <w:jc w:val="both"/>
        <w:rPr>
          <w:lang w:val="fr-FR"/>
        </w:rPr>
      </w:pPr>
      <w:r w:rsidRPr="00CA3533">
        <w:rPr>
          <w:bCs/>
          <w:lang w:val="fr-FR"/>
        </w:rPr>
        <w:t>2.2.2.2.2</w:t>
      </w:r>
      <w:r w:rsidRPr="00CA3533">
        <w:rPr>
          <w:lang w:val="fr-FR"/>
        </w:rPr>
        <w:tab/>
        <w:t>Modifier le cinquième tiret pour lire :</w:t>
      </w:r>
    </w:p>
    <w:p w14:paraId="29BEA3AA" w14:textId="77777777" w:rsidR="00CA3533" w:rsidRPr="00CA3533" w:rsidRDefault="00CA3533" w:rsidP="00CA3533">
      <w:pPr>
        <w:spacing w:after="120"/>
        <w:ind w:left="2835" w:right="1134" w:hanging="567"/>
        <w:jc w:val="both"/>
        <w:rPr>
          <w:lang w:val="fr-FR"/>
        </w:rPr>
      </w:pPr>
      <w:r w:rsidRPr="00CA3533">
        <w:rPr>
          <w:lang w:val="fr-FR"/>
        </w:rPr>
        <w:lastRenderedPageBreak/>
        <w:t>« -</w:t>
      </w:r>
      <w:r w:rsidRPr="00CA3533">
        <w:rPr>
          <w:lang w:val="fr-FR"/>
        </w:rPr>
        <w:tab/>
        <w:t>Gaz dissous ne pouvant être classés sous les Nos ONU 1001, 1043, 2073 ou 3318. Pour le No ONU 1043, voir la disposition spéciale 642 ; »</w:t>
      </w:r>
    </w:p>
    <w:p w14:paraId="4647F0B7" w14:textId="1666D7CD" w:rsidR="00CA3533" w:rsidRPr="00CA3533" w:rsidRDefault="00CA3533" w:rsidP="00CA3533">
      <w:pPr>
        <w:kinsoku/>
        <w:overflowPunct/>
        <w:autoSpaceDE/>
        <w:autoSpaceDN/>
        <w:adjustRightInd/>
        <w:snapToGrid/>
        <w:spacing w:after="120"/>
        <w:ind w:left="2268" w:right="1134" w:hanging="1134"/>
        <w:jc w:val="both"/>
        <w:rPr>
          <w:lang w:val="fr-FR" w:eastAsia="en-US"/>
        </w:rPr>
      </w:pPr>
      <w:r w:rsidRPr="00CA3533">
        <w:rPr>
          <w:lang w:val="fr-FR" w:eastAsia="en-US"/>
        </w:rPr>
        <w:t>2.2.3.3</w:t>
      </w:r>
      <w:r w:rsidRPr="00CA3533">
        <w:rPr>
          <w:lang w:val="fr-FR" w:eastAsia="en-US"/>
        </w:rPr>
        <w:tab/>
        <w:t>Dans la Liste des rubriques collectives, pour F1, supprimer la rubrique pour le numéro ONU 1169 et modifier la rubrique pour le numéro ONU 1197 pour lire : « 1197</w:t>
      </w:r>
      <w:r w:rsidR="006E76CB">
        <w:rPr>
          <w:lang w:val="fr-FR" w:eastAsia="en-US"/>
        </w:rPr>
        <w:t xml:space="preserve"> </w:t>
      </w:r>
      <w:r w:rsidRPr="00CA3533">
        <w:rPr>
          <w:iCs/>
          <w:lang w:val="fr-FR"/>
        </w:rPr>
        <w:t>EXTRAITS, LIQUIDES, pour aromatiser ».</w:t>
      </w:r>
    </w:p>
    <w:p w14:paraId="50EA8621" w14:textId="77777777" w:rsidR="00CA3533" w:rsidRPr="00CA3533" w:rsidRDefault="00CA3533" w:rsidP="00CA3533">
      <w:pPr>
        <w:kinsoku/>
        <w:overflowPunct/>
        <w:autoSpaceDE/>
        <w:autoSpaceDN/>
        <w:adjustRightInd/>
        <w:snapToGrid/>
        <w:spacing w:after="120"/>
        <w:ind w:left="2268" w:right="1134" w:hanging="1134"/>
        <w:jc w:val="both"/>
        <w:rPr>
          <w:lang w:val="fr-FR" w:eastAsia="en-US"/>
        </w:rPr>
      </w:pPr>
      <w:r w:rsidRPr="00CA3533">
        <w:rPr>
          <w:lang w:val="fr-FR" w:eastAsia="en-US"/>
        </w:rPr>
        <w:t>2.2.41.4</w:t>
      </w:r>
      <w:r w:rsidRPr="00CA3533">
        <w:rPr>
          <w:lang w:val="fr-FR" w:eastAsia="en-US"/>
        </w:rPr>
        <w:tab/>
        <w:t>Dans la dernière phrase du premier paragraphe, remplacer « Les préparations énumérées » par « Les préparations non énumérées dans la présente sous-section mais énumérées ».</w:t>
      </w:r>
    </w:p>
    <w:p w14:paraId="50287E2C" w14:textId="77777777" w:rsidR="00CA3533" w:rsidRPr="00CA3533" w:rsidRDefault="00CA3533" w:rsidP="00CA3533">
      <w:pPr>
        <w:kinsoku/>
        <w:overflowPunct/>
        <w:autoSpaceDE/>
        <w:autoSpaceDN/>
        <w:adjustRightInd/>
        <w:snapToGrid/>
        <w:spacing w:before="120" w:after="120"/>
        <w:ind w:left="2268" w:right="1134" w:hanging="1134"/>
        <w:jc w:val="both"/>
        <w:rPr>
          <w:lang w:val="fr-FR" w:eastAsia="en-US"/>
        </w:rPr>
      </w:pPr>
      <w:r w:rsidRPr="00CA3533">
        <w:rPr>
          <w:lang w:val="fr-FR" w:eastAsia="en-US"/>
        </w:rPr>
        <w:tab/>
        <w:t>Dans le tableau, insérer la nouvelle rubrique suivante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53"/>
        <w:gridCol w:w="954"/>
        <w:gridCol w:w="953"/>
        <w:gridCol w:w="954"/>
        <w:gridCol w:w="953"/>
        <w:gridCol w:w="954"/>
      </w:tblGrid>
      <w:tr w:rsidR="00CA3533" w:rsidRPr="00CA3533" w14:paraId="0A0A5308" w14:textId="77777777" w:rsidTr="00D56820">
        <w:trPr>
          <w:trHeight w:val="360"/>
        </w:trPr>
        <w:tc>
          <w:tcPr>
            <w:tcW w:w="2410" w:type="dxa"/>
            <w:shd w:val="clear" w:color="auto" w:fill="auto"/>
          </w:tcPr>
          <w:p w14:paraId="3C7D4430" w14:textId="77777777" w:rsidR="00CA3533" w:rsidRPr="00CA3533" w:rsidRDefault="00CA3533" w:rsidP="00CA3533">
            <w:pPr>
              <w:tabs>
                <w:tab w:val="left" w:pos="1269"/>
              </w:tabs>
              <w:spacing w:after="120" w:line="240" w:lineRule="auto"/>
              <w:rPr>
                <w:rFonts w:eastAsiaTheme="minorHAnsi"/>
                <w:lang w:val="fr-FR" w:eastAsia="en-US"/>
              </w:rPr>
            </w:pPr>
            <w:r w:rsidRPr="00CA3533">
              <w:rPr>
                <w:rFonts w:eastAsiaTheme="minorHAnsi"/>
                <w:lang w:val="fr-FR" w:eastAsia="en-US"/>
              </w:rPr>
              <w:t>ACIDE (7-METHOXY-5-METHYLE-BENZOTHIOPHENE-2-YL) BORONIQUE</w:t>
            </w:r>
          </w:p>
        </w:tc>
        <w:tc>
          <w:tcPr>
            <w:tcW w:w="953" w:type="dxa"/>
            <w:shd w:val="clear" w:color="auto" w:fill="auto"/>
          </w:tcPr>
          <w:p w14:paraId="2CADB5FD" w14:textId="77777777" w:rsidR="00CA3533" w:rsidRPr="00CA3533" w:rsidRDefault="00CA3533" w:rsidP="00CA3533">
            <w:pPr>
              <w:spacing w:after="120" w:line="240" w:lineRule="auto"/>
              <w:ind w:right="7"/>
              <w:jc w:val="center"/>
              <w:rPr>
                <w:rFonts w:eastAsiaTheme="minorHAnsi"/>
                <w:sz w:val="16"/>
                <w:lang w:val="fr-FR" w:eastAsia="en-US"/>
              </w:rPr>
            </w:pPr>
            <w:r w:rsidRPr="00CA3533">
              <w:rPr>
                <w:rFonts w:eastAsiaTheme="minorHAnsi"/>
                <w:lang w:val="fr-FR" w:eastAsia="en-US"/>
              </w:rPr>
              <w:t>88-100</w:t>
            </w:r>
          </w:p>
        </w:tc>
        <w:tc>
          <w:tcPr>
            <w:tcW w:w="954" w:type="dxa"/>
            <w:shd w:val="clear" w:color="auto" w:fill="auto"/>
          </w:tcPr>
          <w:p w14:paraId="1F2B6881" w14:textId="77777777" w:rsidR="00CA3533" w:rsidRPr="00CA3533" w:rsidRDefault="00CA3533" w:rsidP="00CA3533">
            <w:pPr>
              <w:spacing w:after="120" w:line="240" w:lineRule="auto"/>
              <w:ind w:right="7"/>
              <w:jc w:val="center"/>
              <w:rPr>
                <w:rFonts w:eastAsiaTheme="minorHAnsi"/>
                <w:sz w:val="16"/>
                <w:lang w:val="fr-FR" w:eastAsia="en-US"/>
              </w:rPr>
            </w:pPr>
            <w:r w:rsidRPr="00CA3533">
              <w:rPr>
                <w:rFonts w:eastAsiaTheme="minorHAnsi"/>
                <w:lang w:val="fr-FR" w:eastAsia="en-US"/>
              </w:rPr>
              <w:t>OP7</w:t>
            </w:r>
          </w:p>
        </w:tc>
        <w:tc>
          <w:tcPr>
            <w:tcW w:w="953" w:type="dxa"/>
            <w:shd w:val="clear" w:color="auto" w:fill="auto"/>
          </w:tcPr>
          <w:p w14:paraId="5F54DC2D" w14:textId="77777777" w:rsidR="00CA3533" w:rsidRPr="00CA3533" w:rsidRDefault="00CA3533" w:rsidP="00CA3533">
            <w:pPr>
              <w:spacing w:after="120" w:line="240" w:lineRule="auto"/>
              <w:ind w:right="1134"/>
              <w:jc w:val="center"/>
              <w:rPr>
                <w:rFonts w:eastAsiaTheme="minorHAnsi"/>
                <w:sz w:val="16"/>
                <w:lang w:val="fr-FR" w:eastAsia="en-US"/>
              </w:rPr>
            </w:pPr>
          </w:p>
        </w:tc>
        <w:tc>
          <w:tcPr>
            <w:tcW w:w="954" w:type="dxa"/>
            <w:shd w:val="clear" w:color="auto" w:fill="auto"/>
          </w:tcPr>
          <w:p w14:paraId="558F96D8" w14:textId="77777777" w:rsidR="00CA3533" w:rsidRPr="00CA3533" w:rsidRDefault="00CA3533" w:rsidP="00CA3533">
            <w:pPr>
              <w:spacing w:after="120" w:line="240" w:lineRule="auto"/>
              <w:ind w:right="1134"/>
              <w:jc w:val="center"/>
              <w:rPr>
                <w:rFonts w:eastAsiaTheme="minorHAnsi"/>
                <w:sz w:val="16"/>
                <w:lang w:val="fr-FR" w:eastAsia="en-US"/>
              </w:rPr>
            </w:pPr>
          </w:p>
        </w:tc>
        <w:tc>
          <w:tcPr>
            <w:tcW w:w="953" w:type="dxa"/>
            <w:shd w:val="clear" w:color="auto" w:fill="auto"/>
          </w:tcPr>
          <w:p w14:paraId="009AB6E9" w14:textId="77777777" w:rsidR="00CA3533" w:rsidRPr="00CA3533" w:rsidRDefault="00CA3533" w:rsidP="00CA3533">
            <w:pPr>
              <w:spacing w:after="120" w:line="240" w:lineRule="auto"/>
              <w:ind w:right="7"/>
              <w:jc w:val="center"/>
              <w:rPr>
                <w:rFonts w:eastAsiaTheme="minorHAnsi"/>
                <w:sz w:val="16"/>
                <w:lang w:val="fr-FR" w:eastAsia="en-US"/>
              </w:rPr>
            </w:pPr>
            <w:r w:rsidRPr="00CA3533">
              <w:rPr>
                <w:rFonts w:eastAsiaTheme="minorHAnsi"/>
                <w:lang w:val="fr-FR" w:eastAsia="en-US"/>
              </w:rPr>
              <w:t>3230</w:t>
            </w:r>
          </w:p>
        </w:tc>
        <w:tc>
          <w:tcPr>
            <w:tcW w:w="954" w:type="dxa"/>
            <w:shd w:val="clear" w:color="auto" w:fill="auto"/>
          </w:tcPr>
          <w:p w14:paraId="4A67C556" w14:textId="77777777" w:rsidR="00CA3533" w:rsidRPr="00CA3533" w:rsidRDefault="00CA3533" w:rsidP="00CA3533">
            <w:pPr>
              <w:spacing w:after="120" w:line="240" w:lineRule="auto"/>
              <w:ind w:right="7"/>
              <w:jc w:val="center"/>
              <w:rPr>
                <w:rFonts w:eastAsiaTheme="minorHAnsi"/>
                <w:sz w:val="16"/>
                <w:lang w:val="fr-FR" w:eastAsia="en-US"/>
              </w:rPr>
            </w:pPr>
            <w:r w:rsidRPr="00CA3533">
              <w:rPr>
                <w:rFonts w:eastAsiaTheme="minorHAnsi"/>
                <w:lang w:val="fr-FR" w:eastAsia="en-US"/>
              </w:rPr>
              <w:t>11)</w:t>
            </w:r>
          </w:p>
        </w:tc>
      </w:tr>
    </w:tbl>
    <w:p w14:paraId="4920103B" w14:textId="77777777" w:rsidR="00CA3533" w:rsidRPr="00CA3533" w:rsidRDefault="00CA3533" w:rsidP="00CA3533">
      <w:pPr>
        <w:tabs>
          <w:tab w:val="left" w:pos="2268"/>
        </w:tabs>
        <w:spacing w:before="240" w:after="120"/>
        <w:ind w:left="1134" w:right="1134"/>
        <w:jc w:val="both"/>
        <w:rPr>
          <w:rFonts w:eastAsiaTheme="minorHAnsi"/>
          <w:lang w:val="fr-FR" w:eastAsia="en-US"/>
        </w:rPr>
      </w:pPr>
      <w:r w:rsidRPr="00CA3533">
        <w:rPr>
          <w:rFonts w:eastAsiaTheme="minorHAnsi"/>
          <w:lang w:val="fr-FR" w:eastAsia="en-US"/>
        </w:rPr>
        <w:tab/>
        <w:t>Ajouter la remarque suivante sous le tableau :</w:t>
      </w:r>
    </w:p>
    <w:p w14:paraId="6E1B755B"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 xml:space="preserve">« 11) </w:t>
      </w:r>
      <w:r w:rsidRPr="00CA3533">
        <w:rPr>
          <w:rFonts w:eastAsiaTheme="minorHAnsi"/>
          <w:lang w:val="fr-FR" w:eastAsia="en-US"/>
        </w:rPr>
        <w:tab/>
        <w:t>Le composé technique présentant les limites de concentration spécifiées peut contenir jusqu’à 12 % d’eau et jusqu’à 1 % d’impuretés organiques. »</w:t>
      </w:r>
    </w:p>
    <w:p w14:paraId="2E7220AA" w14:textId="77777777" w:rsidR="00CA3533" w:rsidRPr="00CA3533" w:rsidRDefault="00CA3533" w:rsidP="00CA3533">
      <w:pPr>
        <w:kinsoku/>
        <w:overflowPunct/>
        <w:autoSpaceDE/>
        <w:autoSpaceDN/>
        <w:adjustRightInd/>
        <w:snapToGrid/>
        <w:spacing w:after="120"/>
        <w:ind w:left="2268" w:right="1134" w:hanging="1134"/>
        <w:jc w:val="both"/>
        <w:rPr>
          <w:lang w:val="fr-FR" w:eastAsia="en-US"/>
        </w:rPr>
      </w:pPr>
      <w:r w:rsidRPr="00CA3533">
        <w:rPr>
          <w:lang w:val="fr-FR" w:eastAsia="en-US"/>
        </w:rPr>
        <w:t>2.2.52.4</w:t>
      </w:r>
      <w:r w:rsidRPr="00CA3533">
        <w:rPr>
          <w:lang w:val="fr-FR" w:eastAsia="en-US"/>
        </w:rPr>
        <w:tab/>
        <w:t>Dans la dernière phrase, remplacer « Les préparations énumérées » par « Les préparations non énumérées dans la présente sous-section mais énumérées ».</w:t>
      </w:r>
    </w:p>
    <w:p w14:paraId="6B5BF64B" w14:textId="77777777" w:rsidR="00CA3533" w:rsidRPr="00CA3533" w:rsidRDefault="00CA3533" w:rsidP="00CA3533">
      <w:pPr>
        <w:spacing w:after="120"/>
        <w:ind w:left="2268" w:right="1134" w:hanging="1134"/>
        <w:jc w:val="both"/>
        <w:rPr>
          <w:lang w:val="fr-FR"/>
        </w:rPr>
      </w:pPr>
      <w:r w:rsidRPr="00CA3533">
        <w:rPr>
          <w:lang w:val="fr-FR"/>
        </w:rPr>
        <w:tab/>
        <w:t xml:space="preserve">Dans le tableau, insérer les nouvelles rubriques suivantes dans le bon ordre : </w:t>
      </w:r>
    </w:p>
    <w:tbl>
      <w:tblPr>
        <w:tblW w:w="0" w:type="auto"/>
        <w:tblLayout w:type="fixed"/>
        <w:tblLook w:val="0000" w:firstRow="0" w:lastRow="0" w:firstColumn="0" w:lastColumn="0" w:noHBand="0" w:noVBand="0"/>
      </w:tblPr>
      <w:tblGrid>
        <w:gridCol w:w="2182"/>
        <w:gridCol w:w="1580"/>
        <w:gridCol w:w="651"/>
        <w:gridCol w:w="652"/>
        <w:gridCol w:w="652"/>
        <w:gridCol w:w="652"/>
        <w:gridCol w:w="651"/>
        <w:gridCol w:w="652"/>
        <w:gridCol w:w="652"/>
        <w:gridCol w:w="652"/>
        <w:gridCol w:w="652"/>
      </w:tblGrid>
      <w:tr w:rsidR="00CA3533" w:rsidRPr="00CA3533" w14:paraId="2B07CFBB" w14:textId="77777777" w:rsidTr="00D56820">
        <w:tc>
          <w:tcPr>
            <w:tcW w:w="2182" w:type="dxa"/>
            <w:tcBorders>
              <w:top w:val="single" w:sz="4" w:space="0" w:color="auto"/>
              <w:left w:val="single" w:sz="4" w:space="0" w:color="auto"/>
              <w:bottom w:val="single" w:sz="4" w:space="0" w:color="auto"/>
              <w:right w:val="single" w:sz="4" w:space="0" w:color="auto"/>
            </w:tcBorders>
            <w:vAlign w:val="center"/>
          </w:tcPr>
          <w:p w14:paraId="42048199" w14:textId="77777777" w:rsidR="00CA3533" w:rsidRPr="00CA3533" w:rsidRDefault="00CA3533" w:rsidP="00CA3533">
            <w:pPr>
              <w:spacing w:before="60" w:after="60" w:line="240" w:lineRule="auto"/>
              <w:rPr>
                <w:rFonts w:eastAsiaTheme="minorHAnsi"/>
                <w:sz w:val="16"/>
                <w:szCs w:val="16"/>
                <w:lang w:val="fr-FR" w:eastAsia="en-US"/>
              </w:rPr>
            </w:pPr>
            <w:r w:rsidRPr="00CA3533">
              <w:rPr>
                <w:rFonts w:eastAsiaTheme="minorHAnsi"/>
                <w:sz w:val="16"/>
                <w:szCs w:val="16"/>
                <w:lang w:val="fr-FR" w:eastAsia="en-US"/>
              </w:rPr>
              <w:t xml:space="preserve">CARBONATE D’ISOPROPYLE ET DE PEROXY </w:t>
            </w:r>
            <w:proofErr w:type="spellStart"/>
            <w:r w:rsidRPr="00CA3533">
              <w:rPr>
                <w:rFonts w:eastAsiaTheme="minorHAnsi"/>
                <w:sz w:val="16"/>
                <w:szCs w:val="16"/>
                <w:lang w:val="fr-FR" w:eastAsia="en-US"/>
              </w:rPr>
              <w:t>tert</w:t>
            </w:r>
            <w:proofErr w:type="spellEnd"/>
            <w:r w:rsidRPr="00CA3533">
              <w:rPr>
                <w:rFonts w:eastAsiaTheme="minorHAnsi"/>
                <w:sz w:val="16"/>
                <w:szCs w:val="16"/>
                <w:lang w:val="fr-FR" w:eastAsia="en-US"/>
              </w:rPr>
              <w:t>-BUTYLE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41ECA937"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 62</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2F248CA1"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833DAAD"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 38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858DEAF"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463D67D"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75283700"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OP7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2D2E0AE"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F02396C"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3619F47"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3105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32845BA" w14:textId="77777777" w:rsidR="00CA3533" w:rsidRPr="00CA3533" w:rsidRDefault="00CA3533" w:rsidP="00CA3533">
            <w:pPr>
              <w:spacing w:before="60" w:after="60" w:line="240" w:lineRule="auto"/>
              <w:jc w:val="center"/>
              <w:rPr>
                <w:rFonts w:eastAsiaTheme="minorHAnsi"/>
                <w:sz w:val="16"/>
                <w:szCs w:val="16"/>
                <w:lang w:val="fr-FR" w:eastAsia="en-US"/>
              </w:rPr>
            </w:pPr>
          </w:p>
        </w:tc>
      </w:tr>
      <w:tr w:rsidR="00CA3533" w:rsidRPr="00CA3533" w14:paraId="104EAA4F" w14:textId="77777777" w:rsidTr="00D56820">
        <w:tc>
          <w:tcPr>
            <w:tcW w:w="2182" w:type="dxa"/>
            <w:tcBorders>
              <w:top w:val="single" w:sz="4" w:space="0" w:color="auto"/>
              <w:left w:val="single" w:sz="4" w:space="0" w:color="auto"/>
              <w:bottom w:val="single" w:sz="4" w:space="0" w:color="auto"/>
              <w:right w:val="single" w:sz="4" w:space="0" w:color="auto"/>
            </w:tcBorders>
            <w:vAlign w:val="center"/>
          </w:tcPr>
          <w:p w14:paraId="65B906A2" w14:textId="77777777" w:rsidR="00CA3533" w:rsidRPr="00CA3533" w:rsidRDefault="00CA3533" w:rsidP="00CA3533">
            <w:pPr>
              <w:spacing w:before="60" w:after="60" w:line="240" w:lineRule="auto"/>
              <w:rPr>
                <w:rFonts w:eastAsiaTheme="minorHAnsi"/>
                <w:sz w:val="16"/>
                <w:szCs w:val="16"/>
                <w:lang w:val="fr-FR" w:eastAsia="en-US"/>
              </w:rPr>
            </w:pPr>
            <w:r w:rsidRPr="00CA3533">
              <w:rPr>
                <w:rFonts w:eastAsiaTheme="minorHAnsi"/>
                <w:sz w:val="16"/>
                <w:szCs w:val="16"/>
                <w:lang w:val="fr-FR" w:eastAsia="en-US"/>
              </w:rPr>
              <w:t xml:space="preserve">PEROXYPIVALATE DE </w:t>
            </w:r>
            <w:proofErr w:type="spellStart"/>
            <w:r w:rsidRPr="00CA3533">
              <w:rPr>
                <w:rFonts w:eastAsiaTheme="minorHAnsi"/>
                <w:sz w:val="16"/>
                <w:szCs w:val="16"/>
                <w:lang w:val="fr-FR" w:eastAsia="en-US"/>
              </w:rPr>
              <w:t>tert</w:t>
            </w:r>
            <w:proofErr w:type="spellEnd"/>
            <w:r w:rsidRPr="00CA3533">
              <w:rPr>
                <w:rFonts w:eastAsiaTheme="minorHAnsi"/>
                <w:sz w:val="16"/>
                <w:szCs w:val="16"/>
                <w:lang w:val="fr-FR" w:eastAsia="en-US"/>
              </w:rPr>
              <w:t>-HEXYLE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06405C8E"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 52 (dispersion stable dans l’eau)</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6E2B760B"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45C889F"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CF202B8"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B5F2735"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7C6FF856"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E970482"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+ 15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294E670"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+ 20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559303B"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3117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99BFD3C" w14:textId="77777777" w:rsidR="00CA3533" w:rsidRPr="00CA3533" w:rsidRDefault="00CA3533" w:rsidP="00CA3533">
            <w:pPr>
              <w:spacing w:before="60" w:after="60" w:line="240" w:lineRule="auto"/>
              <w:jc w:val="center"/>
              <w:rPr>
                <w:rFonts w:eastAsiaTheme="minorHAnsi"/>
                <w:sz w:val="16"/>
                <w:szCs w:val="16"/>
                <w:lang w:val="fr-FR" w:eastAsia="en-US"/>
              </w:rPr>
            </w:pPr>
          </w:p>
        </w:tc>
      </w:tr>
      <w:tr w:rsidR="00CA3533" w:rsidRPr="00CA3533" w14:paraId="6CB72B71" w14:textId="77777777" w:rsidTr="00D56820">
        <w:tc>
          <w:tcPr>
            <w:tcW w:w="2182" w:type="dxa"/>
            <w:tcBorders>
              <w:top w:val="single" w:sz="4" w:space="0" w:color="auto"/>
              <w:left w:val="single" w:sz="4" w:space="0" w:color="auto"/>
              <w:bottom w:val="single" w:sz="4" w:space="0" w:color="auto"/>
              <w:right w:val="single" w:sz="4" w:space="0" w:color="auto"/>
            </w:tcBorders>
            <w:vAlign w:val="center"/>
          </w:tcPr>
          <w:p w14:paraId="34E8656D" w14:textId="77777777" w:rsidR="00CA3533" w:rsidRPr="00CA3533" w:rsidRDefault="00CA3533" w:rsidP="00CA3533">
            <w:pPr>
              <w:spacing w:before="60" w:after="60" w:line="240" w:lineRule="auto"/>
              <w:rPr>
                <w:rFonts w:eastAsiaTheme="minorHAnsi"/>
                <w:sz w:val="16"/>
                <w:szCs w:val="16"/>
                <w:lang w:val="fr-FR" w:eastAsia="en-US"/>
              </w:rPr>
            </w:pPr>
            <w:r w:rsidRPr="00CA3533">
              <w:rPr>
                <w:sz w:val="16"/>
                <w:szCs w:val="16"/>
                <w:lang w:val="fr-FR"/>
              </w:rPr>
              <w:t>PEROXYDE D’ACÉTYLACÉTONE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5287E070"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 35</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41B9FA5C"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 57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6C674D0"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67C1DC9"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28F9A22"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 8</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0A18FCB2"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BA2F354"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55DE656" w14:textId="77777777" w:rsidR="00CA3533" w:rsidRPr="00CA3533" w:rsidRDefault="00CA3533" w:rsidP="00CA3533">
            <w:pPr>
              <w:spacing w:before="60" w:after="60" w:line="240" w:lineRule="auto"/>
              <w:jc w:val="center"/>
              <w:rPr>
                <w:rFonts w:eastAsiaTheme="minorHAnsi"/>
                <w:sz w:val="16"/>
                <w:szCs w:val="16"/>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E5A3ECA"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3107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727CB83" w14:textId="77777777" w:rsidR="00CA3533" w:rsidRPr="00CA3533" w:rsidRDefault="00CA3533" w:rsidP="00CA3533">
            <w:pPr>
              <w:spacing w:before="60" w:after="60" w:line="240" w:lineRule="auto"/>
              <w:jc w:val="center"/>
              <w:rPr>
                <w:rFonts w:eastAsiaTheme="minorHAnsi"/>
                <w:sz w:val="16"/>
                <w:szCs w:val="16"/>
                <w:lang w:val="fr-FR" w:eastAsia="en-US"/>
              </w:rPr>
            </w:pPr>
            <w:r w:rsidRPr="00CA3533">
              <w:rPr>
                <w:rFonts w:eastAsiaTheme="minorHAnsi"/>
                <w:sz w:val="16"/>
                <w:szCs w:val="16"/>
                <w:lang w:val="fr-FR" w:eastAsia="en-US"/>
              </w:rPr>
              <w:t>32)</w:t>
            </w:r>
          </w:p>
        </w:tc>
      </w:tr>
    </w:tbl>
    <w:p w14:paraId="4A0A797F" w14:textId="77777777" w:rsidR="00CA3533" w:rsidRPr="00CA3533" w:rsidRDefault="00CA3533" w:rsidP="00CA3533">
      <w:pPr>
        <w:spacing w:before="240" w:after="120"/>
        <w:ind w:left="2268" w:right="1134"/>
        <w:jc w:val="both"/>
        <w:rPr>
          <w:lang w:val="fr-FR"/>
        </w:rPr>
      </w:pPr>
      <w:r w:rsidRPr="00CA3533">
        <w:rPr>
          <w:lang w:val="fr-FR"/>
        </w:rPr>
        <w:t>Sous « Observations (référant à la dernière colonne du tableau au 2.2.52.4) »,  ajouter la nouvelle rubrique suivante à la fin :</w:t>
      </w:r>
    </w:p>
    <w:p w14:paraId="0EE3E943" w14:textId="77777777" w:rsidR="00CA3533" w:rsidRPr="00CA3533" w:rsidRDefault="00CA3533" w:rsidP="00CA3533">
      <w:pPr>
        <w:spacing w:after="120"/>
        <w:ind w:left="2268" w:right="1134"/>
        <w:jc w:val="both"/>
        <w:rPr>
          <w:lang w:val="fr-FR"/>
        </w:rPr>
      </w:pPr>
      <w:r w:rsidRPr="00CA3533">
        <w:rPr>
          <w:lang w:val="fr-FR"/>
        </w:rPr>
        <w:t>« </w:t>
      </w:r>
      <w:r w:rsidRPr="00CA3533">
        <w:rPr>
          <w:i/>
          <w:iCs/>
          <w:lang w:val="fr-FR"/>
        </w:rPr>
        <w:t>32) Oxygène actif ≤ 4,15 %.</w:t>
      </w:r>
      <w:r w:rsidRPr="00CA3533">
        <w:rPr>
          <w:lang w:val="fr-FR"/>
        </w:rPr>
        <w:t> »</w:t>
      </w:r>
    </w:p>
    <w:p w14:paraId="5E1EB3B8" w14:textId="77777777" w:rsidR="007D5472" w:rsidRDefault="00CA3533" w:rsidP="007D5472">
      <w:pPr>
        <w:tabs>
          <w:tab w:val="left" w:pos="2268"/>
        </w:tabs>
        <w:kinsoku/>
        <w:overflowPunct/>
        <w:autoSpaceDE/>
        <w:autoSpaceDN/>
        <w:adjustRightInd/>
        <w:snapToGrid/>
        <w:spacing w:after="120"/>
        <w:ind w:left="1134" w:right="1134"/>
        <w:jc w:val="both"/>
        <w:rPr>
          <w:rFonts w:eastAsia="SimSun"/>
          <w:lang w:val="fr-FR"/>
        </w:rPr>
      </w:pPr>
      <w:r w:rsidRPr="00CA3533">
        <w:rPr>
          <w:rFonts w:eastAsia="SimSun"/>
          <w:lang w:val="fr-FR"/>
        </w:rPr>
        <w:t>2.2.7.2.3.1.4</w:t>
      </w:r>
      <w:r w:rsidRPr="00CA3533">
        <w:rPr>
          <w:lang w:val="fr-FR" w:eastAsia="en-US"/>
        </w:rPr>
        <w:t xml:space="preserve"> </w:t>
      </w:r>
      <w:r w:rsidR="00197A0A">
        <w:rPr>
          <w:lang w:val="fr-FR" w:eastAsia="en-US"/>
        </w:rPr>
        <w:t xml:space="preserve">et </w:t>
      </w:r>
      <w:r w:rsidR="00197A0A" w:rsidRPr="00CA3533">
        <w:rPr>
          <w:rFonts w:eastAsia="SimSun"/>
          <w:lang w:val="fr-FR"/>
        </w:rPr>
        <w:t>2.2.7.2.3.1.5</w:t>
      </w:r>
    </w:p>
    <w:p w14:paraId="587866EF" w14:textId="4B8AA19E" w:rsidR="00CA3533" w:rsidRPr="007D5472" w:rsidRDefault="00CA3533" w:rsidP="007D5472">
      <w:pPr>
        <w:tabs>
          <w:tab w:val="left" w:pos="2268"/>
        </w:tabs>
        <w:kinsoku/>
        <w:overflowPunct/>
        <w:autoSpaceDE/>
        <w:autoSpaceDN/>
        <w:adjustRightInd/>
        <w:snapToGrid/>
        <w:spacing w:after="120"/>
        <w:ind w:left="2268" w:right="1134" w:hanging="1134"/>
        <w:jc w:val="both"/>
        <w:rPr>
          <w:rFonts w:eastAsia="SimSun"/>
          <w:lang w:val="fr-FR"/>
        </w:rPr>
      </w:pPr>
      <w:r w:rsidRPr="00CA3533">
        <w:rPr>
          <w:lang w:val="fr-FR" w:eastAsia="en-US"/>
        </w:rPr>
        <w:tab/>
        <w:t xml:space="preserve">Supprimer et </w:t>
      </w:r>
      <w:r w:rsidR="00197A0A">
        <w:rPr>
          <w:lang w:val="fr-FR" w:eastAsia="en-US"/>
        </w:rPr>
        <w:t>remplacer</w:t>
      </w:r>
      <w:r w:rsidR="00CB56CC">
        <w:rPr>
          <w:lang w:val="fr-FR" w:eastAsia="en-US"/>
        </w:rPr>
        <w:t xml:space="preserve"> </w:t>
      </w:r>
      <w:r w:rsidR="00CB56CC" w:rsidRPr="00CA3533">
        <w:rPr>
          <w:lang w:val="fr-FR" w:eastAsia="en-US"/>
        </w:rPr>
        <w:t>« </w:t>
      </w:r>
      <w:r w:rsidR="00CB56CC" w:rsidRPr="00CA3533">
        <w:rPr>
          <w:rFonts w:eastAsia="SimSun"/>
          <w:lang w:val="fr-FR"/>
        </w:rPr>
        <w:t>2.2.7.2.3.1.</w:t>
      </w:r>
      <w:r w:rsidR="00CB56CC">
        <w:rPr>
          <w:rFonts w:eastAsia="SimSun"/>
          <w:lang w:val="fr-FR"/>
        </w:rPr>
        <w:t>3</w:t>
      </w:r>
      <w:r w:rsidR="00CB56CC">
        <w:rPr>
          <w:lang w:val="fr-FR" w:eastAsia="en-US"/>
        </w:rPr>
        <w:t xml:space="preserve"> </w:t>
      </w:r>
      <w:r w:rsidR="00CB56CC" w:rsidRPr="00CA3533">
        <w:rPr>
          <w:i/>
          <w:iCs/>
          <w:lang w:val="fr-FR" w:eastAsia="en-US"/>
        </w:rPr>
        <w:t>(Supprimé)</w:t>
      </w:r>
      <w:r w:rsidR="00CB56CC" w:rsidRPr="00CA3533">
        <w:rPr>
          <w:lang w:val="fr-FR" w:eastAsia="en-US"/>
        </w:rPr>
        <w:t> »</w:t>
      </w:r>
      <w:r w:rsidR="00197A0A" w:rsidRPr="00CA3533">
        <w:rPr>
          <w:lang w:val="fr-FR" w:eastAsia="en-US"/>
        </w:rPr>
        <w:t xml:space="preserve"> </w:t>
      </w:r>
      <w:r w:rsidR="00CB56CC">
        <w:rPr>
          <w:lang w:val="fr-FR" w:eastAsia="en-US"/>
        </w:rPr>
        <w:t xml:space="preserve">par </w:t>
      </w:r>
      <w:r w:rsidRPr="00CA3533">
        <w:rPr>
          <w:lang w:val="fr-FR" w:eastAsia="en-US"/>
        </w:rPr>
        <w:t>« </w:t>
      </w:r>
      <w:r w:rsidRPr="00CA3533">
        <w:rPr>
          <w:rFonts w:eastAsia="SimSun"/>
          <w:lang w:val="fr-FR"/>
        </w:rPr>
        <w:t>2.2.7.2.3.1</w:t>
      </w:r>
      <w:r w:rsidR="003A56EB">
        <w:rPr>
          <w:rFonts w:eastAsia="SimSun"/>
          <w:lang w:val="fr-FR"/>
        </w:rPr>
        <w:t>.</w:t>
      </w:r>
      <w:r w:rsidR="00CB56CC">
        <w:rPr>
          <w:rFonts w:eastAsia="SimSun"/>
          <w:lang w:val="fr-FR"/>
        </w:rPr>
        <w:t xml:space="preserve">3 à </w:t>
      </w:r>
      <w:r w:rsidR="00CB56CC" w:rsidRPr="00CA3533">
        <w:rPr>
          <w:rFonts w:eastAsia="SimSun"/>
          <w:lang w:val="fr-FR"/>
        </w:rPr>
        <w:t>2.2.7.2.3.1.5</w:t>
      </w:r>
      <w:r w:rsidR="00CB56CC">
        <w:rPr>
          <w:rFonts w:eastAsia="SimSun"/>
          <w:lang w:val="fr-FR"/>
        </w:rPr>
        <w:t xml:space="preserve"> </w:t>
      </w:r>
      <w:r w:rsidRPr="00CA3533">
        <w:rPr>
          <w:i/>
          <w:iCs/>
          <w:lang w:val="fr-FR" w:eastAsia="en-US"/>
        </w:rPr>
        <w:t>(Supprimé</w:t>
      </w:r>
      <w:r w:rsidR="00CB56CC">
        <w:rPr>
          <w:i/>
          <w:iCs/>
          <w:lang w:val="fr-FR" w:eastAsia="en-US"/>
        </w:rPr>
        <w:t>s</w:t>
      </w:r>
      <w:r w:rsidRPr="00CA3533">
        <w:rPr>
          <w:i/>
          <w:iCs/>
          <w:lang w:val="fr-FR" w:eastAsia="en-US"/>
        </w:rPr>
        <w:t>)</w:t>
      </w:r>
      <w:r w:rsidRPr="00CA3533">
        <w:rPr>
          <w:lang w:val="fr-FR" w:eastAsia="en-US"/>
        </w:rPr>
        <w:t> ».</w:t>
      </w:r>
    </w:p>
    <w:p w14:paraId="2D5E2FF6"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2.2.7.2.3.4.1 c)</w:t>
      </w:r>
      <w:r w:rsidRPr="00CA3533">
        <w:rPr>
          <w:lang w:val="fr-FR" w:eastAsia="en-US"/>
        </w:rPr>
        <w:tab/>
        <w:t>Dans la première phrase, remplacer « 2.2.7.2.3.1.4 » par « 2.2.7.2.3.4.3 ».</w:t>
      </w:r>
    </w:p>
    <w:p w14:paraId="57D15D3E" w14:textId="77777777" w:rsidR="0087368F" w:rsidRDefault="0087368F" w:rsidP="0087368F">
      <w:pPr>
        <w:tabs>
          <w:tab w:val="left" w:pos="2268"/>
        </w:tabs>
        <w:kinsoku/>
        <w:overflowPunct/>
        <w:autoSpaceDE/>
        <w:autoSpaceDN/>
        <w:adjustRightInd/>
        <w:snapToGrid/>
        <w:spacing w:after="120"/>
        <w:ind w:left="2268" w:right="1134" w:hanging="1134"/>
        <w:jc w:val="both"/>
        <w:rPr>
          <w:lang w:val="fr-FR"/>
        </w:rPr>
      </w:pPr>
      <w:r w:rsidRPr="000362D0">
        <w:rPr>
          <w:lang w:val="fr-FR"/>
        </w:rPr>
        <w:t>2.2.7.2.3.4.2</w:t>
      </w:r>
      <w:r>
        <w:rPr>
          <w:lang w:val="fr-FR"/>
        </w:rPr>
        <w:tab/>
      </w:r>
      <w:r w:rsidRPr="00226880">
        <w:rPr>
          <w:lang w:val="fr-FR"/>
        </w:rPr>
        <w:t>Re</w:t>
      </w:r>
      <w:r>
        <w:rPr>
          <w:lang w:val="fr-FR"/>
        </w:rPr>
        <w:t>m</w:t>
      </w:r>
      <w:r w:rsidRPr="00226880">
        <w:rPr>
          <w:lang w:val="fr-FR"/>
        </w:rPr>
        <w:t>place</w:t>
      </w:r>
      <w:r>
        <w:rPr>
          <w:lang w:val="fr-FR"/>
        </w:rPr>
        <w:t>r</w:t>
      </w:r>
      <w:r w:rsidRPr="00226880">
        <w:rPr>
          <w:lang w:val="fr-FR"/>
        </w:rPr>
        <w:t xml:space="preserve"> </w:t>
      </w:r>
      <w:r>
        <w:rPr>
          <w:lang w:val="fr-FR"/>
        </w:rPr>
        <w:t>« </w:t>
      </w:r>
      <w:r w:rsidRPr="00226880">
        <w:rPr>
          <w:lang w:val="fr-FR"/>
        </w:rPr>
        <w:t>2.2.7.2.3.1.4</w:t>
      </w:r>
      <w:r>
        <w:rPr>
          <w:lang w:val="fr-FR"/>
        </w:rPr>
        <w:t> »</w:t>
      </w:r>
      <w:r w:rsidRPr="00226880">
        <w:rPr>
          <w:lang w:val="fr-FR"/>
        </w:rPr>
        <w:t xml:space="preserve"> </w:t>
      </w:r>
      <w:r>
        <w:rPr>
          <w:lang w:val="fr-FR"/>
        </w:rPr>
        <w:t>par</w:t>
      </w:r>
      <w:r w:rsidRPr="00226880">
        <w:rPr>
          <w:lang w:val="fr-FR"/>
        </w:rPr>
        <w:t xml:space="preserve"> </w:t>
      </w:r>
      <w:r>
        <w:rPr>
          <w:lang w:val="fr-FR"/>
        </w:rPr>
        <w:t>« </w:t>
      </w:r>
      <w:r w:rsidRPr="00226880">
        <w:rPr>
          <w:lang w:val="fr-FR"/>
        </w:rPr>
        <w:t>2.2.7.2.3.4.3</w:t>
      </w:r>
      <w:r>
        <w:rPr>
          <w:lang w:val="fr-FR"/>
        </w:rPr>
        <w:t> »</w:t>
      </w:r>
      <w:r w:rsidRPr="00226880">
        <w:rPr>
          <w:lang w:val="fr-FR"/>
        </w:rPr>
        <w:t>.</w:t>
      </w:r>
    </w:p>
    <w:p w14:paraId="1162ACD6" w14:textId="139162D8"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Ajouter un nouveau 2.2.7.2.3.4.3 pour lire comme suit :</w:t>
      </w:r>
    </w:p>
    <w:p w14:paraId="118D57A0"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 2.2.7.2.3.4.3</w:t>
      </w:r>
      <w:r w:rsidRPr="00CA3533">
        <w:rPr>
          <w:lang w:val="fr-FR" w:eastAsia="en-US"/>
        </w:rPr>
        <w:tab/>
      </w:r>
      <w:r w:rsidRPr="00CA3533">
        <w:rPr>
          <w:sz w:val="21"/>
          <w:lang w:val="fr-FR"/>
        </w:rPr>
        <w:t xml:space="preserve">Des matières solides représentant le contenu total du colis doivent être immergées dans l’eau pendant 7 jours à la température ambiante. Le volume d’eau doit être suffisant pour qu’à la fin de la période d’épreuve de 7 jours le volume libre de l’eau restante non absorbée et n’ayant pas réagi soit au moins égal à 10 % du volume de l’échantillon solide utilisé pour l’épreuve. L’eau doit avoir un pH initial de 6 à 8 et une conductivité maximale de 1 </w:t>
      </w:r>
      <w:proofErr w:type="spellStart"/>
      <w:r w:rsidRPr="00CA3533">
        <w:rPr>
          <w:sz w:val="21"/>
          <w:lang w:val="fr-FR"/>
        </w:rPr>
        <w:t>mS</w:t>
      </w:r>
      <w:proofErr w:type="spellEnd"/>
      <w:r w:rsidRPr="00CA3533">
        <w:rPr>
          <w:sz w:val="21"/>
          <w:lang w:val="fr-FR"/>
        </w:rPr>
        <w:t>/m à 20 °C. L’activité totale du volume libre d’eau doit être mesurée après immersion de l’échantillon pendant 7 jours. »</w:t>
      </w:r>
    </w:p>
    <w:p w14:paraId="76674C58" w14:textId="77777777" w:rsidR="00CA3533" w:rsidRPr="00CA3533" w:rsidRDefault="00CA3533" w:rsidP="00CA3533">
      <w:pPr>
        <w:tabs>
          <w:tab w:val="left" w:pos="2268"/>
        </w:tabs>
        <w:kinsoku/>
        <w:overflowPunct/>
        <w:autoSpaceDE/>
        <w:autoSpaceDN/>
        <w:adjustRightInd/>
        <w:snapToGrid/>
        <w:spacing w:after="120"/>
        <w:ind w:left="2268" w:right="1134"/>
        <w:jc w:val="both"/>
        <w:rPr>
          <w:lang w:val="fr-FR" w:eastAsia="en-US"/>
        </w:rPr>
      </w:pPr>
      <w:r w:rsidRPr="00CA3533">
        <w:rPr>
          <w:sz w:val="21"/>
          <w:lang w:val="fr-FR"/>
        </w:rPr>
        <w:t xml:space="preserve">Renuméroter le </w:t>
      </w:r>
      <w:r w:rsidRPr="00CA3533">
        <w:rPr>
          <w:lang w:val="fr-FR"/>
        </w:rPr>
        <w:t>2.</w:t>
      </w:r>
      <w:r w:rsidRPr="00CA3533">
        <w:rPr>
          <w:lang w:val="fr-FR" w:eastAsia="en-US"/>
        </w:rPr>
        <w:t>2.7.2.3.4.3 en 2.2.7.2.3.4.4 et remplacer « 2.2.7.2.3.4.1 et 2.2.7.2.3.4.2 » par « 2.2.7.2.3.4.1, 2.2.7.2.3.4.2 et 2.2.7.2.3.4.3 ».</w:t>
      </w:r>
    </w:p>
    <w:p w14:paraId="73E8C726" w14:textId="519EB59C" w:rsidR="00CA3533" w:rsidRPr="00CA3533" w:rsidRDefault="00CA3533" w:rsidP="00CA3533">
      <w:pPr>
        <w:spacing w:before="120" w:after="120"/>
        <w:ind w:left="2268" w:right="1134" w:hanging="1134"/>
        <w:jc w:val="both"/>
        <w:rPr>
          <w:lang w:val="fr-FR"/>
        </w:rPr>
      </w:pPr>
      <w:r w:rsidRPr="00CA3533">
        <w:rPr>
          <w:rFonts w:eastAsia="SimSun"/>
          <w:lang w:val="fr-FR"/>
        </w:rPr>
        <w:lastRenderedPageBreak/>
        <w:t>2.2.8.1.5.2</w:t>
      </w:r>
      <w:r w:rsidRPr="00CA3533">
        <w:rPr>
          <w:lang w:val="fr-FR"/>
        </w:rPr>
        <w:tab/>
      </w:r>
      <w:r w:rsidRPr="00CA3533">
        <w:rPr>
          <w:lang w:val="fr-FR"/>
        </w:rPr>
        <w:tab/>
        <w:t>Dans la deuxième phrase, remplacer « Lignes directrices de l’OCDE</w:t>
      </w:r>
      <w:r w:rsidRPr="00CA3533">
        <w:rPr>
          <w:vertAlign w:val="superscript"/>
          <w:lang w:val="fr-FR"/>
        </w:rPr>
        <w:t>6,7,8,9</w:t>
      </w:r>
      <w:r w:rsidRPr="00CA3533">
        <w:rPr>
          <w:lang w:val="fr-FR"/>
        </w:rPr>
        <w:t> » par « Lignes directrices de l’OCDE Nos. 404</w:t>
      </w:r>
      <w:r w:rsidRPr="00CA3533">
        <w:rPr>
          <w:vertAlign w:val="superscript"/>
          <w:lang w:val="fr-FR"/>
        </w:rPr>
        <w:t>6</w:t>
      </w:r>
      <w:r w:rsidRPr="00CA3533">
        <w:rPr>
          <w:lang w:val="fr-FR"/>
        </w:rPr>
        <w:t>, 435</w:t>
      </w:r>
      <w:r w:rsidRPr="00CA3533">
        <w:rPr>
          <w:vertAlign w:val="superscript"/>
          <w:lang w:val="fr-FR"/>
        </w:rPr>
        <w:t>7</w:t>
      </w:r>
      <w:r w:rsidRPr="00CA3533">
        <w:rPr>
          <w:lang w:val="fr-FR"/>
        </w:rPr>
        <w:t>, 431</w:t>
      </w:r>
      <w:r w:rsidRPr="00CA3533">
        <w:rPr>
          <w:vertAlign w:val="superscript"/>
          <w:lang w:val="fr-FR"/>
        </w:rPr>
        <w:t>8</w:t>
      </w:r>
      <w:r w:rsidRPr="00CA3533">
        <w:rPr>
          <w:lang w:val="fr-FR"/>
        </w:rPr>
        <w:t xml:space="preserve"> ou 430</w:t>
      </w:r>
      <w:r w:rsidRPr="00CA3533">
        <w:rPr>
          <w:vertAlign w:val="superscript"/>
          <w:lang w:val="fr-FR"/>
        </w:rPr>
        <w:t>9</w:t>
      </w:r>
      <w:r w:rsidRPr="00CA3533">
        <w:rPr>
          <w:lang w:val="fr-FR"/>
        </w:rPr>
        <w:t> ». Dans la troisième phrase, remplacer « aux Lignes directrices de l’OCDE</w:t>
      </w:r>
      <w:r w:rsidRPr="00CA3533">
        <w:rPr>
          <w:vertAlign w:val="superscript"/>
          <w:lang w:val="fr-FR"/>
        </w:rPr>
        <w:t>6,7,8,9</w:t>
      </w:r>
      <w:r w:rsidRPr="00CA3533">
        <w:rPr>
          <w:lang w:val="fr-FR"/>
        </w:rPr>
        <w:t xml:space="preserve"> est » par « à l’une de ces lignes directrices </w:t>
      </w:r>
      <w:r w:rsidRPr="00CA3533">
        <w:rPr>
          <w:rFonts w:eastAsia="Batang"/>
          <w:lang w:val="fr-FR"/>
        </w:rPr>
        <w:t>ou qui n’est pas classée conformément à la ligne directrice No 439</w:t>
      </w:r>
      <w:r w:rsidRPr="00CA3533">
        <w:rPr>
          <w:rFonts w:eastAsia="Batang"/>
          <w:vertAlign w:val="superscript"/>
          <w:lang w:val="fr-FR"/>
        </w:rPr>
        <w:t>10</w:t>
      </w:r>
      <w:r w:rsidRPr="00CA3533">
        <w:rPr>
          <w:rFonts w:eastAsia="Batang"/>
          <w:lang w:val="fr-FR"/>
        </w:rPr>
        <w:t xml:space="preserve"> </w:t>
      </w:r>
      <w:r w:rsidRPr="00CA3533">
        <w:rPr>
          <w:lang w:val="fr-FR"/>
        </w:rPr>
        <w:t xml:space="preserve">peut être ». Dans la quatrième phrase, remplacer « de l’essai </w:t>
      </w:r>
      <w:r w:rsidRPr="00CA3533">
        <w:rPr>
          <w:i/>
          <w:iCs/>
          <w:lang w:val="fr-FR"/>
        </w:rPr>
        <w:t>in vitro</w:t>
      </w:r>
      <w:r w:rsidRPr="00CA3533">
        <w:rPr>
          <w:lang w:val="fr-FR"/>
        </w:rPr>
        <w:t> » par « d’épreuve ». À la fin, ajouter la nouvelle phrase suivante : « Si les résultats d’épreuve indiquent que la matière est corrosive mais que la méthode d’épreuve ne permet pas la discrimination entre les groupes d’emballage, elle doit être affectée au groupe d’emballage I si aucune des autres épreuves réalisées n’indique un groupe d’emballage différent. »</w:t>
      </w:r>
    </w:p>
    <w:p w14:paraId="51440705" w14:textId="1BB4647F" w:rsidR="00CC7D33" w:rsidRDefault="00CA3533" w:rsidP="00CA3533">
      <w:pPr>
        <w:spacing w:before="120" w:after="120"/>
        <w:ind w:left="2268" w:right="1134" w:hanging="1134"/>
        <w:jc w:val="both"/>
        <w:rPr>
          <w:lang w:val="fr-FR"/>
        </w:rPr>
      </w:pPr>
      <w:r w:rsidRPr="00CA3533">
        <w:rPr>
          <w:lang w:val="fr-FR"/>
        </w:rPr>
        <w:tab/>
      </w:r>
      <w:r w:rsidRPr="00CA3533">
        <w:rPr>
          <w:lang w:val="fr-FR"/>
        </w:rPr>
        <w:tab/>
        <w:t xml:space="preserve">Ajouter une note de bas de page </w:t>
      </w:r>
      <w:r w:rsidR="004F3DD7">
        <w:rPr>
          <w:lang w:val="fr-FR"/>
        </w:rPr>
        <w:t>10</w:t>
      </w:r>
      <w:r w:rsidRPr="00CA3533">
        <w:rPr>
          <w:lang w:val="fr-FR"/>
        </w:rPr>
        <w:t xml:space="preserve"> pour lire comme suit : </w:t>
      </w:r>
    </w:p>
    <w:p w14:paraId="442CEE52" w14:textId="110A4330" w:rsidR="00CA3533" w:rsidRPr="00CA3533" w:rsidRDefault="00CA3533" w:rsidP="00CA3533">
      <w:pPr>
        <w:spacing w:before="120" w:after="120"/>
        <w:ind w:left="2268" w:right="1134" w:hanging="1134"/>
        <w:jc w:val="both"/>
        <w:rPr>
          <w:lang w:val="fr-FR"/>
        </w:rPr>
      </w:pPr>
      <w:r w:rsidRPr="00CA3533">
        <w:rPr>
          <w:lang w:val="fr-FR"/>
        </w:rPr>
        <w:t>« </w:t>
      </w:r>
      <w:r w:rsidRPr="00CC7D33">
        <w:rPr>
          <w:b/>
          <w:bCs/>
          <w:vertAlign w:val="superscript"/>
          <w:lang w:val="fr-FR"/>
        </w:rPr>
        <w:t>10</w:t>
      </w:r>
      <w:r w:rsidRPr="00CA3533">
        <w:rPr>
          <w:vertAlign w:val="superscript"/>
          <w:lang w:val="fr-FR"/>
        </w:rPr>
        <w:t> </w:t>
      </w:r>
      <w:r w:rsidR="00CC7D33">
        <w:rPr>
          <w:vertAlign w:val="superscript"/>
          <w:lang w:val="fr-FR"/>
        </w:rPr>
        <w:tab/>
      </w:r>
      <w:r w:rsidRPr="00CA3533">
        <w:rPr>
          <w:i/>
          <w:iCs/>
          <w:lang w:val="fr-FR"/>
        </w:rPr>
        <w:t>Ligne directrice de l’OCDE pour les essais de produits chimiques No 439 “Irritation cutanée in vitro : essai sur épiderme humain reconstitué”, 2015.</w:t>
      </w:r>
      <w:r w:rsidRPr="00CA3533">
        <w:rPr>
          <w:lang w:val="fr-FR"/>
        </w:rPr>
        <w:t> »</w:t>
      </w:r>
    </w:p>
    <w:p w14:paraId="74897ABE" w14:textId="77777777" w:rsidR="00CA3533" w:rsidRPr="00CA3533" w:rsidRDefault="00CA3533" w:rsidP="00CA3533">
      <w:pPr>
        <w:spacing w:before="120" w:after="120"/>
        <w:ind w:left="2268" w:right="1134" w:hanging="1134"/>
        <w:jc w:val="both"/>
        <w:rPr>
          <w:lang w:val="fr-FR"/>
        </w:rPr>
      </w:pPr>
      <w:r w:rsidRPr="00CA3533">
        <w:rPr>
          <w:lang w:val="fr-FR"/>
        </w:rPr>
        <w:t>Dans le chapitre 2.2, renuméroter les notes de bas de page suivantes en conséquence.</w:t>
      </w:r>
    </w:p>
    <w:p w14:paraId="5936BEC9" w14:textId="77777777" w:rsidR="00CA3533" w:rsidRPr="00CA3533" w:rsidRDefault="00CA3533" w:rsidP="00CA3533">
      <w:pPr>
        <w:spacing w:before="120" w:after="120"/>
        <w:ind w:left="2268" w:right="1134" w:hanging="1134"/>
        <w:jc w:val="both"/>
        <w:rPr>
          <w:lang w:val="fr-FR"/>
        </w:rPr>
      </w:pPr>
      <w:r w:rsidRPr="00CA3533">
        <w:rPr>
          <w:rFonts w:eastAsia="SimSun"/>
          <w:lang w:val="fr-FR"/>
        </w:rPr>
        <w:t>2.2.8.1.5.3</w:t>
      </w:r>
      <w:r w:rsidRPr="00CA3533">
        <w:rPr>
          <w:lang w:val="fr-FR"/>
        </w:rPr>
        <w:t xml:space="preserve"> c) ii)</w:t>
      </w:r>
      <w:r w:rsidRPr="00CA3533">
        <w:rPr>
          <w:lang w:val="fr-FR"/>
        </w:rPr>
        <w:tab/>
        <w:t>La modification ne s’applique pas au texte français.</w:t>
      </w:r>
    </w:p>
    <w:p w14:paraId="2442174A" w14:textId="77777777" w:rsidR="00CA3533" w:rsidRPr="00CA3533" w:rsidRDefault="00CA3533" w:rsidP="00CA3533">
      <w:pPr>
        <w:tabs>
          <w:tab w:val="left" w:pos="2268"/>
        </w:tabs>
        <w:kinsoku/>
        <w:overflowPunct/>
        <w:autoSpaceDE/>
        <w:adjustRightInd/>
        <w:snapToGrid/>
        <w:spacing w:after="120"/>
        <w:ind w:left="2268" w:right="1134" w:hanging="1134"/>
        <w:jc w:val="both"/>
        <w:rPr>
          <w:lang w:val="fr-FR" w:eastAsia="en-US"/>
        </w:rPr>
      </w:pPr>
      <w:r w:rsidRPr="00CA3533">
        <w:rPr>
          <w:lang w:val="fr-FR"/>
        </w:rPr>
        <w:t>2.2.9.1.7</w:t>
      </w:r>
      <w:r w:rsidRPr="00CA3533">
        <w:rPr>
          <w:lang w:val="fr-FR" w:eastAsia="en-US"/>
        </w:rPr>
        <w:t xml:space="preserve"> g)</w:t>
      </w:r>
      <w:r w:rsidRPr="00CA3533">
        <w:rPr>
          <w:lang w:val="fr-FR" w:eastAsia="en-US"/>
        </w:rPr>
        <w:tab/>
        <w:t>Modifier le début de la phrase pour lire : « À l’exception des piles boutons montées dans un équipement (y compris les circuits imprimés), les fabricants… ».</w:t>
      </w:r>
    </w:p>
    <w:p w14:paraId="16842570"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rPr>
      </w:pPr>
      <w:r w:rsidRPr="00CA3533">
        <w:rPr>
          <w:rFonts w:eastAsia="SimSun"/>
          <w:lang w:val="fr-FR"/>
        </w:rPr>
        <w:t>Tableau 2.2.9.1.10.3.1</w:t>
      </w:r>
      <w:r w:rsidRPr="00CA3533">
        <w:rPr>
          <w:rFonts w:eastAsia="SimSun"/>
          <w:lang w:val="fr-FR"/>
        </w:rPr>
        <w:tab/>
        <w:t>La modification ne s’applique pas au texte français.</w:t>
      </w:r>
    </w:p>
    <w:p w14:paraId="669CEBF6"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rPr>
      </w:pPr>
      <w:r w:rsidRPr="00CA3533">
        <w:rPr>
          <w:rFonts w:eastAsia="SimSun"/>
          <w:lang w:val="fr-FR"/>
        </w:rPr>
        <w:t>2.2.9.1.10.4.3.4</w:t>
      </w:r>
      <w:r w:rsidRPr="00CA3533">
        <w:rPr>
          <w:lang w:val="fr-FR"/>
        </w:rPr>
        <w:t xml:space="preserve"> a)</w:t>
      </w:r>
      <w:r w:rsidRPr="00CA3533">
        <w:rPr>
          <w:lang w:val="fr-FR"/>
        </w:rPr>
        <w:tab/>
        <w:t>Sous l’alinéa i), ajouter un nouveau Nota pour lire comme suit :</w:t>
      </w:r>
    </w:p>
    <w:p w14:paraId="2D153800" w14:textId="2CCBD52A" w:rsidR="00CA3533" w:rsidRPr="00CA3533" w:rsidRDefault="00CA3533" w:rsidP="0001241D">
      <w:pPr>
        <w:kinsoku/>
        <w:overflowPunct/>
        <w:autoSpaceDE/>
        <w:autoSpaceDN/>
        <w:adjustRightInd/>
        <w:snapToGrid/>
        <w:spacing w:after="120"/>
        <w:ind w:left="2268" w:right="1134" w:hanging="1134"/>
        <w:jc w:val="both"/>
        <w:rPr>
          <w:lang w:val="fr-FR"/>
        </w:rPr>
      </w:pPr>
      <w:r w:rsidRPr="00CA3533">
        <w:rPr>
          <w:lang w:val="fr-FR"/>
        </w:rPr>
        <w:t>« </w:t>
      </w:r>
      <w:r w:rsidRPr="00CA3533">
        <w:rPr>
          <w:b/>
          <w:bCs/>
          <w:i/>
          <w:iCs/>
          <w:lang w:val="fr-FR"/>
        </w:rPr>
        <w:t>NOTA :</w:t>
      </w:r>
      <w:r w:rsidRPr="00CA3533">
        <w:rPr>
          <w:i/>
          <w:iCs/>
          <w:lang w:val="fr-FR"/>
        </w:rPr>
        <w:t xml:space="preserve"> </w:t>
      </w:r>
      <w:r w:rsidR="0001241D">
        <w:rPr>
          <w:i/>
          <w:iCs/>
          <w:lang w:val="fr-FR"/>
        </w:rPr>
        <w:tab/>
      </w:r>
      <w:r w:rsidRPr="00CA3533">
        <w:rPr>
          <w:i/>
          <w:iCs/>
          <w:lang w:val="fr-FR"/>
        </w:rPr>
        <w:t xml:space="preserve">Dans ce cas, si le mélange testé présente une </w:t>
      </w:r>
      <w:proofErr w:type="spellStart"/>
      <w:r w:rsidRPr="00CA3533">
        <w:rPr>
          <w:i/>
          <w:iCs/>
          <w:lang w:val="fr-FR"/>
        </w:rPr>
        <w:t>CE</w:t>
      </w:r>
      <w:r w:rsidRPr="00CA3533">
        <w:rPr>
          <w:i/>
          <w:iCs/>
          <w:vertAlign w:val="subscript"/>
          <w:lang w:val="fr-FR"/>
        </w:rPr>
        <w:t>x</w:t>
      </w:r>
      <w:proofErr w:type="spellEnd"/>
      <w:r w:rsidRPr="00CA3533">
        <w:rPr>
          <w:i/>
          <w:iCs/>
          <w:lang w:val="fr-FR"/>
        </w:rPr>
        <w:t xml:space="preserve"> ou CSEO &gt; 0,1 mg/l, il n’est pas nécessaire de classer le mélange dans une catégorie de danger à long terme conformément à l’ADR.</w:t>
      </w:r>
      <w:r w:rsidRPr="00CA3533">
        <w:rPr>
          <w:lang w:val="fr-FR"/>
        </w:rPr>
        <w:t> »</w:t>
      </w:r>
    </w:p>
    <w:p w14:paraId="2D5FAA2D"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tab/>
      </w:r>
      <w:r w:rsidRPr="00CA3533">
        <w:rPr>
          <w:rFonts w:asciiTheme="majorBidi" w:hAnsiTheme="majorBidi" w:cstheme="majorBidi"/>
          <w:b/>
          <w:sz w:val="24"/>
          <w:lang w:val="fr-FR"/>
        </w:rPr>
        <w:tab/>
      </w:r>
      <w:r w:rsidRPr="00CA3533">
        <w:rPr>
          <w:b/>
          <w:sz w:val="24"/>
          <w:lang w:val="fr-FR"/>
        </w:rPr>
        <w:t>Chapitre</w:t>
      </w:r>
      <w:r w:rsidRPr="00CA3533">
        <w:rPr>
          <w:rFonts w:asciiTheme="majorBidi" w:hAnsiTheme="majorBidi" w:cstheme="majorBidi"/>
          <w:b/>
          <w:sz w:val="24"/>
          <w:lang w:val="fr-FR"/>
        </w:rPr>
        <w:t xml:space="preserve"> 3.2</w:t>
      </w:r>
    </w:p>
    <w:p w14:paraId="1E9BC0BF" w14:textId="41C261A4" w:rsidR="00CE7A86" w:rsidRDefault="00B136BD" w:rsidP="00B136BD">
      <w:pPr>
        <w:spacing w:after="120"/>
        <w:ind w:left="2268" w:right="1134" w:hanging="1134"/>
        <w:jc w:val="both"/>
        <w:rPr>
          <w:lang w:val="fr-FR"/>
        </w:rPr>
      </w:pPr>
      <w:r>
        <w:rPr>
          <w:lang w:val="fr-FR"/>
        </w:rPr>
        <w:t>3.2.1</w:t>
      </w:r>
      <w:r>
        <w:rPr>
          <w:lang w:val="fr-FR"/>
        </w:rPr>
        <w:tab/>
      </w:r>
      <w:r w:rsidR="00645DD1">
        <w:rPr>
          <w:lang w:val="fr-FR"/>
        </w:rPr>
        <w:t>Dans</w:t>
      </w:r>
      <w:r>
        <w:rPr>
          <w:lang w:val="fr-FR"/>
        </w:rPr>
        <w:t xml:space="preserve"> </w:t>
      </w:r>
      <w:r w:rsidRPr="00CA3533">
        <w:rPr>
          <w:lang w:val="fr-FR"/>
        </w:rPr>
        <w:t>la note explicative de</w:t>
      </w:r>
      <w:r w:rsidRPr="00514635">
        <w:rPr>
          <w:lang w:val="fr-FR"/>
        </w:rPr>
        <w:t xml:space="preserve"> la colonne (10)</w:t>
      </w:r>
      <w:r>
        <w:rPr>
          <w:lang w:val="fr-FR"/>
        </w:rPr>
        <w:t xml:space="preserve">, ajouter </w:t>
      </w:r>
      <w:r w:rsidR="004B3763">
        <w:rPr>
          <w:lang w:val="fr-FR"/>
        </w:rPr>
        <w:t xml:space="preserve">le nouveau </w:t>
      </w:r>
      <w:r w:rsidR="00645DD1">
        <w:rPr>
          <w:lang w:val="fr-FR"/>
        </w:rPr>
        <w:t xml:space="preserve">troisième </w:t>
      </w:r>
      <w:r w:rsidR="004B3763">
        <w:rPr>
          <w:lang w:val="fr-FR"/>
        </w:rPr>
        <w:t>paragraphe suivant</w:t>
      </w:r>
      <w:r w:rsidR="00CE7A86">
        <w:rPr>
          <w:lang w:val="fr-FR"/>
        </w:rPr>
        <w:t> :</w:t>
      </w:r>
    </w:p>
    <w:p w14:paraId="60C4A82D" w14:textId="6323DA66" w:rsidR="00B136BD" w:rsidRDefault="00CE7A86" w:rsidP="00B136BD">
      <w:pPr>
        <w:spacing w:after="120"/>
        <w:ind w:left="2268" w:right="1134" w:hanging="1134"/>
        <w:jc w:val="both"/>
        <w:rPr>
          <w:lang w:val="fr-FR"/>
        </w:rPr>
      </w:pPr>
      <w:r>
        <w:rPr>
          <w:lang w:val="fr-FR"/>
        </w:rPr>
        <w:tab/>
      </w:r>
      <w:r w:rsidR="00B136BD">
        <w:rPr>
          <w:lang w:val="fr-FR"/>
        </w:rPr>
        <w:t>« </w:t>
      </w:r>
      <w:r w:rsidR="00B136BD" w:rsidRPr="00B6539D">
        <w:rPr>
          <w:lang w:val="fr-FR"/>
        </w:rPr>
        <w:t>Pour les citernes mobiles en matière plastique renforcée de fibres, voir le chapitre 6.9</w:t>
      </w:r>
      <w:r w:rsidR="00B136BD">
        <w:rPr>
          <w:lang w:val="fr-FR"/>
        </w:rPr>
        <w:t>.</w:t>
      </w:r>
      <w:r w:rsidR="00B136BD" w:rsidRPr="00B6539D">
        <w:rPr>
          <w:lang w:val="fr-FR"/>
        </w:rPr>
        <w:t xml:space="preserve"> ».</w:t>
      </w:r>
    </w:p>
    <w:p w14:paraId="4A105E15" w14:textId="1B1799CF" w:rsidR="00CA3533" w:rsidRPr="00CA3533" w:rsidRDefault="00CA3533" w:rsidP="00CA3533">
      <w:pPr>
        <w:spacing w:after="120"/>
        <w:ind w:left="2268" w:right="1134" w:hanging="1134"/>
        <w:jc w:val="both"/>
        <w:rPr>
          <w:lang w:val="fr-FR"/>
        </w:rPr>
      </w:pPr>
      <w:r w:rsidRPr="00CA3533">
        <w:rPr>
          <w:lang w:val="fr-FR"/>
        </w:rPr>
        <w:tab/>
        <w:t>Dans la note explicative de la colonne (12), au dernier paragraphe avant le Nota, remplacer « chapitre 6.9 » par « chapitre 6.13 ».</w:t>
      </w:r>
    </w:p>
    <w:p w14:paraId="5004C928"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tab/>
      </w:r>
      <w:r w:rsidRPr="00CA3533">
        <w:rPr>
          <w:rFonts w:asciiTheme="majorBidi" w:hAnsiTheme="majorBidi" w:cstheme="majorBidi"/>
          <w:b/>
          <w:sz w:val="24"/>
          <w:lang w:val="fr-FR"/>
        </w:rPr>
        <w:tab/>
      </w:r>
      <w:r w:rsidRPr="00CA3533">
        <w:rPr>
          <w:b/>
          <w:sz w:val="24"/>
          <w:lang w:val="fr-FR"/>
        </w:rPr>
        <w:t>Chapitre</w:t>
      </w:r>
      <w:r w:rsidRPr="00CA3533">
        <w:rPr>
          <w:rFonts w:asciiTheme="majorBidi" w:hAnsiTheme="majorBidi" w:cstheme="majorBidi"/>
          <w:b/>
          <w:sz w:val="24"/>
          <w:lang w:val="fr-FR"/>
        </w:rPr>
        <w:t xml:space="preserve"> 3.2, tableau A</w:t>
      </w:r>
    </w:p>
    <w:p w14:paraId="62A5DEF1" w14:textId="77777777" w:rsidR="00CA3533" w:rsidRPr="00CA3533" w:rsidRDefault="00CA3533" w:rsidP="00CA3533">
      <w:pPr>
        <w:spacing w:after="120"/>
        <w:ind w:left="1134" w:right="1134"/>
        <w:jc w:val="both"/>
        <w:rPr>
          <w:iCs/>
          <w:lang w:val="fr-FR"/>
        </w:rPr>
      </w:pPr>
      <w:r w:rsidRPr="00CA3533">
        <w:rPr>
          <w:iCs/>
          <w:lang w:val="fr-FR"/>
        </w:rPr>
        <w:t>Pour le No ONU 1002, ajouter « 397 » en colonne (6).</w:t>
      </w:r>
    </w:p>
    <w:p w14:paraId="1066B479" w14:textId="77777777" w:rsidR="00CA3533" w:rsidRPr="00CA3533" w:rsidRDefault="00CA3533" w:rsidP="00CA3533">
      <w:pPr>
        <w:spacing w:after="120"/>
        <w:ind w:left="2268" w:right="1134" w:hanging="1134"/>
        <w:jc w:val="both"/>
        <w:rPr>
          <w:iCs/>
          <w:lang w:val="fr-FR"/>
        </w:rPr>
      </w:pPr>
      <w:r w:rsidRPr="00CA3533">
        <w:rPr>
          <w:iCs/>
          <w:lang w:val="fr-FR"/>
        </w:rPr>
        <w:t>Pour le No ONU 1012, en colonne (2), modifier le nom et la description pour lire « BUTYLÈNE ». Ajouter « 398 » en colonne (6).</w:t>
      </w:r>
    </w:p>
    <w:p w14:paraId="4F262F2B" w14:textId="77777777" w:rsidR="00CA3533" w:rsidRPr="00CA3533" w:rsidRDefault="00CA3533" w:rsidP="00CA3533">
      <w:pPr>
        <w:spacing w:after="120"/>
        <w:ind w:left="1134" w:right="1134"/>
        <w:jc w:val="both"/>
        <w:rPr>
          <w:iCs/>
          <w:lang w:val="fr-FR"/>
        </w:rPr>
      </w:pPr>
      <w:r w:rsidRPr="00CA3533">
        <w:rPr>
          <w:iCs/>
          <w:lang w:val="fr-FR"/>
        </w:rPr>
        <w:t>Supprimer les cinq rubriques pour le No ONU 1169.</w:t>
      </w:r>
    </w:p>
    <w:p w14:paraId="06EC5AB8" w14:textId="057DA855" w:rsidR="00CA3533" w:rsidRPr="00CA3533" w:rsidRDefault="00CA3533" w:rsidP="00CA3533">
      <w:pPr>
        <w:spacing w:after="120"/>
        <w:ind w:left="2268" w:right="1134" w:hanging="1134"/>
        <w:jc w:val="both"/>
        <w:rPr>
          <w:iCs/>
          <w:lang w:val="fr-FR"/>
        </w:rPr>
      </w:pPr>
      <w:r w:rsidRPr="00CA3533">
        <w:rPr>
          <w:iCs/>
          <w:lang w:val="fr-FR"/>
        </w:rPr>
        <w:t xml:space="preserve">Pour le No ONU 1197, groupes d’emballages II et III (cinq rubriques), </w:t>
      </w:r>
      <w:r w:rsidR="00B87776">
        <w:rPr>
          <w:iCs/>
          <w:lang w:val="fr-FR"/>
        </w:rPr>
        <w:t>dans la colonne (2), remplacer « </w:t>
      </w:r>
      <w:r w:rsidR="00B87776" w:rsidRPr="00DF796B">
        <w:rPr>
          <w:iCs/>
          <w:lang w:val="fr-FR"/>
        </w:rPr>
        <w:t>EXTRAITS LIQUIDES POUR</w:t>
      </w:r>
      <w:r w:rsidR="00B87776">
        <w:rPr>
          <w:iCs/>
          <w:lang w:val="fr-FR"/>
        </w:rPr>
        <w:t xml:space="preserve"> </w:t>
      </w:r>
      <w:r w:rsidR="00B87776" w:rsidRPr="00DF796B">
        <w:rPr>
          <w:iCs/>
          <w:lang w:val="fr-FR"/>
        </w:rPr>
        <w:t>AROMATISER</w:t>
      </w:r>
      <w:r w:rsidR="00B87776">
        <w:rPr>
          <w:iCs/>
          <w:lang w:val="fr-FR"/>
        </w:rPr>
        <w:t> » par</w:t>
      </w:r>
      <w:r w:rsidRPr="00CA3533">
        <w:rPr>
          <w:iCs/>
          <w:lang w:val="fr-FR"/>
        </w:rPr>
        <w:t xml:space="preserve"> « EXTRAITS, LIQUIDES, pour aromatiser ».</w:t>
      </w:r>
    </w:p>
    <w:p w14:paraId="60F199C4" w14:textId="03355C57" w:rsidR="00CA3533" w:rsidRPr="00CA3533" w:rsidRDefault="00CA3533" w:rsidP="00323A96">
      <w:pPr>
        <w:spacing w:after="120"/>
        <w:ind w:left="2268" w:right="1134" w:hanging="1134"/>
        <w:jc w:val="both"/>
        <w:rPr>
          <w:lang w:val="fr-FR"/>
        </w:rPr>
      </w:pPr>
      <w:r w:rsidRPr="00323A96">
        <w:rPr>
          <w:lang w:val="fr-FR"/>
        </w:rPr>
        <w:t>Pour le No ONU 1345, dans la colonne (2), modifier le nom et la description pour lire comme suit :</w:t>
      </w:r>
      <w:r w:rsidR="00323A96">
        <w:rPr>
          <w:lang w:val="fr-FR"/>
        </w:rPr>
        <w:t xml:space="preserve"> </w:t>
      </w:r>
      <w:r w:rsidRPr="00323A96">
        <w:rPr>
          <w:lang w:val="fr-FR"/>
        </w:rPr>
        <w:t>« DÉCHETS DE CAOUTCHOUC ou CHUTES DE CAOUTCHOUC, sous forme de poudre ou de grains, dont l’indice granulométrique ne dépasse pas 840 microns et avec une teneur en caoutchouc supérieure à 45 %. ».</w:t>
      </w:r>
    </w:p>
    <w:p w14:paraId="35D57CB6" w14:textId="74EF7E5F" w:rsidR="00CA3533" w:rsidRPr="00CA3533" w:rsidRDefault="00CA3533" w:rsidP="00DA2FE1">
      <w:pPr>
        <w:spacing w:after="120"/>
        <w:ind w:left="2268" w:right="1134" w:hanging="1134"/>
        <w:jc w:val="both"/>
        <w:rPr>
          <w:lang w:val="fr-FR"/>
        </w:rPr>
      </w:pPr>
      <w:r w:rsidRPr="00CA3533">
        <w:rPr>
          <w:lang w:val="fr-FR"/>
        </w:rPr>
        <w:t xml:space="preserve">Pour le No ONU 1872, </w:t>
      </w:r>
      <w:r w:rsidR="004D601F">
        <w:rPr>
          <w:lang w:val="fr-FR"/>
        </w:rPr>
        <w:t>d</w:t>
      </w:r>
      <w:r w:rsidRPr="00CA3533">
        <w:rPr>
          <w:lang w:val="fr-FR"/>
        </w:rPr>
        <w:t>ans la colonne (3b), remplacer « OT2 » par « O2 ».</w:t>
      </w:r>
      <w:r w:rsidR="00DA2FE1">
        <w:rPr>
          <w:lang w:val="fr-FR"/>
        </w:rPr>
        <w:t xml:space="preserve"> </w:t>
      </w:r>
      <w:r w:rsidRPr="00CA3533">
        <w:rPr>
          <w:lang w:val="fr-FR"/>
        </w:rPr>
        <w:t>Dans</w:t>
      </w:r>
      <w:r w:rsidR="002F1D01">
        <w:rPr>
          <w:lang w:val="fr-FR"/>
        </w:rPr>
        <w:t xml:space="preserve"> </w:t>
      </w:r>
      <w:r w:rsidRPr="00CA3533">
        <w:rPr>
          <w:lang w:val="fr-FR"/>
        </w:rPr>
        <w:t>la colonne (5), supprimer « +6.1 ».</w:t>
      </w:r>
      <w:r w:rsidR="00DA2FE1">
        <w:rPr>
          <w:lang w:val="fr-FR"/>
        </w:rPr>
        <w:t xml:space="preserve"> </w:t>
      </w:r>
      <w:r w:rsidRPr="00CA3533">
        <w:rPr>
          <w:lang w:val="fr-FR"/>
        </w:rPr>
        <w:t>Dans la colonne (12), remplacer « SGAN » par « SGAV ».</w:t>
      </w:r>
      <w:r w:rsidR="00DA2FE1">
        <w:rPr>
          <w:lang w:val="fr-FR"/>
        </w:rPr>
        <w:t xml:space="preserve"> </w:t>
      </w:r>
      <w:r w:rsidRPr="00CA3533">
        <w:rPr>
          <w:lang w:val="fr-FR"/>
        </w:rPr>
        <w:t>Dans la colonne (17), insérer « VC1 VC2 AP6 AP7 ».</w:t>
      </w:r>
      <w:r w:rsidR="00DA2FE1">
        <w:rPr>
          <w:lang w:val="fr-FR"/>
        </w:rPr>
        <w:t xml:space="preserve"> </w:t>
      </w:r>
      <w:r w:rsidRPr="00CA3533">
        <w:rPr>
          <w:lang w:val="fr-FR"/>
        </w:rPr>
        <w:t xml:space="preserve">Dans la </w:t>
      </w:r>
      <w:r w:rsidRPr="00CA3533">
        <w:rPr>
          <w:lang w:val="fr-FR"/>
        </w:rPr>
        <w:lastRenderedPageBreak/>
        <w:t>colonne (18), supprimer « CV28 ».</w:t>
      </w:r>
      <w:r w:rsidR="00DA2FE1">
        <w:rPr>
          <w:lang w:val="fr-FR"/>
        </w:rPr>
        <w:t xml:space="preserve"> </w:t>
      </w:r>
      <w:r w:rsidRPr="00CA3533">
        <w:rPr>
          <w:lang w:val="fr-FR"/>
        </w:rPr>
        <w:t>Dans la colonne (20), remplacer « 56 » par « 50 ».</w:t>
      </w:r>
    </w:p>
    <w:p w14:paraId="566B3F0F" w14:textId="181CBEC3" w:rsidR="00CA3533" w:rsidRPr="00CA3533" w:rsidRDefault="00CA3533" w:rsidP="00F638D2">
      <w:pPr>
        <w:kinsoku/>
        <w:overflowPunct/>
        <w:autoSpaceDE/>
        <w:autoSpaceDN/>
        <w:adjustRightInd/>
        <w:snapToGrid/>
        <w:spacing w:after="120"/>
        <w:ind w:left="2268" w:right="1134" w:hanging="1134"/>
        <w:jc w:val="both"/>
        <w:rPr>
          <w:iCs/>
          <w:lang w:val="fr-FR" w:eastAsia="en-US"/>
        </w:rPr>
      </w:pPr>
      <w:r w:rsidRPr="00CA3533">
        <w:rPr>
          <w:iCs/>
          <w:lang w:val="fr-FR" w:eastAsia="en-US"/>
        </w:rPr>
        <w:t>Pour le No ONU 1891, en colonne (3a), remplacer « 6.1 » par « 3 ». En colonne (3b), remplacer « T1 » par « FT1 ».  En colonne (5), remplacer « 6.1 » par « 3+6.1 ». En colonne (7a), remplacer « 100 ml » par « 1 L ». En colonne (7b), remplacer « E4 » par « E2 ».</w:t>
      </w:r>
      <w:r w:rsidR="00F638D2">
        <w:rPr>
          <w:iCs/>
          <w:lang w:val="fr-FR" w:eastAsia="en-US"/>
        </w:rPr>
        <w:t xml:space="preserve"> </w:t>
      </w:r>
      <w:r w:rsidRPr="00CA3533">
        <w:rPr>
          <w:iCs/>
          <w:lang w:val="fr-FR" w:eastAsia="en-US"/>
        </w:rPr>
        <w:t xml:space="preserve">En colonne (9b), remplacer « MP15 » par « MP19 ». </w:t>
      </w:r>
      <w:r w:rsidRPr="00CA3533">
        <w:rPr>
          <w:iCs/>
          <w:lang w:val="fr-FR" w:eastAsia="en-US"/>
        </w:rPr>
        <w:tab/>
        <w:t xml:space="preserve">En colonne (13), supprimer « TE19 ». </w:t>
      </w:r>
      <w:r w:rsidR="00F638D2" w:rsidRPr="00CA3533">
        <w:rPr>
          <w:iCs/>
          <w:lang w:val="fr-FR" w:eastAsia="en-US"/>
        </w:rPr>
        <w:t>En colonne (14), remplacer « AT » par « FL ».</w:t>
      </w:r>
      <w:r w:rsidR="00F638D2">
        <w:rPr>
          <w:iCs/>
          <w:lang w:val="fr-FR" w:eastAsia="en-US"/>
        </w:rPr>
        <w:t xml:space="preserve"> </w:t>
      </w:r>
      <w:r w:rsidRPr="00CA3533">
        <w:rPr>
          <w:iCs/>
          <w:lang w:val="fr-FR" w:eastAsia="en-US"/>
        </w:rPr>
        <w:t>En colonne (19), remplacer « S9 S19 » par « S2 S19 ».</w:t>
      </w:r>
      <w:r w:rsidR="00F638D2">
        <w:rPr>
          <w:iCs/>
          <w:lang w:val="fr-FR" w:eastAsia="en-US"/>
        </w:rPr>
        <w:t xml:space="preserve"> </w:t>
      </w:r>
      <w:r w:rsidRPr="00CA3533">
        <w:rPr>
          <w:iCs/>
          <w:lang w:val="fr-FR" w:eastAsia="en-US"/>
        </w:rPr>
        <w:t>En</w:t>
      </w:r>
      <w:r w:rsidR="00786487">
        <w:rPr>
          <w:iCs/>
          <w:lang w:val="fr-FR" w:eastAsia="en-US"/>
        </w:rPr>
        <w:t xml:space="preserve"> </w:t>
      </w:r>
      <w:r w:rsidRPr="00CA3533">
        <w:rPr>
          <w:iCs/>
          <w:lang w:val="fr-FR" w:eastAsia="en-US"/>
        </w:rPr>
        <w:t>colonne (20), remplacer « 60 » par « 336 ».</w:t>
      </w:r>
    </w:p>
    <w:p w14:paraId="68E85D79" w14:textId="5D80F14B" w:rsidR="00CA3533" w:rsidRPr="00CA3533" w:rsidRDefault="00CA3533" w:rsidP="00CA3533">
      <w:pPr>
        <w:spacing w:after="120"/>
        <w:ind w:left="2268" w:right="1134" w:hanging="1134"/>
        <w:jc w:val="both"/>
        <w:rPr>
          <w:lang w:val="fr-FR"/>
        </w:rPr>
      </w:pPr>
      <w:r w:rsidRPr="00CA3533">
        <w:rPr>
          <w:lang w:val="fr-FR"/>
        </w:rPr>
        <w:t>Pour le No ONU 2015</w:t>
      </w:r>
      <w:r w:rsidR="00DE4736">
        <w:rPr>
          <w:lang w:val="fr-FR"/>
        </w:rPr>
        <w:t>, p</w:t>
      </w:r>
      <w:r w:rsidRPr="00CA3533">
        <w:rPr>
          <w:lang w:val="fr-FR"/>
        </w:rPr>
        <w:t>our la première rubrique, dans la colonne (2), au début du nom et de la description, ajouter « PEROXYDE D’HYDROGÈNE STABILISÉ ou ».</w:t>
      </w:r>
    </w:p>
    <w:p w14:paraId="5EF35ED2" w14:textId="77777777" w:rsidR="00CA3533" w:rsidRPr="00CA3533" w:rsidRDefault="00CA3533" w:rsidP="00CA3533">
      <w:pPr>
        <w:spacing w:after="120"/>
        <w:ind w:left="2268" w:right="1134" w:hanging="1134"/>
        <w:jc w:val="both"/>
        <w:rPr>
          <w:lang w:val="fr-FR"/>
        </w:rPr>
      </w:pPr>
      <w:r w:rsidRPr="00CA3533">
        <w:rPr>
          <w:lang w:val="fr-FR"/>
        </w:rPr>
        <w:t>Pour le No ONU 2426, dans la colonne (2), modifier le nom et la description pour lire « NITRATE D'AMMONIUM LIQUIDE, solution chaude concentrée ».</w:t>
      </w:r>
    </w:p>
    <w:p w14:paraId="6B4AEAB7" w14:textId="77777777" w:rsidR="00CA3533" w:rsidRPr="00CA3533" w:rsidRDefault="00CA3533" w:rsidP="00CA3533">
      <w:pPr>
        <w:spacing w:after="120"/>
        <w:ind w:left="2268" w:right="1134" w:hanging="1134"/>
        <w:jc w:val="both"/>
        <w:rPr>
          <w:lang w:val="fr-FR"/>
        </w:rPr>
      </w:pPr>
      <w:r w:rsidRPr="00CA3533">
        <w:rPr>
          <w:lang w:val="fr-FR"/>
        </w:rPr>
        <w:t>Pour les Nos ONU 2908 à 2911, dans la colonne (15), remplacer la mention qui figure pour le code de restriction en tunnels par « (−) ».</w:t>
      </w:r>
    </w:p>
    <w:p w14:paraId="1AF666CF" w14:textId="77777777" w:rsidR="00CA3533" w:rsidRPr="00CA3533" w:rsidRDefault="00CA3533" w:rsidP="00CA3533">
      <w:pPr>
        <w:kinsoku/>
        <w:overflowPunct/>
        <w:autoSpaceDE/>
        <w:autoSpaceDN/>
        <w:adjustRightInd/>
        <w:snapToGrid/>
        <w:spacing w:after="120"/>
        <w:ind w:left="1134" w:right="1134"/>
        <w:jc w:val="both"/>
        <w:rPr>
          <w:iCs/>
          <w:lang w:val="fr-FR" w:eastAsia="en-US"/>
        </w:rPr>
      </w:pPr>
      <w:r w:rsidRPr="00CA3533">
        <w:rPr>
          <w:iCs/>
          <w:lang w:val="fr-FR" w:eastAsia="en-US"/>
        </w:rPr>
        <w:t>Pour le No ONU 3208, groupe d’emballage II, remplacer « E0 » par « E2 » en colonne (7b).</w:t>
      </w:r>
    </w:p>
    <w:p w14:paraId="79D2DDF9" w14:textId="77777777" w:rsidR="00CA3533" w:rsidRPr="00CA3533" w:rsidRDefault="00CA3533" w:rsidP="00CA3533">
      <w:pPr>
        <w:kinsoku/>
        <w:overflowPunct/>
        <w:autoSpaceDE/>
        <w:autoSpaceDN/>
        <w:adjustRightInd/>
        <w:snapToGrid/>
        <w:spacing w:after="120"/>
        <w:ind w:left="1134" w:right="1134"/>
        <w:jc w:val="both"/>
        <w:rPr>
          <w:i/>
          <w:lang w:val="fr-FR"/>
        </w:rPr>
      </w:pPr>
      <w:r w:rsidRPr="00CA3533">
        <w:rPr>
          <w:iCs/>
          <w:lang w:val="fr-FR" w:eastAsia="en-US"/>
        </w:rPr>
        <w:t>Pour le No ONU 3209, groupe d’emballage II, remplacer « E2 » par « E0 » en colonne (7b).</w:t>
      </w:r>
    </w:p>
    <w:p w14:paraId="299AA44D" w14:textId="263ACE63" w:rsidR="00CA3533" w:rsidRPr="00CA3533" w:rsidRDefault="00CA3533" w:rsidP="00CA3533">
      <w:pPr>
        <w:spacing w:after="120"/>
        <w:ind w:left="2268" w:right="1134" w:hanging="1134"/>
        <w:jc w:val="both"/>
        <w:rPr>
          <w:lang w:val="fr-FR"/>
        </w:rPr>
      </w:pPr>
      <w:r w:rsidRPr="00CA3533">
        <w:rPr>
          <w:lang w:val="fr-FR"/>
        </w:rPr>
        <w:t>Pour les Nos ONU 3269 et 3527</w:t>
      </w:r>
      <w:r w:rsidRPr="00CA3533">
        <w:rPr>
          <w:iCs/>
          <w:lang w:val="fr-FR"/>
        </w:rPr>
        <w:t>, groupes d’emballages II et III</w:t>
      </w:r>
      <w:r w:rsidRPr="00CA3533">
        <w:rPr>
          <w:lang w:val="fr-FR"/>
        </w:rPr>
        <w:t>, remplacer « E0 » par « Voir DS 340 » dans la colonne (7b).</w:t>
      </w:r>
    </w:p>
    <w:p w14:paraId="40D193E9" w14:textId="7BFC39E9" w:rsidR="00CA3533" w:rsidRPr="00CA3533" w:rsidRDefault="00CA3533" w:rsidP="00CA3533">
      <w:pPr>
        <w:spacing w:after="120"/>
        <w:ind w:left="2268" w:right="1134" w:hanging="1134"/>
        <w:jc w:val="both"/>
        <w:rPr>
          <w:lang w:val="fr-FR"/>
        </w:rPr>
      </w:pPr>
      <w:r w:rsidRPr="00CA3533">
        <w:rPr>
          <w:lang w:val="fr-FR"/>
        </w:rPr>
        <w:t>Pour le No ONU 3509</w:t>
      </w:r>
      <w:r w:rsidR="00D3583D">
        <w:rPr>
          <w:lang w:val="fr-FR"/>
        </w:rPr>
        <w:t>, d</w:t>
      </w:r>
      <w:r w:rsidRPr="00CA3533">
        <w:rPr>
          <w:lang w:val="fr-FR"/>
        </w:rPr>
        <w:t>ans la colonne (17), ajouter « VC1 ».</w:t>
      </w:r>
    </w:p>
    <w:p w14:paraId="5D828745" w14:textId="3502627F" w:rsidR="00CA3533" w:rsidRPr="00CA3533" w:rsidRDefault="00CA3533" w:rsidP="00CA3533">
      <w:pPr>
        <w:spacing w:after="120"/>
        <w:ind w:left="2268" w:right="1134" w:hanging="1134"/>
        <w:jc w:val="both"/>
        <w:rPr>
          <w:lang w:val="fr-FR"/>
        </w:rPr>
      </w:pPr>
      <w:r w:rsidRPr="00CA3533">
        <w:rPr>
          <w:lang w:val="fr-FR"/>
        </w:rPr>
        <w:t>Pour le No ONU 3536</w:t>
      </w:r>
      <w:r w:rsidR="00D3583D">
        <w:rPr>
          <w:lang w:val="fr-FR"/>
        </w:rPr>
        <w:t>, d</w:t>
      </w:r>
      <w:r w:rsidRPr="00CA3533">
        <w:rPr>
          <w:lang w:val="fr-FR"/>
        </w:rPr>
        <w:t>ans la colonne (15), dans la partie supérieure de la cellule, remplacer « - » par « 2 ».</w:t>
      </w:r>
    </w:p>
    <w:p w14:paraId="677B3296" w14:textId="77777777" w:rsidR="00CA3533" w:rsidRPr="00CA3533" w:rsidRDefault="00CA3533" w:rsidP="00CA3533">
      <w:pPr>
        <w:spacing w:after="120"/>
        <w:ind w:left="1134" w:right="1134"/>
        <w:jc w:val="both"/>
        <w:rPr>
          <w:iCs/>
          <w:lang w:val="fr-FR"/>
        </w:rPr>
      </w:pPr>
      <w:r w:rsidRPr="00CA3533">
        <w:rPr>
          <w:iCs/>
          <w:lang w:val="fr-FR"/>
        </w:rPr>
        <w:t>Pour le No ONU 3538, ajouter « 396 » en colonne (6).</w:t>
      </w:r>
    </w:p>
    <w:p w14:paraId="3B4423ED" w14:textId="77777777" w:rsidR="00CA3533" w:rsidRPr="00CA3533" w:rsidRDefault="00CA3533" w:rsidP="00CA3533">
      <w:pPr>
        <w:spacing w:after="120"/>
        <w:ind w:left="2268" w:right="1134" w:hanging="1134"/>
        <w:jc w:val="both"/>
        <w:rPr>
          <w:bCs/>
          <w:lang w:val="fr-FR"/>
        </w:rPr>
      </w:pPr>
      <w:r w:rsidRPr="00CA3533">
        <w:rPr>
          <w:bCs/>
          <w:lang w:val="fr-FR"/>
        </w:rPr>
        <w:t>Pour les Nos ONU auxquels la disposition spéciale 386 est affectée dans la colonne (6), insérer « 676 » dans la colonne (6). Cette modification concerne les Nos ONU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et 3534.</w:t>
      </w:r>
    </w:p>
    <w:p w14:paraId="06C8CB9F" w14:textId="7845696D" w:rsidR="00CA3533" w:rsidRPr="00CA3533" w:rsidRDefault="00CA3533" w:rsidP="006C2EA4">
      <w:pPr>
        <w:kinsoku/>
        <w:overflowPunct/>
        <w:autoSpaceDE/>
        <w:autoSpaceDN/>
        <w:adjustRightInd/>
        <w:snapToGrid/>
        <w:spacing w:after="120"/>
        <w:ind w:left="1134" w:right="1134"/>
        <w:jc w:val="both"/>
        <w:rPr>
          <w:iCs/>
          <w:lang w:val="fr-FR" w:eastAsia="en-US"/>
        </w:rPr>
      </w:pPr>
      <w:r w:rsidRPr="00CA3533">
        <w:rPr>
          <w:iCs/>
          <w:lang w:val="fr-FR" w:eastAsia="en-US"/>
        </w:rPr>
        <w:t>Ajouter la nouvelle rubrique suivante :</w:t>
      </w:r>
    </w:p>
    <w:tbl>
      <w:tblPr>
        <w:tblW w:w="5000" w:type="pct"/>
        <w:tblLook w:val="04A0" w:firstRow="1" w:lastRow="0" w:firstColumn="1" w:lastColumn="0" w:noHBand="0" w:noVBand="1"/>
      </w:tblPr>
      <w:tblGrid>
        <w:gridCol w:w="616"/>
        <w:gridCol w:w="2010"/>
        <w:gridCol w:w="538"/>
        <w:gridCol w:w="550"/>
        <w:gridCol w:w="452"/>
        <w:gridCol w:w="466"/>
        <w:gridCol w:w="450"/>
        <w:gridCol w:w="685"/>
        <w:gridCol w:w="730"/>
        <w:gridCol w:w="750"/>
        <w:gridCol w:w="584"/>
        <w:gridCol w:w="597"/>
        <w:gridCol w:w="550"/>
        <w:gridCol w:w="650"/>
      </w:tblGrid>
      <w:tr w:rsidR="00CA3533" w:rsidRPr="00CA3533" w14:paraId="7F5B9FD8" w14:textId="77777777" w:rsidTr="00D56820">
        <w:tc>
          <w:tcPr>
            <w:tcW w:w="247" w:type="pct"/>
            <w:tcBorders>
              <w:top w:val="single" w:sz="4" w:space="0" w:color="auto"/>
              <w:left w:val="single" w:sz="4" w:space="0" w:color="auto"/>
              <w:bottom w:val="single" w:sz="4" w:space="0" w:color="auto"/>
              <w:right w:val="single" w:sz="4" w:space="0" w:color="auto"/>
            </w:tcBorders>
            <w:hideMark/>
          </w:tcPr>
          <w:p w14:paraId="60383AEC" w14:textId="77777777" w:rsidR="00CA3533" w:rsidRPr="00CA3533" w:rsidRDefault="00CA3533" w:rsidP="00CA3533">
            <w:pPr>
              <w:suppressAutoHyphens w:val="0"/>
              <w:spacing w:line="240" w:lineRule="auto"/>
              <w:jc w:val="center"/>
              <w:rPr>
                <w:lang w:val="fr-FR"/>
              </w:rPr>
            </w:pPr>
            <w:r w:rsidRPr="00CA3533">
              <w:rPr>
                <w:lang w:val="fr-FR"/>
              </w:rPr>
              <w:t>(1)</w:t>
            </w:r>
          </w:p>
        </w:tc>
        <w:tc>
          <w:tcPr>
            <w:tcW w:w="1077" w:type="pct"/>
            <w:tcBorders>
              <w:top w:val="single" w:sz="4" w:space="0" w:color="auto"/>
              <w:left w:val="nil"/>
              <w:bottom w:val="single" w:sz="4" w:space="0" w:color="auto"/>
              <w:right w:val="single" w:sz="4" w:space="0" w:color="auto"/>
            </w:tcBorders>
            <w:hideMark/>
          </w:tcPr>
          <w:p w14:paraId="6839575C" w14:textId="77777777" w:rsidR="00CA3533" w:rsidRPr="00CA3533" w:rsidRDefault="00CA3533" w:rsidP="00CA3533">
            <w:pPr>
              <w:suppressAutoHyphens w:val="0"/>
              <w:spacing w:line="240" w:lineRule="auto"/>
              <w:rPr>
                <w:lang w:val="fr-FR"/>
              </w:rPr>
            </w:pPr>
            <w:r w:rsidRPr="00CA3533">
              <w:rPr>
                <w:lang w:val="fr-FR"/>
              </w:rPr>
              <w:t>(2)</w:t>
            </w:r>
          </w:p>
        </w:tc>
        <w:tc>
          <w:tcPr>
            <w:tcW w:w="213" w:type="pct"/>
            <w:tcBorders>
              <w:top w:val="single" w:sz="4" w:space="0" w:color="auto"/>
              <w:left w:val="nil"/>
              <w:bottom w:val="single" w:sz="4" w:space="0" w:color="auto"/>
              <w:right w:val="single" w:sz="4" w:space="0" w:color="auto"/>
            </w:tcBorders>
            <w:hideMark/>
          </w:tcPr>
          <w:p w14:paraId="7AD94646" w14:textId="77777777" w:rsidR="00CA3533" w:rsidRPr="00CA3533" w:rsidRDefault="00CA3533" w:rsidP="00CA3533">
            <w:pPr>
              <w:suppressAutoHyphens w:val="0"/>
              <w:spacing w:line="240" w:lineRule="auto"/>
              <w:jc w:val="center"/>
              <w:rPr>
                <w:lang w:val="fr-FR"/>
              </w:rPr>
            </w:pPr>
            <w:r w:rsidRPr="00CA3533">
              <w:rPr>
                <w:lang w:val="fr-FR"/>
              </w:rPr>
              <w:t>(3a)</w:t>
            </w:r>
          </w:p>
        </w:tc>
        <w:tc>
          <w:tcPr>
            <w:tcW w:w="295" w:type="pct"/>
            <w:tcBorders>
              <w:top w:val="single" w:sz="4" w:space="0" w:color="auto"/>
              <w:left w:val="nil"/>
              <w:bottom w:val="single" w:sz="4" w:space="0" w:color="auto"/>
              <w:right w:val="single" w:sz="4" w:space="0" w:color="auto"/>
            </w:tcBorders>
            <w:hideMark/>
          </w:tcPr>
          <w:p w14:paraId="7C69F42C" w14:textId="77777777" w:rsidR="00CA3533" w:rsidRPr="00CA3533" w:rsidRDefault="00CA3533" w:rsidP="00CA3533">
            <w:pPr>
              <w:suppressAutoHyphens w:val="0"/>
              <w:spacing w:line="240" w:lineRule="auto"/>
              <w:jc w:val="center"/>
              <w:rPr>
                <w:lang w:val="fr-FR"/>
              </w:rPr>
            </w:pPr>
            <w:r w:rsidRPr="00CA3533">
              <w:rPr>
                <w:lang w:val="fr-FR"/>
              </w:rPr>
              <w:t>(3b)</w:t>
            </w:r>
          </w:p>
        </w:tc>
        <w:tc>
          <w:tcPr>
            <w:tcW w:w="288" w:type="pct"/>
            <w:tcBorders>
              <w:top w:val="single" w:sz="4" w:space="0" w:color="auto"/>
              <w:left w:val="nil"/>
              <w:bottom w:val="single" w:sz="4" w:space="0" w:color="auto"/>
              <w:right w:val="single" w:sz="4" w:space="0" w:color="auto"/>
            </w:tcBorders>
            <w:hideMark/>
          </w:tcPr>
          <w:p w14:paraId="07C928DC" w14:textId="77777777" w:rsidR="00CA3533" w:rsidRPr="00CA3533" w:rsidRDefault="00CA3533" w:rsidP="00CA3533">
            <w:pPr>
              <w:suppressAutoHyphens w:val="0"/>
              <w:spacing w:line="240" w:lineRule="auto"/>
              <w:jc w:val="center"/>
              <w:rPr>
                <w:lang w:val="fr-FR"/>
              </w:rPr>
            </w:pPr>
            <w:r w:rsidRPr="00CA3533">
              <w:rPr>
                <w:lang w:val="fr-FR"/>
              </w:rPr>
              <w:t>(4)</w:t>
            </w:r>
          </w:p>
        </w:tc>
        <w:tc>
          <w:tcPr>
            <w:tcW w:w="233" w:type="pct"/>
            <w:tcBorders>
              <w:top w:val="single" w:sz="4" w:space="0" w:color="auto"/>
              <w:left w:val="nil"/>
              <w:bottom w:val="single" w:sz="4" w:space="0" w:color="auto"/>
              <w:right w:val="single" w:sz="4" w:space="0" w:color="auto"/>
            </w:tcBorders>
            <w:hideMark/>
          </w:tcPr>
          <w:p w14:paraId="4B31308D" w14:textId="77777777" w:rsidR="00CA3533" w:rsidRPr="00CA3533" w:rsidRDefault="00CA3533" w:rsidP="00CA3533">
            <w:pPr>
              <w:suppressAutoHyphens w:val="0"/>
              <w:spacing w:line="240" w:lineRule="auto"/>
              <w:jc w:val="center"/>
              <w:rPr>
                <w:lang w:val="fr-FR"/>
              </w:rPr>
            </w:pPr>
            <w:r w:rsidRPr="00CA3533">
              <w:rPr>
                <w:lang w:val="fr-FR"/>
              </w:rPr>
              <w:t>(5)</w:t>
            </w:r>
          </w:p>
        </w:tc>
        <w:tc>
          <w:tcPr>
            <w:tcW w:w="240" w:type="pct"/>
            <w:tcBorders>
              <w:top w:val="single" w:sz="4" w:space="0" w:color="auto"/>
              <w:left w:val="nil"/>
              <w:bottom w:val="single" w:sz="4" w:space="0" w:color="auto"/>
              <w:right w:val="single" w:sz="4" w:space="0" w:color="auto"/>
            </w:tcBorders>
            <w:hideMark/>
          </w:tcPr>
          <w:p w14:paraId="392066A4" w14:textId="77777777" w:rsidR="00CA3533" w:rsidRPr="00CA3533" w:rsidRDefault="00CA3533" w:rsidP="00CA3533">
            <w:pPr>
              <w:suppressAutoHyphens w:val="0"/>
              <w:spacing w:line="240" w:lineRule="auto"/>
              <w:jc w:val="center"/>
              <w:rPr>
                <w:lang w:val="fr-FR"/>
              </w:rPr>
            </w:pPr>
            <w:r w:rsidRPr="00CA3533">
              <w:rPr>
                <w:lang w:val="fr-FR"/>
              </w:rPr>
              <w:t>(6)</w:t>
            </w:r>
          </w:p>
        </w:tc>
        <w:tc>
          <w:tcPr>
            <w:tcW w:w="412" w:type="pct"/>
            <w:tcBorders>
              <w:top w:val="single" w:sz="4" w:space="0" w:color="auto"/>
              <w:left w:val="nil"/>
              <w:bottom w:val="single" w:sz="4" w:space="0" w:color="auto"/>
              <w:right w:val="single" w:sz="4" w:space="0" w:color="auto"/>
            </w:tcBorders>
            <w:hideMark/>
          </w:tcPr>
          <w:p w14:paraId="2B0E7E1E" w14:textId="77777777" w:rsidR="00CA3533" w:rsidRPr="00CA3533" w:rsidRDefault="00CA3533" w:rsidP="00CA3533">
            <w:pPr>
              <w:suppressAutoHyphens w:val="0"/>
              <w:spacing w:line="240" w:lineRule="auto"/>
              <w:jc w:val="center"/>
              <w:rPr>
                <w:lang w:val="fr-FR"/>
              </w:rPr>
            </w:pPr>
            <w:r w:rsidRPr="00CA3533">
              <w:rPr>
                <w:lang w:val="fr-FR"/>
              </w:rPr>
              <w:t>(7a)</w:t>
            </w:r>
          </w:p>
        </w:tc>
        <w:tc>
          <w:tcPr>
            <w:tcW w:w="412" w:type="pct"/>
            <w:tcBorders>
              <w:top w:val="single" w:sz="4" w:space="0" w:color="auto"/>
              <w:left w:val="nil"/>
              <w:bottom w:val="single" w:sz="4" w:space="0" w:color="auto"/>
              <w:right w:val="single" w:sz="4" w:space="0" w:color="auto"/>
            </w:tcBorders>
            <w:hideMark/>
          </w:tcPr>
          <w:p w14:paraId="660904E3" w14:textId="77777777" w:rsidR="00CA3533" w:rsidRPr="00CA3533" w:rsidRDefault="00CA3533" w:rsidP="00CA3533">
            <w:pPr>
              <w:suppressAutoHyphens w:val="0"/>
              <w:spacing w:line="240" w:lineRule="auto"/>
              <w:jc w:val="center"/>
              <w:rPr>
                <w:lang w:val="fr-FR"/>
              </w:rPr>
            </w:pPr>
            <w:r w:rsidRPr="00CA3533">
              <w:rPr>
                <w:lang w:val="fr-FR"/>
              </w:rPr>
              <w:t>(7b)</w:t>
            </w:r>
          </w:p>
        </w:tc>
        <w:tc>
          <w:tcPr>
            <w:tcW w:w="281" w:type="pct"/>
            <w:tcBorders>
              <w:top w:val="single" w:sz="4" w:space="0" w:color="auto"/>
              <w:left w:val="nil"/>
              <w:bottom w:val="single" w:sz="4" w:space="0" w:color="auto"/>
              <w:right w:val="single" w:sz="4" w:space="0" w:color="auto"/>
            </w:tcBorders>
            <w:hideMark/>
          </w:tcPr>
          <w:p w14:paraId="030D56F4" w14:textId="77777777" w:rsidR="00CA3533" w:rsidRPr="00CA3533" w:rsidRDefault="00CA3533" w:rsidP="00CA3533">
            <w:pPr>
              <w:suppressAutoHyphens w:val="0"/>
              <w:spacing w:line="240" w:lineRule="auto"/>
              <w:jc w:val="center"/>
              <w:rPr>
                <w:lang w:val="fr-FR"/>
              </w:rPr>
            </w:pPr>
            <w:r w:rsidRPr="00CA3533">
              <w:rPr>
                <w:lang w:val="fr-FR"/>
              </w:rPr>
              <w:t>(8)</w:t>
            </w:r>
          </w:p>
        </w:tc>
        <w:tc>
          <w:tcPr>
            <w:tcW w:w="336" w:type="pct"/>
            <w:tcBorders>
              <w:top w:val="single" w:sz="4" w:space="0" w:color="auto"/>
              <w:left w:val="nil"/>
              <w:bottom w:val="single" w:sz="4" w:space="0" w:color="auto"/>
              <w:right w:val="single" w:sz="4" w:space="0" w:color="auto"/>
            </w:tcBorders>
            <w:hideMark/>
          </w:tcPr>
          <w:p w14:paraId="31CD83FE" w14:textId="77777777" w:rsidR="00CA3533" w:rsidRPr="00CA3533" w:rsidRDefault="00CA3533" w:rsidP="00CA3533">
            <w:pPr>
              <w:suppressAutoHyphens w:val="0"/>
              <w:spacing w:line="240" w:lineRule="auto"/>
              <w:jc w:val="center"/>
              <w:rPr>
                <w:lang w:val="fr-FR"/>
              </w:rPr>
            </w:pPr>
            <w:r w:rsidRPr="00CA3533">
              <w:rPr>
                <w:lang w:val="fr-FR"/>
              </w:rPr>
              <w:t>(9a)</w:t>
            </w:r>
          </w:p>
        </w:tc>
        <w:tc>
          <w:tcPr>
            <w:tcW w:w="343" w:type="pct"/>
            <w:tcBorders>
              <w:top w:val="single" w:sz="4" w:space="0" w:color="auto"/>
              <w:left w:val="nil"/>
              <w:bottom w:val="single" w:sz="4" w:space="0" w:color="auto"/>
              <w:right w:val="single" w:sz="4" w:space="0" w:color="auto"/>
            </w:tcBorders>
            <w:hideMark/>
          </w:tcPr>
          <w:p w14:paraId="344D6757" w14:textId="77777777" w:rsidR="00CA3533" w:rsidRPr="00CA3533" w:rsidRDefault="00CA3533" w:rsidP="00CA3533">
            <w:pPr>
              <w:suppressAutoHyphens w:val="0"/>
              <w:spacing w:line="240" w:lineRule="auto"/>
              <w:jc w:val="center"/>
              <w:rPr>
                <w:lang w:val="fr-FR"/>
              </w:rPr>
            </w:pPr>
            <w:r w:rsidRPr="00CA3533">
              <w:rPr>
                <w:lang w:val="fr-FR"/>
              </w:rPr>
              <w:t>(9b)</w:t>
            </w:r>
          </w:p>
        </w:tc>
        <w:tc>
          <w:tcPr>
            <w:tcW w:w="295" w:type="pct"/>
            <w:tcBorders>
              <w:top w:val="single" w:sz="4" w:space="0" w:color="auto"/>
              <w:left w:val="nil"/>
              <w:bottom w:val="single" w:sz="4" w:space="0" w:color="auto"/>
              <w:right w:val="single" w:sz="4" w:space="0" w:color="auto"/>
            </w:tcBorders>
            <w:hideMark/>
          </w:tcPr>
          <w:p w14:paraId="18824AB3" w14:textId="77777777" w:rsidR="00CA3533" w:rsidRPr="00CA3533" w:rsidRDefault="00CA3533" w:rsidP="00CA3533">
            <w:pPr>
              <w:suppressAutoHyphens w:val="0"/>
              <w:spacing w:line="240" w:lineRule="auto"/>
              <w:jc w:val="center"/>
              <w:rPr>
                <w:lang w:val="fr-FR"/>
              </w:rPr>
            </w:pPr>
            <w:r w:rsidRPr="00CA3533">
              <w:rPr>
                <w:lang w:val="fr-FR"/>
              </w:rPr>
              <w:t>(10)</w:t>
            </w:r>
          </w:p>
        </w:tc>
        <w:tc>
          <w:tcPr>
            <w:tcW w:w="329" w:type="pct"/>
            <w:tcBorders>
              <w:top w:val="single" w:sz="4" w:space="0" w:color="auto"/>
              <w:left w:val="nil"/>
              <w:bottom w:val="single" w:sz="4" w:space="0" w:color="auto"/>
              <w:right w:val="single" w:sz="4" w:space="0" w:color="auto"/>
            </w:tcBorders>
            <w:hideMark/>
          </w:tcPr>
          <w:p w14:paraId="5978838D" w14:textId="77777777" w:rsidR="00CA3533" w:rsidRPr="00CA3533" w:rsidRDefault="00CA3533" w:rsidP="00CA3533">
            <w:pPr>
              <w:suppressAutoHyphens w:val="0"/>
              <w:spacing w:line="240" w:lineRule="auto"/>
              <w:jc w:val="center"/>
              <w:rPr>
                <w:lang w:val="fr-FR"/>
              </w:rPr>
            </w:pPr>
            <w:r w:rsidRPr="00CA3533">
              <w:rPr>
                <w:lang w:val="fr-FR"/>
              </w:rPr>
              <w:t>(11)</w:t>
            </w:r>
          </w:p>
        </w:tc>
      </w:tr>
      <w:tr w:rsidR="00CA3533" w:rsidRPr="00CA3533" w14:paraId="1B4E33EC" w14:textId="77777777" w:rsidTr="00D56820">
        <w:trPr>
          <w:trHeight w:val="1040"/>
        </w:trPr>
        <w:tc>
          <w:tcPr>
            <w:tcW w:w="247" w:type="pct"/>
            <w:tcBorders>
              <w:top w:val="single" w:sz="4" w:space="0" w:color="auto"/>
              <w:left w:val="single" w:sz="4" w:space="0" w:color="auto"/>
              <w:bottom w:val="single" w:sz="4" w:space="0" w:color="auto"/>
              <w:right w:val="single" w:sz="4" w:space="0" w:color="auto"/>
            </w:tcBorders>
            <w:hideMark/>
          </w:tcPr>
          <w:p w14:paraId="791029AF" w14:textId="77777777" w:rsidR="00CA3533" w:rsidRPr="00CA3533" w:rsidRDefault="00CA3533" w:rsidP="00CA3533">
            <w:pPr>
              <w:suppressAutoHyphens w:val="0"/>
              <w:spacing w:line="240" w:lineRule="auto"/>
              <w:jc w:val="center"/>
              <w:rPr>
                <w:lang w:val="fr-FR"/>
              </w:rPr>
            </w:pPr>
            <w:r w:rsidRPr="00CA3533">
              <w:rPr>
                <w:lang w:val="fr-FR"/>
              </w:rPr>
              <w:t>3550</w:t>
            </w:r>
          </w:p>
        </w:tc>
        <w:tc>
          <w:tcPr>
            <w:tcW w:w="1077" w:type="pct"/>
            <w:tcBorders>
              <w:top w:val="single" w:sz="4" w:space="0" w:color="auto"/>
              <w:left w:val="nil"/>
              <w:bottom w:val="single" w:sz="4" w:space="0" w:color="auto"/>
              <w:right w:val="single" w:sz="4" w:space="0" w:color="auto"/>
            </w:tcBorders>
            <w:hideMark/>
          </w:tcPr>
          <w:p w14:paraId="7C1C2777" w14:textId="77777777" w:rsidR="00CA3533" w:rsidRPr="00CA3533" w:rsidRDefault="00CA3533" w:rsidP="00CA3533">
            <w:pPr>
              <w:suppressAutoHyphens w:val="0"/>
              <w:spacing w:line="240" w:lineRule="auto"/>
              <w:rPr>
                <w:lang w:val="fr-FR"/>
              </w:rPr>
            </w:pPr>
            <w:r w:rsidRPr="00CA3533">
              <w:rPr>
                <w:lang w:val="fr-FR"/>
              </w:rPr>
              <w:t>POUDRE DE DIHYDROXYDE DE COBALT ayant une teneur en particules respirables supérieure ou égale à 10 %</w:t>
            </w:r>
          </w:p>
        </w:tc>
        <w:tc>
          <w:tcPr>
            <w:tcW w:w="213" w:type="pct"/>
            <w:tcBorders>
              <w:top w:val="single" w:sz="4" w:space="0" w:color="auto"/>
              <w:left w:val="nil"/>
              <w:bottom w:val="single" w:sz="4" w:space="0" w:color="auto"/>
              <w:right w:val="single" w:sz="4" w:space="0" w:color="auto"/>
            </w:tcBorders>
            <w:hideMark/>
          </w:tcPr>
          <w:p w14:paraId="5F22FB09" w14:textId="77777777" w:rsidR="00CA3533" w:rsidRPr="00CA3533" w:rsidRDefault="00CA3533" w:rsidP="00CA3533">
            <w:pPr>
              <w:suppressAutoHyphens w:val="0"/>
              <w:spacing w:line="240" w:lineRule="auto"/>
              <w:jc w:val="center"/>
              <w:rPr>
                <w:lang w:val="fr-FR"/>
              </w:rPr>
            </w:pPr>
            <w:r w:rsidRPr="00CA3533">
              <w:rPr>
                <w:lang w:val="fr-FR"/>
              </w:rPr>
              <w:t>6.1</w:t>
            </w:r>
          </w:p>
        </w:tc>
        <w:tc>
          <w:tcPr>
            <w:tcW w:w="295" w:type="pct"/>
            <w:tcBorders>
              <w:top w:val="single" w:sz="4" w:space="0" w:color="auto"/>
              <w:left w:val="nil"/>
              <w:bottom w:val="single" w:sz="4" w:space="0" w:color="auto"/>
              <w:right w:val="single" w:sz="4" w:space="0" w:color="auto"/>
            </w:tcBorders>
            <w:hideMark/>
          </w:tcPr>
          <w:p w14:paraId="5C057D62" w14:textId="77777777" w:rsidR="00CA3533" w:rsidRPr="00CA3533" w:rsidRDefault="00CA3533" w:rsidP="00CA3533">
            <w:pPr>
              <w:suppressAutoHyphens w:val="0"/>
              <w:spacing w:line="240" w:lineRule="auto"/>
              <w:jc w:val="center"/>
              <w:rPr>
                <w:lang w:val="fr-FR"/>
              </w:rPr>
            </w:pPr>
            <w:r w:rsidRPr="00CA3533">
              <w:rPr>
                <w:lang w:val="fr-FR"/>
              </w:rPr>
              <w:t>T5</w:t>
            </w:r>
          </w:p>
        </w:tc>
        <w:tc>
          <w:tcPr>
            <w:tcW w:w="288" w:type="pct"/>
            <w:tcBorders>
              <w:top w:val="single" w:sz="4" w:space="0" w:color="auto"/>
              <w:left w:val="nil"/>
              <w:bottom w:val="single" w:sz="4" w:space="0" w:color="auto"/>
              <w:right w:val="single" w:sz="4" w:space="0" w:color="auto"/>
            </w:tcBorders>
            <w:hideMark/>
          </w:tcPr>
          <w:p w14:paraId="59A7EEC5" w14:textId="77777777" w:rsidR="00CA3533" w:rsidRPr="00CA3533" w:rsidRDefault="00CA3533" w:rsidP="00CA3533">
            <w:pPr>
              <w:suppressAutoHyphens w:val="0"/>
              <w:spacing w:line="240" w:lineRule="auto"/>
              <w:jc w:val="center"/>
              <w:rPr>
                <w:lang w:val="fr-FR"/>
              </w:rPr>
            </w:pPr>
            <w:r w:rsidRPr="00CA3533">
              <w:rPr>
                <w:lang w:val="fr-FR"/>
              </w:rPr>
              <w:t>I</w:t>
            </w:r>
          </w:p>
        </w:tc>
        <w:tc>
          <w:tcPr>
            <w:tcW w:w="233" w:type="pct"/>
            <w:tcBorders>
              <w:top w:val="single" w:sz="4" w:space="0" w:color="auto"/>
              <w:left w:val="nil"/>
              <w:bottom w:val="single" w:sz="4" w:space="0" w:color="auto"/>
              <w:right w:val="single" w:sz="4" w:space="0" w:color="auto"/>
            </w:tcBorders>
            <w:hideMark/>
          </w:tcPr>
          <w:p w14:paraId="1A7FD110" w14:textId="77777777" w:rsidR="00CA3533" w:rsidRPr="00CA3533" w:rsidRDefault="00CA3533" w:rsidP="00CA3533">
            <w:pPr>
              <w:suppressAutoHyphens w:val="0"/>
              <w:spacing w:line="240" w:lineRule="auto"/>
              <w:jc w:val="center"/>
              <w:rPr>
                <w:lang w:val="fr-FR"/>
              </w:rPr>
            </w:pPr>
            <w:r w:rsidRPr="00CA3533">
              <w:rPr>
                <w:lang w:val="fr-FR"/>
              </w:rPr>
              <w:t>6.1</w:t>
            </w:r>
          </w:p>
        </w:tc>
        <w:tc>
          <w:tcPr>
            <w:tcW w:w="240" w:type="pct"/>
            <w:tcBorders>
              <w:top w:val="single" w:sz="4" w:space="0" w:color="auto"/>
              <w:left w:val="nil"/>
              <w:bottom w:val="single" w:sz="4" w:space="0" w:color="auto"/>
              <w:right w:val="single" w:sz="4" w:space="0" w:color="auto"/>
            </w:tcBorders>
            <w:hideMark/>
          </w:tcPr>
          <w:p w14:paraId="34840FF4" w14:textId="77777777" w:rsidR="00CA3533" w:rsidRPr="00CA3533" w:rsidRDefault="00CA3533" w:rsidP="00CA3533">
            <w:pPr>
              <w:rPr>
                <w:lang w:val="fr-FR"/>
              </w:rPr>
            </w:pPr>
          </w:p>
        </w:tc>
        <w:tc>
          <w:tcPr>
            <w:tcW w:w="412" w:type="pct"/>
            <w:tcBorders>
              <w:top w:val="single" w:sz="4" w:space="0" w:color="auto"/>
              <w:left w:val="nil"/>
              <w:bottom w:val="single" w:sz="4" w:space="0" w:color="auto"/>
              <w:right w:val="single" w:sz="4" w:space="0" w:color="auto"/>
            </w:tcBorders>
            <w:hideMark/>
          </w:tcPr>
          <w:p w14:paraId="4964E5DF" w14:textId="77777777" w:rsidR="00CA3533" w:rsidRPr="00CA3533" w:rsidRDefault="00CA3533" w:rsidP="00CA3533">
            <w:pPr>
              <w:suppressAutoHyphens w:val="0"/>
              <w:spacing w:line="240" w:lineRule="auto"/>
              <w:jc w:val="center"/>
              <w:rPr>
                <w:lang w:val="fr-FR"/>
              </w:rPr>
            </w:pPr>
            <w:r w:rsidRPr="00CA3533">
              <w:rPr>
                <w:lang w:val="fr-FR"/>
              </w:rPr>
              <w:t>0</w:t>
            </w:r>
          </w:p>
        </w:tc>
        <w:tc>
          <w:tcPr>
            <w:tcW w:w="412" w:type="pct"/>
            <w:tcBorders>
              <w:top w:val="single" w:sz="4" w:space="0" w:color="auto"/>
              <w:left w:val="nil"/>
              <w:bottom w:val="single" w:sz="4" w:space="0" w:color="auto"/>
              <w:right w:val="single" w:sz="4" w:space="0" w:color="auto"/>
            </w:tcBorders>
            <w:hideMark/>
          </w:tcPr>
          <w:p w14:paraId="3ED37ADF" w14:textId="77777777" w:rsidR="00CA3533" w:rsidRPr="00CA3533" w:rsidRDefault="00CA3533" w:rsidP="00CA3533">
            <w:pPr>
              <w:suppressAutoHyphens w:val="0"/>
              <w:spacing w:line="240" w:lineRule="auto"/>
              <w:jc w:val="center"/>
              <w:rPr>
                <w:lang w:val="fr-FR"/>
              </w:rPr>
            </w:pPr>
            <w:r w:rsidRPr="00CA3533">
              <w:rPr>
                <w:lang w:val="fr-FR"/>
              </w:rPr>
              <w:t>E5</w:t>
            </w:r>
          </w:p>
        </w:tc>
        <w:tc>
          <w:tcPr>
            <w:tcW w:w="281" w:type="pct"/>
            <w:tcBorders>
              <w:top w:val="single" w:sz="4" w:space="0" w:color="auto"/>
              <w:left w:val="nil"/>
              <w:bottom w:val="single" w:sz="4" w:space="0" w:color="auto"/>
              <w:right w:val="single" w:sz="4" w:space="0" w:color="auto"/>
            </w:tcBorders>
            <w:hideMark/>
          </w:tcPr>
          <w:p w14:paraId="521D9534" w14:textId="77777777" w:rsidR="00CA3533" w:rsidRPr="00CA3533" w:rsidRDefault="00CA3533" w:rsidP="00CA3533">
            <w:pPr>
              <w:suppressAutoHyphens w:val="0"/>
              <w:spacing w:line="240" w:lineRule="auto"/>
              <w:jc w:val="center"/>
              <w:rPr>
                <w:lang w:val="fr-FR"/>
              </w:rPr>
            </w:pPr>
            <w:r w:rsidRPr="00CA3533">
              <w:rPr>
                <w:lang w:val="fr-FR"/>
              </w:rPr>
              <w:t>P002</w:t>
            </w:r>
            <w:r w:rsidRPr="00CA3533">
              <w:rPr>
                <w:lang w:val="fr-FR"/>
              </w:rPr>
              <w:br/>
              <w:t>IBC07</w:t>
            </w:r>
          </w:p>
        </w:tc>
        <w:tc>
          <w:tcPr>
            <w:tcW w:w="336" w:type="pct"/>
            <w:tcBorders>
              <w:top w:val="single" w:sz="4" w:space="0" w:color="auto"/>
              <w:left w:val="nil"/>
              <w:bottom w:val="single" w:sz="4" w:space="0" w:color="auto"/>
              <w:right w:val="single" w:sz="4" w:space="0" w:color="auto"/>
            </w:tcBorders>
          </w:tcPr>
          <w:p w14:paraId="53F1BDB6" w14:textId="77777777" w:rsidR="00CA3533" w:rsidRPr="00CA3533" w:rsidRDefault="00CA3533" w:rsidP="00CA3533">
            <w:pPr>
              <w:suppressAutoHyphens w:val="0"/>
              <w:spacing w:line="240" w:lineRule="auto"/>
              <w:jc w:val="center"/>
              <w:rPr>
                <w:lang w:val="fr-FR"/>
              </w:rPr>
            </w:pPr>
          </w:p>
          <w:p w14:paraId="7C07D671" w14:textId="2538E4EA" w:rsidR="00CA3533" w:rsidRPr="00CA3533" w:rsidRDefault="00CA3533" w:rsidP="00CA3533">
            <w:pPr>
              <w:suppressAutoHyphens w:val="0"/>
              <w:spacing w:line="240" w:lineRule="auto"/>
              <w:jc w:val="center"/>
              <w:rPr>
                <w:lang w:val="fr-FR"/>
              </w:rPr>
            </w:pPr>
            <w:r w:rsidRPr="00CA3533">
              <w:rPr>
                <w:lang w:val="fr-FR"/>
              </w:rPr>
              <w:t>B20</w:t>
            </w:r>
          </w:p>
        </w:tc>
        <w:tc>
          <w:tcPr>
            <w:tcW w:w="343" w:type="pct"/>
            <w:tcBorders>
              <w:top w:val="single" w:sz="4" w:space="0" w:color="auto"/>
              <w:left w:val="nil"/>
              <w:bottom w:val="single" w:sz="4" w:space="0" w:color="auto"/>
              <w:right w:val="single" w:sz="4" w:space="0" w:color="auto"/>
            </w:tcBorders>
          </w:tcPr>
          <w:p w14:paraId="53BA9965" w14:textId="77777777" w:rsidR="00CA3533" w:rsidRPr="00CA3533" w:rsidRDefault="00CA3533" w:rsidP="00CA3533">
            <w:pPr>
              <w:suppressAutoHyphens w:val="0"/>
              <w:spacing w:line="240" w:lineRule="auto"/>
              <w:jc w:val="center"/>
              <w:rPr>
                <w:lang w:val="fr-FR"/>
              </w:rPr>
            </w:pPr>
          </w:p>
        </w:tc>
        <w:tc>
          <w:tcPr>
            <w:tcW w:w="295" w:type="pct"/>
            <w:tcBorders>
              <w:top w:val="single" w:sz="4" w:space="0" w:color="auto"/>
              <w:left w:val="nil"/>
              <w:bottom w:val="single" w:sz="4" w:space="0" w:color="auto"/>
              <w:right w:val="single" w:sz="4" w:space="0" w:color="auto"/>
            </w:tcBorders>
            <w:hideMark/>
          </w:tcPr>
          <w:p w14:paraId="389BAAB5" w14:textId="77777777" w:rsidR="00CA3533" w:rsidRPr="00CA3533" w:rsidRDefault="00CA3533" w:rsidP="00CA3533">
            <w:pPr>
              <w:suppressAutoHyphens w:val="0"/>
              <w:spacing w:line="240" w:lineRule="auto"/>
              <w:jc w:val="center"/>
              <w:rPr>
                <w:lang w:val="fr-FR"/>
              </w:rPr>
            </w:pPr>
            <w:r w:rsidRPr="00CA3533">
              <w:rPr>
                <w:lang w:val="fr-FR"/>
              </w:rPr>
              <w:t>T6</w:t>
            </w:r>
          </w:p>
        </w:tc>
        <w:tc>
          <w:tcPr>
            <w:tcW w:w="329" w:type="pct"/>
            <w:tcBorders>
              <w:top w:val="single" w:sz="4" w:space="0" w:color="auto"/>
              <w:left w:val="nil"/>
              <w:bottom w:val="single" w:sz="4" w:space="0" w:color="auto"/>
              <w:right w:val="single" w:sz="4" w:space="0" w:color="auto"/>
            </w:tcBorders>
            <w:hideMark/>
          </w:tcPr>
          <w:p w14:paraId="46F0B4A0" w14:textId="77777777" w:rsidR="00CA3533" w:rsidRPr="00CA3533" w:rsidRDefault="00CA3533" w:rsidP="00CA3533">
            <w:pPr>
              <w:suppressAutoHyphens w:val="0"/>
              <w:spacing w:line="240" w:lineRule="auto"/>
              <w:jc w:val="center"/>
              <w:rPr>
                <w:lang w:val="fr-FR"/>
              </w:rPr>
            </w:pPr>
            <w:r w:rsidRPr="00CA3533">
              <w:rPr>
                <w:lang w:val="fr-FR"/>
              </w:rPr>
              <w:t>TP33</w:t>
            </w:r>
          </w:p>
        </w:tc>
      </w:tr>
    </w:tbl>
    <w:p w14:paraId="222A9763" w14:textId="77777777" w:rsidR="00CA3533" w:rsidRPr="00CA3533" w:rsidRDefault="00CA3533" w:rsidP="00CA3533">
      <w:pPr>
        <w:spacing w:after="120"/>
        <w:ind w:left="2268" w:right="1134" w:hanging="1134"/>
        <w:jc w:val="both"/>
        <w:rPr>
          <w:rFonts w:eastAsia="SimSun"/>
          <w:lang w:val="fr-FR"/>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CA3533" w:rsidRPr="00CA3533" w14:paraId="1486E813" w14:textId="77777777" w:rsidTr="00D56820">
        <w:tc>
          <w:tcPr>
            <w:tcW w:w="1100" w:type="dxa"/>
            <w:tcBorders>
              <w:top w:val="single" w:sz="4" w:space="0" w:color="auto"/>
              <w:left w:val="single" w:sz="4" w:space="0" w:color="auto"/>
              <w:bottom w:val="single" w:sz="4" w:space="0" w:color="auto"/>
              <w:right w:val="single" w:sz="4" w:space="0" w:color="auto"/>
            </w:tcBorders>
            <w:hideMark/>
          </w:tcPr>
          <w:p w14:paraId="56FE82B6" w14:textId="77777777" w:rsidR="00CA3533" w:rsidRPr="00CA3533" w:rsidRDefault="00CA3533" w:rsidP="00CA3533">
            <w:pPr>
              <w:suppressAutoHyphens w:val="0"/>
              <w:spacing w:line="240" w:lineRule="auto"/>
              <w:jc w:val="center"/>
              <w:rPr>
                <w:lang w:val="fr-FR"/>
              </w:rPr>
            </w:pPr>
            <w:r w:rsidRPr="00CA3533">
              <w:rPr>
                <w:lang w:val="fr-FR"/>
              </w:rPr>
              <w:t>(12)</w:t>
            </w:r>
          </w:p>
        </w:tc>
        <w:tc>
          <w:tcPr>
            <w:tcW w:w="1100" w:type="dxa"/>
            <w:tcBorders>
              <w:top w:val="single" w:sz="4" w:space="0" w:color="auto"/>
              <w:left w:val="nil"/>
              <w:bottom w:val="single" w:sz="4" w:space="0" w:color="auto"/>
              <w:right w:val="single" w:sz="4" w:space="0" w:color="auto"/>
            </w:tcBorders>
            <w:hideMark/>
          </w:tcPr>
          <w:p w14:paraId="7CE96079" w14:textId="77777777" w:rsidR="00CA3533" w:rsidRPr="00CA3533" w:rsidRDefault="00CA3533" w:rsidP="00CA3533">
            <w:pPr>
              <w:suppressAutoHyphens w:val="0"/>
              <w:spacing w:line="240" w:lineRule="auto"/>
              <w:jc w:val="center"/>
              <w:rPr>
                <w:lang w:val="fr-FR"/>
              </w:rPr>
            </w:pPr>
            <w:r w:rsidRPr="00CA3533">
              <w:rPr>
                <w:lang w:val="fr-FR"/>
              </w:rPr>
              <w:t>(13)</w:t>
            </w:r>
          </w:p>
        </w:tc>
        <w:tc>
          <w:tcPr>
            <w:tcW w:w="1100" w:type="dxa"/>
            <w:tcBorders>
              <w:top w:val="single" w:sz="4" w:space="0" w:color="auto"/>
              <w:left w:val="nil"/>
              <w:bottom w:val="single" w:sz="4" w:space="0" w:color="auto"/>
              <w:right w:val="single" w:sz="4" w:space="0" w:color="auto"/>
            </w:tcBorders>
            <w:hideMark/>
          </w:tcPr>
          <w:p w14:paraId="2026F26D" w14:textId="77777777" w:rsidR="00CA3533" w:rsidRPr="00CA3533" w:rsidRDefault="00CA3533" w:rsidP="00CA3533">
            <w:pPr>
              <w:suppressAutoHyphens w:val="0"/>
              <w:spacing w:line="240" w:lineRule="auto"/>
              <w:jc w:val="center"/>
              <w:rPr>
                <w:lang w:val="fr-FR"/>
              </w:rPr>
            </w:pPr>
            <w:r w:rsidRPr="00CA3533">
              <w:rPr>
                <w:lang w:val="fr-FR"/>
              </w:rPr>
              <w:t>(14)</w:t>
            </w:r>
          </w:p>
        </w:tc>
        <w:tc>
          <w:tcPr>
            <w:tcW w:w="1100" w:type="dxa"/>
            <w:tcBorders>
              <w:top w:val="single" w:sz="4" w:space="0" w:color="auto"/>
              <w:left w:val="nil"/>
              <w:bottom w:val="single" w:sz="4" w:space="0" w:color="auto"/>
              <w:right w:val="single" w:sz="4" w:space="0" w:color="auto"/>
            </w:tcBorders>
            <w:hideMark/>
          </w:tcPr>
          <w:p w14:paraId="112F0BCE" w14:textId="77777777" w:rsidR="00CA3533" w:rsidRPr="00CA3533" w:rsidRDefault="00CA3533" w:rsidP="00CA3533">
            <w:pPr>
              <w:suppressAutoHyphens w:val="0"/>
              <w:spacing w:line="240" w:lineRule="auto"/>
              <w:jc w:val="center"/>
              <w:rPr>
                <w:lang w:val="fr-FR"/>
              </w:rPr>
            </w:pPr>
            <w:r w:rsidRPr="00CA3533">
              <w:rPr>
                <w:lang w:val="fr-FR"/>
              </w:rPr>
              <w:t>(15)</w:t>
            </w:r>
          </w:p>
        </w:tc>
        <w:tc>
          <w:tcPr>
            <w:tcW w:w="1100" w:type="dxa"/>
            <w:tcBorders>
              <w:top w:val="single" w:sz="4" w:space="0" w:color="auto"/>
              <w:left w:val="nil"/>
              <w:bottom w:val="single" w:sz="4" w:space="0" w:color="auto"/>
              <w:right w:val="single" w:sz="4" w:space="0" w:color="auto"/>
            </w:tcBorders>
            <w:hideMark/>
          </w:tcPr>
          <w:p w14:paraId="54E486E5" w14:textId="77777777" w:rsidR="00CA3533" w:rsidRPr="00CA3533" w:rsidRDefault="00CA3533" w:rsidP="00CA3533">
            <w:pPr>
              <w:suppressAutoHyphens w:val="0"/>
              <w:spacing w:line="240" w:lineRule="auto"/>
              <w:jc w:val="center"/>
              <w:rPr>
                <w:lang w:val="fr-FR"/>
              </w:rPr>
            </w:pPr>
            <w:r w:rsidRPr="00CA3533">
              <w:rPr>
                <w:lang w:val="fr-FR"/>
              </w:rPr>
              <w:t>(16)</w:t>
            </w:r>
          </w:p>
        </w:tc>
        <w:tc>
          <w:tcPr>
            <w:tcW w:w="1100" w:type="dxa"/>
            <w:tcBorders>
              <w:top w:val="single" w:sz="4" w:space="0" w:color="auto"/>
              <w:left w:val="nil"/>
              <w:bottom w:val="single" w:sz="4" w:space="0" w:color="auto"/>
              <w:right w:val="single" w:sz="4" w:space="0" w:color="auto"/>
            </w:tcBorders>
            <w:hideMark/>
          </w:tcPr>
          <w:p w14:paraId="5E17EDB6" w14:textId="77777777" w:rsidR="00CA3533" w:rsidRPr="00CA3533" w:rsidRDefault="00CA3533" w:rsidP="00CA3533">
            <w:pPr>
              <w:suppressAutoHyphens w:val="0"/>
              <w:spacing w:line="240" w:lineRule="auto"/>
              <w:jc w:val="center"/>
              <w:rPr>
                <w:lang w:val="fr-FR"/>
              </w:rPr>
            </w:pPr>
            <w:r w:rsidRPr="00CA3533">
              <w:rPr>
                <w:lang w:val="fr-FR"/>
              </w:rPr>
              <w:t>(17)</w:t>
            </w:r>
          </w:p>
        </w:tc>
        <w:tc>
          <w:tcPr>
            <w:tcW w:w="1100" w:type="dxa"/>
            <w:tcBorders>
              <w:top w:val="single" w:sz="4" w:space="0" w:color="auto"/>
              <w:left w:val="nil"/>
              <w:bottom w:val="single" w:sz="4" w:space="0" w:color="auto"/>
              <w:right w:val="single" w:sz="4" w:space="0" w:color="auto"/>
            </w:tcBorders>
            <w:hideMark/>
          </w:tcPr>
          <w:p w14:paraId="570735E2" w14:textId="77777777" w:rsidR="00CA3533" w:rsidRPr="00CA3533" w:rsidRDefault="00CA3533" w:rsidP="00CA3533">
            <w:pPr>
              <w:suppressAutoHyphens w:val="0"/>
              <w:spacing w:line="240" w:lineRule="auto"/>
              <w:jc w:val="center"/>
              <w:rPr>
                <w:lang w:val="fr-FR"/>
              </w:rPr>
            </w:pPr>
            <w:r w:rsidRPr="00CA3533">
              <w:rPr>
                <w:lang w:val="fr-FR"/>
              </w:rPr>
              <w:t>(18)</w:t>
            </w:r>
          </w:p>
        </w:tc>
        <w:tc>
          <w:tcPr>
            <w:tcW w:w="1100" w:type="dxa"/>
            <w:tcBorders>
              <w:top w:val="single" w:sz="4" w:space="0" w:color="auto"/>
              <w:left w:val="nil"/>
              <w:bottom w:val="single" w:sz="4" w:space="0" w:color="auto"/>
              <w:right w:val="single" w:sz="4" w:space="0" w:color="auto"/>
            </w:tcBorders>
            <w:hideMark/>
          </w:tcPr>
          <w:p w14:paraId="4AAB05FA" w14:textId="77777777" w:rsidR="00CA3533" w:rsidRPr="00CA3533" w:rsidRDefault="00CA3533" w:rsidP="00CA3533">
            <w:pPr>
              <w:suppressAutoHyphens w:val="0"/>
              <w:spacing w:line="240" w:lineRule="auto"/>
              <w:jc w:val="center"/>
              <w:rPr>
                <w:lang w:val="fr-FR"/>
              </w:rPr>
            </w:pPr>
            <w:r w:rsidRPr="00CA3533">
              <w:rPr>
                <w:lang w:val="fr-FR"/>
              </w:rPr>
              <w:t>(19)</w:t>
            </w:r>
          </w:p>
        </w:tc>
        <w:tc>
          <w:tcPr>
            <w:tcW w:w="1100" w:type="dxa"/>
            <w:tcBorders>
              <w:top w:val="single" w:sz="4" w:space="0" w:color="auto"/>
              <w:left w:val="nil"/>
              <w:bottom w:val="single" w:sz="4" w:space="0" w:color="auto"/>
              <w:right w:val="single" w:sz="4" w:space="0" w:color="auto"/>
            </w:tcBorders>
            <w:hideMark/>
          </w:tcPr>
          <w:p w14:paraId="1E1130B9" w14:textId="77777777" w:rsidR="00CA3533" w:rsidRPr="00CA3533" w:rsidRDefault="00CA3533" w:rsidP="00CA3533">
            <w:pPr>
              <w:suppressAutoHyphens w:val="0"/>
              <w:spacing w:line="240" w:lineRule="auto"/>
              <w:jc w:val="center"/>
              <w:rPr>
                <w:lang w:val="fr-FR"/>
              </w:rPr>
            </w:pPr>
            <w:r w:rsidRPr="00CA3533">
              <w:rPr>
                <w:lang w:val="fr-FR"/>
              </w:rPr>
              <w:t>(20)</w:t>
            </w:r>
          </w:p>
        </w:tc>
      </w:tr>
      <w:tr w:rsidR="00CA3533" w:rsidRPr="00CA3533" w14:paraId="5ACB24DC" w14:textId="77777777" w:rsidTr="00D56820">
        <w:trPr>
          <w:trHeight w:val="1040"/>
        </w:trPr>
        <w:tc>
          <w:tcPr>
            <w:tcW w:w="1100" w:type="dxa"/>
            <w:tcBorders>
              <w:top w:val="single" w:sz="4" w:space="0" w:color="auto"/>
              <w:left w:val="single" w:sz="4" w:space="0" w:color="auto"/>
              <w:bottom w:val="single" w:sz="4" w:space="0" w:color="auto"/>
              <w:right w:val="single" w:sz="4" w:space="0" w:color="auto"/>
            </w:tcBorders>
            <w:hideMark/>
          </w:tcPr>
          <w:p w14:paraId="1681E397" w14:textId="6D5647C1" w:rsidR="00CA3533" w:rsidRPr="00CA3533" w:rsidRDefault="00CA3533" w:rsidP="00CA3533">
            <w:pPr>
              <w:suppressAutoHyphens w:val="0"/>
              <w:spacing w:line="240" w:lineRule="auto"/>
              <w:jc w:val="center"/>
              <w:rPr>
                <w:lang w:val="fr-FR"/>
              </w:rPr>
            </w:pPr>
            <w:r w:rsidRPr="00CA3533">
              <w:rPr>
                <w:lang w:val="fr-FR"/>
              </w:rPr>
              <w:t>S10AH</w:t>
            </w:r>
            <w:r w:rsidRPr="00CA3533">
              <w:rPr>
                <w:lang w:val="fr-FR"/>
              </w:rPr>
              <w:br/>
              <w:t>L10CH</w:t>
            </w:r>
          </w:p>
        </w:tc>
        <w:tc>
          <w:tcPr>
            <w:tcW w:w="1100" w:type="dxa"/>
            <w:tcBorders>
              <w:top w:val="single" w:sz="4" w:space="0" w:color="auto"/>
              <w:left w:val="nil"/>
              <w:bottom w:val="single" w:sz="4" w:space="0" w:color="auto"/>
              <w:right w:val="single" w:sz="4" w:space="0" w:color="auto"/>
            </w:tcBorders>
            <w:hideMark/>
          </w:tcPr>
          <w:p w14:paraId="1004E4A9" w14:textId="32B03C59" w:rsidR="00CA3533" w:rsidRPr="00CA3533" w:rsidRDefault="00CA3533" w:rsidP="00CA3533">
            <w:pPr>
              <w:suppressAutoHyphens w:val="0"/>
              <w:spacing w:line="240" w:lineRule="auto"/>
              <w:jc w:val="center"/>
              <w:rPr>
                <w:lang w:val="fr-FR"/>
              </w:rPr>
            </w:pPr>
            <w:r w:rsidRPr="00CA3533">
              <w:rPr>
                <w:lang w:val="fr-FR"/>
              </w:rPr>
              <w:t>TU14 TU15 TE19 TE21</w:t>
            </w:r>
          </w:p>
        </w:tc>
        <w:tc>
          <w:tcPr>
            <w:tcW w:w="1100" w:type="dxa"/>
            <w:tcBorders>
              <w:top w:val="single" w:sz="4" w:space="0" w:color="auto"/>
              <w:left w:val="nil"/>
              <w:bottom w:val="single" w:sz="4" w:space="0" w:color="auto"/>
              <w:right w:val="single" w:sz="4" w:space="0" w:color="auto"/>
            </w:tcBorders>
            <w:hideMark/>
          </w:tcPr>
          <w:p w14:paraId="26C4E1D7" w14:textId="77777777" w:rsidR="00CA3533" w:rsidRPr="00CA3533" w:rsidRDefault="00CA3533" w:rsidP="00CA3533">
            <w:pPr>
              <w:suppressAutoHyphens w:val="0"/>
              <w:spacing w:line="240" w:lineRule="auto"/>
              <w:jc w:val="center"/>
              <w:rPr>
                <w:lang w:val="fr-FR"/>
              </w:rPr>
            </w:pPr>
            <w:r w:rsidRPr="00CA3533">
              <w:rPr>
                <w:lang w:val="fr-FR"/>
              </w:rPr>
              <w:t>AT</w:t>
            </w:r>
          </w:p>
        </w:tc>
        <w:tc>
          <w:tcPr>
            <w:tcW w:w="1100" w:type="dxa"/>
            <w:tcBorders>
              <w:top w:val="single" w:sz="4" w:space="0" w:color="auto"/>
              <w:left w:val="nil"/>
              <w:bottom w:val="single" w:sz="4" w:space="0" w:color="auto"/>
              <w:right w:val="single" w:sz="4" w:space="0" w:color="auto"/>
            </w:tcBorders>
            <w:hideMark/>
          </w:tcPr>
          <w:p w14:paraId="6A18C2A7" w14:textId="77777777" w:rsidR="00CA3533" w:rsidRPr="00CA3533" w:rsidRDefault="00CA3533" w:rsidP="00CA3533">
            <w:pPr>
              <w:suppressAutoHyphens w:val="0"/>
              <w:spacing w:line="240" w:lineRule="auto"/>
              <w:jc w:val="center"/>
              <w:rPr>
                <w:lang w:val="fr-FR"/>
              </w:rPr>
            </w:pPr>
            <w:r w:rsidRPr="00CA3533">
              <w:rPr>
                <w:lang w:val="fr-FR"/>
              </w:rPr>
              <w:t>1</w:t>
            </w:r>
            <w:r w:rsidRPr="00CA3533">
              <w:rPr>
                <w:lang w:val="fr-FR"/>
              </w:rPr>
              <w:br/>
              <w:t>(C/E)</w:t>
            </w:r>
          </w:p>
        </w:tc>
        <w:tc>
          <w:tcPr>
            <w:tcW w:w="1100" w:type="dxa"/>
            <w:tcBorders>
              <w:top w:val="single" w:sz="4" w:space="0" w:color="auto"/>
              <w:left w:val="nil"/>
              <w:bottom w:val="single" w:sz="4" w:space="0" w:color="auto"/>
              <w:right w:val="single" w:sz="4" w:space="0" w:color="auto"/>
            </w:tcBorders>
            <w:hideMark/>
          </w:tcPr>
          <w:p w14:paraId="6F89DCCF" w14:textId="2510A396" w:rsidR="00CA3533" w:rsidRPr="00CA3533" w:rsidRDefault="00CA3533" w:rsidP="00CA3533">
            <w:pPr>
              <w:suppressAutoHyphens w:val="0"/>
              <w:spacing w:line="240" w:lineRule="auto"/>
              <w:jc w:val="center"/>
              <w:rPr>
                <w:lang w:val="fr-FR"/>
              </w:rPr>
            </w:pPr>
            <w:r w:rsidRPr="00CA3533">
              <w:rPr>
                <w:lang w:val="fr-FR"/>
              </w:rPr>
              <w:t>V15</w:t>
            </w:r>
          </w:p>
        </w:tc>
        <w:tc>
          <w:tcPr>
            <w:tcW w:w="1100" w:type="dxa"/>
            <w:tcBorders>
              <w:top w:val="single" w:sz="4" w:space="0" w:color="auto"/>
              <w:left w:val="nil"/>
              <w:bottom w:val="single" w:sz="4" w:space="0" w:color="auto"/>
              <w:right w:val="single" w:sz="4" w:space="0" w:color="auto"/>
            </w:tcBorders>
            <w:hideMark/>
          </w:tcPr>
          <w:p w14:paraId="16E8F513" w14:textId="77777777" w:rsidR="00CA3533" w:rsidRPr="00CA3533" w:rsidRDefault="00CA3533" w:rsidP="00CA3533">
            <w:pPr>
              <w:rPr>
                <w:lang w:val="fr-FR"/>
              </w:rPr>
            </w:pPr>
          </w:p>
        </w:tc>
        <w:tc>
          <w:tcPr>
            <w:tcW w:w="1100" w:type="dxa"/>
            <w:tcBorders>
              <w:top w:val="single" w:sz="4" w:space="0" w:color="auto"/>
              <w:left w:val="nil"/>
              <w:bottom w:val="single" w:sz="4" w:space="0" w:color="auto"/>
              <w:right w:val="single" w:sz="4" w:space="0" w:color="auto"/>
            </w:tcBorders>
            <w:hideMark/>
          </w:tcPr>
          <w:p w14:paraId="020EA7C2" w14:textId="77777777" w:rsidR="00CA3533" w:rsidRPr="00CA3533" w:rsidRDefault="00CA3533" w:rsidP="00CA3533">
            <w:pPr>
              <w:suppressAutoHyphens w:val="0"/>
              <w:spacing w:line="240" w:lineRule="auto"/>
              <w:jc w:val="center"/>
              <w:rPr>
                <w:lang w:val="fr-FR"/>
              </w:rPr>
            </w:pPr>
            <w:r w:rsidRPr="00CA3533">
              <w:rPr>
                <w:lang w:val="fr-FR"/>
              </w:rPr>
              <w:t>CV1</w:t>
            </w:r>
            <w:r w:rsidRPr="00CA3533">
              <w:rPr>
                <w:lang w:val="fr-FR"/>
              </w:rPr>
              <w:br/>
              <w:t>CV13</w:t>
            </w:r>
            <w:r w:rsidRPr="00CA3533">
              <w:rPr>
                <w:lang w:val="fr-FR"/>
              </w:rPr>
              <w:br/>
              <w:t>CV28</w:t>
            </w:r>
          </w:p>
        </w:tc>
        <w:tc>
          <w:tcPr>
            <w:tcW w:w="1100" w:type="dxa"/>
            <w:tcBorders>
              <w:top w:val="single" w:sz="4" w:space="0" w:color="auto"/>
              <w:left w:val="nil"/>
              <w:bottom w:val="single" w:sz="4" w:space="0" w:color="auto"/>
              <w:right w:val="single" w:sz="4" w:space="0" w:color="auto"/>
            </w:tcBorders>
            <w:hideMark/>
          </w:tcPr>
          <w:p w14:paraId="07466664" w14:textId="77777777" w:rsidR="00CA3533" w:rsidRPr="00CA3533" w:rsidRDefault="00CA3533" w:rsidP="00CA3533">
            <w:pPr>
              <w:suppressAutoHyphens w:val="0"/>
              <w:spacing w:line="240" w:lineRule="auto"/>
              <w:jc w:val="center"/>
              <w:rPr>
                <w:lang w:val="fr-FR"/>
              </w:rPr>
            </w:pPr>
            <w:r w:rsidRPr="00CA3533">
              <w:rPr>
                <w:lang w:val="fr-FR"/>
              </w:rPr>
              <w:t>S9 S14</w:t>
            </w:r>
          </w:p>
        </w:tc>
        <w:tc>
          <w:tcPr>
            <w:tcW w:w="1100" w:type="dxa"/>
            <w:tcBorders>
              <w:top w:val="single" w:sz="4" w:space="0" w:color="auto"/>
              <w:left w:val="nil"/>
              <w:bottom w:val="single" w:sz="4" w:space="0" w:color="auto"/>
              <w:right w:val="single" w:sz="4" w:space="0" w:color="auto"/>
            </w:tcBorders>
            <w:hideMark/>
          </w:tcPr>
          <w:p w14:paraId="32D2C48D" w14:textId="77777777" w:rsidR="00CA3533" w:rsidRPr="00CA3533" w:rsidRDefault="00CA3533" w:rsidP="00CA3533">
            <w:pPr>
              <w:suppressAutoHyphens w:val="0"/>
              <w:spacing w:line="240" w:lineRule="auto"/>
              <w:jc w:val="center"/>
              <w:rPr>
                <w:lang w:val="fr-FR"/>
              </w:rPr>
            </w:pPr>
            <w:r w:rsidRPr="00CA3533">
              <w:rPr>
                <w:lang w:val="fr-FR"/>
              </w:rPr>
              <w:t>66</w:t>
            </w:r>
          </w:p>
        </w:tc>
      </w:tr>
    </w:tbl>
    <w:p w14:paraId="6ADA9E17"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tab/>
      </w:r>
      <w:r w:rsidRPr="00CA3533">
        <w:rPr>
          <w:rFonts w:asciiTheme="majorBidi" w:hAnsiTheme="majorBidi" w:cstheme="majorBidi"/>
          <w:b/>
          <w:sz w:val="24"/>
          <w:lang w:val="fr-FR"/>
        </w:rPr>
        <w:tab/>
      </w:r>
      <w:r w:rsidRPr="00CA3533">
        <w:rPr>
          <w:b/>
          <w:sz w:val="24"/>
          <w:lang w:val="fr-FR"/>
        </w:rPr>
        <w:t>Chapitre</w:t>
      </w:r>
      <w:r w:rsidRPr="00CA3533">
        <w:rPr>
          <w:rFonts w:asciiTheme="majorBidi" w:hAnsiTheme="majorBidi" w:cstheme="majorBidi"/>
          <w:b/>
          <w:sz w:val="24"/>
          <w:lang w:val="fr-FR"/>
        </w:rPr>
        <w:t xml:space="preserve"> 3.3</w:t>
      </w:r>
    </w:p>
    <w:p w14:paraId="38573857" w14:textId="77777777" w:rsidR="00227792" w:rsidRDefault="00CA3533" w:rsidP="00227792">
      <w:pPr>
        <w:spacing w:after="120"/>
        <w:ind w:left="1134" w:right="1134"/>
        <w:jc w:val="both"/>
        <w:rPr>
          <w:lang w:val="fr-FR" w:eastAsia="fr-FR"/>
        </w:rPr>
      </w:pPr>
      <w:r w:rsidRPr="00CA3533">
        <w:rPr>
          <w:lang w:val="fr-FR" w:eastAsia="fr-FR"/>
        </w:rPr>
        <w:t>Disposition spéciale (DS) 119</w:t>
      </w:r>
      <w:r w:rsidRPr="00CA3533">
        <w:rPr>
          <w:lang w:val="fr-FR" w:eastAsia="fr-FR"/>
        </w:rPr>
        <w:tab/>
        <w:t>Ajouter le nouveau Nota suivant à la fin :</w:t>
      </w:r>
    </w:p>
    <w:p w14:paraId="0B6B64B4" w14:textId="04569BF9" w:rsidR="00CA3533" w:rsidRPr="00CA3533" w:rsidRDefault="00CA3533" w:rsidP="00227792">
      <w:pPr>
        <w:spacing w:after="120"/>
        <w:ind w:left="2268" w:right="1134" w:hanging="1134"/>
        <w:jc w:val="both"/>
        <w:rPr>
          <w:lang w:val="fr-FR" w:eastAsia="fr-FR"/>
        </w:rPr>
      </w:pPr>
      <w:r w:rsidRPr="00CA3533">
        <w:rPr>
          <w:lang w:val="fr-FR" w:eastAsia="fr-FR"/>
        </w:rPr>
        <w:t>« </w:t>
      </w:r>
      <w:r w:rsidRPr="00CA3533">
        <w:rPr>
          <w:b/>
          <w:bCs/>
          <w:i/>
          <w:iCs/>
          <w:lang w:val="fr-FR" w:eastAsia="fr-FR"/>
        </w:rPr>
        <w:t>NOTA :</w:t>
      </w:r>
      <w:r w:rsidRPr="00CA3533">
        <w:rPr>
          <w:i/>
          <w:iCs/>
          <w:lang w:val="fr-FR" w:eastAsia="fr-FR"/>
        </w:rPr>
        <w:t xml:space="preserve"> </w:t>
      </w:r>
      <w:r w:rsidR="00227792">
        <w:rPr>
          <w:i/>
          <w:iCs/>
          <w:lang w:val="fr-FR" w:eastAsia="fr-FR"/>
        </w:rPr>
        <w:tab/>
      </w:r>
      <w:r w:rsidRPr="00CA3533">
        <w:rPr>
          <w:i/>
          <w:iCs/>
          <w:lang w:val="fr-FR" w:eastAsia="en-US"/>
        </w:rPr>
        <w:t>Aux fins du transport, les pompes à chaleur peuvent être considérées comme des machines frigorifiques.</w:t>
      </w:r>
      <w:r w:rsidRPr="00CA3533">
        <w:rPr>
          <w:lang w:val="fr-FR" w:eastAsia="en-US"/>
        </w:rPr>
        <w:t> »</w:t>
      </w:r>
    </w:p>
    <w:p w14:paraId="3B7291B9" w14:textId="18B6BA4D" w:rsidR="00CA3533" w:rsidRPr="00CA3533" w:rsidRDefault="00CA3533" w:rsidP="00CA3533">
      <w:pPr>
        <w:spacing w:after="120"/>
        <w:ind w:left="2268" w:right="1134" w:hanging="1134"/>
        <w:rPr>
          <w:iCs/>
          <w:lang w:val="fr-FR"/>
        </w:rPr>
      </w:pPr>
      <w:r w:rsidRPr="00CA3533">
        <w:rPr>
          <w:iCs/>
          <w:lang w:val="fr-FR"/>
        </w:rPr>
        <w:lastRenderedPageBreak/>
        <w:t>DS 188 g) et h)</w:t>
      </w:r>
      <w:r w:rsidRPr="00CA3533">
        <w:rPr>
          <w:iCs/>
          <w:lang w:val="fr-FR"/>
        </w:rPr>
        <w:tab/>
        <w:t>Remplacer « Sauf lorsque les batteries » par « Sauf lorsque les piles ou batteries ».</w:t>
      </w:r>
    </w:p>
    <w:p w14:paraId="354D303D" w14:textId="77777777" w:rsidR="00CA3533" w:rsidRPr="00CA3533" w:rsidRDefault="00CA3533" w:rsidP="00CA3533">
      <w:pPr>
        <w:spacing w:after="120"/>
        <w:ind w:left="1134" w:right="1134"/>
        <w:rPr>
          <w:iCs/>
          <w:lang w:val="fr-FR"/>
        </w:rPr>
      </w:pPr>
      <w:r w:rsidRPr="00CA3533">
        <w:rPr>
          <w:iCs/>
          <w:lang w:val="fr-FR"/>
        </w:rPr>
        <w:t>DS 225</w:t>
      </w:r>
      <w:r w:rsidRPr="00CA3533">
        <w:rPr>
          <w:iCs/>
          <w:lang w:val="fr-FR"/>
        </w:rPr>
        <w:tab/>
        <w:t>Après l’alinéa a), insérer le nouveau Nota suivant :</w:t>
      </w:r>
    </w:p>
    <w:p w14:paraId="6D405951" w14:textId="77777777" w:rsidR="00CA3533" w:rsidRPr="00CA3533" w:rsidRDefault="00CA3533" w:rsidP="00332332">
      <w:pPr>
        <w:spacing w:after="120"/>
        <w:ind w:left="2268" w:right="1134" w:hanging="1134"/>
        <w:jc w:val="both"/>
        <w:rPr>
          <w:iCs/>
          <w:lang w:val="fr-FR"/>
        </w:rPr>
      </w:pPr>
      <w:r w:rsidRPr="00CA3533">
        <w:rPr>
          <w:iCs/>
          <w:lang w:val="fr-FR"/>
        </w:rPr>
        <w:t>« </w:t>
      </w:r>
      <w:r w:rsidRPr="00CA3533">
        <w:rPr>
          <w:b/>
          <w:bCs/>
          <w:i/>
          <w:lang w:val="fr-FR"/>
        </w:rPr>
        <w:t>NOTA :</w:t>
      </w:r>
      <w:r w:rsidRPr="00CA3533">
        <w:rPr>
          <w:i/>
          <w:lang w:val="fr-FR"/>
        </w:rPr>
        <w:tab/>
        <w:t>Cette rubrique s’applique aux extincteurs portatifs, même si certains éléments nécessaires à leur bon fonctionnement (par exemple, les tuyaux et les buses) sont temporairement détachés, tant que la sécurité des conteneurs d’agent d’extinction sous pression n’est pas compromise et que les extincteurs continuent d’être identifiés en tant qu’extincteurs portatifs.</w:t>
      </w:r>
      <w:r w:rsidRPr="00CA3533">
        <w:rPr>
          <w:iCs/>
          <w:lang w:val="fr-FR"/>
        </w:rPr>
        <w:t> »</w:t>
      </w:r>
    </w:p>
    <w:p w14:paraId="5CB6C133" w14:textId="77777777" w:rsidR="00CA3533" w:rsidRPr="00CA3533" w:rsidRDefault="00CA3533" w:rsidP="00CA3533">
      <w:pPr>
        <w:spacing w:after="120"/>
        <w:ind w:left="1134" w:right="1134"/>
        <w:jc w:val="both"/>
        <w:rPr>
          <w:lang w:val="fr-FR" w:eastAsia="fr-FR"/>
        </w:rPr>
      </w:pPr>
      <w:r w:rsidRPr="00CA3533">
        <w:rPr>
          <w:lang w:val="fr-FR" w:eastAsia="fr-FR"/>
        </w:rPr>
        <w:t>DS 291</w:t>
      </w:r>
      <w:r w:rsidRPr="00CA3533">
        <w:rPr>
          <w:lang w:val="fr-FR" w:eastAsia="fr-FR"/>
        </w:rPr>
        <w:tab/>
        <w:t>Ajouter le nouveau Nota suivant à la fin :</w:t>
      </w:r>
    </w:p>
    <w:p w14:paraId="6A1EA960" w14:textId="5E3955D8" w:rsidR="00CA3533" w:rsidRPr="00CA3533" w:rsidRDefault="00CA3533" w:rsidP="00BE6F9C">
      <w:pPr>
        <w:spacing w:after="120"/>
        <w:ind w:left="2268" w:right="1134" w:hanging="1134"/>
        <w:jc w:val="both"/>
        <w:rPr>
          <w:lang w:val="fr-FR" w:eastAsia="fr-FR"/>
        </w:rPr>
      </w:pPr>
      <w:r w:rsidRPr="00CA3533">
        <w:rPr>
          <w:lang w:val="fr-FR" w:eastAsia="fr-FR"/>
        </w:rPr>
        <w:t>« </w:t>
      </w:r>
      <w:r w:rsidRPr="00CA3533">
        <w:rPr>
          <w:b/>
          <w:bCs/>
          <w:i/>
          <w:iCs/>
          <w:lang w:val="fr-FR" w:eastAsia="fr-FR"/>
        </w:rPr>
        <w:t>NOTA :</w:t>
      </w:r>
      <w:r w:rsidRPr="00CA3533">
        <w:rPr>
          <w:i/>
          <w:iCs/>
          <w:lang w:val="fr-FR" w:eastAsia="fr-FR"/>
        </w:rPr>
        <w:t xml:space="preserve"> </w:t>
      </w:r>
      <w:r w:rsidR="00BE6F9C">
        <w:rPr>
          <w:i/>
          <w:iCs/>
          <w:lang w:val="fr-FR" w:eastAsia="fr-FR"/>
        </w:rPr>
        <w:tab/>
      </w:r>
      <w:r w:rsidRPr="00CA3533">
        <w:rPr>
          <w:i/>
          <w:iCs/>
          <w:lang w:val="fr-FR" w:eastAsia="en-US"/>
        </w:rPr>
        <w:t>Aux fins du transport, les pompes à chaleur peuvent être considérées comme des machines frigorifiques.</w:t>
      </w:r>
      <w:r w:rsidRPr="00CA3533">
        <w:rPr>
          <w:lang w:val="fr-FR" w:eastAsia="en-US"/>
        </w:rPr>
        <w:t> »</w:t>
      </w:r>
    </w:p>
    <w:p w14:paraId="0F22493C" w14:textId="77777777" w:rsidR="00CA3533" w:rsidRPr="00CA3533" w:rsidRDefault="00CA3533" w:rsidP="00CA3533">
      <w:pPr>
        <w:tabs>
          <w:tab w:val="left" w:pos="2268"/>
        </w:tabs>
        <w:spacing w:after="120"/>
        <w:ind w:left="2268" w:right="1134" w:hanging="1134"/>
        <w:jc w:val="both"/>
        <w:rPr>
          <w:lang w:val="fr-FR"/>
        </w:rPr>
      </w:pPr>
      <w:r w:rsidRPr="00CA3533">
        <w:rPr>
          <w:lang w:val="fr-FR"/>
        </w:rPr>
        <w:t>DS 327</w:t>
      </w:r>
      <w:r w:rsidRPr="00CA3533">
        <w:rPr>
          <w:lang w:val="fr-FR"/>
        </w:rPr>
        <w:tab/>
        <w:t>Dans la première phrase, remplacer « 5.4.1.1.3 » par « 5.4.1.1.3.1 ».</w:t>
      </w:r>
    </w:p>
    <w:p w14:paraId="56114A71" w14:textId="77777777" w:rsidR="00CA3533" w:rsidRPr="00CA3533" w:rsidRDefault="00CA3533" w:rsidP="00CA3533">
      <w:pPr>
        <w:tabs>
          <w:tab w:val="left" w:pos="2268"/>
        </w:tabs>
        <w:spacing w:after="120"/>
        <w:ind w:left="1134" w:right="1134"/>
        <w:jc w:val="both"/>
        <w:rPr>
          <w:lang w:val="fr-FR"/>
        </w:rPr>
      </w:pPr>
      <w:r w:rsidRPr="00CA3533">
        <w:rPr>
          <w:lang w:val="fr-FR"/>
        </w:rPr>
        <w:t>DS 363</w:t>
      </w:r>
      <w:r w:rsidRPr="00CA3533">
        <w:rPr>
          <w:lang w:val="fr-FR"/>
        </w:rPr>
        <w:tab/>
        <w:t>À la fin de l’alinéa j), ajouter le nouveau nota suivant :</w:t>
      </w:r>
    </w:p>
    <w:p w14:paraId="7061B288" w14:textId="77777777" w:rsidR="00CA3533" w:rsidRPr="00CA3533" w:rsidRDefault="00CA3533" w:rsidP="00CA3533">
      <w:pPr>
        <w:tabs>
          <w:tab w:val="left" w:pos="2268"/>
        </w:tabs>
        <w:spacing w:after="120"/>
        <w:ind w:left="2268" w:right="1134"/>
        <w:jc w:val="both"/>
        <w:rPr>
          <w:lang w:val="fr-FR"/>
        </w:rPr>
      </w:pPr>
      <w:r w:rsidRPr="00CA3533">
        <w:rPr>
          <w:lang w:val="fr-FR"/>
        </w:rPr>
        <w:t>« </w:t>
      </w:r>
      <w:r w:rsidRPr="00CA3533">
        <w:rPr>
          <w:b/>
          <w:bCs/>
          <w:i/>
          <w:iCs/>
          <w:lang w:val="fr-FR"/>
        </w:rPr>
        <w:t>NOTA :</w:t>
      </w:r>
      <w:r w:rsidRPr="00CA3533">
        <w:rPr>
          <w:i/>
          <w:iCs/>
          <w:lang w:val="fr-FR"/>
        </w:rPr>
        <w:tab/>
        <w:t>L’étiquetage et le placardage conformes aux présentes dispositions des moteurs et machines de capacité supérieures à 450 l mais contenant une quantité de combustible liquide ne dépassant pas 60 l sont autorisés.</w:t>
      </w:r>
      <w:r w:rsidRPr="00CA3533">
        <w:rPr>
          <w:lang w:val="fr-FR"/>
        </w:rPr>
        <w:t> ».</w:t>
      </w:r>
    </w:p>
    <w:p w14:paraId="2FEBA6D0" w14:textId="44653578" w:rsidR="00CA3533" w:rsidRPr="00CA3533" w:rsidRDefault="00CA3533" w:rsidP="00C351BA">
      <w:pPr>
        <w:tabs>
          <w:tab w:val="left" w:pos="2268"/>
        </w:tabs>
        <w:spacing w:after="120"/>
        <w:ind w:left="2268" w:right="1134" w:hanging="1134"/>
        <w:jc w:val="both"/>
        <w:rPr>
          <w:lang w:val="fr-FR"/>
        </w:rPr>
      </w:pPr>
      <w:r w:rsidRPr="00CA3533">
        <w:rPr>
          <w:lang w:val="fr-FR"/>
        </w:rPr>
        <w:t xml:space="preserve">DS 389 </w:t>
      </w:r>
      <w:r w:rsidRPr="00CA3533">
        <w:rPr>
          <w:lang w:val="fr-FR"/>
        </w:rPr>
        <w:tab/>
      </w:r>
      <w:r w:rsidR="00910AA2">
        <w:rPr>
          <w:lang w:val="fr-FR"/>
        </w:rPr>
        <w:t>Dans le premier paragraphe, m</w:t>
      </w:r>
      <w:r w:rsidRPr="00CA3533">
        <w:rPr>
          <w:lang w:val="fr-FR"/>
        </w:rPr>
        <w:t>odifier la première phrase pour lire comme suit :</w:t>
      </w:r>
      <w:r w:rsidR="00C351BA">
        <w:rPr>
          <w:lang w:val="fr-FR"/>
        </w:rPr>
        <w:t xml:space="preserve"> </w:t>
      </w:r>
      <w:r w:rsidRPr="00CA3533">
        <w:rPr>
          <w:lang w:val="fr-FR"/>
        </w:rPr>
        <w:t>« Cette rubrique s’applique uniquement aux batteries au lithium ionique ou batteries au lithium métal installées dans un engin de transport et conçues uniquement pour fournir de l’énergie hors de l’engin de transport. »</w:t>
      </w:r>
    </w:p>
    <w:p w14:paraId="7343AC6D" w14:textId="2C3DB848" w:rsidR="00CA3533" w:rsidRPr="00CA3533" w:rsidRDefault="00CA3533" w:rsidP="00910AA2">
      <w:pPr>
        <w:spacing w:after="120"/>
        <w:ind w:left="2268" w:right="1134" w:hanging="1134"/>
        <w:jc w:val="both"/>
        <w:rPr>
          <w:lang w:val="fr-FR"/>
        </w:rPr>
      </w:pPr>
      <w:r w:rsidRPr="00CA3533">
        <w:rPr>
          <w:lang w:val="fr-FR"/>
        </w:rPr>
        <w:tab/>
      </w:r>
      <w:r w:rsidR="00910AA2">
        <w:rPr>
          <w:lang w:val="fr-FR"/>
        </w:rPr>
        <w:t>Dans le dernier paragraphe, a</w:t>
      </w:r>
      <w:r w:rsidRPr="00CA3533">
        <w:rPr>
          <w:lang w:val="fr-FR"/>
        </w:rPr>
        <w:t>u début de la dernière phrase, ajouter « Sauf dans les cas prévus au 1.1.3.6, ».</w:t>
      </w:r>
    </w:p>
    <w:p w14:paraId="1A922B95" w14:textId="7D6973D2" w:rsidR="00CA3533" w:rsidRPr="00CA3533" w:rsidRDefault="00CA3533" w:rsidP="00CA3533">
      <w:pPr>
        <w:spacing w:after="120"/>
        <w:ind w:left="1134" w:right="1134"/>
        <w:jc w:val="both"/>
        <w:rPr>
          <w:iCs/>
          <w:lang w:val="fr-FR"/>
        </w:rPr>
      </w:pPr>
      <w:r w:rsidRPr="00CA3533">
        <w:rPr>
          <w:iCs/>
          <w:lang w:val="fr-FR"/>
        </w:rPr>
        <w:t>Remplacer « 396-499 </w:t>
      </w:r>
      <w:r w:rsidRPr="005754DB">
        <w:rPr>
          <w:i/>
          <w:lang w:val="fr-FR"/>
        </w:rPr>
        <w:t>(Réservé</w:t>
      </w:r>
      <w:r w:rsidR="00A01EF6">
        <w:rPr>
          <w:i/>
          <w:lang w:val="fr-FR"/>
        </w:rPr>
        <w:t>s</w:t>
      </w:r>
      <w:r w:rsidRPr="005754DB">
        <w:rPr>
          <w:i/>
          <w:lang w:val="fr-FR"/>
        </w:rPr>
        <w:t>)</w:t>
      </w:r>
      <w:r w:rsidRPr="00CA3533">
        <w:rPr>
          <w:iCs/>
          <w:lang w:val="fr-FR"/>
        </w:rPr>
        <w:t xml:space="preserve"> » par « 399-499 </w:t>
      </w:r>
      <w:r w:rsidRPr="005754DB">
        <w:rPr>
          <w:i/>
          <w:lang w:val="fr-FR"/>
        </w:rPr>
        <w:t>(Réservé</w:t>
      </w:r>
      <w:r w:rsidR="00A01EF6">
        <w:rPr>
          <w:i/>
          <w:lang w:val="fr-FR"/>
        </w:rPr>
        <w:t>s</w:t>
      </w:r>
      <w:r w:rsidRPr="005754DB">
        <w:rPr>
          <w:i/>
          <w:lang w:val="fr-FR"/>
        </w:rPr>
        <w:t>)</w:t>
      </w:r>
      <w:r w:rsidRPr="00CA3533">
        <w:rPr>
          <w:iCs/>
          <w:lang w:val="fr-FR"/>
        </w:rPr>
        <w:t> ».</w:t>
      </w:r>
    </w:p>
    <w:p w14:paraId="084D18BF" w14:textId="77777777" w:rsidR="00CA3533" w:rsidRPr="00CA3533" w:rsidRDefault="00CA3533" w:rsidP="00CA3533">
      <w:pPr>
        <w:spacing w:after="120"/>
        <w:ind w:left="1134" w:right="1134"/>
        <w:jc w:val="both"/>
        <w:rPr>
          <w:lang w:val="fr-FR"/>
        </w:rPr>
      </w:pPr>
      <w:r w:rsidRPr="00CA3533">
        <w:rPr>
          <w:lang w:val="fr-FR"/>
        </w:rPr>
        <w:t>DS 591</w:t>
      </w:r>
      <w:r w:rsidRPr="00CA3533">
        <w:rPr>
          <w:lang w:val="fr-FR"/>
        </w:rPr>
        <w:tab/>
        <w:t>Après « aux prescriptions », insérer « de la classe 8 ».</w:t>
      </w:r>
    </w:p>
    <w:p w14:paraId="74CFF89B" w14:textId="77777777" w:rsidR="00CA3533" w:rsidRPr="00CA3533" w:rsidRDefault="00CA3533" w:rsidP="00CA3533">
      <w:pPr>
        <w:tabs>
          <w:tab w:val="left" w:pos="2268"/>
        </w:tabs>
        <w:spacing w:after="120"/>
        <w:ind w:left="1134" w:right="1134"/>
        <w:jc w:val="both"/>
        <w:rPr>
          <w:lang w:val="fr-FR"/>
        </w:rPr>
      </w:pPr>
      <w:r w:rsidRPr="00CA3533">
        <w:rPr>
          <w:lang w:val="fr-FR"/>
        </w:rPr>
        <w:t>DS 593</w:t>
      </w:r>
      <w:r w:rsidRPr="00CA3533">
        <w:rPr>
          <w:lang w:val="fr-FR"/>
        </w:rPr>
        <w:tab/>
        <w:t>Modifier comme suit :</w:t>
      </w:r>
    </w:p>
    <w:p w14:paraId="69814FF6" w14:textId="7405BB65" w:rsidR="00CA3533" w:rsidRPr="00CA3533" w:rsidRDefault="00CA3533" w:rsidP="00CA3533">
      <w:pPr>
        <w:tabs>
          <w:tab w:val="left" w:pos="2268"/>
        </w:tabs>
        <w:spacing w:after="120"/>
        <w:ind w:left="2268" w:right="1134" w:hanging="1134"/>
        <w:jc w:val="both"/>
        <w:rPr>
          <w:lang w:val="fr-FR"/>
        </w:rPr>
      </w:pPr>
      <w:r w:rsidRPr="00CA3533">
        <w:rPr>
          <w:lang w:val="fr-FR"/>
        </w:rPr>
        <w:t>« 593</w:t>
      </w:r>
      <w:r w:rsidRPr="00CA3533">
        <w:rPr>
          <w:lang w:val="fr-FR"/>
        </w:rPr>
        <w:tab/>
        <w:t>Ce gaz, lorsqu’il est utilisé pour refroidir des marchandises ne répondant aux critères d’aucune classe, par exemple des échantillons médicaux ou biologiques, et qu’il est contenu dans des récipients à double parois qui satisfont aux dispositions de l’instruction d’emballage P203 6), applicables aux récipients cryogéniques ouverts, du 4.1.4.1, n’est pas soumis aux prescriptions de l’ADR excepté tel qu’indiqué au 5.5.3. »</w:t>
      </w:r>
    </w:p>
    <w:p w14:paraId="1FAEDC52" w14:textId="77777777" w:rsidR="00CA3533" w:rsidRPr="00CA3533" w:rsidRDefault="00CA3533" w:rsidP="00CA3533">
      <w:pPr>
        <w:spacing w:after="120"/>
        <w:ind w:left="2268" w:right="1134" w:hanging="1134"/>
        <w:jc w:val="both"/>
        <w:rPr>
          <w:lang w:val="fr-FR"/>
        </w:rPr>
      </w:pPr>
      <w:r w:rsidRPr="00CA3533">
        <w:rPr>
          <w:lang w:val="fr-FR"/>
        </w:rPr>
        <w:t>DS 642</w:t>
      </w:r>
      <w:r w:rsidRPr="00CA3533">
        <w:rPr>
          <w:lang w:val="fr-FR"/>
        </w:rPr>
        <w:tab/>
        <w:t>Ajouter la phrase suivante à la fin : « Dans les autres cas, pour le transport de l’ammoniac en solution, voir les Nos ONU 2073, 2672 et 3318. ».</w:t>
      </w:r>
    </w:p>
    <w:p w14:paraId="46EB164E" w14:textId="77777777" w:rsidR="00CA3533" w:rsidRPr="00CA3533" w:rsidRDefault="00CA3533" w:rsidP="00CA3533">
      <w:pPr>
        <w:tabs>
          <w:tab w:val="left" w:pos="2268"/>
        </w:tabs>
        <w:spacing w:after="120"/>
        <w:ind w:left="1134" w:right="1134"/>
        <w:jc w:val="both"/>
        <w:rPr>
          <w:lang w:val="fr-FR"/>
        </w:rPr>
      </w:pPr>
      <w:r w:rsidRPr="00CA3533">
        <w:rPr>
          <w:lang w:val="fr-FR"/>
        </w:rPr>
        <w:t>DS 644</w:t>
      </w:r>
      <w:r w:rsidRPr="00CA3533">
        <w:rPr>
          <w:lang w:val="fr-FR"/>
        </w:rPr>
        <w:tab/>
        <w:t>Insérer le nouveau deuxième tiret suivant :</w:t>
      </w:r>
    </w:p>
    <w:p w14:paraId="43C380D5" w14:textId="1A2D33D5" w:rsidR="00CA3533" w:rsidRPr="00CA3533" w:rsidRDefault="00CA3533" w:rsidP="00CA3533">
      <w:pPr>
        <w:tabs>
          <w:tab w:val="left" w:pos="2268"/>
        </w:tabs>
        <w:spacing w:after="120"/>
        <w:ind w:left="2268" w:right="1134"/>
        <w:jc w:val="both"/>
        <w:rPr>
          <w:lang w:val="fr-FR"/>
        </w:rPr>
      </w:pPr>
      <w:r w:rsidRPr="00CA3533">
        <w:rPr>
          <w:lang w:val="fr-FR"/>
        </w:rPr>
        <w:t>« -</w:t>
      </w:r>
      <w:r w:rsidRPr="00CA3533">
        <w:rPr>
          <w:lang w:val="fr-FR"/>
        </w:rPr>
        <w:tab/>
        <w:t>La solution ne contienne pas plus de 93 % de nitrate d’ammonium</w:t>
      </w:r>
      <w:r w:rsidR="00BA2458">
        <w:rPr>
          <w:lang w:val="fr-FR"/>
        </w:rPr>
        <w:t> ;</w:t>
      </w:r>
      <w:r w:rsidR="00F55231">
        <w:rPr>
          <w:lang w:val="fr-FR"/>
        </w:rPr>
        <w:t> </w:t>
      </w:r>
      <w:r w:rsidRPr="00CA3533">
        <w:rPr>
          <w:lang w:val="fr-FR"/>
        </w:rPr>
        <w:t>»</w:t>
      </w:r>
    </w:p>
    <w:p w14:paraId="298227EC" w14:textId="77777777" w:rsidR="00CA3533" w:rsidRPr="00CA3533" w:rsidRDefault="00CA3533" w:rsidP="00CA3533">
      <w:pPr>
        <w:tabs>
          <w:tab w:val="left" w:pos="2268"/>
        </w:tabs>
        <w:spacing w:after="120"/>
        <w:ind w:left="1134" w:right="1134"/>
        <w:jc w:val="both"/>
        <w:rPr>
          <w:lang w:val="fr-FR"/>
        </w:rPr>
      </w:pPr>
      <w:r w:rsidRPr="00CA3533">
        <w:rPr>
          <w:lang w:val="fr-FR"/>
        </w:rPr>
        <w:t>DS 650</w:t>
      </w:r>
      <w:r w:rsidRPr="00CA3533">
        <w:rPr>
          <w:lang w:val="fr-FR"/>
        </w:rPr>
        <w:tab/>
        <w:t>Dans l’alinéa e), remplacer « 5.4.1.1.3 » par « 5.4.1.1.3.1 ».</w:t>
      </w:r>
    </w:p>
    <w:p w14:paraId="694E2446" w14:textId="77777777" w:rsidR="00CA3533" w:rsidRPr="00CA3533" w:rsidRDefault="00CA3533" w:rsidP="00CA3533">
      <w:pPr>
        <w:tabs>
          <w:tab w:val="left" w:pos="2268"/>
        </w:tabs>
        <w:spacing w:after="120"/>
        <w:ind w:left="1134" w:right="1134"/>
        <w:jc w:val="both"/>
        <w:rPr>
          <w:lang w:val="fr-FR"/>
        </w:rPr>
      </w:pPr>
      <w:r w:rsidRPr="00CA3533">
        <w:rPr>
          <w:lang w:val="fr-FR"/>
        </w:rPr>
        <w:t>DS 654</w:t>
      </w:r>
      <w:r w:rsidRPr="00CA3533">
        <w:rPr>
          <w:lang w:val="fr-FR"/>
        </w:rPr>
        <w:tab/>
        <w:t>Dans la première phrase, remplacer « 5.4.1.1.3 » par « 5.4.1.1.3.1 ».</w:t>
      </w:r>
    </w:p>
    <w:p w14:paraId="25FF60F8" w14:textId="77777777" w:rsidR="00CA3533" w:rsidRPr="00CA3533" w:rsidRDefault="00CA3533" w:rsidP="00CA3533">
      <w:pPr>
        <w:spacing w:after="120"/>
        <w:ind w:left="2268" w:right="1134" w:hanging="1134"/>
        <w:jc w:val="both"/>
        <w:rPr>
          <w:lang w:val="fr-FR"/>
        </w:rPr>
      </w:pPr>
      <w:r w:rsidRPr="00CA3533">
        <w:rPr>
          <w:spacing w:val="-4"/>
          <w:lang w:val="fr-FR"/>
        </w:rPr>
        <w:t>DS 655</w:t>
      </w:r>
      <w:r w:rsidRPr="00CA3533">
        <w:rPr>
          <w:lang w:val="fr-FR"/>
        </w:rPr>
        <w:tab/>
        <w:t>Au début de la première phrase, après « Les bouteilles », supprimer « et leurs fermetures ».</w:t>
      </w:r>
    </w:p>
    <w:p w14:paraId="6613B1CF" w14:textId="77777777" w:rsidR="00CA3533" w:rsidRPr="00CA3533" w:rsidRDefault="00CA3533" w:rsidP="00CA3533">
      <w:pPr>
        <w:spacing w:after="120"/>
        <w:ind w:left="2259" w:right="1134" w:hanging="1125"/>
        <w:jc w:val="both"/>
        <w:rPr>
          <w:lang w:val="fr-FR"/>
        </w:rPr>
      </w:pPr>
      <w:r w:rsidRPr="00CA3533">
        <w:rPr>
          <w:lang w:val="fr-FR"/>
        </w:rPr>
        <w:t>DS 663</w:t>
      </w:r>
      <w:r w:rsidRPr="00CA3533">
        <w:rPr>
          <w:lang w:val="fr-FR"/>
        </w:rPr>
        <w:tab/>
        <w:t>Modifier le premier paragraphe sous « </w:t>
      </w:r>
      <w:r w:rsidRPr="00CA3533">
        <w:rPr>
          <w:u w:val="single"/>
          <w:lang w:val="fr-FR"/>
        </w:rPr>
        <w:t>Dispositions générales :</w:t>
      </w:r>
      <w:r w:rsidRPr="00CA3533">
        <w:rPr>
          <w:lang w:val="fr-FR"/>
        </w:rPr>
        <w:t> » pour lire comme suit :</w:t>
      </w:r>
    </w:p>
    <w:p w14:paraId="1C993316" w14:textId="07620FD0" w:rsidR="00CA3533" w:rsidRPr="00CA3533" w:rsidRDefault="00CA3533" w:rsidP="00C343E2">
      <w:pPr>
        <w:spacing w:after="120"/>
        <w:ind w:left="2259" w:right="1134"/>
        <w:jc w:val="both"/>
        <w:rPr>
          <w:lang w:val="fr-FR"/>
        </w:rPr>
      </w:pPr>
      <w:r w:rsidRPr="00CA3533">
        <w:rPr>
          <w:lang w:val="fr-FR"/>
        </w:rPr>
        <w:t>«</w:t>
      </w:r>
      <w:r w:rsidR="00C343E2">
        <w:rPr>
          <w:lang w:val="fr-FR"/>
        </w:rPr>
        <w:t> </w:t>
      </w:r>
      <w:r w:rsidRPr="00CA3533">
        <w:rPr>
          <w:lang w:val="fr-FR"/>
        </w:rPr>
        <w:t xml:space="preserve">Les emballages mis au rebut, vides, non nettoyés, souillés de résidus qui présentent un danger principal ou subsidiaire de classe 5.1 ne doivent pas être chargés en vrac en même temps que des emballages mis au rebut, vides, non nettoyés, souillés de résidus qui présentent un danger d’une autre classe. Les emballages mis au rebut, vides, non nettoyés, souillés de résidus qui présentent un danger principal ou subsidiaire de classe 5.1 ne doivent pas être emballés </w:t>
      </w:r>
      <w:r w:rsidRPr="00CA3533">
        <w:rPr>
          <w:lang w:val="fr-FR"/>
        </w:rPr>
        <w:lastRenderedPageBreak/>
        <w:t>dans le même emballage extérieur que d’autres emballages mis au rebut, vides, non nettoyés, souillés de résidus qui présentent un danger d’une autre classe.</w:t>
      </w:r>
      <w:r w:rsidR="00C343E2">
        <w:rPr>
          <w:lang w:val="fr-FR"/>
        </w:rPr>
        <w:t> </w:t>
      </w:r>
      <w:r w:rsidRPr="00CA3533">
        <w:rPr>
          <w:lang w:val="fr-FR"/>
        </w:rPr>
        <w:t>»</w:t>
      </w:r>
    </w:p>
    <w:p w14:paraId="6AEC6472" w14:textId="65C9F715" w:rsidR="00CA3533" w:rsidRPr="00CA3533" w:rsidRDefault="00CA3533" w:rsidP="00CA3533">
      <w:pPr>
        <w:spacing w:after="120"/>
        <w:ind w:left="2268" w:right="1134" w:hanging="1134"/>
        <w:jc w:val="both"/>
        <w:rPr>
          <w:spacing w:val="-4"/>
          <w:lang w:val="fr-FR"/>
        </w:rPr>
      </w:pPr>
      <w:r w:rsidRPr="00CA3533">
        <w:rPr>
          <w:spacing w:val="-4"/>
          <w:lang w:val="fr-FR"/>
        </w:rPr>
        <w:t>DS 674</w:t>
      </w:r>
      <w:r w:rsidRPr="00CA3533">
        <w:rPr>
          <w:spacing w:val="-4"/>
          <w:lang w:val="fr-FR"/>
        </w:rPr>
        <w:tab/>
        <w:t xml:space="preserve">Dans l’alinéa a) Généralités : </w:t>
      </w:r>
      <w:r w:rsidRPr="00CA3533">
        <w:rPr>
          <w:spacing w:val="-4"/>
          <w:lang w:val="fr-FR"/>
        </w:rPr>
        <w:tab/>
        <w:t>Dans la première phrase, remplacer « de bouteilles en acier soudées » par « d’enveloppes de bouteilles en acier soudées ». À la fin de la deuxième phrase, ajouter « l’enveloppe de » avant « la bouteille intérieure en acier ».</w:t>
      </w:r>
      <w:r w:rsidRPr="00CA3533">
        <w:rPr>
          <w:spacing w:val="-4"/>
          <w:lang w:val="fr-FR"/>
        </w:rPr>
        <w:tab/>
        <w:t>Dans la deuxième phrase, remplacer « </w:t>
      </w:r>
      <w:r w:rsidR="001104F1">
        <w:rPr>
          <w:spacing w:val="-4"/>
          <w:lang w:val="fr-FR"/>
        </w:rPr>
        <w:t>l’</w:t>
      </w:r>
      <w:r w:rsidRPr="00CA3533">
        <w:rPr>
          <w:spacing w:val="-4"/>
          <w:lang w:val="fr-FR"/>
        </w:rPr>
        <w:t>enveloppe surmoulée » par « </w:t>
      </w:r>
      <w:r w:rsidR="001104F1">
        <w:rPr>
          <w:spacing w:val="-4"/>
          <w:lang w:val="fr-FR"/>
        </w:rPr>
        <w:t xml:space="preserve">la </w:t>
      </w:r>
      <w:r w:rsidRPr="00CA3533">
        <w:rPr>
          <w:spacing w:val="-4"/>
          <w:lang w:val="fr-FR"/>
        </w:rPr>
        <w:t xml:space="preserve">coque surmoulée ». Dans la troisième phrase, ajouter « l’enveloppe de » avant « la bouteille en acier ». </w:t>
      </w:r>
    </w:p>
    <w:p w14:paraId="7F685DB2" w14:textId="1D9E6530" w:rsidR="00CA3533" w:rsidRPr="00CA3533" w:rsidRDefault="00CA3533" w:rsidP="00417734">
      <w:pPr>
        <w:spacing w:after="120"/>
        <w:ind w:left="2268" w:right="1134" w:hanging="1134"/>
        <w:jc w:val="both"/>
        <w:rPr>
          <w:spacing w:val="-4"/>
          <w:lang w:val="fr-FR"/>
        </w:rPr>
      </w:pPr>
      <w:r w:rsidRPr="00CA3533">
        <w:rPr>
          <w:spacing w:val="-4"/>
          <w:lang w:val="fr-FR"/>
        </w:rPr>
        <w:tab/>
        <w:t>Dans l’alinéa</w:t>
      </w:r>
      <w:r w:rsidRPr="00CA3533" w:rsidDel="007C047B">
        <w:rPr>
          <w:spacing w:val="-4"/>
          <w:lang w:val="fr-FR"/>
        </w:rPr>
        <w:t xml:space="preserve"> </w:t>
      </w:r>
      <w:r w:rsidRPr="00CA3533">
        <w:rPr>
          <w:spacing w:val="-4"/>
          <w:lang w:val="fr-FR"/>
        </w:rPr>
        <w:t>b) Population de base :</w:t>
      </w:r>
      <w:r w:rsidR="00417734">
        <w:rPr>
          <w:spacing w:val="-4"/>
          <w:lang w:val="fr-FR"/>
        </w:rPr>
        <w:t xml:space="preserve"> </w:t>
      </w:r>
      <w:r w:rsidRPr="00CA3533">
        <w:rPr>
          <w:spacing w:val="-4"/>
          <w:lang w:val="fr-FR"/>
        </w:rPr>
        <w:t>Remplacer « bouteilles intérieures » par « enveloppes de bouteilles intérieures en acier ».</w:t>
      </w:r>
    </w:p>
    <w:p w14:paraId="51EDD7AC" w14:textId="5C93C9A7" w:rsidR="00CA3533" w:rsidRPr="00CA3533" w:rsidRDefault="00CA3533" w:rsidP="004A2E0E">
      <w:pPr>
        <w:spacing w:after="120"/>
        <w:ind w:left="2268" w:right="1134" w:hanging="1134"/>
        <w:jc w:val="both"/>
        <w:rPr>
          <w:spacing w:val="-4"/>
          <w:lang w:val="fr-FR"/>
        </w:rPr>
      </w:pPr>
      <w:r w:rsidRPr="00CA3533">
        <w:rPr>
          <w:spacing w:val="-4"/>
          <w:lang w:val="fr-FR"/>
        </w:rPr>
        <w:tab/>
        <w:t>Dans l’alinéa</w:t>
      </w:r>
      <w:r w:rsidRPr="00CA3533" w:rsidDel="007C047B">
        <w:rPr>
          <w:spacing w:val="-4"/>
          <w:lang w:val="fr-FR"/>
        </w:rPr>
        <w:t xml:space="preserve"> </w:t>
      </w:r>
      <w:r w:rsidRPr="00CA3533">
        <w:rPr>
          <w:spacing w:val="-4"/>
          <w:lang w:val="fr-FR"/>
        </w:rPr>
        <w:t>d) Traçabilité :</w:t>
      </w:r>
      <w:r w:rsidR="004A2E0E">
        <w:rPr>
          <w:spacing w:val="-4"/>
          <w:lang w:val="fr-FR"/>
        </w:rPr>
        <w:t xml:space="preserve"> </w:t>
      </w:r>
      <w:r w:rsidRPr="00CA3533">
        <w:rPr>
          <w:spacing w:val="-4"/>
          <w:lang w:val="fr-FR"/>
        </w:rPr>
        <w:t>Dans la première phrase, ajouter « enveloppes de » avant « bouteilles intérieures en acier ». Au deuxième alinéa, ajouter « enveloppes de » avant « bouteilles en acier ».</w:t>
      </w:r>
    </w:p>
    <w:p w14:paraId="08ECCA3B" w14:textId="77777777" w:rsidR="00CA3533" w:rsidRPr="00CA3533" w:rsidRDefault="00CA3533" w:rsidP="00CA3533">
      <w:pPr>
        <w:tabs>
          <w:tab w:val="left" w:pos="2268"/>
        </w:tabs>
        <w:spacing w:after="120"/>
        <w:ind w:left="1134" w:right="1134"/>
        <w:jc w:val="both"/>
        <w:rPr>
          <w:lang w:val="fr-FR"/>
        </w:rPr>
      </w:pPr>
      <w:r w:rsidRPr="00CA3533">
        <w:rPr>
          <w:lang w:val="fr-FR"/>
        </w:rPr>
        <w:t>Ajouter les nouvelles dispositions spéciales suivantes :</w:t>
      </w:r>
    </w:p>
    <w:p w14:paraId="7F170076" w14:textId="77777777" w:rsidR="00CA3533" w:rsidRPr="00CA3533" w:rsidRDefault="00CA3533" w:rsidP="00CA3533">
      <w:pPr>
        <w:spacing w:after="120"/>
        <w:ind w:left="2268" w:right="1134" w:hanging="1134"/>
        <w:jc w:val="both"/>
        <w:rPr>
          <w:lang w:val="fr-FR"/>
        </w:rPr>
      </w:pPr>
      <w:r w:rsidRPr="00CA3533">
        <w:rPr>
          <w:iCs/>
          <w:lang w:val="fr-FR"/>
        </w:rPr>
        <w:t>« </w:t>
      </w:r>
      <w:r w:rsidRPr="00CA3533">
        <w:rPr>
          <w:lang w:val="fr-FR"/>
        </w:rPr>
        <w:t>396</w:t>
      </w:r>
      <w:r w:rsidRPr="00CA3533">
        <w:rPr>
          <w:lang w:val="fr-FR"/>
        </w:rPr>
        <w:tab/>
        <w:t>Les objets de grande taille et robustes peuvent être transportés raccordés à des bouteilles à gaz dont les robinets sont ouverts indépendamment du 4.1.6.5, à condition que :</w:t>
      </w:r>
    </w:p>
    <w:p w14:paraId="3079B690" w14:textId="77777777" w:rsidR="00CA3533" w:rsidRPr="00CA3533" w:rsidRDefault="00CA3533" w:rsidP="00CA3533">
      <w:pPr>
        <w:spacing w:after="120"/>
        <w:ind w:left="2835" w:right="1134" w:hanging="567"/>
        <w:jc w:val="both"/>
        <w:rPr>
          <w:lang w:val="fr-FR"/>
        </w:rPr>
      </w:pPr>
      <w:r w:rsidRPr="00CA3533">
        <w:rPr>
          <w:lang w:val="fr-FR"/>
        </w:rPr>
        <w:t>a)</w:t>
      </w:r>
      <w:r w:rsidRPr="00CA3533">
        <w:rPr>
          <w:lang w:val="fr-FR"/>
        </w:rPr>
        <w:tab/>
        <w:t>Les bouteilles de gaz contiennent de l’azote du No ONU 1066 ou un gaz comprimé du No ONU 1956 ou de l’air comprimé du No ONU 1002 ;</w:t>
      </w:r>
    </w:p>
    <w:p w14:paraId="485D8A5A" w14:textId="77777777" w:rsidR="00CA3533" w:rsidRPr="00CA3533" w:rsidRDefault="00CA3533" w:rsidP="00CA3533">
      <w:pPr>
        <w:spacing w:after="120"/>
        <w:ind w:left="2835" w:right="1134" w:hanging="567"/>
        <w:jc w:val="both"/>
        <w:rPr>
          <w:lang w:val="fr-FR"/>
        </w:rPr>
      </w:pPr>
      <w:r w:rsidRPr="00CA3533">
        <w:rPr>
          <w:lang w:val="fr-FR"/>
        </w:rPr>
        <w:t>b)</w:t>
      </w:r>
      <w:r w:rsidRPr="00CA3533">
        <w:rPr>
          <w:lang w:val="fr-FR"/>
        </w:rPr>
        <w:tab/>
        <w:t xml:space="preserve">Les bouteilles de gaz soient raccordées à l’objet par l’intermédiaire de détendeurs et de tuyauteries fixes de telle sorte que la pression de gaz (pression manométrique) dans l’objet ne dépasse pas 35 kPa (0,35 bar) ; </w:t>
      </w:r>
    </w:p>
    <w:p w14:paraId="479188F2" w14:textId="77777777" w:rsidR="00CA3533" w:rsidRPr="00CA3533" w:rsidRDefault="00CA3533" w:rsidP="00CA3533">
      <w:pPr>
        <w:spacing w:after="120"/>
        <w:ind w:left="2835" w:right="1134" w:hanging="567"/>
        <w:jc w:val="both"/>
        <w:rPr>
          <w:lang w:val="fr-FR"/>
        </w:rPr>
      </w:pPr>
      <w:r w:rsidRPr="00CA3533">
        <w:rPr>
          <w:lang w:val="fr-FR"/>
        </w:rPr>
        <w:t>c)</w:t>
      </w:r>
      <w:r w:rsidRPr="00CA3533">
        <w:rPr>
          <w:lang w:val="fr-FR"/>
        </w:rPr>
        <w:tab/>
        <w:t>Les bouteilles de gaz soient correctement fixées, de telle façon qu’elles ne puissent se déplacer par rapport à l’objet et soient équipées de tuyaux et conduites robustes et résistants à la pression ;</w:t>
      </w:r>
    </w:p>
    <w:p w14:paraId="353F751F" w14:textId="77777777" w:rsidR="00CA3533" w:rsidRPr="00CA3533" w:rsidRDefault="00CA3533" w:rsidP="00CA3533">
      <w:pPr>
        <w:spacing w:after="120"/>
        <w:ind w:left="2835" w:right="1134" w:hanging="567"/>
        <w:jc w:val="both"/>
        <w:rPr>
          <w:lang w:val="fr-FR"/>
        </w:rPr>
      </w:pPr>
      <w:r w:rsidRPr="00CA3533">
        <w:rPr>
          <w:lang w:val="fr-FR"/>
        </w:rPr>
        <w:t>d)</w:t>
      </w:r>
      <w:r w:rsidRPr="00CA3533">
        <w:rPr>
          <w:lang w:val="fr-FR"/>
        </w:rPr>
        <w:tab/>
        <w:t>Les bouteilles de gaz, les détendeurs, la tuyauterie et les autres composants soient protégés contre les dommages et les impacts pendant le transport par des harasses en bois ou par un autre moyen approprié ;</w:t>
      </w:r>
    </w:p>
    <w:p w14:paraId="5E7CEB7E" w14:textId="77777777" w:rsidR="00CA3533" w:rsidRPr="00CA3533" w:rsidRDefault="00CA3533" w:rsidP="00CA3533">
      <w:pPr>
        <w:spacing w:after="120"/>
        <w:ind w:left="2835" w:right="1134" w:hanging="567"/>
        <w:jc w:val="both"/>
        <w:rPr>
          <w:lang w:val="fr-FR"/>
        </w:rPr>
      </w:pPr>
      <w:r w:rsidRPr="00CA3533">
        <w:rPr>
          <w:lang w:val="fr-FR"/>
        </w:rPr>
        <w:t>e)</w:t>
      </w:r>
      <w:r w:rsidRPr="00CA3533">
        <w:rPr>
          <w:lang w:val="fr-FR"/>
        </w:rPr>
        <w:tab/>
        <w:t>Le document de transport contienne la mention suivante : “Transport selon la disposition spéciale 396” ;</w:t>
      </w:r>
    </w:p>
    <w:p w14:paraId="79633AAE" w14:textId="15E68989" w:rsidR="00CA3533" w:rsidRPr="00CA3533" w:rsidRDefault="00CA3533" w:rsidP="00CA3533">
      <w:pPr>
        <w:spacing w:after="120"/>
        <w:ind w:left="2835" w:right="1134" w:hanging="567"/>
        <w:jc w:val="both"/>
        <w:rPr>
          <w:lang w:val="fr-FR"/>
        </w:rPr>
      </w:pPr>
      <w:r w:rsidRPr="00CA3533">
        <w:rPr>
          <w:lang w:val="fr-FR"/>
        </w:rPr>
        <w:t>f)</w:t>
      </w:r>
      <w:r w:rsidRPr="00CA3533">
        <w:rPr>
          <w:lang w:val="fr-FR"/>
        </w:rPr>
        <w:tab/>
        <w:t>Les engins de transport contenant des objets transportés avec des bouteilles dont les robinets sont ouverts contenant un gaz présentant un risque d’asphyxie soient bien ventilés et marqués conformément au 5.5.3.6. »</w:t>
      </w:r>
    </w:p>
    <w:p w14:paraId="6ECF135A" w14:textId="72BEEDAE"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 397</w:t>
      </w:r>
      <w:r w:rsidRPr="00CA3533">
        <w:rPr>
          <w:rFonts w:eastAsiaTheme="minorHAnsi"/>
          <w:lang w:val="fr-FR" w:eastAsia="en-US"/>
        </w:rPr>
        <w:tab/>
        <w:t>Les mélanges d’azote et d’oxygène contenant au moins 19,5 % et au plus 23,5 % d’oxygène (volume) peuvent être transportés sous cette rubrique si aucun autre gaz comburant n’est présent. Pour les concentrations ne dépassant pas cette limite, l’utilisation de l’étiquette de danger subsidiaire de la classe 5.1 (modèle No 5.1</w:t>
      </w:r>
      <w:r w:rsidR="00D362B9">
        <w:rPr>
          <w:rFonts w:eastAsiaTheme="minorHAnsi"/>
          <w:lang w:val="fr-FR" w:eastAsia="en-US"/>
        </w:rPr>
        <w:t>,</w:t>
      </w:r>
      <w:r w:rsidRPr="00CA3533">
        <w:rPr>
          <w:rFonts w:eastAsiaTheme="minorHAnsi"/>
          <w:lang w:val="fr-FR" w:eastAsia="en-US"/>
        </w:rPr>
        <w:t xml:space="preserve"> voir 5.2.2.2.2) n’est pas nécessaire. »</w:t>
      </w:r>
    </w:p>
    <w:p w14:paraId="19266480" w14:textId="328BE6AD"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 398</w:t>
      </w:r>
      <w:r w:rsidRPr="00CA3533">
        <w:rPr>
          <w:rFonts w:eastAsiaTheme="minorHAnsi"/>
          <w:lang w:val="fr-FR" w:eastAsia="en-US"/>
        </w:rPr>
        <w:tab/>
        <w:t>Cette rubrique s’applique aux mélanges de butylènes, au 1-butylène, au cis-2-butylène et au trans-2-butylène. Pour l’</w:t>
      </w:r>
      <w:proofErr w:type="spellStart"/>
      <w:r w:rsidRPr="00CA3533">
        <w:rPr>
          <w:rFonts w:eastAsiaTheme="minorHAnsi"/>
          <w:lang w:val="fr-FR" w:eastAsia="en-US"/>
        </w:rPr>
        <w:t>isobutylène</w:t>
      </w:r>
      <w:proofErr w:type="spellEnd"/>
      <w:r w:rsidRPr="00CA3533">
        <w:rPr>
          <w:rFonts w:eastAsiaTheme="minorHAnsi"/>
          <w:lang w:val="fr-FR" w:eastAsia="en-US"/>
        </w:rPr>
        <w:t>, voir le No ONU 1055.</w:t>
      </w:r>
    </w:p>
    <w:p w14:paraId="70EA3F44" w14:textId="77777777" w:rsidR="00CA3533" w:rsidRPr="00CA3533" w:rsidRDefault="00CA3533" w:rsidP="00CA3533">
      <w:pPr>
        <w:keepNext/>
        <w:spacing w:after="120"/>
        <w:ind w:left="2268" w:right="1134"/>
        <w:jc w:val="both"/>
        <w:rPr>
          <w:rFonts w:eastAsiaTheme="minorHAnsi"/>
          <w:lang w:val="fr-FR" w:eastAsia="en-US"/>
        </w:rPr>
      </w:pPr>
      <w:r w:rsidRPr="00CA3533">
        <w:rPr>
          <w:rFonts w:eastAsiaTheme="minorHAnsi"/>
          <w:b/>
          <w:bCs/>
          <w:i/>
          <w:iCs/>
          <w:lang w:val="fr-FR" w:eastAsia="en-US"/>
        </w:rPr>
        <w:t xml:space="preserve">NOTA : </w:t>
      </w:r>
      <w:r w:rsidRPr="00CA3533">
        <w:rPr>
          <w:rFonts w:eastAsiaTheme="minorHAnsi"/>
          <w:i/>
          <w:iCs/>
          <w:lang w:val="fr-FR" w:eastAsia="en-US"/>
        </w:rPr>
        <w:t>Pour les informations supplémentaires à ajouter dans le document de transport, voir 5.4.1.2.2 e).</w:t>
      </w:r>
      <w:r w:rsidRPr="00CA3533">
        <w:rPr>
          <w:rFonts w:eastAsiaTheme="minorHAnsi"/>
          <w:lang w:val="fr-FR" w:eastAsia="en-US"/>
        </w:rPr>
        <w:t> »</w:t>
      </w:r>
    </w:p>
    <w:p w14:paraId="7933CAC0" w14:textId="77777777" w:rsidR="00CA3533" w:rsidRPr="00CA3533" w:rsidRDefault="00CA3533" w:rsidP="00CA3533">
      <w:pPr>
        <w:tabs>
          <w:tab w:val="left" w:pos="2268"/>
        </w:tabs>
        <w:spacing w:after="120"/>
        <w:ind w:left="2268" w:right="1134" w:hanging="1134"/>
        <w:jc w:val="both"/>
        <w:rPr>
          <w:lang w:val="fr-FR"/>
        </w:rPr>
      </w:pPr>
      <w:r w:rsidRPr="00CA3533">
        <w:rPr>
          <w:lang w:val="fr-FR"/>
        </w:rPr>
        <w:t>« 676</w:t>
      </w:r>
      <w:r w:rsidRPr="00CA3533">
        <w:rPr>
          <w:lang w:val="fr-FR"/>
        </w:rPr>
        <w:tab/>
        <w:t>Pour le transport de colis contenant des matières qui polymérisent, il n’est pas nécessaire d’appliquer les prescriptions de la disposition spéciale 386 conjointement avec celles des 7.1.7.3, 7.1.7.4, 5.4.1.1.15 et 5.4.1.2.3.1, lorsque ces matières sont transportées en vue de leur élimination ou de leur recyclage, pour autant que les conditions suivantes soient remplies :</w:t>
      </w:r>
    </w:p>
    <w:p w14:paraId="52F6325E" w14:textId="77777777" w:rsidR="00CA3533" w:rsidRPr="00CA3533" w:rsidRDefault="00CA3533" w:rsidP="00CA3533">
      <w:pPr>
        <w:tabs>
          <w:tab w:val="left" w:pos="2268"/>
        </w:tabs>
        <w:spacing w:after="120"/>
        <w:ind w:left="2835" w:right="1134" w:hanging="567"/>
        <w:jc w:val="both"/>
        <w:rPr>
          <w:lang w:val="fr-FR"/>
        </w:rPr>
      </w:pPr>
      <w:r w:rsidRPr="00CA3533">
        <w:rPr>
          <w:lang w:val="fr-FR"/>
        </w:rPr>
        <w:lastRenderedPageBreak/>
        <w:t>a)</w:t>
      </w:r>
      <w:r w:rsidRPr="00CA3533">
        <w:rPr>
          <w:lang w:val="fr-FR"/>
        </w:rPr>
        <w:tab/>
        <w:t>Avant le chargement, un examen a montré qu’il n’y a pas d’écart significatif entre la température extérieure du colis et la température ambiante ;</w:t>
      </w:r>
    </w:p>
    <w:p w14:paraId="49F71B7C" w14:textId="77777777" w:rsidR="00CA3533" w:rsidRPr="00CA3533" w:rsidRDefault="00CA3533" w:rsidP="00CA3533">
      <w:pPr>
        <w:tabs>
          <w:tab w:val="left" w:pos="2268"/>
        </w:tabs>
        <w:spacing w:after="120"/>
        <w:ind w:left="2835" w:right="1134" w:hanging="567"/>
        <w:jc w:val="both"/>
        <w:rPr>
          <w:lang w:val="fr-FR"/>
        </w:rPr>
      </w:pPr>
      <w:r w:rsidRPr="00CA3533">
        <w:rPr>
          <w:lang w:val="fr-FR"/>
        </w:rPr>
        <w:t>b)</w:t>
      </w:r>
      <w:r w:rsidRPr="00CA3533">
        <w:rPr>
          <w:lang w:val="fr-FR"/>
        </w:rPr>
        <w:tab/>
        <w:t>Le transport a lieu dans un délai maximum de 24 heures à compter de cet examen ;</w:t>
      </w:r>
    </w:p>
    <w:p w14:paraId="27E64DFF" w14:textId="77777777" w:rsidR="00CA3533" w:rsidRPr="00CA3533" w:rsidRDefault="00CA3533" w:rsidP="00CA3533">
      <w:pPr>
        <w:tabs>
          <w:tab w:val="left" w:pos="2268"/>
        </w:tabs>
        <w:spacing w:after="120"/>
        <w:ind w:left="2835" w:right="1134" w:hanging="567"/>
        <w:jc w:val="both"/>
        <w:rPr>
          <w:lang w:val="fr-FR"/>
        </w:rPr>
      </w:pPr>
      <w:r w:rsidRPr="00CA3533">
        <w:rPr>
          <w:lang w:val="fr-FR"/>
        </w:rPr>
        <w:t>c)</w:t>
      </w:r>
      <w:r w:rsidRPr="00CA3533">
        <w:rPr>
          <w:lang w:val="fr-FR"/>
        </w:rPr>
        <w:tab/>
        <w:t>Les colis sont protégés de la lumière du soleil directe et des effets d’autres sources de chaleur (par exemple, d’autres colis transportés au-delà de la température ambiante) pendant le transport ;</w:t>
      </w:r>
    </w:p>
    <w:p w14:paraId="494B0355" w14:textId="77777777" w:rsidR="00CA3533" w:rsidRPr="00CA3533" w:rsidRDefault="00CA3533" w:rsidP="00CA3533">
      <w:pPr>
        <w:tabs>
          <w:tab w:val="left" w:pos="2268"/>
        </w:tabs>
        <w:spacing w:after="120"/>
        <w:ind w:left="2835" w:right="1134" w:hanging="567"/>
        <w:jc w:val="both"/>
        <w:rPr>
          <w:lang w:val="fr-FR"/>
        </w:rPr>
      </w:pPr>
      <w:r w:rsidRPr="00CA3533">
        <w:rPr>
          <w:lang w:val="fr-FR"/>
        </w:rPr>
        <w:t>d)</w:t>
      </w:r>
      <w:r w:rsidRPr="00CA3533">
        <w:rPr>
          <w:lang w:val="fr-FR"/>
        </w:rPr>
        <w:tab/>
        <w:t>Pendant le transport, la température ambiante est inférieure à 45 °C ;</w:t>
      </w:r>
    </w:p>
    <w:p w14:paraId="5DCBA998" w14:textId="77777777" w:rsidR="00CA3533" w:rsidRPr="00CA3533" w:rsidRDefault="00CA3533" w:rsidP="00CA3533">
      <w:pPr>
        <w:tabs>
          <w:tab w:val="left" w:pos="2268"/>
        </w:tabs>
        <w:spacing w:after="120"/>
        <w:ind w:left="2835" w:right="1134" w:hanging="567"/>
        <w:jc w:val="both"/>
        <w:rPr>
          <w:lang w:val="fr-FR"/>
        </w:rPr>
      </w:pPr>
      <w:r w:rsidRPr="00CA3533">
        <w:rPr>
          <w:lang w:val="fr-FR"/>
        </w:rPr>
        <w:t>e)</w:t>
      </w:r>
      <w:r w:rsidRPr="00CA3533">
        <w:rPr>
          <w:lang w:val="fr-FR"/>
        </w:rPr>
        <w:tab/>
        <w:t>Les véhicules et les conteneurs sont correctement ventilés ;</w:t>
      </w:r>
    </w:p>
    <w:p w14:paraId="693624A0" w14:textId="77777777" w:rsidR="00CA3533" w:rsidRPr="00CA3533" w:rsidRDefault="00CA3533" w:rsidP="00CA3533">
      <w:pPr>
        <w:tabs>
          <w:tab w:val="left" w:pos="2268"/>
        </w:tabs>
        <w:spacing w:after="120"/>
        <w:ind w:left="2835" w:right="1134" w:hanging="567"/>
        <w:jc w:val="both"/>
        <w:rPr>
          <w:lang w:val="fr-FR"/>
        </w:rPr>
      </w:pPr>
      <w:r w:rsidRPr="00CA3533">
        <w:rPr>
          <w:lang w:val="fr-FR"/>
        </w:rPr>
        <w:t>f)</w:t>
      </w:r>
      <w:r w:rsidRPr="00CA3533">
        <w:rPr>
          <w:lang w:val="fr-FR"/>
        </w:rPr>
        <w:tab/>
        <w:t>Les matières sont transportées dans des emballages d’une capacité maximale de 1 000 litres.</w:t>
      </w:r>
    </w:p>
    <w:p w14:paraId="5D280A5B" w14:textId="1735D5D2" w:rsidR="00CA3533" w:rsidRPr="00CA3533" w:rsidRDefault="00CA3533" w:rsidP="00CA3533">
      <w:pPr>
        <w:tabs>
          <w:tab w:val="left" w:pos="2268"/>
        </w:tabs>
        <w:spacing w:after="120"/>
        <w:ind w:left="2268" w:right="1134" w:hanging="1134"/>
        <w:jc w:val="both"/>
        <w:rPr>
          <w:lang w:val="fr-FR"/>
        </w:rPr>
      </w:pPr>
      <w:r w:rsidRPr="00CA3533">
        <w:rPr>
          <w:lang w:val="fr-FR"/>
        </w:rPr>
        <w:tab/>
        <w:t>Au cours de l’évaluation des matières devant être transportées suivant les prescriptions de cette disposition spéciale, des mesures supplémentaires visant à prévenir les dangers liés à la polymérisation peuvent être envisagées, par exemple l’ajout d’inhibiteurs. »</w:t>
      </w:r>
    </w:p>
    <w:p w14:paraId="0CF3E4A0" w14:textId="77777777" w:rsidR="00CA3533" w:rsidRPr="00CA3533" w:rsidRDefault="00CA3533" w:rsidP="00CA3533">
      <w:pPr>
        <w:keepNext/>
        <w:keepLines/>
        <w:tabs>
          <w:tab w:val="right" w:pos="851"/>
        </w:tabs>
        <w:spacing w:before="360" w:after="240" w:line="270" w:lineRule="exact"/>
        <w:ind w:left="1134" w:right="1134" w:hanging="1134"/>
        <w:rPr>
          <w:b/>
          <w:sz w:val="24"/>
          <w:lang w:val="fr-FR"/>
        </w:rPr>
      </w:pPr>
      <w:r w:rsidRPr="00CA3533">
        <w:rPr>
          <w:b/>
          <w:sz w:val="24"/>
          <w:lang w:val="fr-FR"/>
        </w:rPr>
        <w:tab/>
      </w:r>
      <w:r w:rsidRPr="00CA3533">
        <w:rPr>
          <w:b/>
          <w:sz w:val="24"/>
          <w:lang w:val="fr-FR"/>
        </w:rPr>
        <w:tab/>
        <w:t>Chapitre 3.4</w:t>
      </w:r>
    </w:p>
    <w:p w14:paraId="03968880" w14:textId="77777777" w:rsidR="00CA3533" w:rsidRPr="00CA3533" w:rsidRDefault="00CA3533" w:rsidP="00CA3533">
      <w:pPr>
        <w:tabs>
          <w:tab w:val="left" w:pos="2268"/>
        </w:tabs>
        <w:spacing w:after="120"/>
        <w:ind w:left="1134" w:right="1134"/>
        <w:jc w:val="both"/>
        <w:rPr>
          <w:lang w:val="fr-FR"/>
        </w:rPr>
      </w:pPr>
      <w:r w:rsidRPr="00CA3533">
        <w:rPr>
          <w:lang w:val="fr-FR"/>
        </w:rPr>
        <w:t>3.4.11</w:t>
      </w:r>
      <w:r w:rsidRPr="00CA3533">
        <w:rPr>
          <w:lang w:val="fr-FR"/>
        </w:rPr>
        <w:tab/>
        <w:t>Numéroter les tirets en tant qu’alinéas a) et b).</w:t>
      </w:r>
    </w:p>
    <w:p w14:paraId="19E30EBB" w14:textId="77777777" w:rsidR="00CA3533" w:rsidRPr="00CA3533" w:rsidRDefault="00CA3533" w:rsidP="00CA3533">
      <w:pPr>
        <w:keepNext/>
        <w:keepLines/>
        <w:tabs>
          <w:tab w:val="right" w:pos="851"/>
        </w:tabs>
        <w:spacing w:before="360" w:after="240" w:line="270" w:lineRule="exact"/>
        <w:ind w:left="1134" w:right="1134" w:hanging="1134"/>
        <w:rPr>
          <w:b/>
          <w:sz w:val="24"/>
          <w:lang w:val="fr-FR"/>
        </w:rPr>
      </w:pPr>
      <w:r w:rsidRPr="00CA3533">
        <w:rPr>
          <w:b/>
          <w:sz w:val="24"/>
          <w:lang w:val="fr-FR"/>
        </w:rPr>
        <w:tab/>
      </w:r>
      <w:r w:rsidRPr="00CA3533">
        <w:rPr>
          <w:b/>
          <w:sz w:val="24"/>
          <w:lang w:val="fr-FR"/>
        </w:rPr>
        <w:tab/>
        <w:t>Chapitre 3.5</w:t>
      </w:r>
    </w:p>
    <w:p w14:paraId="36B8E643" w14:textId="77777777" w:rsidR="00CA3533" w:rsidRPr="00CA3533" w:rsidRDefault="00CA3533" w:rsidP="00CA3533">
      <w:pPr>
        <w:tabs>
          <w:tab w:val="left" w:pos="2268"/>
        </w:tabs>
        <w:spacing w:after="120"/>
        <w:ind w:left="1134" w:right="1134"/>
        <w:jc w:val="both"/>
        <w:rPr>
          <w:lang w:val="fr-FR"/>
        </w:rPr>
      </w:pPr>
      <w:r w:rsidRPr="00CA3533">
        <w:rPr>
          <w:lang w:val="fr-FR"/>
        </w:rPr>
        <w:t>3.5.4.3</w:t>
      </w:r>
      <w:r w:rsidRPr="00CA3533">
        <w:rPr>
          <w:lang w:val="fr-FR"/>
        </w:rPr>
        <w:tab/>
        <w:t>Numéroter les tirets en tant qu’alinéas a) et b).</w:t>
      </w:r>
    </w:p>
    <w:p w14:paraId="6C4B13F7"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tab/>
      </w:r>
      <w:r w:rsidRPr="00CA3533">
        <w:rPr>
          <w:rFonts w:asciiTheme="majorBidi" w:hAnsiTheme="majorBidi" w:cstheme="majorBidi"/>
          <w:b/>
          <w:sz w:val="24"/>
          <w:lang w:val="fr-FR"/>
        </w:rPr>
        <w:tab/>
        <w:t>Chapitre 4.1</w:t>
      </w:r>
    </w:p>
    <w:p w14:paraId="1749DEA6" w14:textId="77777777" w:rsidR="00CA3533" w:rsidRPr="00CA3533" w:rsidRDefault="00CA3533" w:rsidP="00CA3533">
      <w:pPr>
        <w:spacing w:after="120"/>
        <w:ind w:left="1134" w:right="1134"/>
        <w:jc w:val="both"/>
        <w:rPr>
          <w:lang w:val="fr-FR"/>
        </w:rPr>
      </w:pPr>
      <w:r w:rsidRPr="00CA3533">
        <w:rPr>
          <w:lang w:val="fr-FR"/>
        </w:rPr>
        <w:t>4.1.1.15</w:t>
      </w:r>
      <w:r w:rsidRPr="00CA3533">
        <w:rPr>
          <w:lang w:val="fr-FR"/>
        </w:rPr>
        <w:tab/>
        <w:t>Ajouter un Nota à la fin pour lire comme suit :</w:t>
      </w:r>
    </w:p>
    <w:p w14:paraId="07EF39C9" w14:textId="2B14746D" w:rsidR="00CA3533" w:rsidRPr="00CA3533" w:rsidRDefault="00CA3533" w:rsidP="00CA3533">
      <w:pPr>
        <w:spacing w:after="120"/>
        <w:ind w:left="2268" w:right="1134" w:hanging="1134"/>
        <w:jc w:val="both"/>
        <w:rPr>
          <w:i/>
          <w:iCs/>
          <w:lang w:val="fr-FR"/>
        </w:rPr>
      </w:pPr>
      <w:r w:rsidRPr="00CA3533">
        <w:rPr>
          <w:lang w:val="fr-FR"/>
        </w:rPr>
        <w:t>«</w:t>
      </w:r>
      <w:r w:rsidRPr="00CA3533">
        <w:rPr>
          <w:i/>
          <w:iCs/>
          <w:lang w:val="fr-FR"/>
        </w:rPr>
        <w:t> </w:t>
      </w:r>
      <w:r w:rsidRPr="00CA3533">
        <w:rPr>
          <w:b/>
          <w:bCs/>
          <w:i/>
          <w:iCs/>
          <w:lang w:val="fr-FR"/>
        </w:rPr>
        <w:t>NOTA</w:t>
      </w:r>
      <w:r w:rsidRPr="00B567CE">
        <w:rPr>
          <w:b/>
          <w:bCs/>
          <w:i/>
          <w:iCs/>
          <w:lang w:val="fr-FR"/>
        </w:rPr>
        <w:t> :</w:t>
      </w:r>
      <w:r w:rsidRPr="00CA3533">
        <w:rPr>
          <w:i/>
          <w:iCs/>
          <w:lang w:val="fr-FR"/>
        </w:rPr>
        <w:t xml:space="preserve"> </w:t>
      </w:r>
      <w:r w:rsidR="00B567CE">
        <w:rPr>
          <w:i/>
          <w:iCs/>
          <w:lang w:val="fr-FR"/>
        </w:rPr>
        <w:tab/>
      </w:r>
      <w:r w:rsidRPr="00CA3533">
        <w:rPr>
          <w:i/>
          <w:iCs/>
          <w:lang w:val="fr-FR"/>
        </w:rPr>
        <w:t>Pour les GRV composites, cette durée d’utilisation fait référence à la date de fabrication du récipient intérieur. </w:t>
      </w:r>
      <w:r w:rsidRPr="00CA3533">
        <w:rPr>
          <w:lang w:val="fr-FR"/>
        </w:rPr>
        <w:t>»</w:t>
      </w:r>
    </w:p>
    <w:p w14:paraId="7F887F53"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rFonts w:eastAsia="SimSun"/>
          <w:lang w:val="fr-FR"/>
        </w:rPr>
        <w:t>4.1.1.20.2</w:t>
      </w:r>
      <w:r w:rsidRPr="00CA3533">
        <w:rPr>
          <w:lang w:val="fr-FR" w:eastAsia="en-US"/>
        </w:rPr>
        <w:tab/>
        <w:t>Supprimer la deuxième phrase. Dans l’avant-dernière phrase, remplacer « 1000 litres » par « 3000 litres ».</w:t>
      </w:r>
    </w:p>
    <w:p w14:paraId="328992E8"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4.1.1.21.6</w:t>
      </w:r>
      <w:r w:rsidRPr="00CA3533">
        <w:rPr>
          <w:lang w:val="fr-FR" w:eastAsia="en-US"/>
        </w:rPr>
        <w:tab/>
        <w:t>Faire les modifications suivantes dans le tableau :</w:t>
      </w:r>
    </w:p>
    <w:p w14:paraId="62D59C94" w14:textId="77777777" w:rsidR="00CA3533" w:rsidRPr="00CA3533" w:rsidRDefault="00CA3533" w:rsidP="00CA3533">
      <w:pPr>
        <w:tabs>
          <w:tab w:val="left" w:pos="2268"/>
        </w:tabs>
        <w:kinsoku/>
        <w:overflowPunct/>
        <w:autoSpaceDE/>
        <w:autoSpaceDN/>
        <w:adjustRightInd/>
        <w:snapToGrid/>
        <w:spacing w:after="120"/>
        <w:ind w:left="2694" w:right="1134" w:hanging="426"/>
        <w:jc w:val="both"/>
        <w:rPr>
          <w:lang w:val="fr-FR" w:eastAsia="en-US"/>
        </w:rPr>
      </w:pPr>
      <w:r w:rsidRPr="00CA3533">
        <w:rPr>
          <w:lang w:val="fr-FR" w:eastAsia="en-US"/>
        </w:rPr>
        <w:t>-</w:t>
      </w:r>
      <w:r w:rsidRPr="00CA3533">
        <w:rPr>
          <w:lang w:val="fr-FR" w:eastAsia="en-US"/>
        </w:rPr>
        <w:tab/>
        <w:t>Supprimer la ligne pour le No ONU 1169 ;</w:t>
      </w:r>
    </w:p>
    <w:p w14:paraId="37E4D2DA" w14:textId="77777777" w:rsidR="00CA3533" w:rsidRPr="00CA3533" w:rsidRDefault="00CA3533" w:rsidP="00CA3533">
      <w:pPr>
        <w:tabs>
          <w:tab w:val="left" w:pos="2268"/>
        </w:tabs>
        <w:kinsoku/>
        <w:overflowPunct/>
        <w:autoSpaceDE/>
        <w:autoSpaceDN/>
        <w:adjustRightInd/>
        <w:snapToGrid/>
        <w:spacing w:after="120"/>
        <w:ind w:left="2694" w:right="1134" w:hanging="426"/>
        <w:jc w:val="both"/>
        <w:rPr>
          <w:lang w:val="fr-FR" w:eastAsia="en-US"/>
        </w:rPr>
      </w:pPr>
      <w:r w:rsidRPr="00CA3533">
        <w:rPr>
          <w:lang w:val="fr-FR" w:eastAsia="en-US"/>
        </w:rPr>
        <w:t>-</w:t>
      </w:r>
      <w:r w:rsidRPr="00CA3533">
        <w:rPr>
          <w:lang w:val="fr-FR" w:eastAsia="en-US"/>
        </w:rPr>
        <w:tab/>
        <w:t>Pour le No ONU 1197, modifier la désignation officielle de transport en colonne (2a) pour lire « </w:t>
      </w:r>
      <w:r w:rsidRPr="00CA3533">
        <w:rPr>
          <w:b/>
          <w:bCs/>
          <w:iCs/>
          <w:lang w:val="fr-FR"/>
        </w:rPr>
        <w:t>Extraits, liquides</w:t>
      </w:r>
      <w:r w:rsidRPr="00CA3533">
        <w:rPr>
          <w:iCs/>
          <w:lang w:val="fr-FR"/>
        </w:rPr>
        <w:t>, pour aromatiser ».</w:t>
      </w:r>
    </w:p>
    <w:p w14:paraId="6079BD0D" w14:textId="77777777" w:rsidR="00CA3533" w:rsidRPr="00CA3533" w:rsidRDefault="00CA3533" w:rsidP="00CA3533">
      <w:pPr>
        <w:spacing w:after="120"/>
        <w:ind w:left="1134" w:right="1134"/>
        <w:jc w:val="both"/>
        <w:rPr>
          <w:rFonts w:eastAsiaTheme="minorHAnsi"/>
          <w:lang w:val="fr-FR" w:eastAsia="en-US"/>
        </w:rPr>
      </w:pPr>
      <w:r w:rsidRPr="00CA3533">
        <w:rPr>
          <w:rFonts w:eastAsiaTheme="minorHAnsi"/>
          <w:lang w:val="fr-FR" w:eastAsia="en-US"/>
        </w:rPr>
        <w:t>4.1.3.3</w:t>
      </w:r>
      <w:r w:rsidRPr="00CA3533">
        <w:rPr>
          <w:rFonts w:eastAsiaTheme="minorHAnsi"/>
          <w:lang w:val="fr-FR" w:eastAsia="en-US"/>
        </w:rPr>
        <w:tab/>
      </w:r>
      <w:r w:rsidRPr="00CA3533">
        <w:rPr>
          <w:rFonts w:eastAsiaTheme="minorHAnsi"/>
          <w:lang w:val="fr-FR" w:eastAsia="en-US"/>
        </w:rPr>
        <w:tab/>
        <w:t>Ajouter une nouvelle dernière phrase se lisant comme suit :</w:t>
      </w:r>
    </w:p>
    <w:p w14:paraId="39567CFB"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 Lorsque des emballages qui ne doivent pas nécessairement satisfaire aux prescriptions du 4.1.1.3 (par exemple caisses, palettes) sont autorisés dans une instruction d’emballage ou les dispositions spéciales mentionnées dans le tableau A du chapitre 3.2, ces emballages ne sont pas soumis aux limites de masse ou de volume généralement applicables aux emballages conformes aux prescriptions du chapitre 6.1, sauf indication contraire dans l’instruction d’emballage ou la disposition spéciale pertinentes. »</w:t>
      </w:r>
    </w:p>
    <w:p w14:paraId="46057A2E" w14:textId="77777777" w:rsidR="00CA3533" w:rsidRPr="00CA3533" w:rsidRDefault="00CA3533" w:rsidP="00CA3533">
      <w:pPr>
        <w:spacing w:after="120"/>
        <w:ind w:left="2268" w:right="1134" w:hanging="1134"/>
        <w:jc w:val="both"/>
        <w:rPr>
          <w:lang w:val="fr-FR" w:eastAsia="en-US"/>
        </w:rPr>
      </w:pPr>
      <w:r w:rsidRPr="00CA3533">
        <w:rPr>
          <w:lang w:val="fr-FR" w:eastAsia="en-US"/>
        </w:rPr>
        <w:t>4.1.4.1, P003</w:t>
      </w:r>
      <w:r w:rsidRPr="00CA3533">
        <w:rPr>
          <w:lang w:val="fr-FR" w:eastAsia="en-US"/>
        </w:rPr>
        <w:tab/>
        <w:t>Sous la disposition spéciale d’emballage PP32, ajouter un nouveau Nota, libellé comme suit :</w:t>
      </w:r>
    </w:p>
    <w:p w14:paraId="5B2D1E1C" w14:textId="5E64CAD0"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003E6C9A">
        <w:rPr>
          <w:rFonts w:eastAsiaTheme="minorHAnsi"/>
          <w:b/>
          <w:bCs/>
          <w:i/>
          <w:iCs/>
          <w:lang w:val="fr-FR" w:eastAsia="en-US"/>
        </w:rPr>
        <w:tab/>
      </w:r>
      <w:r w:rsidRPr="00CA3533">
        <w:rPr>
          <w:rFonts w:eastAsiaTheme="minorHAnsi"/>
          <w:i/>
          <w:iCs/>
          <w:lang w:val="fr-FR" w:eastAsia="en-US"/>
        </w:rPr>
        <w:t>La masse nette des emballages autorisés peut dépasser 400 kg (voir 4.1.3.3).</w:t>
      </w:r>
      <w:r w:rsidRPr="00CA3533">
        <w:rPr>
          <w:rFonts w:eastAsiaTheme="minorHAnsi"/>
          <w:lang w:val="fr-FR" w:eastAsia="en-US"/>
        </w:rPr>
        <w:t> »</w:t>
      </w:r>
    </w:p>
    <w:p w14:paraId="6CE90B7C" w14:textId="77777777" w:rsidR="00CA3533" w:rsidRPr="00CA3533" w:rsidRDefault="00CA3533" w:rsidP="00CA3533">
      <w:pPr>
        <w:spacing w:after="120"/>
        <w:ind w:left="2268" w:right="1134" w:hanging="1134"/>
        <w:jc w:val="both"/>
        <w:rPr>
          <w:lang w:val="fr-FR" w:eastAsia="en-US"/>
        </w:rPr>
      </w:pPr>
      <w:r w:rsidRPr="00CA3533">
        <w:rPr>
          <w:lang w:val="fr-FR" w:eastAsia="en-US"/>
        </w:rPr>
        <w:t>4.1.4.1, P004</w:t>
      </w:r>
      <w:r w:rsidRPr="00CA3533">
        <w:rPr>
          <w:lang w:val="fr-FR" w:eastAsia="en-US"/>
        </w:rPr>
        <w:tab/>
        <w:t>Après 3), ajouter un nouveau Nota, libellé comme suit :</w:t>
      </w:r>
    </w:p>
    <w:p w14:paraId="436A82CB" w14:textId="191148DE"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lastRenderedPageBreak/>
        <w:t>« </w:t>
      </w:r>
      <w:r w:rsidRPr="00CA3533">
        <w:rPr>
          <w:rFonts w:eastAsiaTheme="minorHAnsi"/>
          <w:b/>
          <w:bCs/>
          <w:i/>
          <w:iCs/>
          <w:lang w:val="fr-FR" w:eastAsia="en-US"/>
        </w:rPr>
        <w:t>NOTA :</w:t>
      </w:r>
      <w:r w:rsidRPr="00CA3533">
        <w:rPr>
          <w:rFonts w:eastAsiaTheme="minorHAnsi"/>
          <w:i/>
          <w:iCs/>
          <w:lang w:val="fr-FR" w:eastAsia="en-US"/>
        </w:rPr>
        <w:t xml:space="preserve"> </w:t>
      </w:r>
      <w:r w:rsidR="00DB27C5">
        <w:rPr>
          <w:rFonts w:eastAsiaTheme="minorHAnsi"/>
          <w:i/>
          <w:iCs/>
          <w:lang w:val="fr-FR" w:eastAsia="en-US"/>
        </w:rPr>
        <w:tab/>
      </w:r>
      <w:r w:rsidRPr="00CA3533">
        <w:rPr>
          <w:rFonts w:eastAsiaTheme="minorHAnsi"/>
          <w:i/>
          <w:iCs/>
          <w:lang w:val="fr-FR" w:eastAsia="en-US"/>
        </w:rPr>
        <w:t>La masse nette des emballages autorisés aux paragraphes 2) et 3) peut dépasser 400 kg (voir 4.1.3.3).</w:t>
      </w:r>
      <w:r w:rsidRPr="00CA3533">
        <w:rPr>
          <w:rFonts w:eastAsiaTheme="minorHAnsi"/>
          <w:lang w:val="fr-FR" w:eastAsia="en-US"/>
        </w:rPr>
        <w:t> »</w:t>
      </w:r>
    </w:p>
    <w:p w14:paraId="68286B34" w14:textId="77777777" w:rsidR="00CA3533" w:rsidRPr="00CA3533" w:rsidRDefault="00CA3533" w:rsidP="00CA3533">
      <w:pPr>
        <w:spacing w:after="120"/>
        <w:ind w:left="2268" w:right="1134" w:hanging="1134"/>
        <w:jc w:val="both"/>
        <w:rPr>
          <w:lang w:val="fr-FR" w:eastAsia="en-US"/>
        </w:rPr>
      </w:pPr>
      <w:r w:rsidRPr="00CA3533">
        <w:rPr>
          <w:lang w:val="fr-FR" w:eastAsia="en-US"/>
        </w:rPr>
        <w:t>4.1.4.1, P005</w:t>
      </w:r>
      <w:r w:rsidRPr="00CA3533">
        <w:rPr>
          <w:lang w:val="fr-FR" w:eastAsia="en-US"/>
        </w:rPr>
        <w:tab/>
        <w:t>Dans la deuxième ligne sous la ligne de titre, sous le deuxième paragraphe, ajouter un nouveau Nota, libellé comme suit :</w:t>
      </w:r>
    </w:p>
    <w:p w14:paraId="71A59257" w14:textId="1DA67AFA"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00394D15">
        <w:rPr>
          <w:rFonts w:eastAsiaTheme="minorHAnsi"/>
          <w:i/>
          <w:iCs/>
          <w:lang w:val="fr-FR" w:eastAsia="en-US"/>
        </w:rPr>
        <w:tab/>
      </w:r>
      <w:r w:rsidRPr="00CA3533">
        <w:rPr>
          <w:rFonts w:eastAsiaTheme="minorHAnsi"/>
          <w:i/>
          <w:iCs/>
          <w:lang w:val="fr-FR" w:eastAsia="en-US"/>
        </w:rPr>
        <w:t>La masse nette des emballages autorisés peut dépasser 400 kg (voir 4.1.3.3).</w:t>
      </w:r>
      <w:r w:rsidRPr="00CA3533">
        <w:rPr>
          <w:rFonts w:eastAsiaTheme="minorHAnsi"/>
          <w:lang w:val="fr-FR" w:eastAsia="en-US"/>
        </w:rPr>
        <w:t> »</w:t>
      </w:r>
    </w:p>
    <w:p w14:paraId="77EBF562" w14:textId="77777777" w:rsidR="00CA3533" w:rsidRPr="00CA3533" w:rsidRDefault="00CA3533" w:rsidP="00CA3533">
      <w:pPr>
        <w:spacing w:after="120"/>
        <w:ind w:left="2268" w:right="1134" w:hanging="1134"/>
        <w:jc w:val="both"/>
        <w:rPr>
          <w:lang w:val="fr-FR" w:eastAsia="en-US"/>
        </w:rPr>
      </w:pPr>
      <w:r w:rsidRPr="00CA3533">
        <w:rPr>
          <w:lang w:val="fr-FR" w:eastAsia="en-US"/>
        </w:rPr>
        <w:t>4.1.4.1, P006 2)</w:t>
      </w:r>
      <w:r w:rsidRPr="00CA3533">
        <w:rPr>
          <w:lang w:val="fr-FR" w:eastAsia="en-US"/>
        </w:rPr>
        <w:tab/>
        <w:t>À la fin, ajouter un nouveau Nota, libellé comme suit :</w:t>
      </w:r>
    </w:p>
    <w:p w14:paraId="3231B274" w14:textId="10A8FBC0"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w:t>
      </w:r>
      <w:r w:rsidR="001A5758">
        <w:rPr>
          <w:rFonts w:eastAsiaTheme="minorHAnsi"/>
          <w:i/>
          <w:iCs/>
          <w:lang w:val="fr-FR" w:eastAsia="en-US"/>
        </w:rPr>
        <w:tab/>
      </w:r>
      <w:r w:rsidRPr="00CA3533">
        <w:rPr>
          <w:rFonts w:eastAsiaTheme="minorHAnsi"/>
          <w:i/>
          <w:iCs/>
          <w:lang w:val="fr-FR" w:eastAsia="en-US"/>
        </w:rPr>
        <w:t>La masse nette des emballages autorisés peut dépasser 400 kg (voir 4.1.3.3).</w:t>
      </w:r>
      <w:r w:rsidRPr="00CA3533">
        <w:rPr>
          <w:rFonts w:eastAsiaTheme="minorHAnsi"/>
          <w:lang w:val="fr-FR" w:eastAsia="en-US"/>
        </w:rPr>
        <w:t> »</w:t>
      </w:r>
    </w:p>
    <w:p w14:paraId="3797DDBD" w14:textId="77777777" w:rsidR="00CA3533" w:rsidRPr="00CA3533" w:rsidRDefault="00CA3533" w:rsidP="00CA3533">
      <w:pPr>
        <w:spacing w:after="120"/>
        <w:ind w:left="2268" w:right="1134" w:hanging="1134"/>
        <w:jc w:val="both"/>
        <w:rPr>
          <w:lang w:val="fr-FR" w:eastAsia="en-US"/>
        </w:rPr>
      </w:pPr>
      <w:r w:rsidRPr="00CA3533">
        <w:rPr>
          <w:lang w:val="fr-FR" w:eastAsia="en-US"/>
        </w:rPr>
        <w:t>4.1.4.1, P130</w:t>
      </w:r>
      <w:r w:rsidRPr="00CA3533">
        <w:rPr>
          <w:lang w:val="fr-FR" w:eastAsia="en-US"/>
        </w:rPr>
        <w:tab/>
        <w:t>Sous la disposition spéciale d’emballage PP67, ajouter un nouveau Nota, libellé comme suit :</w:t>
      </w:r>
    </w:p>
    <w:p w14:paraId="58226E15" w14:textId="29820433"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w:t>
      </w:r>
      <w:r w:rsidR="00E61E33">
        <w:rPr>
          <w:rFonts w:eastAsiaTheme="minorHAnsi"/>
          <w:i/>
          <w:iCs/>
          <w:lang w:val="fr-FR" w:eastAsia="en-US"/>
        </w:rPr>
        <w:tab/>
      </w:r>
      <w:r w:rsidRPr="00CA3533">
        <w:rPr>
          <w:rFonts w:eastAsiaTheme="minorHAnsi"/>
          <w:i/>
          <w:iCs/>
          <w:lang w:val="fr-FR" w:eastAsia="en-US"/>
        </w:rPr>
        <w:t>La masse nette des emballages autorisés peut dépasser 400 kg (voir 4.1.3.3).</w:t>
      </w:r>
      <w:r w:rsidRPr="00CA3533">
        <w:rPr>
          <w:rFonts w:eastAsiaTheme="minorHAnsi"/>
          <w:lang w:val="fr-FR" w:eastAsia="en-US"/>
        </w:rPr>
        <w:t> »</w:t>
      </w:r>
    </w:p>
    <w:p w14:paraId="3BE5EDFA" w14:textId="77777777" w:rsidR="00CA3533" w:rsidRPr="00CA3533" w:rsidRDefault="00CA3533" w:rsidP="00CA3533">
      <w:pPr>
        <w:spacing w:after="120"/>
        <w:ind w:left="2268" w:right="1134" w:hanging="1134"/>
        <w:jc w:val="both"/>
        <w:rPr>
          <w:lang w:val="fr-FR" w:eastAsia="en-US"/>
        </w:rPr>
      </w:pPr>
      <w:r w:rsidRPr="00CA3533">
        <w:rPr>
          <w:lang w:val="fr-FR" w:eastAsia="en-US"/>
        </w:rPr>
        <w:t>4.1.4.1, P137</w:t>
      </w:r>
      <w:r w:rsidRPr="00CA3533">
        <w:rPr>
          <w:lang w:val="fr-FR" w:eastAsia="en-US"/>
        </w:rPr>
        <w:tab/>
        <w:t>Dans la disposition spéciale d’emballage PP70, dans la première phrase, remplacer « selon les dispositions du 5.2.1.10.1 » par « comme le montrent les figures 5.2.1.10.1.1 ou 5.2.1.10.1.2 ».</w:t>
      </w:r>
    </w:p>
    <w:p w14:paraId="7EE75B32" w14:textId="77777777" w:rsidR="00CA3533" w:rsidRPr="00CA3533" w:rsidRDefault="00CA3533" w:rsidP="00CA3533">
      <w:pPr>
        <w:spacing w:after="120"/>
        <w:ind w:left="2268" w:right="1134" w:hanging="1134"/>
        <w:jc w:val="both"/>
        <w:rPr>
          <w:lang w:val="fr-FR" w:eastAsia="en-US"/>
        </w:rPr>
      </w:pPr>
      <w:r w:rsidRPr="00CA3533">
        <w:rPr>
          <w:lang w:val="fr-FR" w:eastAsia="en-US"/>
        </w:rPr>
        <w:t>4.1.4.1, P144</w:t>
      </w:r>
      <w:r w:rsidRPr="00CA3533">
        <w:rPr>
          <w:lang w:val="fr-FR" w:eastAsia="en-US"/>
        </w:rPr>
        <w:tab/>
        <w:t>Sous la disposition spéciale d’emballage PP77, ajouter un nouveau Nota, libellé comme suit :</w:t>
      </w:r>
    </w:p>
    <w:p w14:paraId="0CA28308" w14:textId="276D171F"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w:t>
      </w:r>
      <w:r w:rsidR="00BD776A">
        <w:rPr>
          <w:rFonts w:eastAsiaTheme="minorHAnsi"/>
          <w:i/>
          <w:iCs/>
          <w:lang w:val="fr-FR" w:eastAsia="en-US"/>
        </w:rPr>
        <w:tab/>
      </w:r>
      <w:r w:rsidRPr="00CA3533">
        <w:rPr>
          <w:rFonts w:eastAsiaTheme="minorHAnsi"/>
          <w:i/>
          <w:iCs/>
          <w:lang w:val="fr-FR" w:eastAsia="en-US"/>
        </w:rPr>
        <w:t>La masse nette des emballages autorisés peut dépasser 400 kg (voir 4.1.3.3).</w:t>
      </w:r>
      <w:r w:rsidRPr="00CA3533">
        <w:rPr>
          <w:rFonts w:eastAsiaTheme="minorHAnsi"/>
          <w:lang w:val="fr-FR" w:eastAsia="en-US"/>
        </w:rPr>
        <w:t> »</w:t>
      </w:r>
    </w:p>
    <w:p w14:paraId="518972BE" w14:textId="2F679C05" w:rsidR="00CA3533" w:rsidRPr="00CA3533" w:rsidRDefault="00CA3533" w:rsidP="00CA3533">
      <w:pPr>
        <w:spacing w:after="120"/>
        <w:ind w:left="2268" w:right="1134" w:hanging="1134"/>
        <w:jc w:val="both"/>
        <w:rPr>
          <w:lang w:val="fr-FR"/>
        </w:rPr>
      </w:pPr>
      <w:r w:rsidRPr="00CA3533">
        <w:rPr>
          <w:lang w:val="fr-FR"/>
        </w:rPr>
        <w:t xml:space="preserve">4.1.4.1, P200 Au point 10), dans la disposition spéciale d’emballage « d », après « des récipients à pression en acier », insérer « ou des récipients à pression composites avec revêtement en acier ». </w:t>
      </w:r>
    </w:p>
    <w:p w14:paraId="2103BCA4" w14:textId="77777777" w:rsidR="00CA3533" w:rsidRPr="00CA3533" w:rsidRDefault="00CA3533" w:rsidP="00CA3533">
      <w:pPr>
        <w:tabs>
          <w:tab w:val="left" w:pos="2268"/>
        </w:tabs>
        <w:kinsoku/>
        <w:overflowPunct/>
        <w:autoSpaceDE/>
        <w:adjustRightInd/>
        <w:snapToGrid/>
        <w:spacing w:after="120"/>
        <w:ind w:left="2268" w:right="1134" w:hanging="1134"/>
        <w:jc w:val="both"/>
        <w:rPr>
          <w:lang w:val="fr-FR" w:eastAsia="en-US"/>
        </w:rPr>
      </w:pPr>
      <w:r w:rsidRPr="00CA3533">
        <w:rPr>
          <w:lang w:val="fr-FR" w:eastAsia="en-US"/>
        </w:rPr>
        <w:tab/>
        <w:t>À la fin de la disposition spéciale d’emballage « z », ajouter :</w:t>
      </w:r>
    </w:p>
    <w:p w14:paraId="27689C59"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 Le remplissage des mélanges de fluor et d’azote dont la concentration en fluor est inférieure à 35 % en volume peut être permis dans des récipients à pression jusqu’à une pression de service maximale autorisée pour laquelle la pression partielle de fluor n’excède pas 3.1 MPa (31 bar) absolus.</w:t>
      </w:r>
    </w:p>
    <w:p w14:paraId="7342C1B8" w14:textId="77777777" w:rsidR="00CA3533" w:rsidRPr="00CA3533" w:rsidRDefault="00CA3533" w:rsidP="00CA3533">
      <w:pPr>
        <w:rPr>
          <w:rFonts w:asciiTheme="minorHAnsi" w:eastAsiaTheme="minorEastAsia" w:hAnsiTheme="minorHAnsi" w:cstheme="minorBidi"/>
          <w:sz w:val="22"/>
          <w:szCs w:val="22"/>
          <w:lang w:val="fr-FR"/>
        </w:rPr>
      </w:pPr>
      <m:oMathPara>
        <m:oMath>
          <m:r>
            <w:rPr>
              <w:rFonts w:ascii="Cambria Math" w:eastAsiaTheme="minorEastAsia" w:hAnsi="Cambria Math" w:cstheme="minorBidi"/>
              <w:sz w:val="22"/>
              <w:szCs w:val="22"/>
              <w:lang w:val="fr-FR"/>
            </w:rPr>
            <m:t>pression de service</m:t>
          </m:r>
          <m:r>
            <m:rPr>
              <m:sty m:val="p"/>
            </m:rPr>
            <w:rPr>
              <w:rFonts w:ascii="Cambria Math" w:eastAsiaTheme="minorEastAsia" w:hAnsi="Cambria Math" w:cstheme="minorBidi"/>
              <w:sz w:val="22"/>
              <w:szCs w:val="22"/>
              <w:lang w:val="fr-FR"/>
            </w:rPr>
            <m:t xml:space="preserve"> </m:t>
          </m:r>
          <m:d>
            <m:dPr>
              <m:ctrlPr>
                <w:rPr>
                  <w:rFonts w:ascii="Cambria Math" w:eastAsiaTheme="minorEastAsia" w:hAnsi="Cambria Math" w:cstheme="minorBidi"/>
                  <w:iCs/>
                  <w:sz w:val="22"/>
                  <w:szCs w:val="22"/>
                  <w:lang w:val="fr-FR"/>
                </w:rPr>
              </m:ctrlPr>
            </m:dPr>
            <m:e>
              <m:r>
                <m:rPr>
                  <m:sty m:val="p"/>
                </m:rPr>
                <w:rPr>
                  <w:rFonts w:ascii="Cambria Math" w:eastAsiaTheme="minorEastAsia" w:hAnsi="Cambria Math" w:cstheme="minorBidi"/>
                  <w:sz w:val="22"/>
                  <w:szCs w:val="22"/>
                  <w:lang w:val="fr-FR"/>
                </w:rPr>
                <m:t>bar</m:t>
              </m:r>
            </m:e>
          </m:d>
          <m:r>
            <w:rPr>
              <w:rFonts w:ascii="Cambria Math" w:eastAsiaTheme="minorEastAsia" w:hAnsi="Cambria Math" w:cstheme="minorBidi"/>
              <w:sz w:val="22"/>
              <w:szCs w:val="22"/>
              <w:lang w:val="fr-FR"/>
            </w:rPr>
            <m:t>&lt;</m:t>
          </m:r>
          <m:f>
            <m:fPr>
              <m:ctrlPr>
                <w:rPr>
                  <w:rFonts w:ascii="Cambria Math" w:eastAsiaTheme="minorEastAsia" w:hAnsi="Cambria Math" w:cstheme="minorBidi"/>
                  <w:i/>
                  <w:sz w:val="22"/>
                  <w:szCs w:val="22"/>
                  <w:lang w:val="fr-FR"/>
                </w:rPr>
              </m:ctrlPr>
            </m:fPr>
            <m:num>
              <m:r>
                <w:rPr>
                  <w:rFonts w:ascii="Cambria Math" w:eastAsiaTheme="minorEastAsia" w:hAnsi="Cambria Math" w:cstheme="minorBidi"/>
                  <w:sz w:val="22"/>
                  <w:szCs w:val="22"/>
                  <w:lang w:val="fr-FR"/>
                </w:rPr>
                <m:t>31</m:t>
              </m:r>
            </m:num>
            <m:den>
              <m:sSub>
                <m:sSubPr>
                  <m:ctrlPr>
                    <w:rPr>
                      <w:rFonts w:ascii="Cambria Math" w:eastAsiaTheme="minorEastAsia" w:hAnsi="Cambria Math" w:cstheme="minorBidi"/>
                      <w:i/>
                      <w:sz w:val="22"/>
                      <w:szCs w:val="22"/>
                      <w:lang w:val="fr-FR"/>
                    </w:rPr>
                  </m:ctrlPr>
                </m:sSubPr>
                <m:e>
                  <m:r>
                    <w:rPr>
                      <w:rFonts w:ascii="Cambria Math" w:eastAsiaTheme="minorEastAsia" w:hAnsi="Cambria Math" w:cstheme="minorBidi"/>
                      <w:sz w:val="22"/>
                      <w:szCs w:val="22"/>
                      <w:lang w:val="fr-FR"/>
                    </w:rPr>
                    <m:t>x</m:t>
                  </m:r>
                </m:e>
                <m:sub>
                  <m:r>
                    <w:rPr>
                      <w:rFonts w:ascii="Cambria Math" w:eastAsiaTheme="minorEastAsia" w:hAnsi="Cambria Math" w:cstheme="minorBidi"/>
                      <w:sz w:val="22"/>
                      <w:szCs w:val="22"/>
                      <w:lang w:val="fr-FR"/>
                    </w:rPr>
                    <m:t>f</m:t>
                  </m:r>
                </m:sub>
              </m:sSub>
            </m:den>
          </m:f>
          <m:r>
            <w:rPr>
              <w:rFonts w:ascii="Cambria Math" w:eastAsiaTheme="minorEastAsia" w:hAnsi="Cambria Math" w:cstheme="minorBidi"/>
              <w:sz w:val="22"/>
              <w:szCs w:val="22"/>
              <w:lang w:val="fr-FR"/>
            </w:rPr>
            <m:t>-1</m:t>
          </m:r>
        </m:oMath>
      </m:oMathPara>
    </w:p>
    <w:p w14:paraId="630EA34E"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 xml:space="preserve">où </w:t>
      </w:r>
      <w:proofErr w:type="spellStart"/>
      <w:r w:rsidRPr="00CA3533">
        <w:rPr>
          <w:rFonts w:eastAsiaTheme="minorHAnsi"/>
          <w:i/>
          <w:iCs/>
          <w:lang w:val="fr-FR" w:eastAsia="en-US"/>
        </w:rPr>
        <w:t>x</w:t>
      </w:r>
      <w:r w:rsidRPr="00CA3533">
        <w:rPr>
          <w:rFonts w:eastAsiaTheme="minorHAnsi"/>
          <w:i/>
          <w:iCs/>
          <w:vertAlign w:val="subscript"/>
          <w:lang w:val="fr-FR" w:eastAsia="en-US"/>
        </w:rPr>
        <w:t>f</w:t>
      </w:r>
      <w:proofErr w:type="spellEnd"/>
      <w:r w:rsidRPr="00CA3533">
        <w:rPr>
          <w:rFonts w:eastAsiaTheme="minorHAnsi"/>
          <w:lang w:val="fr-FR" w:eastAsia="en-US"/>
        </w:rPr>
        <w:t xml:space="preserve"> = concentration en fluor exprimée en % par volume/100.</w:t>
      </w:r>
    </w:p>
    <w:p w14:paraId="439BE417"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Le remplissage des mélanges de fluor et de gaz inertes dont la concentration en fluor est inférieure à 35 % en volume peut être permis dans des récipients à pression jusqu’à une pression de service maximale autorisée pour laquelle la pression partielle de fluor n’excède pas 3.1 MPa (31 bar) absolus, le coefficient d’équivalence en azote, établi conformément à la norme ISO 10156:2017, devant aussi être pris en compte dans le calcul de la pression partielle.</w:t>
      </w:r>
    </w:p>
    <w:p w14:paraId="4E8A30C1" w14:textId="77777777" w:rsidR="00CA3533" w:rsidRPr="00CA3533" w:rsidRDefault="00CA3533" w:rsidP="00CA3533">
      <w:pPr>
        <w:spacing w:after="120"/>
        <w:ind w:left="1701" w:right="1134"/>
        <w:jc w:val="both"/>
        <w:rPr>
          <w:rFonts w:eastAsiaTheme="minorHAnsi"/>
          <w:lang w:val="fr-FR" w:eastAsia="en-US"/>
        </w:rPr>
      </w:pPr>
      <m:oMathPara>
        <m:oMath>
          <m:r>
            <w:rPr>
              <w:rFonts w:ascii="Cambria Math" w:eastAsiaTheme="minorHAnsi" w:hAnsi="Cambria Math"/>
              <w:lang w:val="fr-FR" w:eastAsia="en-US"/>
            </w:rPr>
            <m:t>pression de service</m:t>
          </m:r>
          <m:r>
            <m:rPr>
              <m:sty m:val="p"/>
            </m:rPr>
            <w:rPr>
              <w:rFonts w:ascii="Cambria Math" w:eastAsiaTheme="minorHAnsi" w:hAnsi="Cambria Math"/>
              <w:lang w:val="fr-FR" w:eastAsia="en-US"/>
            </w:rPr>
            <m:t xml:space="preserve"> </m:t>
          </m:r>
          <m:d>
            <m:dPr>
              <m:ctrlPr>
                <w:rPr>
                  <w:rFonts w:ascii="Cambria Math" w:eastAsiaTheme="minorHAnsi" w:hAnsi="Cambria Math"/>
                  <w:iCs/>
                  <w:lang w:val="fr-FR" w:eastAsia="en-US"/>
                </w:rPr>
              </m:ctrlPr>
            </m:dPr>
            <m:e>
              <m:r>
                <m:rPr>
                  <m:sty m:val="p"/>
                </m:rPr>
                <w:rPr>
                  <w:rFonts w:ascii="Cambria Math" w:eastAsiaTheme="minorHAnsi" w:hAnsi="Cambria Math"/>
                  <w:lang w:val="fr-FR" w:eastAsia="en-US"/>
                </w:rPr>
                <m:t>bar</m:t>
              </m:r>
            </m:e>
          </m:d>
          <m:r>
            <w:rPr>
              <w:rFonts w:ascii="Cambria Math" w:eastAsiaTheme="minorHAnsi" w:hAnsi="Cambria Math"/>
              <w:lang w:val="fr-FR" w:eastAsia="en-US"/>
            </w:rPr>
            <m:t>&lt;</m:t>
          </m:r>
          <m:f>
            <m:fPr>
              <m:ctrlPr>
                <w:rPr>
                  <w:rFonts w:ascii="Cambria Math" w:eastAsiaTheme="minorHAnsi" w:hAnsi="Cambria Math"/>
                  <w:i/>
                  <w:lang w:val="fr-FR" w:eastAsia="en-US"/>
                </w:rPr>
              </m:ctrlPr>
            </m:fPr>
            <m:num>
              <m:r>
                <w:rPr>
                  <w:rFonts w:ascii="Cambria Math" w:eastAsiaTheme="minorHAnsi" w:hAnsi="Cambria Math"/>
                  <w:lang w:val="fr-FR" w:eastAsia="en-US"/>
                </w:rPr>
                <m:t>31</m:t>
              </m:r>
            </m:num>
            <m:den>
              <m:sSub>
                <m:sSubPr>
                  <m:ctrlPr>
                    <w:rPr>
                      <w:rFonts w:ascii="Cambria Math" w:eastAsiaTheme="minorHAnsi" w:hAnsi="Cambria Math"/>
                      <w:i/>
                      <w:lang w:val="fr-FR" w:eastAsia="en-US"/>
                    </w:rPr>
                  </m:ctrlPr>
                </m:sSubPr>
                <m:e>
                  <m:r>
                    <w:rPr>
                      <w:rFonts w:ascii="Cambria Math" w:eastAsiaTheme="minorHAnsi" w:hAnsi="Cambria Math"/>
                      <w:lang w:val="fr-FR" w:eastAsia="en-US"/>
                    </w:rPr>
                    <m:t>x</m:t>
                  </m:r>
                </m:e>
                <m:sub>
                  <m:r>
                    <w:rPr>
                      <w:rFonts w:ascii="Cambria Math" w:eastAsiaTheme="minorHAnsi" w:hAnsi="Cambria Math"/>
                      <w:lang w:val="fr-FR" w:eastAsia="en-US"/>
                    </w:rPr>
                    <m:t>f</m:t>
                  </m:r>
                </m:sub>
              </m:sSub>
            </m:den>
          </m:f>
          <m:d>
            <m:dPr>
              <m:ctrlPr>
                <w:rPr>
                  <w:rFonts w:ascii="Cambria Math" w:eastAsiaTheme="minorHAnsi" w:hAnsi="Cambria Math"/>
                  <w:i/>
                  <w:lang w:val="fr-FR" w:eastAsia="en-US"/>
                </w:rPr>
              </m:ctrlPr>
            </m:dPr>
            <m:e>
              <m:sSub>
                <m:sSubPr>
                  <m:ctrlPr>
                    <w:rPr>
                      <w:rFonts w:ascii="Cambria Math" w:eastAsiaTheme="minorHAnsi" w:hAnsi="Cambria Math"/>
                      <w:i/>
                      <w:lang w:val="fr-FR" w:eastAsia="en-US"/>
                    </w:rPr>
                  </m:ctrlPr>
                </m:sSubPr>
                <m:e>
                  <m:r>
                    <w:rPr>
                      <w:rFonts w:ascii="Cambria Math" w:eastAsiaTheme="minorHAnsi" w:hAnsi="Cambria Math"/>
                      <w:lang w:val="fr-FR" w:eastAsia="en-US"/>
                    </w:rPr>
                    <m:t>x</m:t>
                  </m:r>
                </m:e>
                <m:sub>
                  <m:r>
                    <w:rPr>
                      <w:rFonts w:ascii="Cambria Math" w:eastAsiaTheme="minorHAnsi" w:hAnsi="Cambria Math"/>
                      <w:lang w:val="fr-FR" w:eastAsia="en-US"/>
                    </w:rPr>
                    <m:t>f</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k</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x</m:t>
                  </m:r>
                </m:e>
                <m:sub>
                  <m:r>
                    <w:rPr>
                      <w:rFonts w:ascii="Cambria Math" w:eastAsiaTheme="minorHAnsi" w:hAnsi="Cambria Math"/>
                      <w:lang w:val="fr-FR" w:eastAsia="en-US"/>
                    </w:rPr>
                    <m:t>k</m:t>
                  </m:r>
                </m:sub>
              </m:sSub>
            </m:e>
          </m:d>
          <m:r>
            <w:rPr>
              <w:rFonts w:ascii="Cambria Math" w:eastAsiaTheme="minorHAnsi" w:hAnsi="Cambria Math"/>
              <w:lang w:val="fr-FR" w:eastAsia="en-US"/>
            </w:rPr>
            <m:t>-1</m:t>
          </m:r>
        </m:oMath>
      </m:oMathPara>
    </w:p>
    <w:p w14:paraId="267D3342" w14:textId="77777777" w:rsidR="00CA3533" w:rsidRPr="00CA3533" w:rsidRDefault="00CA3533" w:rsidP="00CA3533">
      <w:pPr>
        <w:spacing w:after="120"/>
        <w:ind w:left="2835" w:right="1134"/>
        <w:jc w:val="both"/>
        <w:rPr>
          <w:rFonts w:eastAsiaTheme="minorHAnsi"/>
          <w:lang w:val="fr-FR" w:eastAsia="en-US"/>
        </w:rPr>
      </w:pPr>
      <w:r w:rsidRPr="00CA3533">
        <w:rPr>
          <w:rFonts w:eastAsiaTheme="minorHAnsi"/>
          <w:lang w:val="fr-FR" w:eastAsia="en-US"/>
        </w:rPr>
        <w:t xml:space="preserve">où </w:t>
      </w:r>
      <w:proofErr w:type="spellStart"/>
      <w:r w:rsidRPr="00CA3533">
        <w:rPr>
          <w:rFonts w:eastAsiaTheme="minorHAnsi"/>
          <w:i/>
          <w:iCs/>
          <w:lang w:val="fr-FR" w:eastAsia="en-US"/>
        </w:rPr>
        <w:t>x</w:t>
      </w:r>
      <w:r w:rsidRPr="00CA3533">
        <w:rPr>
          <w:rFonts w:eastAsiaTheme="minorHAnsi"/>
          <w:i/>
          <w:iCs/>
          <w:vertAlign w:val="subscript"/>
          <w:lang w:val="fr-FR" w:eastAsia="en-US"/>
        </w:rPr>
        <w:t>f</w:t>
      </w:r>
      <w:proofErr w:type="spellEnd"/>
      <w:r w:rsidRPr="00CA3533">
        <w:rPr>
          <w:rFonts w:eastAsiaTheme="minorHAnsi"/>
          <w:lang w:val="fr-FR" w:eastAsia="en-US"/>
        </w:rPr>
        <w:t xml:space="preserve"> = concentration de fluor exprimée en % par volume/100 ;</w:t>
      </w:r>
    </w:p>
    <w:p w14:paraId="2C2427F8" w14:textId="77777777" w:rsidR="00CA3533" w:rsidRPr="00CA3533" w:rsidRDefault="00CA3533" w:rsidP="00CA3533">
      <w:pPr>
        <w:spacing w:after="120"/>
        <w:ind w:left="2835" w:right="1134"/>
        <w:jc w:val="both"/>
        <w:rPr>
          <w:rFonts w:eastAsiaTheme="minorHAnsi"/>
          <w:lang w:val="fr-FR" w:eastAsia="en-US"/>
        </w:rPr>
      </w:pPr>
      <w:proofErr w:type="spellStart"/>
      <w:r w:rsidRPr="00CA3533">
        <w:rPr>
          <w:rFonts w:eastAsiaTheme="minorHAnsi"/>
          <w:i/>
          <w:iCs/>
          <w:lang w:val="fr-FR" w:eastAsia="en-US"/>
        </w:rPr>
        <w:t>K</w:t>
      </w:r>
      <w:r w:rsidRPr="00CA3533">
        <w:rPr>
          <w:rFonts w:eastAsiaTheme="minorHAnsi"/>
          <w:i/>
          <w:iCs/>
          <w:vertAlign w:val="subscript"/>
          <w:lang w:val="fr-FR" w:eastAsia="en-US"/>
        </w:rPr>
        <w:t>k</w:t>
      </w:r>
      <w:proofErr w:type="spellEnd"/>
      <w:r w:rsidRPr="00CA3533">
        <w:rPr>
          <w:rFonts w:eastAsiaTheme="minorHAnsi"/>
          <w:lang w:val="fr-FR" w:eastAsia="en-US"/>
        </w:rPr>
        <w:t xml:space="preserve"> = coefficient d’équivalence d’un gaz inerte par rapport à l’azote (coefficient d’équivalence en azote) ;</w:t>
      </w:r>
    </w:p>
    <w:p w14:paraId="021E2964" w14:textId="77777777" w:rsidR="00CA3533" w:rsidRPr="00CA3533" w:rsidRDefault="00CA3533" w:rsidP="00CA3533">
      <w:pPr>
        <w:spacing w:after="120"/>
        <w:ind w:left="2835" w:right="1134"/>
        <w:jc w:val="both"/>
        <w:rPr>
          <w:rFonts w:eastAsiaTheme="minorHAnsi"/>
          <w:lang w:val="fr-FR" w:eastAsia="en-US"/>
        </w:rPr>
      </w:pPr>
      <w:proofErr w:type="spellStart"/>
      <w:r w:rsidRPr="00CA3533">
        <w:rPr>
          <w:rFonts w:eastAsiaTheme="minorHAnsi"/>
          <w:i/>
          <w:iCs/>
          <w:lang w:val="fr-FR" w:eastAsia="en-US"/>
        </w:rPr>
        <w:t>x</w:t>
      </w:r>
      <w:r w:rsidRPr="00CA3533">
        <w:rPr>
          <w:rFonts w:eastAsiaTheme="minorHAnsi"/>
          <w:i/>
          <w:iCs/>
          <w:vertAlign w:val="subscript"/>
          <w:lang w:val="fr-FR" w:eastAsia="en-US"/>
        </w:rPr>
        <w:t>k</w:t>
      </w:r>
      <w:proofErr w:type="spellEnd"/>
      <w:r w:rsidRPr="00CA3533">
        <w:rPr>
          <w:rFonts w:eastAsiaTheme="minorHAnsi"/>
          <w:lang w:val="fr-FR" w:eastAsia="en-US"/>
        </w:rPr>
        <w:t xml:space="preserve"> = concentration de gaz inerte exprimée en % par volume/100.</w:t>
      </w:r>
    </w:p>
    <w:p w14:paraId="5A26A211"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Toutefois, la pression de service pour les mélanges de fluor et de gaz inertes ne doit pas dépasser 20 MPa (200 bar). La pression d’épreuve minimale des récipients à pression pour les mélanges de fluor et de gaz inertes est fixée à 1,5 fois la pression de service ou à 20 MPa (200 bar), la valeur la plus haute étant retenue. ».</w:t>
      </w:r>
    </w:p>
    <w:p w14:paraId="645CC644" w14:textId="28BC068A" w:rsidR="00CA3533" w:rsidRPr="00CA3533" w:rsidRDefault="00CA3533" w:rsidP="00CA3533">
      <w:pPr>
        <w:kinsoku/>
        <w:overflowPunct/>
        <w:autoSpaceDE/>
        <w:autoSpaceDN/>
        <w:adjustRightInd/>
        <w:snapToGrid/>
        <w:spacing w:after="120"/>
        <w:ind w:left="2268" w:right="1134" w:hanging="1134"/>
        <w:jc w:val="both"/>
        <w:rPr>
          <w:lang w:val="fr-FR" w:eastAsia="fr-FR"/>
        </w:rPr>
      </w:pPr>
      <w:r w:rsidRPr="00CA3533">
        <w:rPr>
          <w:lang w:val="fr-FR" w:eastAsia="fr-FR"/>
        </w:rPr>
        <w:tab/>
      </w:r>
      <w:r w:rsidRPr="00CA3533">
        <w:rPr>
          <w:lang w:val="fr-FR" w:eastAsia="fr-FR"/>
        </w:rPr>
        <w:tab/>
        <w:t>Au point 12), 3.4, après « EN ISO 14245:2019, » ajouter « EN ISO 14245:</w:t>
      </w:r>
      <w:r w:rsidRPr="00CA3533" w:rsidDel="002935B9">
        <w:rPr>
          <w:lang w:val="fr-FR" w:eastAsia="fr-FR"/>
        </w:rPr>
        <w:t>2021</w:t>
      </w:r>
      <w:r w:rsidRPr="00CA3533">
        <w:rPr>
          <w:lang w:val="fr-FR" w:eastAsia="fr-FR"/>
        </w:rPr>
        <w:t>, ». Remplacer « ou EN ISO 15995:2019 » par « , EN ISO 15995:2019 ou EN ISO 15995:2021 ».</w:t>
      </w:r>
    </w:p>
    <w:p w14:paraId="6418919F" w14:textId="4824F278" w:rsidR="00CA3533" w:rsidRDefault="00CA3533" w:rsidP="00CA3533">
      <w:pPr>
        <w:spacing w:after="120"/>
        <w:ind w:left="2268" w:right="1134" w:hanging="1134"/>
        <w:jc w:val="both"/>
        <w:rPr>
          <w:lang w:val="fr-FR" w:eastAsia="en-US"/>
        </w:rPr>
      </w:pPr>
      <w:r w:rsidRPr="00CA3533">
        <w:rPr>
          <w:lang w:val="fr-FR" w:eastAsia="en-US"/>
        </w:rPr>
        <w:lastRenderedPageBreak/>
        <w:tab/>
      </w:r>
      <w:r w:rsidRPr="009A5CF9">
        <w:rPr>
          <w:lang w:val="fr-FR" w:eastAsia="en-US"/>
        </w:rPr>
        <w:t xml:space="preserve">Aux points 12) et 13), </w:t>
      </w:r>
      <w:r w:rsidR="007A1ABB">
        <w:rPr>
          <w:lang w:val="fr-FR" w:eastAsia="en-US"/>
        </w:rPr>
        <w:t xml:space="preserve">au point 1.1, </w:t>
      </w:r>
      <w:r w:rsidRPr="009A5CF9">
        <w:rPr>
          <w:lang w:val="fr-FR" w:eastAsia="en-US"/>
        </w:rPr>
        <w:t xml:space="preserve">remplacer « des organismes IS » par « des IS » et « d’organismes </w:t>
      </w:r>
      <w:proofErr w:type="spellStart"/>
      <w:r w:rsidRPr="009A5CF9">
        <w:rPr>
          <w:lang w:val="fr-FR" w:eastAsia="en-US"/>
        </w:rPr>
        <w:t>Xb</w:t>
      </w:r>
      <w:proofErr w:type="spellEnd"/>
      <w:r w:rsidRPr="009A5CF9">
        <w:rPr>
          <w:lang w:val="fr-FR" w:eastAsia="en-US"/>
        </w:rPr>
        <w:t xml:space="preserve"> et IS » par « de </w:t>
      </w:r>
      <w:proofErr w:type="spellStart"/>
      <w:r w:rsidRPr="009A5CF9">
        <w:rPr>
          <w:lang w:val="fr-FR" w:eastAsia="en-US"/>
        </w:rPr>
        <w:t>Xb</w:t>
      </w:r>
      <w:proofErr w:type="spellEnd"/>
      <w:r w:rsidRPr="009A5CF9">
        <w:rPr>
          <w:lang w:val="fr-FR" w:eastAsia="en-US"/>
        </w:rPr>
        <w:t xml:space="preserve"> et IS ».</w:t>
      </w:r>
    </w:p>
    <w:p w14:paraId="55C011FB" w14:textId="34EBB609" w:rsidR="00CA3533" w:rsidRPr="00CA3533" w:rsidRDefault="00CA3533" w:rsidP="00CA3533">
      <w:pPr>
        <w:spacing w:after="120"/>
        <w:ind w:left="2268" w:right="1134" w:hanging="1134"/>
        <w:jc w:val="both"/>
        <w:rPr>
          <w:lang w:val="fr-FR"/>
        </w:rPr>
      </w:pPr>
      <w:r w:rsidRPr="00CA3533">
        <w:rPr>
          <w:lang w:val="fr-FR"/>
        </w:rPr>
        <w:tab/>
        <w:t>Au point 13), 2.4, remplacer « EN ISO 11114-1:2012</w:t>
      </w:r>
      <w:r w:rsidR="0093687A">
        <w:rPr>
          <w:lang w:val="fr-FR"/>
        </w:rPr>
        <w:t xml:space="preserve"> + </w:t>
      </w:r>
      <w:r w:rsidR="000D67FA">
        <w:rPr>
          <w:lang w:val="fr-FR"/>
        </w:rPr>
        <w:t>A1:2017</w:t>
      </w:r>
      <w:r w:rsidRPr="00CA3533">
        <w:rPr>
          <w:lang w:val="fr-FR"/>
        </w:rPr>
        <w:t> » par « EN ISO 11114-1:2020 ».</w:t>
      </w:r>
    </w:p>
    <w:p w14:paraId="4D977B9D" w14:textId="5CECDE79" w:rsidR="00CA3533" w:rsidRPr="00CA3533" w:rsidRDefault="00CA3533" w:rsidP="00CA3533">
      <w:pPr>
        <w:tabs>
          <w:tab w:val="left" w:pos="2268"/>
        </w:tabs>
        <w:kinsoku/>
        <w:overflowPunct/>
        <w:autoSpaceDE/>
        <w:adjustRightInd/>
        <w:snapToGrid/>
        <w:spacing w:after="120"/>
        <w:ind w:left="2268" w:right="1134" w:hanging="1134"/>
        <w:jc w:val="both"/>
        <w:rPr>
          <w:lang w:val="fr-FR" w:eastAsia="en-US"/>
        </w:rPr>
      </w:pPr>
      <w:r w:rsidRPr="00CA3533">
        <w:rPr>
          <w:lang w:val="fr-FR" w:eastAsia="en-US"/>
        </w:rPr>
        <w:tab/>
        <w:t>Dans le tableau 2 :</w:t>
      </w:r>
    </w:p>
    <w:p w14:paraId="476E0CCD" w14:textId="77777777" w:rsidR="00CA3533" w:rsidRPr="00CA3533" w:rsidRDefault="00CA3533" w:rsidP="00CA3533">
      <w:pPr>
        <w:numPr>
          <w:ilvl w:val="0"/>
          <w:numId w:val="1"/>
        </w:numPr>
        <w:tabs>
          <w:tab w:val="clear" w:pos="1701"/>
          <w:tab w:val="num" w:pos="2438"/>
        </w:tabs>
        <w:kinsoku/>
        <w:overflowPunct/>
        <w:autoSpaceDE/>
        <w:autoSpaceDN/>
        <w:adjustRightInd/>
        <w:snapToGrid/>
        <w:spacing w:after="120"/>
        <w:ind w:left="2438" w:right="1134"/>
        <w:jc w:val="both"/>
        <w:rPr>
          <w:lang w:val="fr-FR" w:eastAsia="en-US"/>
        </w:rPr>
      </w:pPr>
      <w:r w:rsidRPr="00CA3533">
        <w:rPr>
          <w:lang w:val="fr-FR" w:eastAsia="en-US"/>
        </w:rPr>
        <w:t>Pour le No ONU 1008, remplacer « 387 » par « 864 » dans la colonne « CL</w:t>
      </w:r>
      <w:r w:rsidRPr="00CA3533">
        <w:rPr>
          <w:vertAlign w:val="subscript"/>
          <w:lang w:val="fr-FR" w:eastAsia="en-US"/>
        </w:rPr>
        <w:t>50</w:t>
      </w:r>
      <w:r w:rsidRPr="00CA3533">
        <w:rPr>
          <w:lang w:val="fr-FR" w:eastAsia="en-US"/>
        </w:rPr>
        <w:t xml:space="preserve"> (en ml/m</w:t>
      </w:r>
      <w:r w:rsidRPr="00CA3533">
        <w:rPr>
          <w:vertAlign w:val="superscript"/>
          <w:lang w:val="fr-FR" w:eastAsia="en-US"/>
        </w:rPr>
        <w:t>3</w:t>
      </w:r>
      <w:r w:rsidRPr="00CA3533">
        <w:rPr>
          <w:lang w:val="fr-FR" w:eastAsia="en-US"/>
        </w:rPr>
        <w:t>) ».</w:t>
      </w:r>
    </w:p>
    <w:p w14:paraId="63EDFB59" w14:textId="77777777" w:rsidR="00CA3533" w:rsidRPr="00CA3533" w:rsidRDefault="00CA3533" w:rsidP="00CA3533">
      <w:pPr>
        <w:numPr>
          <w:ilvl w:val="0"/>
          <w:numId w:val="1"/>
        </w:numPr>
        <w:tabs>
          <w:tab w:val="clear" w:pos="1701"/>
          <w:tab w:val="num" w:pos="2438"/>
        </w:tabs>
        <w:kinsoku/>
        <w:overflowPunct/>
        <w:autoSpaceDE/>
        <w:autoSpaceDN/>
        <w:adjustRightInd/>
        <w:snapToGrid/>
        <w:spacing w:after="120"/>
        <w:ind w:left="2438" w:right="1134"/>
        <w:jc w:val="both"/>
        <w:rPr>
          <w:lang w:val="fr-FR" w:eastAsia="en-US"/>
        </w:rPr>
      </w:pPr>
      <w:r w:rsidRPr="00CA3533">
        <w:rPr>
          <w:lang w:val="fr-FR" w:eastAsia="en-US"/>
        </w:rPr>
        <w:t>Pour les quatre rubriques du No ONU 1012, modifier le texte figurant dans la colonne « Nom et description » pour lire, respectivement :</w:t>
      </w:r>
    </w:p>
    <w:tbl>
      <w:tblPr>
        <w:tblStyle w:val="TableGrid21"/>
        <w:tblW w:w="0" w:type="auto"/>
        <w:tblInd w:w="2263" w:type="dxa"/>
        <w:tblLook w:val="04A0" w:firstRow="1" w:lastRow="0" w:firstColumn="1" w:lastColumn="0" w:noHBand="0" w:noVBand="1"/>
      </w:tblPr>
      <w:tblGrid>
        <w:gridCol w:w="6237"/>
      </w:tblGrid>
      <w:tr w:rsidR="00CA3533" w:rsidRPr="00CA3533" w14:paraId="4621B2A9" w14:textId="77777777" w:rsidTr="00D56820">
        <w:tc>
          <w:tcPr>
            <w:tcW w:w="6237" w:type="dxa"/>
          </w:tcPr>
          <w:p w14:paraId="3BD06E3B" w14:textId="77777777" w:rsidR="00CA3533" w:rsidRPr="00CA3533" w:rsidRDefault="00CA3533" w:rsidP="00CA3533">
            <w:pPr>
              <w:spacing w:after="120"/>
              <w:ind w:right="1134"/>
              <w:jc w:val="both"/>
              <w:rPr>
                <w:rFonts w:eastAsia="SimSun"/>
              </w:rPr>
            </w:pPr>
            <w:r w:rsidRPr="00CA3533">
              <w:rPr>
                <w:rFonts w:eastAsia="SimSun"/>
              </w:rPr>
              <w:t>BUTYLÈNE (butylènes en mélange) ou</w:t>
            </w:r>
          </w:p>
        </w:tc>
      </w:tr>
      <w:tr w:rsidR="00CA3533" w:rsidRPr="00CA3533" w14:paraId="63C87037" w14:textId="77777777" w:rsidTr="00D56820">
        <w:tc>
          <w:tcPr>
            <w:tcW w:w="6237" w:type="dxa"/>
          </w:tcPr>
          <w:p w14:paraId="15CFE672" w14:textId="77777777" w:rsidR="00CA3533" w:rsidRPr="00CA3533" w:rsidRDefault="00CA3533" w:rsidP="00CA3533">
            <w:pPr>
              <w:spacing w:after="120"/>
              <w:ind w:right="1134"/>
              <w:jc w:val="both"/>
              <w:rPr>
                <w:rFonts w:eastAsia="SimSun"/>
              </w:rPr>
            </w:pPr>
            <w:r w:rsidRPr="00CA3533">
              <w:rPr>
                <w:rFonts w:eastAsia="SimSun"/>
              </w:rPr>
              <w:t>BUTYLÈNE (1-butylène) ou</w:t>
            </w:r>
          </w:p>
        </w:tc>
      </w:tr>
      <w:tr w:rsidR="00CA3533" w:rsidRPr="00CA3533" w14:paraId="775AE8EE" w14:textId="77777777" w:rsidTr="00D56820">
        <w:tc>
          <w:tcPr>
            <w:tcW w:w="6237" w:type="dxa"/>
          </w:tcPr>
          <w:p w14:paraId="1B85CECA" w14:textId="77777777" w:rsidR="00CA3533" w:rsidRPr="00CA3533" w:rsidRDefault="00CA3533" w:rsidP="00CA3533">
            <w:pPr>
              <w:spacing w:after="120"/>
              <w:ind w:right="1134"/>
              <w:jc w:val="both"/>
              <w:rPr>
                <w:rFonts w:eastAsia="SimSun"/>
              </w:rPr>
            </w:pPr>
            <w:r w:rsidRPr="00CA3533">
              <w:rPr>
                <w:rFonts w:eastAsia="SimSun"/>
              </w:rPr>
              <w:t>BUTYLÈNE (cis-2-butylène) ou</w:t>
            </w:r>
          </w:p>
        </w:tc>
      </w:tr>
      <w:tr w:rsidR="00CA3533" w:rsidRPr="00CA3533" w14:paraId="20B555B6" w14:textId="77777777" w:rsidTr="00D56820">
        <w:tc>
          <w:tcPr>
            <w:tcW w:w="6237" w:type="dxa"/>
          </w:tcPr>
          <w:p w14:paraId="75A6F296" w14:textId="77777777" w:rsidR="00CA3533" w:rsidRPr="00CA3533" w:rsidRDefault="00CA3533" w:rsidP="00CA3533">
            <w:pPr>
              <w:spacing w:after="120"/>
              <w:ind w:right="1134"/>
              <w:jc w:val="both"/>
              <w:rPr>
                <w:rFonts w:eastAsia="SimSun"/>
              </w:rPr>
            </w:pPr>
            <w:r w:rsidRPr="00CA3533">
              <w:rPr>
                <w:rFonts w:eastAsia="SimSun"/>
              </w:rPr>
              <w:t>BUTYLÈNE (trans-2-butylène)</w:t>
            </w:r>
          </w:p>
        </w:tc>
      </w:tr>
    </w:tbl>
    <w:p w14:paraId="67A5EC46" w14:textId="77777777" w:rsidR="00CA3533" w:rsidRPr="00CA3533" w:rsidRDefault="00CA3533" w:rsidP="00CA3533">
      <w:pPr>
        <w:numPr>
          <w:ilvl w:val="0"/>
          <w:numId w:val="1"/>
        </w:numPr>
        <w:tabs>
          <w:tab w:val="clear" w:pos="1701"/>
          <w:tab w:val="num" w:pos="2438"/>
        </w:tabs>
        <w:kinsoku/>
        <w:overflowPunct/>
        <w:autoSpaceDE/>
        <w:autoSpaceDN/>
        <w:adjustRightInd/>
        <w:snapToGrid/>
        <w:spacing w:before="120" w:after="120"/>
        <w:ind w:left="2438" w:right="1134"/>
        <w:jc w:val="both"/>
        <w:rPr>
          <w:lang w:val="fr-FR" w:eastAsia="en-US"/>
        </w:rPr>
      </w:pPr>
      <w:r w:rsidRPr="00CA3533">
        <w:rPr>
          <w:lang w:val="fr-FR" w:eastAsia="en-US"/>
        </w:rPr>
        <w:t>Pour le No ONU 2196, remplacer « 160 » par « 218 » dans la colonne « CL</w:t>
      </w:r>
      <w:r w:rsidRPr="00CA3533">
        <w:rPr>
          <w:vertAlign w:val="subscript"/>
          <w:lang w:val="fr-FR" w:eastAsia="en-US"/>
        </w:rPr>
        <w:t>50</w:t>
      </w:r>
      <w:r w:rsidRPr="00CA3533">
        <w:rPr>
          <w:lang w:val="fr-FR" w:eastAsia="en-US"/>
        </w:rPr>
        <w:t xml:space="preserve"> (en ml/m</w:t>
      </w:r>
      <w:r w:rsidRPr="00CA3533">
        <w:rPr>
          <w:vertAlign w:val="superscript"/>
          <w:lang w:val="fr-FR" w:eastAsia="en-US"/>
        </w:rPr>
        <w:t>3</w:t>
      </w:r>
      <w:r w:rsidRPr="00CA3533">
        <w:rPr>
          <w:lang w:val="fr-FR" w:eastAsia="en-US"/>
        </w:rPr>
        <w:t>) ». Ajouter « X » dans les colonnes « Tubes » et « Fûts à pression ». Supprimer « , k » dans la colonne « Dispositions spéciales d’emballage ».</w:t>
      </w:r>
    </w:p>
    <w:p w14:paraId="63662C5E" w14:textId="77777777" w:rsidR="00CA3533" w:rsidRPr="00CA3533" w:rsidRDefault="00CA3533" w:rsidP="00CA3533">
      <w:pPr>
        <w:numPr>
          <w:ilvl w:val="0"/>
          <w:numId w:val="1"/>
        </w:numPr>
        <w:tabs>
          <w:tab w:val="clear" w:pos="1701"/>
          <w:tab w:val="num" w:pos="2438"/>
        </w:tabs>
        <w:kinsoku/>
        <w:overflowPunct/>
        <w:autoSpaceDE/>
        <w:autoSpaceDN/>
        <w:adjustRightInd/>
        <w:snapToGrid/>
        <w:spacing w:after="120"/>
        <w:ind w:left="2438" w:right="1134"/>
        <w:jc w:val="both"/>
        <w:rPr>
          <w:lang w:val="fr-FR" w:eastAsia="en-US"/>
        </w:rPr>
      </w:pPr>
      <w:r w:rsidRPr="00CA3533">
        <w:rPr>
          <w:lang w:val="fr-FR" w:eastAsia="en-US"/>
        </w:rPr>
        <w:t>Pour le No ONU 2198, remplacer « 190 » par « 261 » dans la colonne « CL</w:t>
      </w:r>
      <w:r w:rsidRPr="00CA3533">
        <w:rPr>
          <w:vertAlign w:val="subscript"/>
          <w:lang w:val="fr-FR" w:eastAsia="en-US"/>
        </w:rPr>
        <w:t>50</w:t>
      </w:r>
      <w:r w:rsidRPr="00CA3533">
        <w:rPr>
          <w:lang w:val="fr-FR" w:eastAsia="en-US"/>
        </w:rPr>
        <w:t xml:space="preserve"> (en ml/m</w:t>
      </w:r>
      <w:r w:rsidRPr="00CA3533">
        <w:rPr>
          <w:vertAlign w:val="superscript"/>
          <w:lang w:val="fr-FR" w:eastAsia="en-US"/>
        </w:rPr>
        <w:t>3</w:t>
      </w:r>
      <w:r w:rsidRPr="00CA3533">
        <w:rPr>
          <w:lang w:val="fr-FR" w:eastAsia="en-US"/>
        </w:rPr>
        <w:t>) ». Ajouter « X » dans les colonnes « Tubes » et « Fûts à pression ». Supprimer « k » (deux fois) dans la colonne « Dispositions spéciales d’emballage ».</w:t>
      </w:r>
    </w:p>
    <w:p w14:paraId="61C1046A" w14:textId="77777777" w:rsidR="00CA3533" w:rsidRPr="00CA3533" w:rsidRDefault="00CA3533" w:rsidP="00CA3533">
      <w:pPr>
        <w:spacing w:before="120" w:after="120"/>
        <w:ind w:left="2268" w:right="1134" w:hanging="1134"/>
        <w:jc w:val="both"/>
        <w:rPr>
          <w:iCs/>
          <w:lang w:val="fr-FR"/>
        </w:rPr>
      </w:pPr>
      <w:r w:rsidRPr="00CA3533">
        <w:rPr>
          <w:iCs/>
          <w:lang w:val="fr-FR"/>
        </w:rPr>
        <w:tab/>
        <w:t>Dans le tableau 3, pour le No ONU 1052, dans la colonne « CL</w:t>
      </w:r>
      <w:r w:rsidRPr="00CA3533">
        <w:rPr>
          <w:iCs/>
          <w:vertAlign w:val="subscript"/>
          <w:lang w:val="fr-FR"/>
        </w:rPr>
        <w:t>50</w:t>
      </w:r>
      <w:r w:rsidRPr="00CA3533">
        <w:rPr>
          <w:iCs/>
          <w:lang w:val="fr-FR"/>
        </w:rPr>
        <w:t xml:space="preserve"> (en ml/m</w:t>
      </w:r>
      <w:r w:rsidRPr="00CA3533">
        <w:rPr>
          <w:iCs/>
          <w:vertAlign w:val="superscript"/>
          <w:lang w:val="fr-FR"/>
        </w:rPr>
        <w:t>3</w:t>
      </w:r>
      <w:r w:rsidRPr="00CA3533">
        <w:rPr>
          <w:iCs/>
          <w:lang w:val="fr-FR"/>
        </w:rPr>
        <w:t>) », remplacer « 966 » par « 1307 ».</w:t>
      </w:r>
    </w:p>
    <w:p w14:paraId="74F577DF" w14:textId="771F4F3B"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 xml:space="preserve">4.1.4.1, P205 </w:t>
      </w:r>
      <w:r w:rsidR="007107F3">
        <w:rPr>
          <w:lang w:val="fr-FR" w:eastAsia="en-US"/>
        </w:rPr>
        <w:tab/>
        <w:t xml:space="preserve">Au points </w:t>
      </w:r>
      <w:r w:rsidRPr="00CA3533">
        <w:rPr>
          <w:lang w:val="fr-FR" w:eastAsia="en-US"/>
        </w:rPr>
        <w:t>5), 6) et 7)</w:t>
      </w:r>
      <w:r w:rsidR="007107F3">
        <w:rPr>
          <w:lang w:val="fr-FR" w:eastAsia="en-US"/>
        </w:rPr>
        <w:t>, r</w:t>
      </w:r>
      <w:r w:rsidRPr="00CA3533">
        <w:rPr>
          <w:lang w:val="fr-FR" w:eastAsia="en-US"/>
        </w:rPr>
        <w:t>emplacer « ISO 16111:2008 » par « ISO 16111:2008 ou ISO 16111:2018 ».</w:t>
      </w:r>
    </w:p>
    <w:p w14:paraId="0804A1A6" w14:textId="1A89D20A" w:rsidR="00CA3533" w:rsidRPr="00CA3533" w:rsidRDefault="007107F3" w:rsidP="00CA3533">
      <w:pPr>
        <w:tabs>
          <w:tab w:val="left" w:pos="2268"/>
        </w:tabs>
        <w:kinsoku/>
        <w:overflowPunct/>
        <w:autoSpaceDE/>
        <w:autoSpaceDN/>
        <w:adjustRightInd/>
        <w:snapToGrid/>
        <w:spacing w:after="120"/>
        <w:ind w:left="2268" w:right="1134" w:hanging="1134"/>
        <w:jc w:val="both"/>
        <w:rPr>
          <w:lang w:val="fr-FR" w:eastAsia="en-US"/>
        </w:rPr>
      </w:pPr>
      <w:r>
        <w:rPr>
          <w:lang w:val="fr-FR" w:eastAsia="en-US"/>
        </w:rPr>
        <w:tab/>
      </w:r>
      <w:r>
        <w:rPr>
          <w:lang w:val="fr-FR" w:eastAsia="en-US"/>
        </w:rPr>
        <w:tab/>
        <w:t xml:space="preserve">Au point </w:t>
      </w:r>
      <w:r w:rsidR="00CA3533" w:rsidRPr="00CA3533">
        <w:rPr>
          <w:lang w:val="fr-FR" w:eastAsia="en-US"/>
        </w:rPr>
        <w:t>7)</w:t>
      </w:r>
      <w:r>
        <w:rPr>
          <w:lang w:val="fr-FR" w:eastAsia="en-US"/>
        </w:rPr>
        <w:t xml:space="preserve">, à </w:t>
      </w:r>
      <w:r w:rsidR="00CA3533" w:rsidRPr="00CA3533">
        <w:rPr>
          <w:lang w:val="fr-FR" w:eastAsia="en-US"/>
        </w:rPr>
        <w:t>la fin, ajouter la nouvelle phrase suivante : « Voir 6.2.2.4 pour déterminer quelle norme est applicable au moment des contrôles et épreuves périodiques. ».</w:t>
      </w:r>
    </w:p>
    <w:p w14:paraId="34BA05B1" w14:textId="406EF9CE"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 xml:space="preserve">4.1.4.1, P208 </w:t>
      </w:r>
      <w:r w:rsidR="00330793">
        <w:rPr>
          <w:lang w:val="fr-FR" w:eastAsia="en-US"/>
        </w:rPr>
        <w:tab/>
      </w:r>
      <w:r w:rsidR="00F71DE5">
        <w:rPr>
          <w:lang w:val="fr-FR" w:eastAsia="en-US"/>
        </w:rPr>
        <w:t xml:space="preserve">Au point </w:t>
      </w:r>
      <w:r w:rsidRPr="00CA3533">
        <w:rPr>
          <w:lang w:val="fr-FR" w:eastAsia="en-US"/>
        </w:rPr>
        <w:t>1)</w:t>
      </w:r>
      <w:r w:rsidR="00F71DE5">
        <w:rPr>
          <w:lang w:val="fr-FR" w:eastAsia="en-US"/>
        </w:rPr>
        <w:t>, r</w:t>
      </w:r>
      <w:r w:rsidRPr="00CA3533">
        <w:rPr>
          <w:lang w:val="fr-FR" w:eastAsia="en-US"/>
        </w:rPr>
        <w:t xml:space="preserve">emplacer « ISO </w:t>
      </w:r>
      <w:r w:rsidRPr="00CA3533">
        <w:rPr>
          <w:lang w:val="fr-FR"/>
        </w:rPr>
        <w:t>11513:2011 ou ISO 9809-1:2010</w:t>
      </w:r>
      <w:r w:rsidRPr="00CA3533">
        <w:rPr>
          <w:lang w:val="fr-FR" w:eastAsia="en-US"/>
        </w:rPr>
        <w:t> » par « </w:t>
      </w:r>
      <w:r w:rsidRPr="00CA3533">
        <w:rPr>
          <w:lang w:val="fr-FR"/>
        </w:rPr>
        <w:t>ISO 11513:2011, ISO 11513:2019, ISO 9809-1:2010 ou ISO 9809-1:2019</w:t>
      </w:r>
      <w:r w:rsidRPr="00CA3533">
        <w:rPr>
          <w:lang w:val="fr-FR" w:eastAsia="en-US"/>
        </w:rPr>
        <w:t> ».</w:t>
      </w:r>
    </w:p>
    <w:p w14:paraId="5F792D77" w14:textId="2298CACC" w:rsidR="00CA3533" w:rsidRPr="00CA3533" w:rsidRDefault="00F71DE5" w:rsidP="00CA3533">
      <w:pPr>
        <w:tabs>
          <w:tab w:val="left" w:pos="2268"/>
        </w:tabs>
        <w:kinsoku/>
        <w:overflowPunct/>
        <w:autoSpaceDE/>
        <w:autoSpaceDN/>
        <w:adjustRightInd/>
        <w:snapToGrid/>
        <w:spacing w:after="120"/>
        <w:ind w:left="2268" w:right="1134" w:hanging="1134"/>
        <w:jc w:val="both"/>
        <w:rPr>
          <w:lang w:val="fr-FR" w:eastAsia="en-US"/>
        </w:rPr>
      </w:pPr>
      <w:r>
        <w:rPr>
          <w:lang w:val="fr-FR" w:eastAsia="en-US"/>
        </w:rPr>
        <w:tab/>
        <w:t xml:space="preserve">Au point </w:t>
      </w:r>
      <w:r w:rsidR="00CA3533" w:rsidRPr="00CA3533">
        <w:rPr>
          <w:lang w:val="fr-FR" w:eastAsia="en-US"/>
        </w:rPr>
        <w:t>11)</w:t>
      </w:r>
      <w:r>
        <w:rPr>
          <w:lang w:val="fr-FR" w:eastAsia="en-US"/>
        </w:rPr>
        <w:t>, r</w:t>
      </w:r>
      <w:r w:rsidR="00CA3533" w:rsidRPr="00CA3533">
        <w:rPr>
          <w:lang w:val="fr-FR" w:eastAsia="en-US"/>
        </w:rPr>
        <w:t>emplacer « à l’annexe A de la norme ISO 11513:2011 » par « à l’annexe A de la norme ISO 11513:2011 (applicable jusqu’au 31 décembre 2024) ou à l’annexe A de la norme ISO 11513:2019 ».</w:t>
      </w:r>
    </w:p>
    <w:p w14:paraId="46D22A16" w14:textId="77777777" w:rsidR="00CA3533" w:rsidRPr="00CA3533" w:rsidRDefault="00CA3533" w:rsidP="00CA3533">
      <w:pPr>
        <w:spacing w:after="120"/>
        <w:ind w:left="1134" w:right="1134"/>
        <w:jc w:val="both"/>
        <w:rPr>
          <w:lang w:val="fr-FR" w:eastAsia="en-US"/>
        </w:rPr>
      </w:pPr>
      <w:r w:rsidRPr="00CA3533">
        <w:rPr>
          <w:lang w:val="fr-FR" w:eastAsia="en-US"/>
        </w:rPr>
        <w:t>4.1.4.1, P408 2)</w:t>
      </w:r>
      <w:r w:rsidRPr="00CA3533">
        <w:rPr>
          <w:lang w:val="fr-FR" w:eastAsia="en-US"/>
        </w:rPr>
        <w:tab/>
        <w:t>À la fin, ajouter un nouveau Nota, libellé comme suit :</w:t>
      </w:r>
    </w:p>
    <w:p w14:paraId="07A57180" w14:textId="4AE349BB" w:rsidR="00CA3533" w:rsidRPr="00CA3533" w:rsidRDefault="00CA3533" w:rsidP="00F869E0">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w:t>
      </w:r>
      <w:r w:rsidR="00F869E0">
        <w:rPr>
          <w:rFonts w:eastAsiaTheme="minorHAnsi"/>
          <w:i/>
          <w:iCs/>
          <w:lang w:val="fr-FR" w:eastAsia="en-US"/>
        </w:rPr>
        <w:tab/>
      </w:r>
      <w:r w:rsidRPr="00CA3533">
        <w:rPr>
          <w:rFonts w:eastAsiaTheme="minorHAnsi"/>
          <w:i/>
          <w:iCs/>
          <w:lang w:val="fr-FR" w:eastAsia="en-US"/>
        </w:rPr>
        <w:t>La masse nette des emballages autorisés peut dépasser 400 kg (voir 4.1.3.3).</w:t>
      </w:r>
      <w:r w:rsidRPr="00CA3533">
        <w:rPr>
          <w:rFonts w:eastAsiaTheme="minorHAnsi"/>
          <w:lang w:val="fr-FR" w:eastAsia="en-US"/>
        </w:rPr>
        <w:t> »</w:t>
      </w:r>
    </w:p>
    <w:p w14:paraId="70FFF75D"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4.1.4.1, P621 1)</w:t>
      </w:r>
      <w:r w:rsidRPr="00CA3533">
        <w:rPr>
          <w:lang w:val="fr-FR" w:eastAsia="en-US"/>
        </w:rPr>
        <w:tab/>
        <w:t>Après « Fûts », modifier le texte entre parenthèses pour lire « (1A1, 1A2, 1B1, 1B2, 1N1, 1N2, 1H1, 1H2, 1D, 1G) ». Après « Bidons (jerricanes) », modifier le texte entre parenthèses pour lire « (3A1, 3A2, 3B1, 3B2, 3H1, 3H2) ».</w:t>
      </w:r>
    </w:p>
    <w:p w14:paraId="26C1B002" w14:textId="77777777" w:rsidR="00CA3533" w:rsidRPr="00CA3533" w:rsidRDefault="00CA3533" w:rsidP="00CA3533">
      <w:pPr>
        <w:spacing w:after="120"/>
        <w:ind w:left="1134" w:right="1134"/>
        <w:jc w:val="both"/>
        <w:rPr>
          <w:lang w:val="fr-FR" w:eastAsia="en-US"/>
        </w:rPr>
      </w:pPr>
      <w:r w:rsidRPr="00CA3533">
        <w:rPr>
          <w:lang w:val="fr-FR" w:eastAsia="en-US"/>
        </w:rPr>
        <w:t>4.1.4.1, P801</w:t>
      </w:r>
      <w:r w:rsidRPr="00CA3533">
        <w:rPr>
          <w:lang w:val="fr-FR" w:eastAsia="en-US"/>
        </w:rPr>
        <w:tab/>
        <w:t>Après 2), ajouter un nouveau Nota, libellé comme suit :</w:t>
      </w:r>
    </w:p>
    <w:p w14:paraId="6F8A1510" w14:textId="4E9904BE" w:rsidR="00CA3533" w:rsidRPr="00CA3533" w:rsidRDefault="00CA3533" w:rsidP="002C6917">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w:t>
      </w:r>
      <w:r w:rsidR="002C6917">
        <w:rPr>
          <w:rFonts w:eastAsiaTheme="minorHAnsi"/>
          <w:i/>
          <w:iCs/>
          <w:lang w:val="fr-FR" w:eastAsia="en-US"/>
        </w:rPr>
        <w:tab/>
      </w:r>
      <w:r w:rsidRPr="00CA3533">
        <w:rPr>
          <w:rFonts w:eastAsiaTheme="minorHAnsi"/>
          <w:i/>
          <w:iCs/>
          <w:lang w:val="fr-FR" w:eastAsia="en-US"/>
        </w:rPr>
        <w:t>La masse nette des emballages autorisés aux paragraphes 1) et 2) peut dépasser 400 kg (voir 4.1.3.3).</w:t>
      </w:r>
      <w:r w:rsidRPr="00CA3533">
        <w:rPr>
          <w:rFonts w:eastAsiaTheme="minorHAnsi"/>
          <w:lang w:val="fr-FR" w:eastAsia="en-US"/>
        </w:rPr>
        <w:t> »</w:t>
      </w:r>
    </w:p>
    <w:p w14:paraId="1F570CF0" w14:textId="3268D060" w:rsidR="00CA3533" w:rsidRPr="00CA3533" w:rsidRDefault="00CA3533" w:rsidP="00CA3533">
      <w:pPr>
        <w:spacing w:before="120" w:after="120"/>
        <w:ind w:left="2268" w:right="1134" w:hanging="1134"/>
        <w:jc w:val="both"/>
        <w:rPr>
          <w:iCs/>
          <w:lang w:val="fr-FR"/>
        </w:rPr>
      </w:pPr>
      <w:r w:rsidRPr="00CA3533">
        <w:rPr>
          <w:iCs/>
          <w:lang w:val="fr-FR"/>
        </w:rPr>
        <w:t xml:space="preserve">4.1.4.1, P903 </w:t>
      </w:r>
      <w:r w:rsidR="005B7B20">
        <w:rPr>
          <w:iCs/>
          <w:lang w:val="fr-FR"/>
        </w:rPr>
        <w:tab/>
        <w:t xml:space="preserve">Au point </w:t>
      </w:r>
      <w:r w:rsidRPr="00CA3533">
        <w:rPr>
          <w:iCs/>
          <w:lang w:val="fr-FR"/>
        </w:rPr>
        <w:t>2)</w:t>
      </w:r>
      <w:r w:rsidR="005B7B20">
        <w:rPr>
          <w:iCs/>
          <w:lang w:val="fr-FR"/>
        </w:rPr>
        <w:t xml:space="preserve">, </w:t>
      </w:r>
      <w:r w:rsidR="00E92465">
        <w:rPr>
          <w:iCs/>
          <w:lang w:val="fr-FR"/>
        </w:rPr>
        <w:t xml:space="preserve">dans la première phrase, </w:t>
      </w:r>
      <w:r w:rsidR="005B7B20">
        <w:rPr>
          <w:iCs/>
          <w:lang w:val="fr-FR"/>
        </w:rPr>
        <w:t>r</w:t>
      </w:r>
      <w:r w:rsidRPr="00CA3533">
        <w:rPr>
          <w:iCs/>
          <w:lang w:val="fr-FR"/>
        </w:rPr>
        <w:t>emplacer « pour les piles ou les batteries » par « pour une pile ou une batterie » et supprimer « , ainsi que pour les assemblages de telles piles ou batteries ».</w:t>
      </w:r>
    </w:p>
    <w:p w14:paraId="69980C0E" w14:textId="4EBAAB6B" w:rsidR="00CA3533" w:rsidRPr="00CA3533" w:rsidRDefault="005B7B20" w:rsidP="00CA3533">
      <w:pPr>
        <w:spacing w:before="120" w:after="120"/>
        <w:ind w:left="2268" w:right="1134" w:hanging="1134"/>
        <w:jc w:val="both"/>
        <w:rPr>
          <w:iCs/>
          <w:lang w:val="fr-FR"/>
        </w:rPr>
      </w:pPr>
      <w:r>
        <w:rPr>
          <w:iCs/>
          <w:lang w:val="fr-FR"/>
        </w:rPr>
        <w:tab/>
        <w:t xml:space="preserve">Aux points </w:t>
      </w:r>
      <w:r w:rsidR="00CA3533" w:rsidRPr="00CA3533">
        <w:rPr>
          <w:iCs/>
          <w:lang w:val="fr-FR"/>
        </w:rPr>
        <w:t>4) et 5)</w:t>
      </w:r>
      <w:r>
        <w:rPr>
          <w:iCs/>
          <w:lang w:val="fr-FR"/>
        </w:rPr>
        <w:t>, d</w:t>
      </w:r>
      <w:r w:rsidR="00CA3533" w:rsidRPr="00CA3533">
        <w:rPr>
          <w:iCs/>
          <w:lang w:val="fr-FR"/>
        </w:rPr>
        <w:t>ans la dernière phrase avant le Nota, transférer le membre de phrase « </w:t>
      </w:r>
      <w:r w:rsidR="00CA3533" w:rsidRPr="00CA3533">
        <w:rPr>
          <w:lang w:val="fr-FR"/>
        </w:rPr>
        <w:t xml:space="preserve">lorsqu'ils sont intentionnellement actifs » au début de la phrase </w:t>
      </w:r>
      <w:r w:rsidR="00CA3533" w:rsidRPr="00CA3533">
        <w:rPr>
          <w:lang w:val="fr-FR"/>
        </w:rPr>
        <w:lastRenderedPageBreak/>
        <w:t>pour lire « Lorsqu'ils sont intentionnellement actifs,</w:t>
      </w:r>
      <w:r w:rsidR="00CA3533" w:rsidRPr="00CA3533">
        <w:rPr>
          <w:iCs/>
          <w:lang w:val="fr-FR"/>
        </w:rPr>
        <w:t xml:space="preserve"> </w:t>
      </w:r>
      <w:r w:rsidR="00CA3533" w:rsidRPr="00CA3533">
        <w:rPr>
          <w:lang w:val="fr-FR"/>
        </w:rPr>
        <w:t>les dispositifs tels qu’étiquettes d’identification par radiofréquence, montres et enregistreurs de température, qui ne sont pas susceptibles de générer un dégagement dangereux de chaleur peuvent être transportés dans des emballages extérieurs robustes. ».</w:t>
      </w:r>
    </w:p>
    <w:p w14:paraId="0913701F" w14:textId="52733157" w:rsidR="00CA3533" w:rsidRPr="00CA3533" w:rsidRDefault="00CA3533" w:rsidP="00CA3533">
      <w:pPr>
        <w:tabs>
          <w:tab w:val="left" w:pos="2268"/>
        </w:tabs>
        <w:spacing w:after="120"/>
        <w:ind w:left="2268" w:right="1134" w:hanging="1134"/>
        <w:jc w:val="both"/>
        <w:rPr>
          <w:rFonts w:eastAsiaTheme="minorHAnsi"/>
          <w:lang w:val="fr-FR" w:eastAsia="en-US"/>
        </w:rPr>
      </w:pPr>
      <w:r w:rsidRPr="00CA3533">
        <w:rPr>
          <w:rFonts w:eastAsiaTheme="minorHAnsi"/>
          <w:lang w:val="fr-FR" w:eastAsia="en-US"/>
        </w:rPr>
        <w:tab/>
        <w:t xml:space="preserve">À la fin, après 5), ajouter un nouveau Nota </w:t>
      </w:r>
      <w:r w:rsidR="006D570F">
        <w:rPr>
          <w:rFonts w:eastAsiaTheme="minorHAnsi"/>
          <w:lang w:val="fr-FR" w:eastAsia="en-US"/>
        </w:rPr>
        <w:t>(aligné à gauche)</w:t>
      </w:r>
      <w:r w:rsidRPr="00CA3533">
        <w:rPr>
          <w:rFonts w:eastAsiaTheme="minorHAnsi"/>
          <w:lang w:val="fr-FR" w:eastAsia="en-US"/>
        </w:rPr>
        <w:t>, libellé comme suit :</w:t>
      </w:r>
    </w:p>
    <w:p w14:paraId="49C1127A" w14:textId="0550946F" w:rsidR="00CA3533" w:rsidRPr="00CA3533" w:rsidRDefault="00CA3533" w:rsidP="003570EB">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w:t>
      </w:r>
      <w:r w:rsidR="003570EB">
        <w:rPr>
          <w:rFonts w:eastAsiaTheme="minorHAnsi"/>
          <w:i/>
          <w:iCs/>
          <w:lang w:val="fr-FR" w:eastAsia="en-US"/>
        </w:rPr>
        <w:tab/>
      </w:r>
      <w:r w:rsidRPr="00CA3533">
        <w:rPr>
          <w:rFonts w:eastAsiaTheme="minorHAnsi"/>
          <w:i/>
          <w:iCs/>
          <w:lang w:val="fr-FR" w:eastAsia="en-US"/>
        </w:rPr>
        <w:t>La masse nette des emballages autorisés aux paragraphes 2), 4) et 5) peut dépasser 400 kg (voir 4.1.3.3).</w:t>
      </w:r>
      <w:r w:rsidRPr="00CA3533">
        <w:rPr>
          <w:rFonts w:eastAsiaTheme="minorHAnsi"/>
          <w:lang w:val="fr-FR" w:eastAsia="en-US"/>
        </w:rPr>
        <w:t> »</w:t>
      </w:r>
    </w:p>
    <w:p w14:paraId="0EEEBB86" w14:textId="79E04655" w:rsidR="00CA3533" w:rsidRPr="00CA3533" w:rsidRDefault="00CA3533" w:rsidP="00CA3533">
      <w:pPr>
        <w:spacing w:after="120"/>
        <w:ind w:left="2268" w:right="1134" w:hanging="1134"/>
        <w:jc w:val="both"/>
        <w:rPr>
          <w:lang w:val="fr-FR" w:eastAsia="en-US"/>
        </w:rPr>
      </w:pPr>
      <w:r w:rsidRPr="00CA3533">
        <w:rPr>
          <w:lang w:val="fr-FR" w:eastAsia="en-US"/>
        </w:rPr>
        <w:t>4.1.4.1, P905</w:t>
      </w:r>
      <w:r w:rsidRPr="00CA3533">
        <w:rPr>
          <w:lang w:val="fr-FR" w:eastAsia="en-US"/>
        </w:rPr>
        <w:tab/>
      </w:r>
      <w:r w:rsidRPr="00CA3533">
        <w:rPr>
          <w:lang w:val="fr-FR"/>
        </w:rPr>
        <w:t xml:space="preserve">Dans la deuxième ligne sous la ligne de titre, après </w:t>
      </w:r>
      <w:r w:rsidR="00B17359">
        <w:rPr>
          <w:lang w:val="fr-FR"/>
        </w:rPr>
        <w:t xml:space="preserve">le </w:t>
      </w:r>
      <w:r w:rsidR="00C56560">
        <w:rPr>
          <w:lang w:val="fr-FR"/>
        </w:rPr>
        <w:t>premier paragraphe</w:t>
      </w:r>
      <w:r w:rsidRPr="00CA3533">
        <w:rPr>
          <w:lang w:val="fr-FR" w:eastAsia="en-US"/>
        </w:rPr>
        <w:t>, ajouter un nouveau Nota, libellé comme suit :</w:t>
      </w:r>
    </w:p>
    <w:p w14:paraId="779CB80D" w14:textId="07F4C2CF" w:rsidR="00CA3533" w:rsidRPr="00CA3533" w:rsidRDefault="00CA3533" w:rsidP="005E4561">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w:t>
      </w:r>
      <w:r w:rsidR="005E4561">
        <w:rPr>
          <w:rFonts w:eastAsiaTheme="minorHAnsi"/>
          <w:i/>
          <w:iCs/>
          <w:lang w:val="fr-FR" w:eastAsia="en-US"/>
        </w:rPr>
        <w:tab/>
      </w:r>
      <w:r w:rsidRPr="00CA3533">
        <w:rPr>
          <w:rFonts w:eastAsiaTheme="minorHAnsi"/>
          <w:i/>
          <w:iCs/>
          <w:lang w:val="fr-FR" w:eastAsia="en-US"/>
        </w:rPr>
        <w:t>La masse nette des emballages autorisés peut dépasser 400 kg (voir 4.1.3.3).</w:t>
      </w:r>
      <w:r w:rsidRPr="00CA3533">
        <w:rPr>
          <w:rFonts w:eastAsiaTheme="minorHAnsi"/>
          <w:lang w:val="fr-FR" w:eastAsia="en-US"/>
        </w:rPr>
        <w:t> »</w:t>
      </w:r>
    </w:p>
    <w:p w14:paraId="38D347F8" w14:textId="77777777" w:rsidR="00263992" w:rsidRDefault="00CA3533" w:rsidP="00CA3533">
      <w:pPr>
        <w:spacing w:after="120"/>
        <w:ind w:left="1134" w:right="1134"/>
        <w:jc w:val="both"/>
        <w:rPr>
          <w:lang w:val="fr-FR" w:eastAsia="en-US"/>
        </w:rPr>
      </w:pPr>
      <w:r w:rsidRPr="00CA3533">
        <w:rPr>
          <w:lang w:val="fr-FR" w:eastAsia="en-US"/>
        </w:rPr>
        <w:t>4.1.4.1, P906 2)</w:t>
      </w:r>
    </w:p>
    <w:p w14:paraId="524DC9A7" w14:textId="4290693E" w:rsidR="00CA3533" w:rsidRPr="00CA3533" w:rsidRDefault="00263992" w:rsidP="00263992">
      <w:pPr>
        <w:tabs>
          <w:tab w:val="left" w:pos="2268"/>
        </w:tabs>
        <w:spacing w:after="120"/>
        <w:ind w:left="1134" w:right="1134"/>
        <w:jc w:val="both"/>
        <w:rPr>
          <w:lang w:val="fr-FR" w:eastAsia="en-US"/>
        </w:rPr>
      </w:pPr>
      <w:r>
        <w:rPr>
          <w:lang w:val="fr-FR" w:eastAsia="en-US"/>
        </w:rPr>
        <w:tab/>
      </w:r>
      <w:r w:rsidR="00CA3533" w:rsidRPr="00CA3533">
        <w:rPr>
          <w:lang w:val="fr-FR" w:eastAsia="en-US"/>
        </w:rPr>
        <w:tab/>
        <w:t>Sous l’alinéa b), ajouter un nouveau Nota, libellé comme suit :</w:t>
      </w:r>
    </w:p>
    <w:p w14:paraId="0D3DDA1F" w14:textId="3977D4CD" w:rsidR="00CA3533" w:rsidRPr="00CA3533" w:rsidRDefault="00CA3533" w:rsidP="00CA3533">
      <w:pPr>
        <w:tabs>
          <w:tab w:val="left" w:pos="2268"/>
        </w:tabs>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La masse nette des emballages autorisés peut dépasser 400 kg (voir 4.1.3.3).</w:t>
      </w:r>
      <w:r w:rsidRPr="00CA3533">
        <w:rPr>
          <w:rFonts w:eastAsiaTheme="minorHAnsi"/>
          <w:lang w:val="fr-FR" w:eastAsia="en-US"/>
        </w:rPr>
        <w:t> »</w:t>
      </w:r>
    </w:p>
    <w:p w14:paraId="18E5918F" w14:textId="3BA22F92" w:rsidR="00CA3533" w:rsidRPr="00CA3533" w:rsidRDefault="00CA3533" w:rsidP="00CA3533">
      <w:pPr>
        <w:spacing w:after="120"/>
        <w:ind w:left="2268" w:right="1134"/>
        <w:jc w:val="both"/>
        <w:rPr>
          <w:lang w:val="fr-FR" w:eastAsia="en-US"/>
        </w:rPr>
      </w:pPr>
      <w:r w:rsidRPr="00CA3533">
        <w:rPr>
          <w:lang w:val="fr-FR" w:eastAsia="en-US"/>
        </w:rPr>
        <w:t>Sous le dernier paragraphe avant la disposition supplémentaire, ajouter un nouveau Nota, libellé comme suit :</w:t>
      </w:r>
    </w:p>
    <w:p w14:paraId="3A0DDA90" w14:textId="452B93EA" w:rsidR="00CA3533" w:rsidRPr="00CA3533" w:rsidRDefault="00CA3533" w:rsidP="00CA3533">
      <w:pPr>
        <w:tabs>
          <w:tab w:val="left" w:pos="2268"/>
        </w:tabs>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La masse nette des emballages autorisés peut dépasser 400 kg (voir 4.1.3.3).</w:t>
      </w:r>
      <w:r w:rsidRPr="00CA3533">
        <w:rPr>
          <w:rFonts w:eastAsiaTheme="minorHAnsi"/>
          <w:lang w:val="fr-FR" w:eastAsia="en-US"/>
        </w:rPr>
        <w:t> »</w:t>
      </w:r>
    </w:p>
    <w:p w14:paraId="4086A852" w14:textId="77777777" w:rsidR="00CA3533" w:rsidRPr="00CA3533" w:rsidRDefault="00CA3533" w:rsidP="00CA3533">
      <w:pPr>
        <w:spacing w:after="120"/>
        <w:ind w:left="1134" w:right="1134"/>
        <w:jc w:val="both"/>
        <w:rPr>
          <w:lang w:val="fr-FR" w:eastAsia="en-US"/>
        </w:rPr>
      </w:pPr>
      <w:r w:rsidRPr="00CA3533">
        <w:rPr>
          <w:lang w:val="fr-FR" w:eastAsia="en-US"/>
        </w:rPr>
        <w:t>4.1.4.1, P907</w:t>
      </w:r>
      <w:r w:rsidRPr="00CA3533">
        <w:rPr>
          <w:lang w:val="fr-FR" w:eastAsia="en-US"/>
        </w:rPr>
        <w:tab/>
      </w:r>
      <w:r w:rsidRPr="00CA3533">
        <w:rPr>
          <w:lang w:val="fr-FR"/>
        </w:rPr>
        <w:t>À la fin</w:t>
      </w:r>
      <w:r w:rsidRPr="00CA3533">
        <w:rPr>
          <w:lang w:val="fr-FR" w:eastAsia="en-US"/>
        </w:rPr>
        <w:t>, ajouter un nouveau Nota, libellé comme suit :</w:t>
      </w:r>
    </w:p>
    <w:p w14:paraId="08F41BBF" w14:textId="498E3038" w:rsidR="00CA3533" w:rsidRPr="00CA3533" w:rsidRDefault="00CA3533" w:rsidP="00DA4048">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w:t>
      </w:r>
      <w:r w:rsidR="00DA4048">
        <w:rPr>
          <w:rFonts w:eastAsiaTheme="minorHAnsi"/>
          <w:i/>
          <w:iCs/>
          <w:lang w:val="fr-FR" w:eastAsia="en-US"/>
        </w:rPr>
        <w:tab/>
      </w:r>
      <w:r w:rsidRPr="00CA3533">
        <w:rPr>
          <w:rFonts w:eastAsiaTheme="minorHAnsi"/>
          <w:i/>
          <w:iCs/>
          <w:lang w:val="fr-FR" w:eastAsia="en-US"/>
        </w:rPr>
        <w:t>La masse nette des emballages autorisés peut dépasser 400 kg (voir 4.1.3.3).</w:t>
      </w:r>
      <w:r w:rsidRPr="00CA3533">
        <w:rPr>
          <w:rFonts w:eastAsiaTheme="minorHAnsi"/>
          <w:lang w:val="fr-FR" w:eastAsia="en-US"/>
        </w:rPr>
        <w:t> »</w:t>
      </w:r>
    </w:p>
    <w:p w14:paraId="17D92C94" w14:textId="77777777" w:rsidR="00CA3533" w:rsidRPr="00CA3533" w:rsidRDefault="00CA3533" w:rsidP="00CA3533">
      <w:pPr>
        <w:spacing w:after="120"/>
        <w:ind w:left="1134" w:right="1134"/>
        <w:jc w:val="both"/>
        <w:rPr>
          <w:lang w:val="fr-FR" w:eastAsia="en-US"/>
        </w:rPr>
      </w:pPr>
      <w:r w:rsidRPr="00CA3533">
        <w:rPr>
          <w:lang w:val="fr-FR" w:eastAsia="en-US"/>
        </w:rPr>
        <w:t>4.1.4.1, P909</w:t>
      </w:r>
      <w:r w:rsidRPr="00CA3533">
        <w:rPr>
          <w:lang w:val="fr-FR" w:eastAsia="en-US"/>
        </w:rPr>
        <w:tab/>
        <w:t>À la fin, après 4), ajouter un nouveau Nota, libellé comme suit :</w:t>
      </w:r>
    </w:p>
    <w:p w14:paraId="018FFA78" w14:textId="71BE700A" w:rsidR="00CA3533" w:rsidRPr="00CA3533" w:rsidRDefault="00CA3533" w:rsidP="00DA4048">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w:t>
      </w:r>
      <w:r w:rsidR="00DA4048">
        <w:rPr>
          <w:rFonts w:eastAsiaTheme="minorHAnsi"/>
          <w:i/>
          <w:iCs/>
          <w:lang w:val="fr-FR" w:eastAsia="en-US"/>
        </w:rPr>
        <w:tab/>
      </w:r>
      <w:r w:rsidRPr="00CA3533">
        <w:rPr>
          <w:rFonts w:eastAsiaTheme="minorHAnsi"/>
          <w:i/>
          <w:iCs/>
          <w:lang w:val="fr-FR" w:eastAsia="en-US"/>
        </w:rPr>
        <w:t>La masse nette des emballages autorisés aux paragraphes 3) et 4) peut dépasser 400 kg (voir 4.1.3.3).</w:t>
      </w:r>
      <w:r w:rsidRPr="00CA3533">
        <w:rPr>
          <w:rFonts w:eastAsiaTheme="minorHAnsi"/>
          <w:lang w:val="fr-FR" w:eastAsia="en-US"/>
        </w:rPr>
        <w:t> »</w:t>
      </w:r>
    </w:p>
    <w:p w14:paraId="0B8872C3" w14:textId="77777777" w:rsidR="00CA3533" w:rsidRPr="00CA3533" w:rsidRDefault="00CA3533" w:rsidP="00CA3533">
      <w:pPr>
        <w:spacing w:after="120"/>
        <w:ind w:left="1134" w:right="1134"/>
        <w:jc w:val="both"/>
        <w:rPr>
          <w:lang w:val="fr-FR" w:eastAsia="en-US"/>
        </w:rPr>
      </w:pPr>
      <w:r w:rsidRPr="00CA3533">
        <w:rPr>
          <w:lang w:val="fr-FR" w:eastAsia="en-US"/>
        </w:rPr>
        <w:t>4.1.4.1, P910 3)</w:t>
      </w:r>
      <w:r w:rsidRPr="00CA3533">
        <w:rPr>
          <w:lang w:val="fr-FR" w:eastAsia="en-US"/>
        </w:rPr>
        <w:tab/>
      </w:r>
      <w:r w:rsidRPr="00CA3533">
        <w:rPr>
          <w:lang w:val="fr-FR"/>
        </w:rPr>
        <w:t>À la fin</w:t>
      </w:r>
      <w:r w:rsidRPr="00CA3533">
        <w:rPr>
          <w:lang w:val="fr-FR" w:eastAsia="en-US"/>
        </w:rPr>
        <w:t>, ajouter un nouveau Nota, libellé comme suit :</w:t>
      </w:r>
    </w:p>
    <w:p w14:paraId="0CA759EB" w14:textId="6D3BEBD2" w:rsidR="00CA3533" w:rsidRPr="00CA3533" w:rsidRDefault="00CA3533" w:rsidP="00162DBD">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w:t>
      </w:r>
      <w:r w:rsidR="00162DBD">
        <w:rPr>
          <w:rFonts w:eastAsiaTheme="minorHAnsi"/>
          <w:i/>
          <w:iCs/>
          <w:lang w:val="fr-FR" w:eastAsia="en-US"/>
        </w:rPr>
        <w:tab/>
      </w:r>
      <w:r w:rsidRPr="00CA3533">
        <w:rPr>
          <w:rFonts w:eastAsiaTheme="minorHAnsi"/>
          <w:i/>
          <w:iCs/>
          <w:lang w:val="fr-FR" w:eastAsia="en-US"/>
        </w:rPr>
        <w:t>La masse nette des emballages autorisés peut dépasser 400 kg (voir 4.1.3.3). </w:t>
      </w:r>
      <w:r w:rsidRPr="00CA3533">
        <w:rPr>
          <w:rFonts w:eastAsiaTheme="minorHAnsi"/>
          <w:lang w:val="fr-FR" w:eastAsia="en-US"/>
        </w:rPr>
        <w:t>»</w:t>
      </w:r>
    </w:p>
    <w:p w14:paraId="0B313865" w14:textId="77777777" w:rsidR="00CA3533" w:rsidRPr="00CA3533" w:rsidRDefault="00CA3533" w:rsidP="00CA3533">
      <w:pPr>
        <w:kinsoku/>
        <w:overflowPunct/>
        <w:autoSpaceDE/>
        <w:adjustRightInd/>
        <w:snapToGrid/>
        <w:spacing w:after="120"/>
        <w:ind w:left="2268" w:right="1134" w:hanging="1134"/>
        <w:jc w:val="both"/>
        <w:rPr>
          <w:lang w:val="fr-FR" w:eastAsia="en-US"/>
        </w:rPr>
      </w:pPr>
      <w:r w:rsidRPr="00CA3533">
        <w:rPr>
          <w:lang w:val="fr-FR" w:eastAsia="en-US"/>
        </w:rPr>
        <w:t>4.1.4.1, P911</w:t>
      </w:r>
      <w:r w:rsidRPr="00CA3533">
        <w:rPr>
          <w:lang w:val="fr-FR" w:eastAsia="en-US"/>
        </w:rPr>
        <w:tab/>
        <w:t xml:space="preserve">Dans la note </w:t>
      </w:r>
      <w:r w:rsidRPr="00CA3533">
        <w:rPr>
          <w:vertAlign w:val="superscript"/>
          <w:lang w:val="fr-FR" w:eastAsia="en-US"/>
        </w:rPr>
        <w:t>a</w:t>
      </w:r>
      <w:r w:rsidRPr="00CA3533">
        <w:rPr>
          <w:lang w:val="fr-FR" w:eastAsia="en-US"/>
        </w:rPr>
        <w:t>, à la fin, ajouter un nouvel alinéa pour lire comme suit :</w:t>
      </w:r>
    </w:p>
    <w:p w14:paraId="7A4D365E" w14:textId="77777777" w:rsidR="00CA3533" w:rsidRPr="00CA3533" w:rsidRDefault="00CA3533" w:rsidP="00CA3533">
      <w:pPr>
        <w:tabs>
          <w:tab w:val="left" w:pos="2268"/>
        </w:tabs>
        <w:spacing w:after="120"/>
        <w:ind w:left="2268" w:right="1134"/>
        <w:jc w:val="both"/>
        <w:rPr>
          <w:lang w:val="fr-FR" w:eastAsia="en-US"/>
        </w:rPr>
      </w:pPr>
      <w:r w:rsidRPr="00CA3533">
        <w:rPr>
          <w:lang w:val="fr-FR" w:eastAsia="en-US"/>
        </w:rPr>
        <w:t>« i)</w:t>
      </w:r>
      <w:r w:rsidRPr="00CA3533">
        <w:rPr>
          <w:lang w:val="fr-FR" w:eastAsia="en-US"/>
        </w:rPr>
        <w:tab/>
        <w:t>Dans le cas de batteries multiples et d’équipements multiples contenant des batteries, des prescriptions additionnelles visant par exemple le nombre maximum de batteries et d’équipements seuls, le contenu énergétique total maximum des batteries et la disposition à l’intérieur du colis, y compris les séparations et les protections des pièces, doivent être envisagées. »</w:t>
      </w:r>
    </w:p>
    <w:p w14:paraId="7F2BBB21" w14:textId="77777777" w:rsidR="00CA3533" w:rsidRPr="00CA3533" w:rsidRDefault="00CA3533" w:rsidP="00CA3533">
      <w:pPr>
        <w:spacing w:before="120" w:after="120"/>
        <w:ind w:left="2268" w:right="1134" w:hanging="1134"/>
        <w:jc w:val="both"/>
        <w:rPr>
          <w:iCs/>
          <w:lang w:val="fr-FR"/>
        </w:rPr>
      </w:pPr>
      <w:r w:rsidRPr="00CA3533">
        <w:rPr>
          <w:iCs/>
          <w:lang w:val="fr-FR"/>
        </w:rPr>
        <w:t>4.1.4.2, IBC02</w:t>
      </w:r>
      <w:r w:rsidRPr="00CA3533">
        <w:rPr>
          <w:iCs/>
          <w:lang w:val="fr-FR"/>
        </w:rPr>
        <w:tab/>
        <w:t>Dans la disposition spéciale d’emballage B15, remplacer « </w:t>
      </w:r>
      <w:r w:rsidRPr="00CA3533">
        <w:rPr>
          <w:lang w:val="fr-FR"/>
        </w:rPr>
        <w:t>et de GRV composites au récipient interne en plastique rigide » par « </w:t>
      </w:r>
      <w:r w:rsidRPr="00CA3533">
        <w:rPr>
          <w:iCs/>
          <w:lang w:val="fr-FR"/>
        </w:rPr>
        <w:t>et de récipients internes en plastique rigide de GRV composites ».</w:t>
      </w:r>
    </w:p>
    <w:p w14:paraId="4BB6D6B3" w14:textId="6848DE0A" w:rsidR="00CA3533" w:rsidRPr="00CA3533" w:rsidRDefault="00CA3533" w:rsidP="00CA3533">
      <w:pPr>
        <w:spacing w:before="120" w:after="120"/>
        <w:ind w:left="2268" w:right="1134" w:hanging="1134"/>
        <w:jc w:val="both"/>
        <w:rPr>
          <w:iCs/>
          <w:lang w:val="fr-FR"/>
        </w:rPr>
      </w:pPr>
      <w:r w:rsidRPr="00CA3533">
        <w:rPr>
          <w:iCs/>
          <w:lang w:val="fr-FR"/>
        </w:rPr>
        <w:tab/>
        <w:t xml:space="preserve">Dans la disposition spéciale d’emballage spécifique au RID et à l’ADR BB4, supprimer « 1169, ». </w:t>
      </w:r>
    </w:p>
    <w:p w14:paraId="405778A7"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4.1.4.2, IBC07</w:t>
      </w:r>
      <w:r w:rsidRPr="00CA3533">
        <w:rPr>
          <w:lang w:val="fr-FR" w:eastAsia="en-US"/>
        </w:rPr>
        <w:tab/>
        <w:t>Ajouter la nouvelle disposition spéciale d’emballage suivante :</w:t>
      </w:r>
    </w:p>
    <w:p w14:paraId="76BC8085" w14:textId="77777777" w:rsidR="00CA3533" w:rsidRPr="00CA3533" w:rsidRDefault="00CA3533" w:rsidP="00162DBD">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 </w:t>
      </w:r>
      <w:r w:rsidRPr="00CA3533">
        <w:rPr>
          <w:b/>
          <w:bCs/>
          <w:lang w:val="fr-FR" w:eastAsia="en-US"/>
        </w:rPr>
        <w:t>B20</w:t>
      </w:r>
      <w:r w:rsidRPr="00CA3533">
        <w:rPr>
          <w:lang w:val="fr-FR" w:eastAsia="en-US"/>
        </w:rPr>
        <w:tab/>
        <w:t>Le No ONU 3550 peut être transporté dans des GRV souples (13H3 ou 13H4) avec des doublures étanches aux pulvérulents pour empêcher toute fuite de poussière pendant le transport. »</w:t>
      </w:r>
    </w:p>
    <w:p w14:paraId="389B7710"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4.1.4.2, IBC520</w:t>
      </w:r>
      <w:r w:rsidRPr="00CA3533">
        <w:rPr>
          <w:lang w:val="fr-FR" w:eastAsia="en-US"/>
        </w:rPr>
        <w:tab/>
        <w:t xml:space="preserve">Dans la deuxième phrase (troisième ligne), remplacer « Les préparations énumérées » par « Les préparations énumérées ni au </w:t>
      </w:r>
      <w:r w:rsidRPr="00CA3533">
        <w:rPr>
          <w:rFonts w:eastAsia="SimSun"/>
          <w:lang w:val="fr-FR"/>
        </w:rPr>
        <w:t>2.2.41.4</w:t>
      </w:r>
      <w:r w:rsidRPr="00CA3533">
        <w:rPr>
          <w:lang w:val="fr-FR" w:eastAsia="en-US"/>
        </w:rPr>
        <w:t xml:space="preserve"> ni au </w:t>
      </w:r>
      <w:r w:rsidRPr="00CA3533">
        <w:rPr>
          <w:rFonts w:eastAsia="SimSun"/>
          <w:lang w:val="fr-FR"/>
        </w:rPr>
        <w:t>2.2.52.4</w:t>
      </w:r>
      <w:r w:rsidRPr="00CA3533">
        <w:rPr>
          <w:lang w:val="fr-FR" w:eastAsia="en-US"/>
        </w:rPr>
        <w:t xml:space="preserve"> mais énumérées ».</w:t>
      </w:r>
    </w:p>
    <w:p w14:paraId="3F336752" w14:textId="7216E01A" w:rsidR="00CA3533" w:rsidRPr="00CA3533" w:rsidRDefault="00CA3533" w:rsidP="00CA3533">
      <w:pPr>
        <w:tabs>
          <w:tab w:val="left" w:pos="2268"/>
        </w:tabs>
        <w:kinsoku/>
        <w:overflowPunct/>
        <w:autoSpaceDE/>
        <w:adjustRightInd/>
        <w:snapToGrid/>
        <w:spacing w:after="120"/>
        <w:ind w:left="2268" w:right="1134" w:hanging="1134"/>
        <w:jc w:val="both"/>
        <w:rPr>
          <w:lang w:val="fr-FR" w:eastAsia="en-US"/>
        </w:rPr>
      </w:pPr>
      <w:r w:rsidRPr="00CA3533">
        <w:rPr>
          <w:lang w:val="fr-FR" w:eastAsia="en-US"/>
        </w:rPr>
        <w:t>4.1.4.3, LP906</w:t>
      </w:r>
      <w:r w:rsidRPr="00CA3533">
        <w:rPr>
          <w:lang w:val="fr-FR" w:eastAsia="en-US"/>
        </w:rPr>
        <w:tab/>
        <w:t>Modifier la troisième phrase pour lire « Pour les batteries et pour les équipements contenant des batteries :</w:t>
      </w:r>
      <w:r w:rsidR="00F73291">
        <w:rPr>
          <w:lang w:val="fr-FR" w:eastAsia="en-US"/>
        </w:rPr>
        <w:t> </w:t>
      </w:r>
      <w:r w:rsidRPr="00CA3533">
        <w:rPr>
          <w:lang w:val="fr-FR" w:eastAsia="en-US"/>
        </w:rPr>
        <w:t>».</w:t>
      </w:r>
    </w:p>
    <w:p w14:paraId="320F8BB5" w14:textId="77777777" w:rsidR="00CA3533" w:rsidRPr="00CA3533" w:rsidRDefault="00CA3533" w:rsidP="00CA3533">
      <w:pPr>
        <w:tabs>
          <w:tab w:val="left" w:pos="2268"/>
        </w:tabs>
        <w:spacing w:after="120"/>
        <w:ind w:left="1134" w:right="1134"/>
        <w:jc w:val="both"/>
        <w:rPr>
          <w:lang w:val="fr-FR" w:eastAsia="en-US"/>
        </w:rPr>
      </w:pPr>
      <w:r w:rsidRPr="00CA3533">
        <w:rPr>
          <w:lang w:val="fr-FR" w:eastAsia="en-US"/>
        </w:rPr>
        <w:tab/>
      </w:r>
      <w:r w:rsidRPr="00CA3533">
        <w:rPr>
          <w:lang w:val="fr-FR" w:eastAsia="en-US"/>
        </w:rPr>
        <w:tab/>
        <w:t>Au point 2), modifier le deuxième paragraphe pour lire comme suit :</w:t>
      </w:r>
    </w:p>
    <w:p w14:paraId="196F6D35" w14:textId="77777777" w:rsidR="00CA3533" w:rsidRPr="00CA3533" w:rsidRDefault="00CA3533" w:rsidP="00CA3533">
      <w:pPr>
        <w:tabs>
          <w:tab w:val="left" w:pos="2268"/>
        </w:tabs>
        <w:spacing w:after="120"/>
        <w:ind w:left="2268" w:right="1134"/>
        <w:jc w:val="both"/>
        <w:rPr>
          <w:lang w:val="fr-FR" w:eastAsia="en-US"/>
        </w:rPr>
      </w:pPr>
      <w:r w:rsidRPr="00CA3533">
        <w:rPr>
          <w:lang w:val="fr-FR" w:eastAsia="en-US"/>
        </w:rPr>
        <w:t xml:space="preserve">« Un rapport établi à l’issue de la vérification doit être disponible à la demande. Doivent y être énumérés, au minimum, le nom des batteries, leur type tel que </w:t>
      </w:r>
      <w:r w:rsidRPr="00CA3533">
        <w:rPr>
          <w:lang w:val="fr-FR" w:eastAsia="en-US"/>
        </w:rPr>
        <w:lastRenderedPageBreak/>
        <w:t>défini à la section 38.3.2.3 du Manuel d’épreuves et de critères, le nombre maximal de batteries, la masse totale des batteries, le contenu énergétique total des batteries, l'identification du grand emballage et les données d’épreuves, selon la méthode de vérification spécifiée par l'autorité compétente. Un ensemble d'instructions spécifiques décrivant la manière d'utiliser le colis doit également faire partie du rapport de vérification. »</w:t>
      </w:r>
    </w:p>
    <w:p w14:paraId="62BD448C" w14:textId="77777777" w:rsidR="00CA3533" w:rsidRPr="00CA3533" w:rsidRDefault="00CA3533" w:rsidP="00CA3533">
      <w:pPr>
        <w:tabs>
          <w:tab w:val="left" w:pos="2268"/>
        </w:tabs>
        <w:spacing w:after="120"/>
        <w:ind w:left="1134" w:right="1134"/>
        <w:jc w:val="both"/>
        <w:rPr>
          <w:lang w:val="fr-FR" w:eastAsia="en-US"/>
        </w:rPr>
      </w:pPr>
      <w:r w:rsidRPr="00CA3533">
        <w:rPr>
          <w:lang w:val="fr-FR" w:eastAsia="en-US"/>
        </w:rPr>
        <w:tab/>
        <w:t>Ajouter un quatrième point pour lire comme suit :</w:t>
      </w:r>
    </w:p>
    <w:p w14:paraId="11FB94D7" w14:textId="39FE462D" w:rsidR="00CA3533" w:rsidRPr="00CA3533" w:rsidRDefault="00CA3533" w:rsidP="00CA3533">
      <w:pPr>
        <w:tabs>
          <w:tab w:val="left" w:pos="2268"/>
        </w:tabs>
        <w:spacing w:after="120"/>
        <w:ind w:left="2268" w:right="1134"/>
        <w:jc w:val="both"/>
        <w:rPr>
          <w:lang w:val="fr-FR" w:eastAsia="en-US"/>
        </w:rPr>
      </w:pPr>
      <w:r w:rsidRPr="00CA3533">
        <w:rPr>
          <w:lang w:val="fr-FR" w:eastAsia="en-US"/>
        </w:rPr>
        <w:t>« 4)</w:t>
      </w:r>
      <w:r w:rsidRPr="00CA3533">
        <w:rPr>
          <w:lang w:val="fr-FR" w:eastAsia="en-US"/>
        </w:rPr>
        <w:tab/>
        <w:t>Les instructions spécifiques relatives aux conditions d’utilisation de l’emballage doivent être tenues à disposition de l’expéditeur par les fabricants d'emballages et les distributeurs ultérieurs. Elles doivent préciser au minimum l’identification des batteries et des équipements pouvant être contenus à l’intérieur de l’emballage, le nombre maximum de batteries contenues dans le colis et le total maximum du contenu énergétique des batteries, ainsi que la disposition à l’intérieur du colis, y compris les séparations et les protections utilisées pendant l’épreuve de vérification de la performance. »</w:t>
      </w:r>
    </w:p>
    <w:p w14:paraId="7B89B7BF" w14:textId="77777777" w:rsidR="00CA3533" w:rsidRPr="00CA3533" w:rsidRDefault="00CA3533" w:rsidP="00CA3533">
      <w:pPr>
        <w:kinsoku/>
        <w:overflowPunct/>
        <w:autoSpaceDE/>
        <w:adjustRightInd/>
        <w:snapToGrid/>
        <w:spacing w:after="120"/>
        <w:ind w:left="2268" w:right="1134" w:hanging="1134"/>
        <w:jc w:val="both"/>
        <w:rPr>
          <w:lang w:val="fr-FR" w:eastAsia="en-US"/>
        </w:rPr>
      </w:pPr>
      <w:r w:rsidRPr="00CA3533">
        <w:rPr>
          <w:lang w:val="fr-FR" w:eastAsia="en-US"/>
        </w:rPr>
        <w:tab/>
        <w:t xml:space="preserve">Dans la note </w:t>
      </w:r>
      <w:r w:rsidRPr="00CA3533">
        <w:rPr>
          <w:vertAlign w:val="superscript"/>
          <w:lang w:val="fr-FR" w:eastAsia="en-US"/>
        </w:rPr>
        <w:t>a</w:t>
      </w:r>
      <w:r w:rsidRPr="00CA3533">
        <w:rPr>
          <w:lang w:val="fr-FR" w:eastAsia="en-US"/>
        </w:rPr>
        <w:t>, à la fin, ajouter un nouvel alinéa pour lire comme suit :</w:t>
      </w:r>
    </w:p>
    <w:p w14:paraId="6D5B0AB4" w14:textId="77777777" w:rsidR="00CA3533" w:rsidRPr="00CA3533" w:rsidRDefault="00CA3533" w:rsidP="00CA3533">
      <w:pPr>
        <w:tabs>
          <w:tab w:val="left" w:pos="2268"/>
        </w:tabs>
        <w:spacing w:after="120"/>
        <w:ind w:left="2268" w:right="1134"/>
        <w:jc w:val="both"/>
        <w:rPr>
          <w:lang w:val="fr-FR" w:eastAsia="en-US"/>
        </w:rPr>
      </w:pPr>
      <w:r w:rsidRPr="00CA3533">
        <w:rPr>
          <w:lang w:val="fr-FR" w:eastAsia="en-US"/>
        </w:rPr>
        <w:t>« </w:t>
      </w:r>
      <w:r w:rsidRPr="00B7493E">
        <w:rPr>
          <w:i/>
          <w:iCs/>
          <w:lang w:val="fr-FR" w:eastAsia="en-US"/>
        </w:rPr>
        <w:t>i)</w:t>
      </w:r>
      <w:r w:rsidRPr="00B7493E">
        <w:rPr>
          <w:i/>
          <w:iCs/>
          <w:lang w:val="fr-FR" w:eastAsia="en-US"/>
        </w:rPr>
        <w:tab/>
        <w:t>Dans le cas de batteries multiples et d’équipements multiples contenant des batteries, des prescriptions additionnelles visant par exemple le nombre maximum de batteries et d’équipements, le contenu énergétique total maximum des batteries et la disposition à l’intérieur du colis, y compris les séparations et les protections des pièces, doivent être envisagées.</w:t>
      </w:r>
      <w:r w:rsidRPr="00CA3533">
        <w:rPr>
          <w:lang w:val="fr-FR" w:eastAsia="en-US"/>
        </w:rPr>
        <w:t> »</w:t>
      </w:r>
    </w:p>
    <w:p w14:paraId="58B68005" w14:textId="77777777" w:rsidR="00CA3533" w:rsidRPr="00CA3533" w:rsidRDefault="00CA3533" w:rsidP="00CA3533">
      <w:pPr>
        <w:spacing w:before="120" w:after="120"/>
        <w:ind w:left="2268" w:right="1134" w:hanging="1134"/>
        <w:jc w:val="both"/>
        <w:rPr>
          <w:lang w:val="fr-FR"/>
        </w:rPr>
      </w:pPr>
      <w:r w:rsidRPr="00CA3533">
        <w:rPr>
          <w:lang w:val="fr-FR"/>
        </w:rPr>
        <w:t>4.1.6.6</w:t>
      </w:r>
      <w:r w:rsidRPr="00CA3533">
        <w:rPr>
          <w:lang w:val="fr-FR"/>
        </w:rPr>
        <w:tab/>
        <w:t xml:space="preserve">À la fin de la première phrase, ajouter « et en tenant compte de la pression nominale la plus basse de chaque composant ». </w:t>
      </w:r>
    </w:p>
    <w:p w14:paraId="6C5A178E" w14:textId="77777777" w:rsidR="00CA3533" w:rsidRPr="00CA3533" w:rsidRDefault="00CA3533" w:rsidP="00CA3533">
      <w:pPr>
        <w:spacing w:before="120" w:after="120"/>
        <w:ind w:left="2268" w:right="1134"/>
        <w:jc w:val="both"/>
        <w:rPr>
          <w:lang w:val="fr-FR"/>
        </w:rPr>
      </w:pPr>
      <w:r w:rsidRPr="00CA3533">
        <w:rPr>
          <w:lang w:val="fr-FR"/>
        </w:rPr>
        <w:t xml:space="preserve">Ajouter la nouvelle deuxième phrase suivante : « Les équipements de service dont la pression nominale est inférieure à celle des autres composants doivent néanmoins satisfaire aux prescriptions du 6.2.1.3.1. ». </w:t>
      </w:r>
    </w:p>
    <w:p w14:paraId="57469753" w14:textId="77777777" w:rsidR="00CA3533" w:rsidRPr="00CA3533" w:rsidRDefault="00CA3533" w:rsidP="00CA3533">
      <w:pPr>
        <w:spacing w:before="120" w:after="120"/>
        <w:ind w:left="2268" w:right="1134"/>
        <w:jc w:val="both"/>
        <w:rPr>
          <w:lang w:val="fr-FR"/>
        </w:rPr>
      </w:pPr>
      <w:r w:rsidRPr="00CA3533">
        <w:rPr>
          <w:lang w:val="fr-FR"/>
        </w:rPr>
        <w:t>Supprimer la dernière phrase.</w:t>
      </w:r>
    </w:p>
    <w:p w14:paraId="011FF5F3" w14:textId="77777777" w:rsidR="00CA3533" w:rsidRPr="00CA3533" w:rsidRDefault="00CA3533" w:rsidP="00CA3533">
      <w:pPr>
        <w:tabs>
          <w:tab w:val="left" w:pos="2268"/>
        </w:tabs>
        <w:spacing w:after="120"/>
        <w:ind w:left="1134" w:right="1134"/>
        <w:jc w:val="both"/>
        <w:rPr>
          <w:lang w:val="fr-FR"/>
        </w:rPr>
      </w:pPr>
      <w:r w:rsidRPr="00CA3533">
        <w:rPr>
          <w:lang w:val="fr-FR"/>
        </w:rPr>
        <w:t>4.1.6.8</w:t>
      </w:r>
      <w:r w:rsidRPr="00CA3533">
        <w:rPr>
          <w:lang w:val="fr-FR"/>
        </w:rPr>
        <w:tab/>
        <w:t>Modifier les alinéas b) et c) pour lire comme suit :</w:t>
      </w:r>
    </w:p>
    <w:p w14:paraId="422B1E4E" w14:textId="68665B29" w:rsidR="00CA3533" w:rsidRPr="00CA3533" w:rsidRDefault="00CA3533" w:rsidP="00CA3533">
      <w:pPr>
        <w:spacing w:after="120"/>
        <w:ind w:left="2835" w:right="1134" w:hanging="567"/>
        <w:jc w:val="both"/>
        <w:rPr>
          <w:lang w:val="fr-FR"/>
        </w:rPr>
      </w:pPr>
      <w:r w:rsidRPr="00CA3533">
        <w:rPr>
          <w:lang w:val="fr-FR"/>
        </w:rPr>
        <w:t>« b)</w:t>
      </w:r>
      <w:r w:rsidRPr="00CA3533">
        <w:rPr>
          <w:lang w:val="fr-FR"/>
        </w:rPr>
        <w:tab/>
        <w:t>Les robinets sont protégés par des chapeaux fermés ou ouverts. Les chapeaux fermés doivent être munis d’évents de section suffisante pour évacuer les gaz en cas de fuite aux robinets ;</w:t>
      </w:r>
    </w:p>
    <w:p w14:paraId="0B366491" w14:textId="790177B0" w:rsidR="00CA3533" w:rsidRPr="00CA3533" w:rsidRDefault="00CA3533" w:rsidP="00CA3533">
      <w:pPr>
        <w:spacing w:after="120"/>
        <w:ind w:left="2835" w:right="1134" w:hanging="567"/>
        <w:jc w:val="both"/>
        <w:rPr>
          <w:lang w:val="fr-FR"/>
        </w:rPr>
      </w:pPr>
      <w:r w:rsidRPr="00CA3533">
        <w:rPr>
          <w:lang w:val="fr-FR"/>
        </w:rPr>
        <w:t>c)</w:t>
      </w:r>
      <w:r w:rsidRPr="00CA3533">
        <w:rPr>
          <w:lang w:val="fr-FR"/>
        </w:rPr>
        <w:tab/>
        <w:t>Les robinets sont protégés par des collerettes ou par des dispositifs de protection inamovibles ; »</w:t>
      </w:r>
    </w:p>
    <w:p w14:paraId="240C885E" w14:textId="77777777" w:rsidR="00CA3533" w:rsidRPr="00CA3533" w:rsidRDefault="00CA3533" w:rsidP="00CA3533">
      <w:pPr>
        <w:spacing w:before="120" w:after="120"/>
        <w:ind w:left="2268" w:right="1134" w:hanging="1134"/>
        <w:jc w:val="both"/>
        <w:rPr>
          <w:lang w:val="fr-FR"/>
        </w:rPr>
      </w:pPr>
      <w:r w:rsidRPr="00CA3533">
        <w:rPr>
          <w:lang w:val="fr-FR"/>
        </w:rPr>
        <w:t>4.1.6.10</w:t>
      </w:r>
      <w:r w:rsidRPr="00CA3533">
        <w:rPr>
          <w:lang w:val="fr-FR"/>
        </w:rPr>
        <w:tab/>
        <w:t xml:space="preserve">Dans la première phrase, ajouter « fermés » après « récipients cryogéniques » et remplacer « P205 ou P206 » par « P205, P206 ou P208 ». </w:t>
      </w:r>
    </w:p>
    <w:p w14:paraId="78418743" w14:textId="77777777" w:rsidR="00CA3533" w:rsidRPr="00CA3533" w:rsidRDefault="00CA3533" w:rsidP="00CA3533">
      <w:pPr>
        <w:spacing w:after="120"/>
        <w:ind w:left="1134" w:right="1134"/>
        <w:jc w:val="both"/>
        <w:rPr>
          <w:bCs/>
          <w:lang w:val="fr-FR"/>
        </w:rPr>
      </w:pPr>
      <w:r w:rsidRPr="00CA3533">
        <w:rPr>
          <w:bCs/>
          <w:lang w:val="fr-FR"/>
        </w:rPr>
        <w:t>4.1.6.15</w:t>
      </w:r>
      <w:r w:rsidRPr="00CA3533">
        <w:rPr>
          <w:bCs/>
          <w:lang w:val="fr-FR"/>
        </w:rPr>
        <w:tab/>
        <w:t>Modifier pour lire comme suit :</w:t>
      </w:r>
    </w:p>
    <w:p w14:paraId="04EF0FA0" w14:textId="77777777" w:rsidR="00CA3533" w:rsidRPr="00CA3533" w:rsidRDefault="00CA3533" w:rsidP="00CA3533">
      <w:pPr>
        <w:spacing w:after="120"/>
        <w:ind w:left="2268" w:right="1134" w:hanging="1134"/>
        <w:jc w:val="both"/>
        <w:rPr>
          <w:bCs/>
          <w:lang w:val="fr-FR"/>
        </w:rPr>
      </w:pPr>
      <w:r w:rsidRPr="00CA3533">
        <w:rPr>
          <w:bCs/>
          <w:lang w:val="fr-FR"/>
        </w:rPr>
        <w:t>« 4.1.6.15</w:t>
      </w:r>
      <w:r w:rsidRPr="00CA3533">
        <w:rPr>
          <w:bCs/>
          <w:lang w:val="fr-FR"/>
        </w:rPr>
        <w:tab/>
        <w:t>Pour les récipients à pression « UN », les normes ISO et EN ISO énumérées dans le tableau 1, à l’exception des normes EN ISO 14245 et EN ISO 15995, doivent être appliquées. Pour savoir quelle norme doit être utilisée au moment de la fabrication de l’équipement, voir le 6.2.2.3.</w:t>
      </w:r>
    </w:p>
    <w:p w14:paraId="62373162" w14:textId="631A5EC3" w:rsidR="00CA3533" w:rsidRPr="00CA3533" w:rsidRDefault="00CA3533" w:rsidP="00CA3533">
      <w:pPr>
        <w:spacing w:after="120"/>
        <w:ind w:left="2268" w:right="1134" w:hanging="1134"/>
        <w:jc w:val="both"/>
        <w:rPr>
          <w:bCs/>
          <w:lang w:val="fr-FR"/>
        </w:rPr>
      </w:pPr>
      <w:r w:rsidRPr="00CA3533">
        <w:rPr>
          <w:bCs/>
          <w:lang w:val="fr-FR"/>
        </w:rPr>
        <w:tab/>
        <w:t>Pour les autres récipients à pression, les dispositions de la section 4.1.6 sont réputées satisfaites si les normes appropriées du tableau 4.1.6.15.1 sont appliquées. Pour savoir quelles normes doivent être utilisées pour la fabrication des robinets munis d’une protection intégrée, voir le 6.2.4.1. Pour toute information sur l’applicabilité des normes pour la fabrication des chapeaux fermés et des chapeaux ouverts de protection des robinets, voir le tableau 4.1.6.15.2</w:t>
      </w:r>
      <w:r w:rsidR="00815D22">
        <w:rPr>
          <w:bCs/>
          <w:lang w:val="fr-FR"/>
        </w:rPr>
        <w:t>.</w:t>
      </w:r>
    </w:p>
    <w:p w14:paraId="78B17F4B" w14:textId="19E27F26" w:rsidR="00CA3533" w:rsidRPr="00262778" w:rsidRDefault="00CA3533" w:rsidP="00262778">
      <w:pPr>
        <w:tabs>
          <w:tab w:val="left" w:pos="2268"/>
        </w:tabs>
        <w:spacing w:after="120"/>
        <w:ind w:left="1134" w:right="1134"/>
        <w:jc w:val="center"/>
        <w:rPr>
          <w:b/>
          <w:bCs/>
          <w:lang w:val="fr-FR"/>
        </w:rPr>
      </w:pPr>
      <w:r w:rsidRPr="00262778">
        <w:rPr>
          <w:b/>
          <w:bCs/>
          <w:lang w:val="fr-FR"/>
        </w:rPr>
        <w:t>Tableau 4.1.6.15.1 : Normes pour les récipients à pression « UN » et « non UN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7"/>
        <w:gridCol w:w="2334"/>
        <w:gridCol w:w="3810"/>
      </w:tblGrid>
      <w:tr w:rsidR="00CA3533" w:rsidRPr="00CA3533" w14:paraId="596F33FA" w14:textId="77777777" w:rsidTr="00D56820">
        <w:tc>
          <w:tcPr>
            <w:tcW w:w="1413" w:type="dxa"/>
            <w:tcBorders>
              <w:top w:val="single" w:sz="4" w:space="0" w:color="auto"/>
              <w:left w:val="single" w:sz="4" w:space="0" w:color="auto"/>
              <w:bottom w:val="single" w:sz="4" w:space="0" w:color="auto"/>
              <w:right w:val="single" w:sz="4" w:space="0" w:color="auto"/>
            </w:tcBorders>
            <w:vAlign w:val="bottom"/>
            <w:hideMark/>
          </w:tcPr>
          <w:p w14:paraId="4C6D5C1A"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 xml:space="preserve">Paragraphes applicables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A733507"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Référence</w:t>
            </w:r>
          </w:p>
        </w:tc>
        <w:tc>
          <w:tcPr>
            <w:tcW w:w="4399" w:type="dxa"/>
            <w:tcBorders>
              <w:top w:val="single" w:sz="4" w:space="0" w:color="auto"/>
              <w:left w:val="single" w:sz="4" w:space="0" w:color="auto"/>
              <w:bottom w:val="single" w:sz="4" w:space="0" w:color="auto"/>
              <w:right w:val="single" w:sz="4" w:space="0" w:color="auto"/>
            </w:tcBorders>
            <w:vAlign w:val="bottom"/>
            <w:hideMark/>
          </w:tcPr>
          <w:p w14:paraId="50C61061" w14:textId="77777777" w:rsidR="00CA3533" w:rsidRPr="00CA3533" w:rsidRDefault="00CA3533" w:rsidP="00CA3533">
            <w:pPr>
              <w:spacing w:before="60" w:after="60"/>
              <w:ind w:left="57" w:right="57"/>
              <w:rPr>
                <w:rFonts w:eastAsia="DengXian"/>
                <w:bCs/>
                <w:u w:val="single"/>
                <w:lang w:val="fr-FR"/>
              </w:rPr>
            </w:pPr>
            <w:r w:rsidRPr="00CA3533">
              <w:rPr>
                <w:rFonts w:eastAsia="DengXian"/>
                <w:bCs/>
                <w:lang w:val="fr-FR"/>
              </w:rPr>
              <w:t>Titre du document</w:t>
            </w:r>
          </w:p>
        </w:tc>
      </w:tr>
      <w:tr w:rsidR="00CA3533" w:rsidRPr="00CA3533" w14:paraId="7DB42673" w14:textId="77777777" w:rsidTr="00D56820">
        <w:tc>
          <w:tcPr>
            <w:tcW w:w="1413" w:type="dxa"/>
            <w:vMerge w:val="restart"/>
            <w:tcBorders>
              <w:top w:val="single" w:sz="4" w:space="0" w:color="auto"/>
              <w:left w:val="single" w:sz="4" w:space="0" w:color="auto"/>
              <w:bottom w:val="single" w:sz="4" w:space="0" w:color="auto"/>
              <w:right w:val="single" w:sz="4" w:space="0" w:color="auto"/>
            </w:tcBorders>
            <w:hideMark/>
          </w:tcPr>
          <w:p w14:paraId="1A29D663"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lastRenderedPageBreak/>
              <w:t>4.1.6.2</w:t>
            </w:r>
          </w:p>
        </w:tc>
        <w:tc>
          <w:tcPr>
            <w:tcW w:w="2693" w:type="dxa"/>
            <w:tcBorders>
              <w:top w:val="single" w:sz="4" w:space="0" w:color="auto"/>
              <w:left w:val="single" w:sz="4" w:space="0" w:color="auto"/>
              <w:bottom w:val="single" w:sz="4" w:space="0" w:color="auto"/>
              <w:right w:val="single" w:sz="4" w:space="0" w:color="auto"/>
            </w:tcBorders>
            <w:hideMark/>
          </w:tcPr>
          <w:p w14:paraId="52126244"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EN ISO 11114-1:2020</w:t>
            </w:r>
          </w:p>
        </w:tc>
        <w:tc>
          <w:tcPr>
            <w:tcW w:w="4399" w:type="dxa"/>
            <w:tcBorders>
              <w:top w:val="single" w:sz="4" w:space="0" w:color="auto"/>
              <w:left w:val="single" w:sz="4" w:space="0" w:color="auto"/>
              <w:bottom w:val="single" w:sz="4" w:space="0" w:color="auto"/>
              <w:right w:val="single" w:sz="4" w:space="0" w:color="auto"/>
            </w:tcBorders>
            <w:hideMark/>
          </w:tcPr>
          <w:p w14:paraId="26509D6D" w14:textId="77777777" w:rsidR="00CA3533" w:rsidRPr="00CA3533" w:rsidRDefault="00CA3533" w:rsidP="00CA3533">
            <w:pPr>
              <w:spacing w:before="60" w:after="60"/>
              <w:ind w:left="57" w:right="57"/>
              <w:rPr>
                <w:rFonts w:eastAsia="DengXian"/>
                <w:bCs/>
                <w:u w:val="single"/>
                <w:lang w:val="fr-FR"/>
              </w:rPr>
            </w:pPr>
            <w:r w:rsidRPr="00CA3533">
              <w:rPr>
                <w:rFonts w:eastAsia="DengXian"/>
                <w:bCs/>
                <w:lang w:val="fr-FR"/>
              </w:rPr>
              <w:t xml:space="preserve">Bouteilles à gaz − Compatibilité des matériaux des bouteilles et des robinets avec les contenus gazeux − Partie 1 : Matériaux métalliques </w:t>
            </w:r>
          </w:p>
        </w:tc>
      </w:tr>
      <w:tr w:rsidR="00CA3533" w:rsidRPr="00CA3533" w14:paraId="2EEE7470" w14:textId="77777777" w:rsidTr="00D56820">
        <w:tc>
          <w:tcPr>
            <w:tcW w:w="1413" w:type="dxa"/>
            <w:vMerge/>
            <w:tcBorders>
              <w:top w:val="single" w:sz="4" w:space="0" w:color="auto"/>
              <w:left w:val="single" w:sz="4" w:space="0" w:color="auto"/>
              <w:bottom w:val="single" w:sz="4" w:space="0" w:color="auto"/>
              <w:right w:val="single" w:sz="4" w:space="0" w:color="auto"/>
            </w:tcBorders>
            <w:vAlign w:val="center"/>
            <w:hideMark/>
          </w:tcPr>
          <w:p w14:paraId="03341167" w14:textId="77777777" w:rsidR="00CA3533" w:rsidRPr="00CA3533" w:rsidRDefault="00CA3533" w:rsidP="00CA353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7F8C4733"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EN ISO 11114-2:2013</w:t>
            </w:r>
          </w:p>
        </w:tc>
        <w:tc>
          <w:tcPr>
            <w:tcW w:w="4399" w:type="dxa"/>
            <w:tcBorders>
              <w:top w:val="single" w:sz="4" w:space="0" w:color="auto"/>
              <w:left w:val="single" w:sz="4" w:space="0" w:color="auto"/>
              <w:bottom w:val="single" w:sz="4" w:space="0" w:color="auto"/>
              <w:right w:val="single" w:sz="4" w:space="0" w:color="auto"/>
            </w:tcBorders>
            <w:hideMark/>
          </w:tcPr>
          <w:p w14:paraId="439464DE" w14:textId="77777777" w:rsidR="00CA3533" w:rsidRPr="00CA3533" w:rsidRDefault="00CA3533" w:rsidP="00CA3533">
            <w:pPr>
              <w:spacing w:before="60" w:after="60"/>
              <w:ind w:left="57" w:right="57"/>
              <w:rPr>
                <w:rFonts w:eastAsia="DengXian"/>
                <w:bCs/>
                <w:u w:val="single"/>
                <w:lang w:val="fr-FR"/>
              </w:rPr>
            </w:pPr>
            <w:r w:rsidRPr="00CA3533">
              <w:rPr>
                <w:rFonts w:eastAsia="DengXian"/>
                <w:bCs/>
                <w:lang w:val="fr-FR"/>
              </w:rPr>
              <w:t>Bouteilles à gaz − Compatibilité des matériaux des bouteilles et des robinets avec les contenus gazeux − Partie 2 : Matériaux non métalliques</w:t>
            </w:r>
          </w:p>
        </w:tc>
      </w:tr>
      <w:tr w:rsidR="00CA3533" w:rsidRPr="00CA3533" w14:paraId="5385F157" w14:textId="77777777" w:rsidTr="00D56820">
        <w:tc>
          <w:tcPr>
            <w:tcW w:w="1413" w:type="dxa"/>
            <w:tcBorders>
              <w:top w:val="single" w:sz="4" w:space="0" w:color="auto"/>
              <w:left w:val="single" w:sz="4" w:space="0" w:color="auto"/>
              <w:bottom w:val="single" w:sz="4" w:space="0" w:color="auto"/>
              <w:right w:val="single" w:sz="4" w:space="0" w:color="auto"/>
            </w:tcBorders>
            <w:hideMark/>
          </w:tcPr>
          <w:p w14:paraId="0CF5B3B9"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4.1.6.4</w:t>
            </w:r>
          </w:p>
        </w:tc>
        <w:tc>
          <w:tcPr>
            <w:tcW w:w="2693" w:type="dxa"/>
            <w:tcBorders>
              <w:top w:val="single" w:sz="4" w:space="0" w:color="auto"/>
              <w:left w:val="single" w:sz="4" w:space="0" w:color="auto"/>
              <w:bottom w:val="single" w:sz="4" w:space="0" w:color="auto"/>
              <w:right w:val="single" w:sz="4" w:space="0" w:color="auto"/>
            </w:tcBorders>
            <w:hideMark/>
          </w:tcPr>
          <w:p w14:paraId="48FC7B2D"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 xml:space="preserve">ISO 11621:1997 </w:t>
            </w:r>
            <w:r w:rsidRPr="00CA3533">
              <w:rPr>
                <w:rFonts w:eastAsia="DengXian"/>
                <w:bCs/>
                <w:lang w:val="fr-FR"/>
              </w:rPr>
              <w:br/>
              <w:t>ou EN ISO 11621:2005</w:t>
            </w:r>
          </w:p>
        </w:tc>
        <w:tc>
          <w:tcPr>
            <w:tcW w:w="4399" w:type="dxa"/>
            <w:tcBorders>
              <w:top w:val="single" w:sz="4" w:space="0" w:color="auto"/>
              <w:left w:val="single" w:sz="4" w:space="0" w:color="auto"/>
              <w:bottom w:val="single" w:sz="4" w:space="0" w:color="auto"/>
              <w:right w:val="single" w:sz="4" w:space="0" w:color="auto"/>
            </w:tcBorders>
            <w:hideMark/>
          </w:tcPr>
          <w:p w14:paraId="190E4551" w14:textId="77777777" w:rsidR="00CA3533" w:rsidRPr="00CA3533" w:rsidRDefault="00CA3533" w:rsidP="00CA3533">
            <w:pPr>
              <w:spacing w:before="60" w:after="60"/>
              <w:ind w:left="57" w:right="57"/>
              <w:rPr>
                <w:rFonts w:eastAsia="DengXian"/>
                <w:bCs/>
                <w:u w:val="single"/>
                <w:lang w:val="fr-FR"/>
              </w:rPr>
            </w:pPr>
            <w:r w:rsidRPr="00CA3533">
              <w:rPr>
                <w:rFonts w:eastAsia="DengXian"/>
                <w:bCs/>
                <w:lang w:val="fr-FR"/>
              </w:rPr>
              <w:t>Bouteilles à gaz − Mode opératoire pour le changement de service de gaz</w:t>
            </w:r>
          </w:p>
        </w:tc>
      </w:tr>
      <w:tr w:rsidR="00CA3533" w:rsidRPr="00CA3533" w14:paraId="438BF144" w14:textId="77777777" w:rsidTr="00D56820">
        <w:tc>
          <w:tcPr>
            <w:tcW w:w="1413" w:type="dxa"/>
            <w:vMerge w:val="restart"/>
            <w:tcBorders>
              <w:top w:val="single" w:sz="4" w:space="0" w:color="auto"/>
              <w:left w:val="single" w:sz="4" w:space="0" w:color="auto"/>
              <w:bottom w:val="single" w:sz="4" w:space="0" w:color="auto"/>
              <w:right w:val="single" w:sz="4" w:space="0" w:color="auto"/>
            </w:tcBorders>
            <w:hideMark/>
          </w:tcPr>
          <w:p w14:paraId="54888A4B"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4.1.6.8 Robinets munis d’une protection intégrée</w:t>
            </w:r>
          </w:p>
        </w:tc>
        <w:tc>
          <w:tcPr>
            <w:tcW w:w="2693" w:type="dxa"/>
            <w:tcBorders>
              <w:top w:val="single" w:sz="4" w:space="0" w:color="auto"/>
              <w:left w:val="single" w:sz="4" w:space="0" w:color="auto"/>
              <w:bottom w:val="single" w:sz="4" w:space="0" w:color="auto"/>
              <w:right w:val="single" w:sz="4" w:space="0" w:color="auto"/>
            </w:tcBorders>
            <w:hideMark/>
          </w:tcPr>
          <w:p w14:paraId="152E4A79"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 xml:space="preserve">Article 4.6.2 de </w:t>
            </w:r>
            <w:r w:rsidRPr="00CA3533">
              <w:rPr>
                <w:rFonts w:eastAsia="DengXian"/>
                <w:bCs/>
                <w:lang w:val="fr-FR"/>
              </w:rPr>
              <w:br/>
              <w:t>EN ISO 10297:2006 ou</w:t>
            </w:r>
          </w:p>
          <w:p w14:paraId="2BEBB4A9"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 xml:space="preserve">Article 5.5.2 de </w:t>
            </w:r>
            <w:r w:rsidRPr="00CA3533">
              <w:rPr>
                <w:rFonts w:eastAsia="DengXian"/>
                <w:bCs/>
                <w:lang w:val="fr-FR"/>
              </w:rPr>
              <w:br/>
              <w:t>EN ISO 10297:2014 ou</w:t>
            </w:r>
          </w:p>
          <w:p w14:paraId="0C7E93C9"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 xml:space="preserve">Article 5.5.2 de </w:t>
            </w:r>
            <w:r w:rsidRPr="00CA3533">
              <w:rPr>
                <w:rFonts w:eastAsia="DengXian"/>
                <w:bCs/>
                <w:lang w:val="fr-FR"/>
              </w:rPr>
              <w:br/>
              <w:t>EN ISO 10297:2014 + A1:2017</w:t>
            </w:r>
          </w:p>
        </w:tc>
        <w:tc>
          <w:tcPr>
            <w:tcW w:w="4399" w:type="dxa"/>
            <w:tcBorders>
              <w:top w:val="single" w:sz="4" w:space="0" w:color="auto"/>
              <w:left w:val="single" w:sz="4" w:space="0" w:color="auto"/>
              <w:bottom w:val="single" w:sz="4" w:space="0" w:color="auto"/>
              <w:right w:val="single" w:sz="4" w:space="0" w:color="auto"/>
            </w:tcBorders>
            <w:hideMark/>
          </w:tcPr>
          <w:p w14:paraId="6EF83812" w14:textId="77777777" w:rsidR="00CA3533" w:rsidRPr="00CA3533" w:rsidRDefault="00CA3533" w:rsidP="00CA3533">
            <w:pPr>
              <w:spacing w:before="60" w:after="60"/>
              <w:ind w:left="57" w:right="57"/>
              <w:rPr>
                <w:rFonts w:eastAsia="DengXian"/>
                <w:bCs/>
                <w:u w:val="single"/>
                <w:lang w:val="fr-FR"/>
              </w:rPr>
            </w:pPr>
            <w:r w:rsidRPr="00CA3533">
              <w:rPr>
                <w:rFonts w:eastAsia="DengXian"/>
                <w:bCs/>
                <w:lang w:val="fr-FR"/>
              </w:rPr>
              <w:t>Bouteilles à gaz − Robinets de bouteilles − Spécifications et essais de type</w:t>
            </w:r>
          </w:p>
        </w:tc>
      </w:tr>
      <w:tr w:rsidR="00CA3533" w:rsidRPr="00CA3533" w14:paraId="5A69CC8F" w14:textId="77777777" w:rsidTr="00D56820">
        <w:tc>
          <w:tcPr>
            <w:tcW w:w="1413" w:type="dxa"/>
            <w:vMerge/>
            <w:tcBorders>
              <w:top w:val="single" w:sz="4" w:space="0" w:color="auto"/>
              <w:left w:val="single" w:sz="4" w:space="0" w:color="auto"/>
              <w:bottom w:val="single" w:sz="4" w:space="0" w:color="auto"/>
              <w:right w:val="single" w:sz="4" w:space="0" w:color="auto"/>
            </w:tcBorders>
            <w:vAlign w:val="center"/>
            <w:hideMark/>
          </w:tcPr>
          <w:p w14:paraId="6AB398BD" w14:textId="77777777" w:rsidR="00CA3533" w:rsidRPr="00CA3533" w:rsidRDefault="00CA3533" w:rsidP="00CA353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06F77F1A"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 xml:space="preserve">Article 5.3.8 de </w:t>
            </w:r>
            <w:r w:rsidRPr="00CA3533">
              <w:rPr>
                <w:rFonts w:eastAsia="DengXian"/>
                <w:bCs/>
                <w:lang w:val="fr-FR"/>
              </w:rPr>
              <w:br/>
              <w:t>EN 13152:2001 + A1:2003</w:t>
            </w:r>
          </w:p>
        </w:tc>
        <w:tc>
          <w:tcPr>
            <w:tcW w:w="4399" w:type="dxa"/>
            <w:tcBorders>
              <w:top w:val="single" w:sz="4" w:space="0" w:color="auto"/>
              <w:left w:val="single" w:sz="4" w:space="0" w:color="auto"/>
              <w:bottom w:val="single" w:sz="4" w:space="0" w:color="auto"/>
              <w:right w:val="single" w:sz="4" w:space="0" w:color="auto"/>
            </w:tcBorders>
            <w:hideMark/>
          </w:tcPr>
          <w:p w14:paraId="5FD3C642" w14:textId="77777777" w:rsidR="00CA3533" w:rsidRPr="00CA3533" w:rsidRDefault="00CA3533" w:rsidP="00CA3533">
            <w:pPr>
              <w:spacing w:before="60" w:after="60"/>
              <w:ind w:left="57" w:right="57"/>
              <w:rPr>
                <w:rFonts w:eastAsia="DengXian"/>
                <w:bCs/>
                <w:u w:val="single"/>
                <w:lang w:val="fr-FR"/>
              </w:rPr>
            </w:pPr>
            <w:r w:rsidRPr="00CA3533">
              <w:rPr>
                <w:rFonts w:eastAsia="DengXian"/>
                <w:bCs/>
                <w:lang w:val="fr-FR"/>
              </w:rPr>
              <w:t>Spécifications et essais pour valves de bouteilles de gaz de pétrole liquéfié (GPL) − Fermeture automatique</w:t>
            </w:r>
          </w:p>
        </w:tc>
      </w:tr>
      <w:tr w:rsidR="00CA3533" w:rsidRPr="00CA3533" w14:paraId="3FEA4F94" w14:textId="77777777" w:rsidTr="00D56820">
        <w:tc>
          <w:tcPr>
            <w:tcW w:w="1413" w:type="dxa"/>
            <w:vMerge/>
            <w:tcBorders>
              <w:top w:val="single" w:sz="4" w:space="0" w:color="auto"/>
              <w:left w:val="single" w:sz="4" w:space="0" w:color="auto"/>
              <w:bottom w:val="single" w:sz="4" w:space="0" w:color="auto"/>
              <w:right w:val="single" w:sz="4" w:space="0" w:color="auto"/>
            </w:tcBorders>
            <w:vAlign w:val="center"/>
            <w:hideMark/>
          </w:tcPr>
          <w:p w14:paraId="27D96A16" w14:textId="77777777" w:rsidR="00CA3533" w:rsidRPr="00CA3533" w:rsidRDefault="00CA3533" w:rsidP="00CA353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5AC78331"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 xml:space="preserve">Article 5.3.7 de </w:t>
            </w:r>
            <w:r w:rsidRPr="00CA3533">
              <w:rPr>
                <w:rFonts w:eastAsia="DengXian"/>
                <w:bCs/>
                <w:lang w:val="fr-FR"/>
              </w:rPr>
              <w:br/>
              <w:t>EN 13153:2001 + A1:2003</w:t>
            </w:r>
          </w:p>
        </w:tc>
        <w:tc>
          <w:tcPr>
            <w:tcW w:w="4399" w:type="dxa"/>
            <w:tcBorders>
              <w:top w:val="single" w:sz="4" w:space="0" w:color="auto"/>
              <w:left w:val="single" w:sz="4" w:space="0" w:color="auto"/>
              <w:bottom w:val="single" w:sz="4" w:space="0" w:color="auto"/>
              <w:right w:val="single" w:sz="4" w:space="0" w:color="auto"/>
            </w:tcBorders>
            <w:hideMark/>
          </w:tcPr>
          <w:p w14:paraId="3300C74B" w14:textId="77777777" w:rsidR="00CA3533" w:rsidRPr="00CA3533" w:rsidRDefault="00CA3533" w:rsidP="00CA3533">
            <w:pPr>
              <w:spacing w:before="60" w:after="60"/>
              <w:ind w:left="57" w:right="57"/>
              <w:rPr>
                <w:rFonts w:eastAsia="DengXian"/>
                <w:bCs/>
                <w:u w:val="single"/>
                <w:lang w:val="fr-FR"/>
              </w:rPr>
            </w:pPr>
            <w:r w:rsidRPr="00CA3533">
              <w:rPr>
                <w:rFonts w:eastAsia="DengXian"/>
                <w:bCs/>
                <w:lang w:val="fr-FR"/>
              </w:rPr>
              <w:t>Spécifications et essais pour valves de bouteilles de gaz de pétrole liquéfié (GPL) − Fermeture manuelle</w:t>
            </w:r>
          </w:p>
        </w:tc>
      </w:tr>
      <w:tr w:rsidR="00CA3533" w:rsidRPr="00CA3533" w14:paraId="14B57085" w14:textId="77777777" w:rsidTr="00D56820">
        <w:tc>
          <w:tcPr>
            <w:tcW w:w="1413" w:type="dxa"/>
            <w:vMerge/>
            <w:tcBorders>
              <w:top w:val="single" w:sz="4" w:space="0" w:color="auto"/>
              <w:left w:val="single" w:sz="4" w:space="0" w:color="auto"/>
              <w:bottom w:val="single" w:sz="4" w:space="0" w:color="auto"/>
              <w:right w:val="single" w:sz="4" w:space="0" w:color="auto"/>
            </w:tcBorders>
            <w:vAlign w:val="center"/>
            <w:hideMark/>
          </w:tcPr>
          <w:p w14:paraId="1AFBB79C" w14:textId="77777777" w:rsidR="00CA3533" w:rsidRPr="00CA3533" w:rsidRDefault="00CA3533" w:rsidP="00CA353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45BFA327" w14:textId="77777777" w:rsidR="00CA3533" w:rsidRPr="00CA3533" w:rsidRDefault="00CA3533" w:rsidP="00CA3533">
            <w:pPr>
              <w:spacing w:before="60" w:after="60"/>
              <w:ind w:left="57" w:right="57"/>
              <w:rPr>
                <w:rFonts w:eastAsia="DengXian"/>
                <w:bCs/>
                <w:lang w:val="fr-FR"/>
              </w:rPr>
            </w:pPr>
            <w:r w:rsidRPr="00CA3533">
              <w:rPr>
                <w:lang w:val="fr-FR" w:eastAsia="fr-FR"/>
              </w:rPr>
              <w:t>Article 5.9 de EN ISO 14245:2010, article 5.9 de EN ISO 14245:2019 ou article 5.9 de EN ISO 14245:2021</w:t>
            </w:r>
          </w:p>
        </w:tc>
        <w:tc>
          <w:tcPr>
            <w:tcW w:w="4399" w:type="dxa"/>
            <w:tcBorders>
              <w:top w:val="single" w:sz="4" w:space="0" w:color="auto"/>
              <w:left w:val="single" w:sz="4" w:space="0" w:color="auto"/>
              <w:bottom w:val="single" w:sz="4" w:space="0" w:color="auto"/>
              <w:right w:val="single" w:sz="4" w:space="0" w:color="auto"/>
            </w:tcBorders>
            <w:hideMark/>
          </w:tcPr>
          <w:p w14:paraId="63E2F3F2" w14:textId="77777777" w:rsidR="00CA3533" w:rsidRPr="00CA3533" w:rsidRDefault="00CA3533" w:rsidP="00CA3533">
            <w:pPr>
              <w:spacing w:before="60" w:after="60"/>
              <w:ind w:left="57" w:right="57"/>
              <w:rPr>
                <w:rFonts w:eastAsia="DengXian"/>
                <w:bCs/>
                <w:u w:val="single"/>
                <w:lang w:val="fr-FR"/>
              </w:rPr>
            </w:pPr>
            <w:r w:rsidRPr="00CA3533">
              <w:rPr>
                <w:rFonts w:eastAsia="DengXian"/>
                <w:bCs/>
                <w:lang w:val="fr-FR"/>
              </w:rPr>
              <w:t>Bouteilles à gaz − Spécifications et essais pour valves de bouteilles de GPL − Fermeture automatique</w:t>
            </w:r>
          </w:p>
        </w:tc>
      </w:tr>
      <w:tr w:rsidR="00CA3533" w:rsidRPr="00CA3533" w14:paraId="25394C33" w14:textId="77777777" w:rsidTr="00D56820">
        <w:tc>
          <w:tcPr>
            <w:tcW w:w="1413" w:type="dxa"/>
            <w:vMerge/>
            <w:tcBorders>
              <w:top w:val="single" w:sz="4" w:space="0" w:color="auto"/>
              <w:left w:val="single" w:sz="4" w:space="0" w:color="auto"/>
              <w:bottom w:val="single" w:sz="4" w:space="0" w:color="auto"/>
              <w:right w:val="single" w:sz="4" w:space="0" w:color="auto"/>
            </w:tcBorders>
            <w:vAlign w:val="center"/>
            <w:hideMark/>
          </w:tcPr>
          <w:p w14:paraId="0FAA5D7C" w14:textId="77777777" w:rsidR="00CA3533" w:rsidRPr="00CA3533" w:rsidRDefault="00CA3533" w:rsidP="00CA353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15D1163F" w14:textId="77777777" w:rsidR="00CA3533" w:rsidRPr="00CA3533" w:rsidRDefault="00CA3533" w:rsidP="00CA3533">
            <w:pPr>
              <w:spacing w:before="60" w:after="60"/>
              <w:ind w:left="57" w:right="57"/>
              <w:rPr>
                <w:rFonts w:eastAsia="DengXian"/>
                <w:bCs/>
                <w:lang w:val="fr-FR"/>
              </w:rPr>
            </w:pPr>
            <w:r w:rsidRPr="00CA3533">
              <w:rPr>
                <w:lang w:val="fr-FR" w:eastAsia="fr-FR"/>
              </w:rPr>
              <w:t>Article 5.10 de EN ISO 15995:2010, article 5.10 de EN ISO 15995:2019 ou article 5.10 de EN ISO 15995:2021</w:t>
            </w:r>
          </w:p>
        </w:tc>
        <w:tc>
          <w:tcPr>
            <w:tcW w:w="4399" w:type="dxa"/>
            <w:tcBorders>
              <w:top w:val="single" w:sz="4" w:space="0" w:color="auto"/>
              <w:left w:val="single" w:sz="4" w:space="0" w:color="auto"/>
              <w:bottom w:val="single" w:sz="4" w:space="0" w:color="auto"/>
              <w:right w:val="single" w:sz="4" w:space="0" w:color="auto"/>
            </w:tcBorders>
            <w:hideMark/>
          </w:tcPr>
          <w:p w14:paraId="114F2B35" w14:textId="77777777" w:rsidR="00CA3533" w:rsidRPr="00CA3533" w:rsidRDefault="00CA3533" w:rsidP="00CA3533">
            <w:pPr>
              <w:spacing w:before="60" w:after="60"/>
              <w:ind w:left="57" w:right="57"/>
              <w:rPr>
                <w:rFonts w:eastAsia="DengXian"/>
                <w:bCs/>
                <w:u w:val="single"/>
                <w:lang w:val="fr-FR"/>
              </w:rPr>
            </w:pPr>
            <w:r w:rsidRPr="00CA3533">
              <w:rPr>
                <w:rFonts w:eastAsia="DengXian"/>
                <w:bCs/>
                <w:lang w:val="fr-FR"/>
              </w:rPr>
              <w:t>Bouteilles à gaz − Spécifications et essais pour valves de bouteilles de GPL − Fermeture manuelle</w:t>
            </w:r>
          </w:p>
        </w:tc>
      </w:tr>
      <w:tr w:rsidR="00CA3533" w:rsidRPr="00CA3533" w14:paraId="5833E810" w14:textId="77777777" w:rsidTr="00D56820">
        <w:tc>
          <w:tcPr>
            <w:tcW w:w="1413" w:type="dxa"/>
            <w:vMerge/>
            <w:tcBorders>
              <w:top w:val="single" w:sz="4" w:space="0" w:color="auto"/>
              <w:left w:val="single" w:sz="4" w:space="0" w:color="auto"/>
              <w:bottom w:val="single" w:sz="4" w:space="0" w:color="auto"/>
              <w:right w:val="single" w:sz="4" w:space="0" w:color="auto"/>
            </w:tcBorders>
            <w:vAlign w:val="center"/>
            <w:hideMark/>
          </w:tcPr>
          <w:p w14:paraId="222CFFFE" w14:textId="77777777" w:rsidR="00CA3533" w:rsidRPr="00CA3533" w:rsidRDefault="00CA3533" w:rsidP="00CA353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33658758"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 xml:space="preserve">Article 5.4.2 de </w:t>
            </w:r>
            <w:r w:rsidRPr="00CA3533">
              <w:rPr>
                <w:rFonts w:eastAsia="DengXian"/>
                <w:bCs/>
                <w:lang w:val="fr-FR"/>
              </w:rPr>
              <w:br/>
              <w:t>EN ISO 17879:2017</w:t>
            </w:r>
          </w:p>
        </w:tc>
        <w:tc>
          <w:tcPr>
            <w:tcW w:w="4399" w:type="dxa"/>
            <w:tcBorders>
              <w:top w:val="single" w:sz="4" w:space="0" w:color="auto"/>
              <w:left w:val="single" w:sz="4" w:space="0" w:color="auto"/>
              <w:bottom w:val="single" w:sz="4" w:space="0" w:color="auto"/>
              <w:right w:val="single" w:sz="4" w:space="0" w:color="auto"/>
            </w:tcBorders>
            <w:hideMark/>
          </w:tcPr>
          <w:p w14:paraId="59060D2A" w14:textId="77777777" w:rsidR="00CA3533" w:rsidRPr="00CA3533" w:rsidRDefault="00CA3533" w:rsidP="00CA3533">
            <w:pPr>
              <w:spacing w:before="60" w:after="60"/>
              <w:ind w:left="57" w:right="57"/>
              <w:rPr>
                <w:rFonts w:eastAsia="DengXian"/>
                <w:bCs/>
                <w:u w:val="single"/>
                <w:lang w:val="fr-FR"/>
              </w:rPr>
            </w:pPr>
            <w:r w:rsidRPr="00CA3533">
              <w:rPr>
                <w:rFonts w:eastAsia="DengXian"/>
                <w:bCs/>
                <w:lang w:val="fr-FR"/>
              </w:rPr>
              <w:t>Bouteilles à gaz − Robinets de bouteilles équipés de clapets auto-obturants − Spécifications et essais de type</w:t>
            </w:r>
          </w:p>
        </w:tc>
      </w:tr>
      <w:tr w:rsidR="00CA3533" w:rsidRPr="00CA3533" w14:paraId="2E1CDD3B" w14:textId="77777777" w:rsidTr="00D56820">
        <w:tc>
          <w:tcPr>
            <w:tcW w:w="1413" w:type="dxa"/>
            <w:vMerge/>
            <w:tcBorders>
              <w:top w:val="single" w:sz="4" w:space="0" w:color="auto"/>
              <w:left w:val="single" w:sz="4" w:space="0" w:color="auto"/>
              <w:bottom w:val="single" w:sz="4" w:space="0" w:color="auto"/>
              <w:right w:val="single" w:sz="4" w:space="0" w:color="auto"/>
            </w:tcBorders>
            <w:vAlign w:val="center"/>
            <w:hideMark/>
          </w:tcPr>
          <w:p w14:paraId="5A5A858D" w14:textId="77777777" w:rsidR="00CA3533" w:rsidRPr="00CA3533" w:rsidRDefault="00CA3533" w:rsidP="00CA353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5DC266F6" w14:textId="77777777" w:rsidR="00CA3533" w:rsidRPr="00CA3533" w:rsidRDefault="00CA3533" w:rsidP="00CA3533">
            <w:pPr>
              <w:spacing w:before="60" w:after="60" w:line="240" w:lineRule="auto"/>
              <w:ind w:left="57" w:right="57"/>
              <w:rPr>
                <w:rFonts w:eastAsia="DengXian"/>
                <w:bCs/>
                <w:iCs/>
                <w:lang w:val="fr-FR"/>
              </w:rPr>
            </w:pPr>
            <w:r w:rsidRPr="00CA3533">
              <w:rPr>
                <w:rFonts w:eastAsia="DengXian"/>
                <w:bCs/>
                <w:iCs/>
                <w:lang w:val="fr-FR"/>
              </w:rPr>
              <w:t>Article 7.4 de</w:t>
            </w:r>
            <w:r w:rsidRPr="00CA3533">
              <w:rPr>
                <w:rFonts w:eastAsia="DengXian"/>
                <w:bCs/>
                <w:iCs/>
                <w:lang w:val="fr-FR"/>
              </w:rPr>
              <w:br/>
              <w:t>EN 12205:2001 ou</w:t>
            </w:r>
          </w:p>
          <w:p w14:paraId="05F4C50F" w14:textId="77777777" w:rsidR="00CA3533" w:rsidRPr="00CA3533" w:rsidRDefault="00CA3533" w:rsidP="00CA3533">
            <w:pPr>
              <w:spacing w:before="60" w:after="60" w:line="240" w:lineRule="auto"/>
              <w:ind w:left="57" w:right="57"/>
              <w:rPr>
                <w:rFonts w:eastAsia="DengXian"/>
                <w:bCs/>
                <w:iCs/>
                <w:lang w:val="fr-FR"/>
              </w:rPr>
            </w:pPr>
            <w:r w:rsidRPr="00CA3533">
              <w:rPr>
                <w:rFonts w:eastAsia="DengXian"/>
                <w:bCs/>
                <w:iCs/>
                <w:lang w:val="fr-FR"/>
              </w:rPr>
              <w:t xml:space="preserve">Article 9.2.5 de </w:t>
            </w:r>
            <w:r w:rsidRPr="00CA3533">
              <w:rPr>
                <w:rFonts w:eastAsia="DengXian"/>
                <w:bCs/>
                <w:iCs/>
                <w:lang w:val="fr-FR"/>
              </w:rPr>
              <w:br/>
              <w:t>EN ISO 11118:2015 ou</w:t>
            </w:r>
          </w:p>
          <w:p w14:paraId="1A389430" w14:textId="77777777" w:rsidR="00CA3533" w:rsidRPr="00CA3533" w:rsidRDefault="00CA3533" w:rsidP="00CA3533">
            <w:pPr>
              <w:spacing w:before="60" w:after="60" w:line="240" w:lineRule="auto"/>
              <w:ind w:left="57" w:right="57"/>
              <w:rPr>
                <w:rFonts w:eastAsia="DengXian"/>
                <w:bCs/>
                <w:lang w:val="fr-FR"/>
              </w:rPr>
            </w:pPr>
            <w:r w:rsidRPr="00CA3533">
              <w:rPr>
                <w:rFonts w:eastAsia="DengXian"/>
                <w:bCs/>
                <w:iCs/>
                <w:lang w:val="fr-FR"/>
              </w:rPr>
              <w:t xml:space="preserve">Article 9.2.5 de </w:t>
            </w:r>
            <w:r w:rsidRPr="00CA3533">
              <w:rPr>
                <w:rFonts w:eastAsia="DengXian"/>
                <w:bCs/>
                <w:iCs/>
                <w:lang w:val="fr-FR"/>
              </w:rPr>
              <w:br/>
              <w:t>EN ISO 11118:2015 + A1:2020</w:t>
            </w:r>
          </w:p>
        </w:tc>
        <w:tc>
          <w:tcPr>
            <w:tcW w:w="4399" w:type="dxa"/>
            <w:tcBorders>
              <w:top w:val="single" w:sz="4" w:space="0" w:color="auto"/>
              <w:left w:val="single" w:sz="4" w:space="0" w:color="auto"/>
              <w:bottom w:val="single" w:sz="4" w:space="0" w:color="auto"/>
              <w:right w:val="single" w:sz="4" w:space="0" w:color="auto"/>
            </w:tcBorders>
            <w:hideMark/>
          </w:tcPr>
          <w:p w14:paraId="0799B0B6" w14:textId="77777777" w:rsidR="00CA3533" w:rsidRPr="00CA3533" w:rsidRDefault="00CA3533" w:rsidP="00CA3533">
            <w:pPr>
              <w:spacing w:before="60" w:after="60"/>
              <w:ind w:left="57" w:right="57"/>
              <w:rPr>
                <w:rFonts w:eastAsia="DengXian"/>
                <w:bCs/>
                <w:lang w:val="fr-FR"/>
              </w:rPr>
            </w:pPr>
            <w:r w:rsidRPr="00CA3533">
              <w:rPr>
                <w:rFonts w:eastAsia="DengXian"/>
                <w:bCs/>
                <w:iCs/>
                <w:lang w:val="fr-FR"/>
              </w:rPr>
              <w:t xml:space="preserve">Bouteilles à gaz − Bouteilles à gaz métalliques non rechargeables − Spécifications et méthodes d’essai </w:t>
            </w:r>
          </w:p>
        </w:tc>
      </w:tr>
      <w:tr w:rsidR="00CA3533" w:rsidRPr="00CA3533" w14:paraId="61405BE8" w14:textId="77777777" w:rsidTr="00D56820">
        <w:tc>
          <w:tcPr>
            <w:tcW w:w="1413" w:type="dxa"/>
            <w:vMerge w:val="restart"/>
            <w:tcBorders>
              <w:top w:val="single" w:sz="4" w:space="0" w:color="auto"/>
              <w:left w:val="single" w:sz="4" w:space="0" w:color="auto"/>
              <w:bottom w:val="single" w:sz="4" w:space="0" w:color="auto"/>
              <w:right w:val="single" w:sz="4" w:space="0" w:color="auto"/>
            </w:tcBorders>
            <w:hideMark/>
          </w:tcPr>
          <w:p w14:paraId="245FF33B"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4.1.6.8 b)</w:t>
            </w:r>
          </w:p>
        </w:tc>
        <w:tc>
          <w:tcPr>
            <w:tcW w:w="2693" w:type="dxa"/>
            <w:tcBorders>
              <w:top w:val="single" w:sz="4" w:space="0" w:color="auto"/>
              <w:left w:val="single" w:sz="4" w:space="0" w:color="auto"/>
              <w:bottom w:val="single" w:sz="4" w:space="0" w:color="auto"/>
              <w:right w:val="single" w:sz="4" w:space="0" w:color="auto"/>
            </w:tcBorders>
            <w:hideMark/>
          </w:tcPr>
          <w:p w14:paraId="1002ED43" w14:textId="77777777" w:rsidR="00CA3533" w:rsidRPr="00CA3533" w:rsidRDefault="00CA3533" w:rsidP="00CA3533">
            <w:pPr>
              <w:spacing w:before="60" w:after="60"/>
              <w:ind w:left="57" w:right="57"/>
              <w:rPr>
                <w:rFonts w:eastAsia="DengXian"/>
                <w:bCs/>
                <w:iCs/>
                <w:lang w:val="fr-FR"/>
              </w:rPr>
            </w:pPr>
            <w:r w:rsidRPr="00CA3533">
              <w:rPr>
                <w:rFonts w:eastAsia="DengXian"/>
                <w:bCs/>
                <w:iCs/>
                <w:lang w:val="fr-FR"/>
              </w:rPr>
              <w:t xml:space="preserve">ISO 11117:1998 ou </w:t>
            </w:r>
            <w:r w:rsidRPr="00CA3533">
              <w:rPr>
                <w:rFonts w:eastAsia="DengXian"/>
                <w:bCs/>
                <w:iCs/>
                <w:lang w:val="fr-FR"/>
              </w:rPr>
              <w:br/>
              <w:t xml:space="preserve">EN ISO 11117:2008 + Cor 1:2009 ou </w:t>
            </w:r>
            <w:r w:rsidRPr="00CA3533">
              <w:rPr>
                <w:rFonts w:eastAsia="DengXian"/>
                <w:bCs/>
                <w:iCs/>
                <w:lang w:val="fr-FR"/>
              </w:rPr>
              <w:br/>
              <w:t>EN ISO 11117:2019</w:t>
            </w:r>
          </w:p>
        </w:tc>
        <w:tc>
          <w:tcPr>
            <w:tcW w:w="4399" w:type="dxa"/>
            <w:tcBorders>
              <w:top w:val="single" w:sz="4" w:space="0" w:color="auto"/>
              <w:left w:val="single" w:sz="4" w:space="0" w:color="auto"/>
              <w:bottom w:val="single" w:sz="4" w:space="0" w:color="auto"/>
              <w:right w:val="single" w:sz="4" w:space="0" w:color="auto"/>
            </w:tcBorders>
            <w:hideMark/>
          </w:tcPr>
          <w:p w14:paraId="5B54DA1C" w14:textId="77777777" w:rsidR="00CA3533" w:rsidRPr="00CA3533" w:rsidRDefault="00CA3533" w:rsidP="00CA3533">
            <w:pPr>
              <w:spacing w:before="60" w:after="60"/>
              <w:ind w:left="57" w:right="57"/>
              <w:rPr>
                <w:rFonts w:eastAsia="DengXian"/>
                <w:bCs/>
                <w:iCs/>
                <w:lang w:val="fr-FR"/>
              </w:rPr>
            </w:pPr>
            <w:r w:rsidRPr="00CA3533">
              <w:rPr>
                <w:rFonts w:eastAsia="DengXian"/>
                <w:bCs/>
                <w:iCs/>
                <w:lang w:val="fr-FR"/>
              </w:rPr>
              <w:t>Bouteilles à gaz − Chapeaux fermés et chapeaux ouverts de protection des robinets − Conception, construction et essais</w:t>
            </w:r>
          </w:p>
        </w:tc>
      </w:tr>
      <w:tr w:rsidR="00CA3533" w:rsidRPr="00CA3533" w14:paraId="3D49D060" w14:textId="77777777" w:rsidTr="00D56820">
        <w:tc>
          <w:tcPr>
            <w:tcW w:w="1413" w:type="dxa"/>
            <w:vMerge/>
            <w:tcBorders>
              <w:top w:val="single" w:sz="4" w:space="0" w:color="auto"/>
              <w:left w:val="single" w:sz="4" w:space="0" w:color="auto"/>
              <w:bottom w:val="single" w:sz="4" w:space="0" w:color="auto"/>
              <w:right w:val="single" w:sz="4" w:space="0" w:color="auto"/>
            </w:tcBorders>
            <w:vAlign w:val="center"/>
            <w:hideMark/>
          </w:tcPr>
          <w:p w14:paraId="7D12B728" w14:textId="77777777" w:rsidR="00CA3533" w:rsidRPr="00CA3533" w:rsidRDefault="00CA3533" w:rsidP="00CA353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52097E9A" w14:textId="77777777" w:rsidR="00CA3533" w:rsidRPr="00CA3533" w:rsidRDefault="00CA3533" w:rsidP="00CA3533">
            <w:pPr>
              <w:spacing w:before="60" w:after="60"/>
              <w:ind w:left="57" w:right="57"/>
              <w:rPr>
                <w:rFonts w:eastAsia="DengXian"/>
                <w:bCs/>
                <w:iCs/>
                <w:lang w:val="fr-FR"/>
              </w:rPr>
            </w:pPr>
            <w:r w:rsidRPr="00CA3533">
              <w:rPr>
                <w:rFonts w:eastAsia="DengXian"/>
                <w:bCs/>
                <w:iCs/>
                <w:lang w:val="fr-FR"/>
              </w:rPr>
              <w:t>EN 962:1996 +A2:2000</w:t>
            </w:r>
          </w:p>
        </w:tc>
        <w:tc>
          <w:tcPr>
            <w:tcW w:w="4399" w:type="dxa"/>
            <w:tcBorders>
              <w:top w:val="single" w:sz="4" w:space="0" w:color="auto"/>
              <w:left w:val="single" w:sz="4" w:space="0" w:color="auto"/>
              <w:bottom w:val="single" w:sz="4" w:space="0" w:color="auto"/>
              <w:right w:val="single" w:sz="4" w:space="0" w:color="auto"/>
            </w:tcBorders>
            <w:hideMark/>
          </w:tcPr>
          <w:p w14:paraId="514ACA90" w14:textId="77777777" w:rsidR="00CA3533" w:rsidRPr="00CA3533" w:rsidRDefault="00CA3533" w:rsidP="00CA3533">
            <w:pPr>
              <w:spacing w:before="60" w:after="60"/>
              <w:ind w:left="57" w:right="57"/>
              <w:rPr>
                <w:rFonts w:eastAsia="DengXian"/>
                <w:bCs/>
                <w:iCs/>
                <w:spacing w:val="-2"/>
                <w:lang w:val="fr-FR"/>
              </w:rPr>
            </w:pPr>
            <w:r w:rsidRPr="00CA3533">
              <w:rPr>
                <w:rFonts w:eastAsia="DengXian"/>
                <w:bCs/>
                <w:iCs/>
                <w:spacing w:val="-2"/>
                <w:lang w:val="fr-FR"/>
              </w:rPr>
              <w:t>Bouteilles à gaz transportables − Chapeaux fermés et chapeaux ouverts de protection des robinets de bouteilles à gaz industriels et médicaux − Conception, construction et essais</w:t>
            </w:r>
          </w:p>
        </w:tc>
      </w:tr>
      <w:tr w:rsidR="00CA3533" w:rsidRPr="00CA3533" w14:paraId="2146B4F9" w14:textId="77777777" w:rsidTr="00D56820">
        <w:tc>
          <w:tcPr>
            <w:tcW w:w="1413" w:type="dxa"/>
            <w:tcBorders>
              <w:top w:val="single" w:sz="4" w:space="0" w:color="auto"/>
              <w:left w:val="single" w:sz="4" w:space="0" w:color="auto"/>
              <w:bottom w:val="single" w:sz="4" w:space="0" w:color="auto"/>
              <w:right w:val="single" w:sz="4" w:space="0" w:color="auto"/>
            </w:tcBorders>
            <w:hideMark/>
          </w:tcPr>
          <w:p w14:paraId="53CBD973"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lastRenderedPageBreak/>
              <w:t>4.1.6.8 c)</w:t>
            </w:r>
          </w:p>
        </w:tc>
        <w:tc>
          <w:tcPr>
            <w:tcW w:w="7092" w:type="dxa"/>
            <w:gridSpan w:val="2"/>
            <w:tcBorders>
              <w:top w:val="single" w:sz="4" w:space="0" w:color="auto"/>
              <w:left w:val="single" w:sz="4" w:space="0" w:color="auto"/>
              <w:bottom w:val="single" w:sz="4" w:space="0" w:color="auto"/>
              <w:right w:val="single" w:sz="4" w:space="0" w:color="auto"/>
            </w:tcBorders>
            <w:hideMark/>
          </w:tcPr>
          <w:p w14:paraId="4E62042B" w14:textId="77777777" w:rsidR="00CA3533" w:rsidRPr="00CA3533" w:rsidRDefault="00CA3533" w:rsidP="00CA3533">
            <w:pPr>
              <w:spacing w:before="60" w:after="60"/>
              <w:ind w:left="57" w:right="57"/>
              <w:rPr>
                <w:rFonts w:eastAsia="DengXian"/>
                <w:bCs/>
                <w:iCs/>
                <w:lang w:val="fr-FR"/>
              </w:rPr>
            </w:pPr>
            <w:r w:rsidRPr="00CA3533">
              <w:rPr>
                <w:rFonts w:eastAsia="DengXian"/>
                <w:bCs/>
                <w:iCs/>
                <w:lang w:val="fr-FR"/>
              </w:rPr>
              <w:t xml:space="preserve">Les prescriptions pour les collerettes et les dispositifs de protection inamovibles servant à protéger le robinet conformément au 4.1.6.8 c) sont indiquées dans les normes applicables de conception de l’enveloppe des récipients à pression (voir 6.2.2.3 pour les récipients à pression « UN » et 6.2.4.1 pour les récipients à pression </w:t>
            </w:r>
            <w:r w:rsidRPr="00CA3533">
              <w:rPr>
                <w:rFonts w:eastAsia="DengXian"/>
                <w:bCs/>
                <w:lang w:val="fr-FR"/>
              </w:rPr>
              <w:t>« non UN »</w:t>
            </w:r>
            <w:r w:rsidRPr="00CA3533">
              <w:rPr>
                <w:rFonts w:eastAsia="DengXian"/>
                <w:bCs/>
                <w:iCs/>
                <w:lang w:val="fr-FR"/>
              </w:rPr>
              <w:t>).</w:t>
            </w:r>
          </w:p>
        </w:tc>
      </w:tr>
      <w:tr w:rsidR="00CA3533" w:rsidRPr="00CA3533" w14:paraId="20BD4659" w14:textId="77777777" w:rsidTr="00D56820">
        <w:tc>
          <w:tcPr>
            <w:tcW w:w="1413" w:type="dxa"/>
            <w:tcBorders>
              <w:top w:val="single" w:sz="4" w:space="0" w:color="auto"/>
              <w:left w:val="single" w:sz="4" w:space="0" w:color="auto"/>
              <w:bottom w:val="single" w:sz="4" w:space="0" w:color="auto"/>
              <w:right w:val="single" w:sz="4" w:space="0" w:color="auto"/>
            </w:tcBorders>
            <w:hideMark/>
          </w:tcPr>
          <w:p w14:paraId="309975A5"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4.1.6.8 b) et c)</w:t>
            </w:r>
          </w:p>
        </w:tc>
        <w:tc>
          <w:tcPr>
            <w:tcW w:w="2693" w:type="dxa"/>
            <w:tcBorders>
              <w:top w:val="single" w:sz="4" w:space="0" w:color="auto"/>
              <w:left w:val="single" w:sz="4" w:space="0" w:color="auto"/>
              <w:bottom w:val="single" w:sz="4" w:space="0" w:color="auto"/>
              <w:right w:val="single" w:sz="4" w:space="0" w:color="auto"/>
            </w:tcBorders>
            <w:hideMark/>
          </w:tcPr>
          <w:p w14:paraId="0A4315D5"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ISO 16111:2008 ou</w:t>
            </w:r>
          </w:p>
          <w:p w14:paraId="4AA94C84" w14:textId="77777777" w:rsidR="00CA3533" w:rsidRPr="00CA3533" w:rsidRDefault="00CA3533" w:rsidP="00CA3533">
            <w:pPr>
              <w:spacing w:before="60" w:after="60"/>
              <w:ind w:left="57" w:right="57"/>
              <w:rPr>
                <w:rFonts w:eastAsia="DengXian"/>
                <w:bCs/>
                <w:lang w:val="fr-FR"/>
              </w:rPr>
            </w:pPr>
            <w:r w:rsidRPr="00CA3533">
              <w:rPr>
                <w:rFonts w:eastAsia="DengXian"/>
                <w:bCs/>
                <w:lang w:val="fr-FR"/>
              </w:rPr>
              <w:t>ISO 16111:2018</w:t>
            </w:r>
          </w:p>
        </w:tc>
        <w:tc>
          <w:tcPr>
            <w:tcW w:w="4399" w:type="dxa"/>
            <w:tcBorders>
              <w:top w:val="single" w:sz="4" w:space="0" w:color="auto"/>
              <w:left w:val="single" w:sz="4" w:space="0" w:color="auto"/>
              <w:bottom w:val="single" w:sz="4" w:space="0" w:color="auto"/>
              <w:right w:val="single" w:sz="4" w:space="0" w:color="auto"/>
            </w:tcBorders>
            <w:hideMark/>
          </w:tcPr>
          <w:p w14:paraId="5BE9505F" w14:textId="77777777" w:rsidR="00CA3533" w:rsidRPr="00CA3533" w:rsidRDefault="00CA3533" w:rsidP="00CA3533">
            <w:pPr>
              <w:spacing w:before="60" w:after="60"/>
              <w:ind w:left="57" w:right="57"/>
              <w:rPr>
                <w:rFonts w:eastAsia="DengXian"/>
                <w:bCs/>
                <w:u w:val="single"/>
                <w:lang w:val="fr-FR"/>
              </w:rPr>
            </w:pPr>
            <w:r w:rsidRPr="00CA3533">
              <w:rPr>
                <w:rFonts w:eastAsia="DengXian"/>
                <w:bCs/>
                <w:lang w:val="fr-FR"/>
              </w:rPr>
              <w:t>Appareils de stockage de gaz transportables − Hydrogène absorbé dans un hydrure métallique réversible</w:t>
            </w:r>
          </w:p>
        </w:tc>
      </w:tr>
    </w:tbl>
    <w:p w14:paraId="7E40BAD9" w14:textId="3B949B52" w:rsidR="00CA3533" w:rsidRPr="00262778" w:rsidRDefault="00CA3533" w:rsidP="00262778">
      <w:pPr>
        <w:spacing w:before="120" w:after="120"/>
        <w:ind w:left="1134" w:right="1134"/>
        <w:jc w:val="center"/>
        <w:rPr>
          <w:b/>
          <w:bCs/>
          <w:lang w:val="fr-FR"/>
        </w:rPr>
      </w:pPr>
      <w:r w:rsidRPr="00262778">
        <w:rPr>
          <w:b/>
          <w:bCs/>
          <w:lang w:val="fr-FR"/>
        </w:rPr>
        <w:t xml:space="preserve">Tableau 4.1.6.15.2 : Périodes d’applicabilité des normes pour les </w:t>
      </w:r>
      <w:r w:rsidR="00262778">
        <w:rPr>
          <w:b/>
          <w:bCs/>
          <w:lang w:val="fr-FR"/>
        </w:rPr>
        <w:br/>
      </w:r>
      <w:r w:rsidRPr="00262778">
        <w:rPr>
          <w:b/>
          <w:bCs/>
          <w:lang w:val="fr-FR"/>
        </w:rPr>
        <w:t xml:space="preserve">chapeaux fermés et les chapeaux ouverts de protection des robinets montés </w:t>
      </w:r>
      <w:r w:rsidR="00262778">
        <w:rPr>
          <w:b/>
          <w:bCs/>
          <w:lang w:val="fr-FR"/>
        </w:rPr>
        <w:br/>
      </w:r>
      <w:r w:rsidRPr="00262778">
        <w:rPr>
          <w:b/>
          <w:bCs/>
          <w:lang w:val="fr-FR"/>
        </w:rPr>
        <w:t>sur des récipients à pression non UN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0"/>
        <w:gridCol w:w="3991"/>
        <w:gridCol w:w="1559"/>
      </w:tblGrid>
      <w:tr w:rsidR="00CA3533" w:rsidRPr="00CA3533" w14:paraId="6C19D307" w14:textId="77777777" w:rsidTr="00D56820">
        <w:tc>
          <w:tcPr>
            <w:tcW w:w="1820" w:type="dxa"/>
            <w:shd w:val="clear" w:color="auto" w:fill="auto"/>
            <w:vAlign w:val="center"/>
          </w:tcPr>
          <w:p w14:paraId="144D11F1" w14:textId="77777777" w:rsidR="00CA3533" w:rsidRPr="00CA3533" w:rsidRDefault="00CA3533" w:rsidP="00CA3533">
            <w:pPr>
              <w:keepNext/>
              <w:tabs>
                <w:tab w:val="left" w:pos="1418"/>
                <w:tab w:val="left" w:pos="2977"/>
                <w:tab w:val="left" w:pos="4395"/>
              </w:tabs>
              <w:spacing w:before="60" w:after="60" w:line="240" w:lineRule="auto"/>
              <w:ind w:left="57" w:right="57"/>
              <w:jc w:val="center"/>
              <w:rPr>
                <w:rFonts w:cs="Arial"/>
                <w:b/>
                <w:sz w:val="18"/>
                <w:szCs w:val="18"/>
                <w:lang w:val="fr-FR"/>
              </w:rPr>
            </w:pPr>
            <w:r w:rsidRPr="00CA3533">
              <w:rPr>
                <w:b/>
                <w:bCs/>
                <w:sz w:val="18"/>
                <w:szCs w:val="18"/>
                <w:lang w:val="fr-FR"/>
              </w:rPr>
              <w:t>Référence</w:t>
            </w:r>
          </w:p>
        </w:tc>
        <w:tc>
          <w:tcPr>
            <w:tcW w:w="3991" w:type="dxa"/>
            <w:shd w:val="clear" w:color="auto" w:fill="auto"/>
            <w:vAlign w:val="center"/>
          </w:tcPr>
          <w:p w14:paraId="6BB60ECF" w14:textId="77777777" w:rsidR="00CA3533" w:rsidRPr="00CA3533" w:rsidRDefault="00CA3533" w:rsidP="00CA3533">
            <w:pPr>
              <w:keepNext/>
              <w:tabs>
                <w:tab w:val="left" w:pos="1418"/>
                <w:tab w:val="left" w:pos="2977"/>
                <w:tab w:val="left" w:pos="4395"/>
              </w:tabs>
              <w:spacing w:before="60" w:after="60" w:line="240" w:lineRule="auto"/>
              <w:ind w:left="57" w:right="57"/>
              <w:jc w:val="center"/>
              <w:rPr>
                <w:rFonts w:cs="Arial"/>
                <w:b/>
                <w:sz w:val="18"/>
                <w:szCs w:val="18"/>
                <w:lang w:val="fr-FR"/>
              </w:rPr>
            </w:pPr>
            <w:r w:rsidRPr="00CA3533">
              <w:rPr>
                <w:b/>
                <w:bCs/>
                <w:sz w:val="18"/>
                <w:szCs w:val="18"/>
                <w:lang w:val="fr-FR"/>
              </w:rPr>
              <w:t>Titre du document</w:t>
            </w:r>
          </w:p>
        </w:tc>
        <w:tc>
          <w:tcPr>
            <w:tcW w:w="1559" w:type="dxa"/>
            <w:shd w:val="clear" w:color="auto" w:fill="auto"/>
          </w:tcPr>
          <w:p w14:paraId="4263073F" w14:textId="77777777" w:rsidR="00CA3533" w:rsidRPr="00CA3533" w:rsidRDefault="00CA3533" w:rsidP="00CA3533">
            <w:pPr>
              <w:keepNext/>
              <w:spacing w:before="60" w:after="60" w:line="240" w:lineRule="auto"/>
              <w:ind w:left="57" w:right="57"/>
              <w:jc w:val="center"/>
              <w:rPr>
                <w:b/>
                <w:sz w:val="18"/>
                <w:szCs w:val="18"/>
                <w:lang w:val="fr-FR"/>
              </w:rPr>
            </w:pPr>
            <w:r w:rsidRPr="00CA3533">
              <w:rPr>
                <w:b/>
                <w:sz w:val="18"/>
                <w:szCs w:val="18"/>
                <w:lang w:val="fr-FR"/>
              </w:rPr>
              <w:t>Applicable pour la fabrication</w:t>
            </w:r>
          </w:p>
        </w:tc>
      </w:tr>
      <w:tr w:rsidR="00CA3533" w:rsidRPr="00CA3533" w14:paraId="38982C0C" w14:textId="77777777" w:rsidTr="00D56820">
        <w:tc>
          <w:tcPr>
            <w:tcW w:w="1820" w:type="dxa"/>
            <w:shd w:val="clear" w:color="auto" w:fill="auto"/>
          </w:tcPr>
          <w:p w14:paraId="35C196E6" w14:textId="77777777" w:rsidR="00CA3533" w:rsidRPr="00CA3533" w:rsidRDefault="00CA3533" w:rsidP="00CA3533">
            <w:pPr>
              <w:spacing w:before="40" w:after="40" w:line="240" w:lineRule="auto"/>
              <w:ind w:left="57" w:right="57"/>
              <w:rPr>
                <w:rFonts w:cs="Arial"/>
                <w:sz w:val="18"/>
                <w:szCs w:val="18"/>
                <w:lang w:val="fr-FR"/>
              </w:rPr>
            </w:pPr>
            <w:r w:rsidRPr="00CA3533">
              <w:rPr>
                <w:sz w:val="18"/>
                <w:szCs w:val="18"/>
                <w:lang w:val="fr-FR"/>
              </w:rPr>
              <w:t>ISO 11117:1998</w:t>
            </w:r>
          </w:p>
        </w:tc>
        <w:tc>
          <w:tcPr>
            <w:tcW w:w="3991" w:type="dxa"/>
            <w:shd w:val="clear" w:color="auto" w:fill="auto"/>
          </w:tcPr>
          <w:p w14:paraId="5EC6C9FF" w14:textId="77777777" w:rsidR="00CA3533" w:rsidRPr="00CA3533" w:rsidRDefault="00CA3533" w:rsidP="00CA3533">
            <w:pPr>
              <w:spacing w:before="40" w:after="40" w:line="240" w:lineRule="auto"/>
              <w:ind w:left="57" w:right="57"/>
              <w:rPr>
                <w:rFonts w:cs="Arial"/>
                <w:lang w:val="fr-FR"/>
              </w:rPr>
            </w:pPr>
            <w:r w:rsidRPr="00CA3533">
              <w:rPr>
                <w:sz w:val="18"/>
                <w:szCs w:val="18"/>
                <w:lang w:val="fr-FR"/>
              </w:rPr>
              <w:t>Bouteilles à gaz − Chapeaux fermés et chapeaux ouverts de protection des robinets de bouteilles à gaz industriels et médicaux − Conception, construction et essais</w:t>
            </w:r>
          </w:p>
        </w:tc>
        <w:tc>
          <w:tcPr>
            <w:tcW w:w="1559" w:type="dxa"/>
            <w:shd w:val="clear" w:color="auto" w:fill="auto"/>
          </w:tcPr>
          <w:p w14:paraId="0B4030AE" w14:textId="77777777" w:rsidR="00CA3533" w:rsidRPr="00CA3533" w:rsidRDefault="00CA3533" w:rsidP="00CA3533">
            <w:pPr>
              <w:spacing w:before="40" w:after="40" w:line="240" w:lineRule="auto"/>
              <w:ind w:left="57" w:right="57"/>
              <w:rPr>
                <w:rFonts w:cs="Arial"/>
                <w:sz w:val="18"/>
                <w:szCs w:val="18"/>
                <w:lang w:val="fr-FR"/>
              </w:rPr>
            </w:pPr>
            <w:r w:rsidRPr="00CA3533">
              <w:rPr>
                <w:sz w:val="18"/>
                <w:szCs w:val="18"/>
                <w:lang w:val="fr-FR"/>
              </w:rPr>
              <w:t>Jusqu’au 31 décembre 2014</w:t>
            </w:r>
          </w:p>
        </w:tc>
      </w:tr>
      <w:tr w:rsidR="00CA3533" w:rsidRPr="00CA3533" w14:paraId="13624DFE" w14:textId="77777777" w:rsidTr="00D56820">
        <w:tc>
          <w:tcPr>
            <w:tcW w:w="1820" w:type="dxa"/>
            <w:shd w:val="clear" w:color="auto" w:fill="auto"/>
          </w:tcPr>
          <w:p w14:paraId="40DEA1F9" w14:textId="77777777" w:rsidR="00CA3533" w:rsidRPr="00CA3533" w:rsidRDefault="00CA3533" w:rsidP="00CA3533">
            <w:pPr>
              <w:spacing w:before="40" w:after="40" w:line="240" w:lineRule="auto"/>
              <w:ind w:left="57" w:right="57"/>
              <w:rPr>
                <w:rFonts w:cs="Arial"/>
                <w:sz w:val="18"/>
                <w:szCs w:val="18"/>
                <w:lang w:val="fr-FR"/>
              </w:rPr>
            </w:pPr>
            <w:r w:rsidRPr="00CA3533">
              <w:rPr>
                <w:sz w:val="18"/>
                <w:szCs w:val="18"/>
                <w:lang w:val="fr-FR"/>
              </w:rPr>
              <w:t>EN ISO 11117:2008 + Cor 1:2009</w:t>
            </w:r>
          </w:p>
        </w:tc>
        <w:tc>
          <w:tcPr>
            <w:tcW w:w="3991" w:type="dxa"/>
            <w:shd w:val="clear" w:color="auto" w:fill="auto"/>
          </w:tcPr>
          <w:p w14:paraId="37F8B097" w14:textId="77777777" w:rsidR="00CA3533" w:rsidRPr="00CA3533" w:rsidRDefault="00CA3533" w:rsidP="00CA3533">
            <w:pPr>
              <w:spacing w:before="40" w:after="40" w:line="240" w:lineRule="auto"/>
              <w:ind w:left="57" w:right="57"/>
              <w:rPr>
                <w:rFonts w:cs="Arial"/>
                <w:sz w:val="18"/>
                <w:szCs w:val="18"/>
                <w:lang w:val="fr-FR"/>
              </w:rPr>
            </w:pPr>
            <w:r w:rsidRPr="00CA3533">
              <w:rPr>
                <w:sz w:val="18"/>
                <w:szCs w:val="18"/>
                <w:lang w:val="fr-FR"/>
              </w:rPr>
              <w:t>Bouteilles à gaz − Chapeaux fermés et chapeaux ouverts de protection des robinets − Conception, construction et essais</w:t>
            </w:r>
          </w:p>
        </w:tc>
        <w:tc>
          <w:tcPr>
            <w:tcW w:w="1559" w:type="dxa"/>
            <w:shd w:val="clear" w:color="auto" w:fill="auto"/>
          </w:tcPr>
          <w:p w14:paraId="5A9B503E" w14:textId="77777777" w:rsidR="00CA3533" w:rsidRPr="00CA3533" w:rsidRDefault="00CA3533" w:rsidP="00CA3533">
            <w:pPr>
              <w:spacing w:before="40" w:after="40" w:line="240" w:lineRule="auto"/>
              <w:ind w:left="57" w:right="57"/>
              <w:rPr>
                <w:rFonts w:cs="Arial"/>
                <w:lang w:val="fr-FR"/>
              </w:rPr>
            </w:pPr>
            <w:r w:rsidRPr="00CA3533">
              <w:rPr>
                <w:sz w:val="18"/>
                <w:szCs w:val="18"/>
                <w:lang w:val="fr-FR"/>
              </w:rPr>
              <w:t>Jusqu’au 31 décembre 2024</w:t>
            </w:r>
          </w:p>
        </w:tc>
      </w:tr>
      <w:tr w:rsidR="00CA3533" w:rsidRPr="00CA3533" w14:paraId="439231D2" w14:textId="77777777" w:rsidTr="00D56820">
        <w:tc>
          <w:tcPr>
            <w:tcW w:w="1820" w:type="dxa"/>
            <w:shd w:val="clear" w:color="auto" w:fill="auto"/>
          </w:tcPr>
          <w:p w14:paraId="3D56B93A" w14:textId="77777777" w:rsidR="00CA3533" w:rsidRPr="00CA3533" w:rsidRDefault="00CA3533" w:rsidP="00CA3533">
            <w:pPr>
              <w:spacing w:before="40" w:after="40" w:line="240" w:lineRule="auto"/>
              <w:ind w:left="57" w:right="57"/>
              <w:rPr>
                <w:rFonts w:cs="Arial"/>
                <w:bCs/>
                <w:sz w:val="18"/>
                <w:szCs w:val="18"/>
                <w:lang w:val="fr-FR"/>
              </w:rPr>
            </w:pPr>
            <w:r w:rsidRPr="00CA3533">
              <w:rPr>
                <w:bCs/>
                <w:sz w:val="18"/>
                <w:szCs w:val="18"/>
                <w:lang w:val="fr-FR"/>
              </w:rPr>
              <w:t>EN ISO 11117:2019</w:t>
            </w:r>
          </w:p>
        </w:tc>
        <w:tc>
          <w:tcPr>
            <w:tcW w:w="3991" w:type="dxa"/>
            <w:shd w:val="clear" w:color="auto" w:fill="auto"/>
          </w:tcPr>
          <w:p w14:paraId="430CC980" w14:textId="77777777" w:rsidR="00CA3533" w:rsidRPr="00CA3533" w:rsidRDefault="00CA3533" w:rsidP="00CA3533">
            <w:pPr>
              <w:spacing w:before="40" w:after="40" w:line="240" w:lineRule="auto"/>
              <w:ind w:left="57" w:right="57"/>
              <w:rPr>
                <w:rFonts w:cs="Arial"/>
                <w:bCs/>
                <w:sz w:val="18"/>
                <w:szCs w:val="18"/>
                <w:lang w:val="fr-FR"/>
              </w:rPr>
            </w:pPr>
            <w:r w:rsidRPr="00CA3533">
              <w:rPr>
                <w:bCs/>
                <w:sz w:val="18"/>
                <w:szCs w:val="18"/>
                <w:lang w:val="fr-FR"/>
              </w:rPr>
              <w:t>Bouteilles à gaz − Chapeaux fermés et chapeaux ouverts de protection des robinets − Conception, construction et essais</w:t>
            </w:r>
          </w:p>
        </w:tc>
        <w:tc>
          <w:tcPr>
            <w:tcW w:w="1559" w:type="dxa"/>
            <w:shd w:val="clear" w:color="auto" w:fill="auto"/>
          </w:tcPr>
          <w:p w14:paraId="5C9B0EC3" w14:textId="77777777" w:rsidR="00CA3533" w:rsidRPr="00CA3533" w:rsidRDefault="00CA3533" w:rsidP="00CA3533">
            <w:pPr>
              <w:spacing w:before="40" w:after="40" w:line="240" w:lineRule="auto"/>
              <w:ind w:left="57" w:right="57"/>
              <w:rPr>
                <w:rFonts w:cs="Arial"/>
                <w:bCs/>
                <w:lang w:val="fr-FR"/>
              </w:rPr>
            </w:pPr>
            <w:r w:rsidRPr="00CA3533">
              <w:rPr>
                <w:bCs/>
                <w:sz w:val="18"/>
                <w:szCs w:val="18"/>
                <w:lang w:val="fr-FR"/>
              </w:rPr>
              <w:t>Jusqu’à nouvel ordre</w:t>
            </w:r>
          </w:p>
        </w:tc>
      </w:tr>
      <w:tr w:rsidR="00CA3533" w:rsidRPr="00CA3533" w14:paraId="7E6C29C4" w14:textId="77777777" w:rsidTr="00D56820">
        <w:tc>
          <w:tcPr>
            <w:tcW w:w="1820" w:type="dxa"/>
            <w:shd w:val="clear" w:color="auto" w:fill="auto"/>
          </w:tcPr>
          <w:p w14:paraId="5A8E1D1B" w14:textId="77777777" w:rsidR="00CA3533" w:rsidRPr="00CA3533" w:rsidRDefault="00CA3533" w:rsidP="00CA3533">
            <w:pPr>
              <w:spacing w:before="40" w:after="40" w:line="240" w:lineRule="auto"/>
              <w:ind w:left="57" w:right="57"/>
              <w:rPr>
                <w:rFonts w:cs="Arial"/>
                <w:lang w:val="fr-FR"/>
              </w:rPr>
            </w:pPr>
            <w:r w:rsidRPr="00CA3533">
              <w:rPr>
                <w:sz w:val="18"/>
                <w:szCs w:val="18"/>
                <w:lang w:val="fr-FR"/>
              </w:rPr>
              <w:t>EN 962:1996 +A2:2000</w:t>
            </w:r>
          </w:p>
        </w:tc>
        <w:tc>
          <w:tcPr>
            <w:tcW w:w="3991" w:type="dxa"/>
            <w:shd w:val="clear" w:color="auto" w:fill="auto"/>
          </w:tcPr>
          <w:p w14:paraId="18FF6A28" w14:textId="77777777" w:rsidR="00CA3533" w:rsidRPr="00CA3533" w:rsidRDefault="00CA3533" w:rsidP="00CA3533">
            <w:pPr>
              <w:spacing w:before="40" w:after="40" w:line="240" w:lineRule="auto"/>
              <w:ind w:left="57" w:right="57"/>
              <w:rPr>
                <w:rFonts w:cs="Arial"/>
                <w:lang w:val="fr-FR"/>
              </w:rPr>
            </w:pPr>
            <w:r w:rsidRPr="00CA3533">
              <w:rPr>
                <w:sz w:val="18"/>
                <w:szCs w:val="18"/>
                <w:lang w:val="fr-FR"/>
              </w:rPr>
              <w:t>Bouteilles à gaz transportables − Chapeaux fermés et chapeaux ouverts de protection des robinets de bouteilles à gaz industriels et médicaux − Conception, construction et essais</w:t>
            </w:r>
          </w:p>
        </w:tc>
        <w:tc>
          <w:tcPr>
            <w:tcW w:w="1559" w:type="dxa"/>
            <w:shd w:val="clear" w:color="auto" w:fill="auto"/>
          </w:tcPr>
          <w:p w14:paraId="19982FBD" w14:textId="77777777" w:rsidR="00CA3533" w:rsidRPr="00CA3533" w:rsidRDefault="00CA3533" w:rsidP="00CA3533">
            <w:pPr>
              <w:spacing w:before="40" w:after="40" w:line="240" w:lineRule="auto"/>
              <w:ind w:left="57" w:right="57"/>
              <w:rPr>
                <w:rFonts w:cs="Arial"/>
                <w:lang w:val="fr-FR"/>
              </w:rPr>
            </w:pPr>
            <w:r w:rsidRPr="00CA3533">
              <w:rPr>
                <w:sz w:val="18"/>
                <w:szCs w:val="18"/>
                <w:lang w:val="fr-FR"/>
              </w:rPr>
              <w:t>Jusqu’au 31 décembre 2014</w:t>
            </w:r>
          </w:p>
        </w:tc>
      </w:tr>
    </w:tbl>
    <w:p w14:paraId="6298D257" w14:textId="2BF11EAE" w:rsidR="00B07841" w:rsidRDefault="00B07841" w:rsidP="00262778">
      <w:pPr>
        <w:kinsoku/>
        <w:overflowPunct/>
        <w:autoSpaceDE/>
        <w:autoSpaceDN/>
        <w:adjustRightInd/>
        <w:snapToGrid/>
        <w:spacing w:before="120" w:after="120"/>
        <w:ind w:left="2268" w:right="1134" w:hanging="1134"/>
        <w:jc w:val="right"/>
        <w:rPr>
          <w:lang w:val="fr-FR" w:eastAsia="en-US"/>
        </w:rPr>
      </w:pPr>
      <w:r w:rsidRPr="00CA3533">
        <w:rPr>
          <w:lang w:val="fr-FR" w:eastAsia="en-US"/>
        </w:rPr>
        <w:t> »</w:t>
      </w:r>
    </w:p>
    <w:p w14:paraId="786FF414" w14:textId="775713A0" w:rsidR="00CA3533" w:rsidRPr="00CA3533" w:rsidRDefault="00CA3533" w:rsidP="00F654EC">
      <w:pPr>
        <w:kinsoku/>
        <w:overflowPunct/>
        <w:autoSpaceDE/>
        <w:autoSpaceDN/>
        <w:adjustRightInd/>
        <w:snapToGrid/>
        <w:spacing w:before="120" w:after="120"/>
        <w:ind w:left="2268" w:right="1134" w:hanging="1134"/>
        <w:jc w:val="both"/>
        <w:rPr>
          <w:lang w:val="fr-FR" w:eastAsia="en-US"/>
        </w:rPr>
      </w:pPr>
      <w:r w:rsidRPr="00CA3533">
        <w:rPr>
          <w:lang w:val="fr-FR" w:eastAsia="en-US"/>
        </w:rPr>
        <w:t>4.1.9.1.4</w:t>
      </w:r>
      <w:r w:rsidRPr="00CA3533">
        <w:rPr>
          <w:lang w:val="fr-FR" w:eastAsia="en-US"/>
        </w:rPr>
        <w:tab/>
        <w:t>Dans la première phrase, supprimer « , des citernes, des GRV ».</w:t>
      </w:r>
    </w:p>
    <w:p w14:paraId="120CAD58" w14:textId="77777777" w:rsidR="00CA3533" w:rsidRPr="00CA3533" w:rsidRDefault="00CA3533" w:rsidP="00CA3533">
      <w:pPr>
        <w:keepNext/>
        <w:keepLines/>
        <w:tabs>
          <w:tab w:val="right" w:pos="851"/>
        </w:tabs>
        <w:spacing w:before="360" w:after="240" w:line="270" w:lineRule="exact"/>
        <w:ind w:left="1134" w:right="1134" w:hanging="1134"/>
        <w:rPr>
          <w:b/>
          <w:sz w:val="24"/>
          <w:lang w:val="fr-FR"/>
        </w:rPr>
      </w:pPr>
      <w:r w:rsidRPr="00CA3533">
        <w:rPr>
          <w:b/>
          <w:sz w:val="24"/>
          <w:lang w:val="fr-FR"/>
        </w:rPr>
        <w:tab/>
      </w:r>
      <w:r w:rsidRPr="00CA3533">
        <w:rPr>
          <w:b/>
          <w:sz w:val="24"/>
          <w:lang w:val="fr-FR"/>
        </w:rPr>
        <w:tab/>
        <w:t>Chapitre 4.2</w:t>
      </w:r>
    </w:p>
    <w:p w14:paraId="0B62B375" w14:textId="77777777" w:rsidR="00CA3533" w:rsidRPr="00CA3533" w:rsidRDefault="00CA3533" w:rsidP="00CA3533">
      <w:pPr>
        <w:spacing w:after="120"/>
        <w:ind w:left="2268" w:right="1134" w:hanging="1134"/>
        <w:jc w:val="both"/>
        <w:rPr>
          <w:lang w:val="fr-FR"/>
        </w:rPr>
      </w:pPr>
      <w:r w:rsidRPr="00CA3533">
        <w:rPr>
          <w:lang w:val="fr-FR"/>
        </w:rPr>
        <w:t>4.2.5.2.1</w:t>
      </w:r>
      <w:r w:rsidRPr="00CA3533">
        <w:rPr>
          <w:lang w:val="fr-FR"/>
        </w:rPr>
        <w:tab/>
        <w:t>À la fin, ajouter « ou du chapitre 6.9 ».</w:t>
      </w:r>
    </w:p>
    <w:p w14:paraId="648B429A" w14:textId="2929EC0F" w:rsidR="00CA3533" w:rsidRPr="00126F5E" w:rsidRDefault="00CA3533" w:rsidP="00CA3533">
      <w:pPr>
        <w:spacing w:before="120" w:after="120"/>
        <w:ind w:left="2268" w:right="1134" w:hanging="1134"/>
        <w:jc w:val="both"/>
        <w:rPr>
          <w:rFonts w:eastAsiaTheme="minorHAnsi"/>
          <w:lang w:val="fr-FR" w:eastAsia="en-US"/>
        </w:rPr>
      </w:pPr>
      <w:r w:rsidRPr="00126F5E">
        <w:rPr>
          <w:rFonts w:eastAsiaTheme="minorHAnsi"/>
          <w:lang w:val="fr-FR" w:eastAsia="en-US"/>
        </w:rPr>
        <w:t>4.2.5.2.2</w:t>
      </w:r>
      <w:r w:rsidRPr="00126F5E">
        <w:rPr>
          <w:rFonts w:eastAsiaTheme="minorHAnsi"/>
          <w:lang w:val="fr-FR" w:eastAsia="en-US"/>
        </w:rPr>
        <w:tab/>
      </w:r>
      <w:r w:rsidR="00CD2702">
        <w:rPr>
          <w:rFonts w:eastAsiaTheme="minorHAnsi"/>
          <w:lang w:val="fr-FR" w:eastAsia="en-US"/>
        </w:rPr>
        <w:t>Dans la première phrase, s</w:t>
      </w:r>
      <w:r w:rsidR="00126F5E">
        <w:rPr>
          <w:rFonts w:eastAsiaTheme="minorHAnsi"/>
          <w:lang w:val="fr-FR" w:eastAsia="en-US"/>
        </w:rPr>
        <w:t>upprimer</w:t>
      </w:r>
      <w:r w:rsidR="00126F5E" w:rsidRPr="00126F5E">
        <w:rPr>
          <w:rFonts w:eastAsiaTheme="minorHAnsi"/>
          <w:lang w:val="fr-FR" w:eastAsia="en-US"/>
        </w:rPr>
        <w:t xml:space="preserve"> </w:t>
      </w:r>
      <w:r w:rsidRPr="00126F5E">
        <w:rPr>
          <w:rFonts w:eastAsiaTheme="minorHAnsi"/>
          <w:lang w:val="fr-FR" w:eastAsia="en-US"/>
        </w:rPr>
        <w:t>« (en acier de référence) ».</w:t>
      </w:r>
    </w:p>
    <w:p w14:paraId="4D870980" w14:textId="66A122D3" w:rsidR="00CA3533" w:rsidRPr="00CA3533" w:rsidRDefault="00CA3533" w:rsidP="00CA3533">
      <w:pPr>
        <w:spacing w:before="120" w:after="120"/>
        <w:ind w:left="2268" w:right="1134" w:hanging="1134"/>
        <w:jc w:val="both"/>
        <w:rPr>
          <w:rFonts w:eastAsiaTheme="minorHAnsi"/>
          <w:lang w:val="fr-FR" w:eastAsia="en-US"/>
        </w:rPr>
      </w:pPr>
      <w:r w:rsidRPr="00126F5E">
        <w:rPr>
          <w:rFonts w:eastAsiaTheme="minorHAnsi"/>
          <w:lang w:val="fr-FR" w:eastAsia="en-US"/>
        </w:rPr>
        <w:t>4.2.5.2.6</w:t>
      </w:r>
      <w:r w:rsidRPr="00126F5E">
        <w:rPr>
          <w:rFonts w:eastAsiaTheme="minorHAnsi"/>
          <w:lang w:val="fr-FR" w:eastAsia="en-US"/>
        </w:rPr>
        <w:tab/>
        <w:t xml:space="preserve">Dans le paragraphe d’introduction, </w:t>
      </w:r>
      <w:r w:rsidR="00B07380">
        <w:rPr>
          <w:rFonts w:eastAsiaTheme="minorHAnsi"/>
          <w:lang w:val="fr-FR" w:eastAsia="en-US"/>
        </w:rPr>
        <w:t>remplacer</w:t>
      </w:r>
      <w:r w:rsidR="00B07380" w:rsidRPr="00126F5E">
        <w:rPr>
          <w:rFonts w:eastAsiaTheme="minorHAnsi"/>
          <w:lang w:val="fr-FR" w:eastAsia="en-US"/>
        </w:rPr>
        <w:t xml:space="preserve"> </w:t>
      </w:r>
      <w:r w:rsidRPr="00126F5E">
        <w:rPr>
          <w:rFonts w:eastAsiaTheme="minorHAnsi"/>
          <w:lang w:val="fr-FR" w:eastAsia="en-US"/>
        </w:rPr>
        <w:t>« (en mm d’acier de référence) »</w:t>
      </w:r>
      <w:r w:rsidR="00B07380">
        <w:rPr>
          <w:rFonts w:eastAsiaTheme="minorHAnsi"/>
          <w:lang w:val="fr-FR" w:eastAsia="en-US"/>
        </w:rPr>
        <w:t xml:space="preserve"> par « </w:t>
      </w:r>
      <w:r w:rsidR="003E402C" w:rsidRPr="00AE4DF3">
        <w:t>en mm d'acier de référence</w:t>
      </w:r>
      <w:r w:rsidR="003E402C">
        <w:t xml:space="preserve"> pour les réservoirs en matériaux métalliques ou l’épaisseur </w:t>
      </w:r>
      <w:r w:rsidR="003E402C" w:rsidRPr="00AE4DF3">
        <w:t>minimale du réservoir</w:t>
      </w:r>
      <w:r w:rsidR="003E402C">
        <w:t xml:space="preserve"> en PRF ».</w:t>
      </w:r>
    </w:p>
    <w:p w14:paraId="5084617E" w14:textId="4EC1E06D" w:rsidR="00CA3533" w:rsidRPr="00CA3533" w:rsidRDefault="00CA3533" w:rsidP="00CA3533">
      <w:pPr>
        <w:spacing w:after="120"/>
        <w:ind w:left="2268" w:right="1134" w:hanging="1134"/>
        <w:jc w:val="both"/>
        <w:rPr>
          <w:lang w:val="fr-FR"/>
        </w:rPr>
      </w:pPr>
      <w:r w:rsidRPr="00CA3533">
        <w:rPr>
          <w:lang w:val="fr-FR"/>
        </w:rPr>
        <w:t>4.2.5.2.6</w:t>
      </w:r>
      <w:r w:rsidRPr="00CA3533">
        <w:rPr>
          <w:lang w:val="fr-FR"/>
        </w:rPr>
        <w:tab/>
        <w:t>Dans le tableau, pour T1-T22, dans l’entête, ajouter les nouvelles phrases suivantes à la fin : « Les instructions concernant les citernes mobiles avec un réservoir en PRF s’appliquent aux matières des classes 1, 3, 5.1, 6.1, 6.2, 8 et 9. En outre, les prescriptions du chapitre 6.9 s’appliquent.</w:t>
      </w:r>
      <w:r w:rsidRPr="00CA3533">
        <w:rPr>
          <w:i/>
          <w:iCs/>
          <w:lang w:val="fr-FR"/>
        </w:rPr>
        <w:t> </w:t>
      </w:r>
      <w:r w:rsidRPr="00CA3533">
        <w:rPr>
          <w:lang w:val="fr-FR"/>
        </w:rPr>
        <w:t>»</w:t>
      </w:r>
      <w:r w:rsidR="003E402C">
        <w:rPr>
          <w:lang w:val="fr-FR"/>
        </w:rPr>
        <w:t>. Dans le titre de la troisième colonne, après « acier de référence » ajouter « </w:t>
      </w:r>
      <w:r w:rsidR="005C5931">
        <w:t>pour les réservoirs en matériaux métalliques ».</w:t>
      </w:r>
    </w:p>
    <w:p w14:paraId="0F13FCD9" w14:textId="3A288C91" w:rsidR="00CA3533" w:rsidRPr="00CA3533" w:rsidRDefault="00196805" w:rsidP="00196805">
      <w:pPr>
        <w:spacing w:after="120"/>
        <w:ind w:left="2268" w:right="1134" w:hanging="1134"/>
        <w:jc w:val="both"/>
        <w:rPr>
          <w:lang w:val="fr-FR"/>
        </w:rPr>
      </w:pPr>
      <w:r>
        <w:rPr>
          <w:lang w:val="fr-FR"/>
        </w:rPr>
        <w:tab/>
        <w:t xml:space="preserve">Pour </w:t>
      </w:r>
      <w:r w:rsidR="00CA3533" w:rsidRPr="00CA3533">
        <w:rPr>
          <w:lang w:val="fr-FR"/>
        </w:rPr>
        <w:t>T23</w:t>
      </w:r>
      <w:r>
        <w:rPr>
          <w:lang w:val="fr-FR"/>
        </w:rPr>
        <w:t>, d</w:t>
      </w:r>
      <w:r w:rsidR="00CA3533" w:rsidRPr="00CA3533">
        <w:rPr>
          <w:lang w:val="fr-FR" w:eastAsia="en-US"/>
        </w:rPr>
        <w:t xml:space="preserve">ans la dernière phrase du paragraphe sous la ligne de titre, remplacer « Les préparations énumérées » par « Les préparations énumérées ni au </w:t>
      </w:r>
      <w:r w:rsidR="00CA3533" w:rsidRPr="00CA3533">
        <w:rPr>
          <w:rFonts w:eastAsia="SimSun"/>
          <w:lang w:val="fr-FR"/>
        </w:rPr>
        <w:t>2.2.41.4</w:t>
      </w:r>
      <w:r w:rsidR="00CA3533" w:rsidRPr="00CA3533">
        <w:rPr>
          <w:lang w:val="fr-FR" w:eastAsia="en-US"/>
        </w:rPr>
        <w:t xml:space="preserve"> ni au </w:t>
      </w:r>
      <w:r w:rsidR="00CA3533" w:rsidRPr="00CA3533">
        <w:rPr>
          <w:rFonts w:eastAsia="SimSun"/>
          <w:lang w:val="fr-FR"/>
        </w:rPr>
        <w:t>2.2.52.4</w:t>
      </w:r>
      <w:r w:rsidR="00CA3533" w:rsidRPr="00CA3533">
        <w:rPr>
          <w:lang w:val="fr-FR" w:eastAsia="en-US"/>
        </w:rPr>
        <w:t xml:space="preserve"> mais énumérées ».</w:t>
      </w:r>
      <w:r>
        <w:rPr>
          <w:lang w:val="fr-FR" w:eastAsia="en-US"/>
        </w:rPr>
        <w:t xml:space="preserve"> </w:t>
      </w:r>
      <w:r w:rsidR="00CA3533" w:rsidRPr="00CA3533">
        <w:rPr>
          <w:lang w:val="fr-FR"/>
        </w:rPr>
        <w:t>Pour le numéro ONU 3109 « PEROXYDE ORGANIQUE DU TYPE F, LIQUIDE » ajouter « </w:t>
      </w:r>
      <w:proofErr w:type="spellStart"/>
      <w:r w:rsidR="00CA3533" w:rsidRPr="00CA3533">
        <w:rPr>
          <w:rFonts w:eastAsiaTheme="minorEastAsia"/>
          <w:lang w:val="fr-FR"/>
        </w:rPr>
        <w:t>Hydroperoxyde</w:t>
      </w:r>
      <w:proofErr w:type="spellEnd"/>
      <w:r w:rsidR="00CA3533" w:rsidRPr="00CA3533">
        <w:rPr>
          <w:rFonts w:eastAsiaTheme="minorEastAsia"/>
          <w:lang w:val="fr-FR"/>
        </w:rPr>
        <w:t xml:space="preserve"> de </w:t>
      </w:r>
      <w:proofErr w:type="spellStart"/>
      <w:r w:rsidR="00CA3533" w:rsidRPr="00CA3533">
        <w:rPr>
          <w:rFonts w:eastAsiaTheme="minorEastAsia"/>
          <w:lang w:val="fr-FR"/>
        </w:rPr>
        <w:t>tert</w:t>
      </w:r>
      <w:proofErr w:type="spellEnd"/>
      <w:r w:rsidR="00CA3533" w:rsidRPr="00CA3533">
        <w:rPr>
          <w:rFonts w:eastAsiaTheme="minorEastAsia"/>
          <w:lang w:val="fr-FR"/>
        </w:rPr>
        <w:t xml:space="preserve">-butyle, à 56 % au plus dans un diluant de type </w:t>
      </w:r>
      <w:proofErr w:type="spellStart"/>
      <w:r w:rsidR="00CA3533" w:rsidRPr="00CA3533">
        <w:rPr>
          <w:rFonts w:eastAsiaTheme="minorEastAsia"/>
          <w:lang w:val="fr-FR"/>
        </w:rPr>
        <w:t>B</w:t>
      </w:r>
      <w:r w:rsidR="00CA3533" w:rsidRPr="00CA3533">
        <w:rPr>
          <w:vertAlign w:val="superscript"/>
          <w:lang w:val="fr-FR"/>
        </w:rPr>
        <w:t>b</w:t>
      </w:r>
      <w:proofErr w:type="spellEnd"/>
      <w:r w:rsidR="00CA3533" w:rsidRPr="00CA3533">
        <w:rPr>
          <w:lang w:val="fr-FR"/>
        </w:rPr>
        <w:t> » dans la colonne « Matière ».</w:t>
      </w:r>
      <w:r>
        <w:rPr>
          <w:lang w:val="fr-FR"/>
        </w:rPr>
        <w:t xml:space="preserve"> </w:t>
      </w:r>
      <w:r w:rsidR="00CA3533" w:rsidRPr="00CA3533">
        <w:rPr>
          <w:lang w:val="fr-FR"/>
        </w:rPr>
        <w:t>Ajouter une nouvelle note de bas de tableau « b » pour lire comme suit : « </w:t>
      </w:r>
      <w:r w:rsidR="00CA3533" w:rsidRPr="00196805">
        <w:rPr>
          <w:b/>
          <w:bCs/>
          <w:vertAlign w:val="superscript"/>
          <w:lang w:val="fr-FR"/>
        </w:rPr>
        <w:t>b</w:t>
      </w:r>
      <w:r w:rsidR="00CA3533" w:rsidRPr="00CA3533">
        <w:rPr>
          <w:lang w:val="fr-FR"/>
        </w:rPr>
        <w:t> </w:t>
      </w:r>
      <w:r w:rsidR="00CA3533" w:rsidRPr="009C365E">
        <w:rPr>
          <w:i/>
          <w:iCs/>
          <w:lang w:val="fr-FR"/>
        </w:rPr>
        <w:t>A</w:t>
      </w:r>
      <w:hyperlink r:id="rId21" w:history="1">
        <w:r w:rsidR="00CA3533" w:rsidRPr="009C365E">
          <w:rPr>
            <w:i/>
            <w:iCs/>
            <w:lang w:val="fr-FR"/>
          </w:rPr>
          <w:t xml:space="preserve">lcool </w:t>
        </w:r>
        <w:proofErr w:type="spellStart"/>
        <w:r w:rsidR="00CA3533" w:rsidRPr="009C365E">
          <w:rPr>
            <w:i/>
            <w:iCs/>
            <w:lang w:val="fr-FR"/>
          </w:rPr>
          <w:t>tert</w:t>
        </w:r>
        <w:proofErr w:type="spellEnd"/>
        <w:r w:rsidR="00CA3533" w:rsidRPr="009C365E">
          <w:rPr>
            <w:i/>
            <w:iCs/>
            <w:lang w:val="fr-FR"/>
          </w:rPr>
          <w:t>-butylique</w:t>
        </w:r>
      </w:hyperlink>
      <w:r w:rsidR="003E3B4D" w:rsidRPr="009C365E">
        <w:rPr>
          <w:i/>
          <w:iCs/>
          <w:lang w:val="fr-FR"/>
        </w:rPr>
        <w:t>.</w:t>
      </w:r>
      <w:r w:rsidR="00CA3533" w:rsidRPr="00CA3533">
        <w:rPr>
          <w:lang w:val="fr-FR"/>
        </w:rPr>
        <w:t> » et renuméroter les notes de bas de tableau « b » à « d » en tant que notes « c » à « e ».</w:t>
      </w:r>
    </w:p>
    <w:p w14:paraId="0E319334" w14:textId="77777777" w:rsidR="00351A60" w:rsidRDefault="00CA3533" w:rsidP="00351A60">
      <w:pPr>
        <w:spacing w:after="120"/>
        <w:ind w:left="2268" w:right="1134" w:hanging="1134"/>
        <w:jc w:val="both"/>
        <w:rPr>
          <w:rFonts w:eastAsiaTheme="minorHAnsi"/>
          <w:bCs/>
          <w:lang w:val="fr-FR" w:eastAsia="en-US"/>
        </w:rPr>
      </w:pPr>
      <w:r w:rsidRPr="00CA3533">
        <w:rPr>
          <w:rFonts w:eastAsiaTheme="minorHAnsi"/>
          <w:bCs/>
          <w:lang w:val="fr-FR" w:eastAsia="en-US"/>
        </w:rPr>
        <w:t>4.2.5.3, TP32 a)</w:t>
      </w:r>
    </w:p>
    <w:p w14:paraId="4DF2E586" w14:textId="434020A8" w:rsidR="00CA3533" w:rsidRPr="00351A60" w:rsidRDefault="00CA3533" w:rsidP="00351A60">
      <w:pPr>
        <w:spacing w:after="120"/>
        <w:ind w:left="2268" w:right="1134" w:hanging="1134"/>
        <w:jc w:val="both"/>
        <w:rPr>
          <w:rFonts w:eastAsiaTheme="minorHAnsi"/>
          <w:bCs/>
          <w:lang w:val="fr-FR" w:eastAsia="en-US"/>
        </w:rPr>
      </w:pPr>
      <w:r w:rsidRPr="00CA3533">
        <w:rPr>
          <w:rFonts w:eastAsiaTheme="minorHAnsi"/>
          <w:bCs/>
          <w:lang w:val="fr-FR" w:eastAsia="en-US"/>
        </w:rPr>
        <w:lastRenderedPageBreak/>
        <w:tab/>
        <w:t xml:space="preserve">Dans la première phrase, </w:t>
      </w:r>
      <w:r w:rsidRPr="00CA3533">
        <w:rPr>
          <w:rFonts w:eastAsiaTheme="minorHAnsi"/>
          <w:lang w:val="fr-FR" w:eastAsia="en-US"/>
        </w:rPr>
        <w:t>ajouter « </w:t>
      </w:r>
      <w:r w:rsidRPr="00CA3533">
        <w:rPr>
          <w:rFonts w:eastAsiaTheme="minorHAnsi"/>
          <w:bCs/>
          <w:lang w:val="fr-FR" w:eastAsia="en-US"/>
        </w:rPr>
        <w:t>ou en matière plastique renforcée de fibres (PRF)</w:t>
      </w:r>
      <w:r w:rsidRPr="00CA3533">
        <w:rPr>
          <w:rFonts w:eastAsiaTheme="minorHAnsi"/>
          <w:lang w:val="fr-FR" w:eastAsia="en-US"/>
        </w:rPr>
        <w:t> »</w:t>
      </w:r>
      <w:r w:rsidRPr="00CA3533">
        <w:rPr>
          <w:rFonts w:eastAsiaTheme="minorHAnsi"/>
          <w:bCs/>
          <w:lang w:val="fr-FR" w:eastAsia="en-US"/>
        </w:rPr>
        <w:t xml:space="preserve"> après « ci</w:t>
      </w:r>
      <w:r w:rsidRPr="00CA3533">
        <w:rPr>
          <w:rFonts w:eastAsiaTheme="minorHAnsi"/>
          <w:lang w:val="fr-FR" w:eastAsia="en-US"/>
        </w:rPr>
        <w:t>ternes mobiles métalliques ».</w:t>
      </w:r>
    </w:p>
    <w:p w14:paraId="3E722D96"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tab/>
      </w:r>
      <w:r w:rsidRPr="00CA3533">
        <w:rPr>
          <w:rFonts w:asciiTheme="majorBidi" w:hAnsiTheme="majorBidi" w:cstheme="majorBidi"/>
          <w:b/>
          <w:sz w:val="24"/>
          <w:lang w:val="fr-FR"/>
        </w:rPr>
        <w:tab/>
      </w:r>
      <w:r w:rsidRPr="00CA3533">
        <w:rPr>
          <w:b/>
          <w:sz w:val="24"/>
          <w:lang w:val="fr-FR"/>
        </w:rPr>
        <w:t>Chapitre</w:t>
      </w:r>
      <w:r w:rsidRPr="00CA3533">
        <w:rPr>
          <w:rFonts w:asciiTheme="majorBidi" w:hAnsiTheme="majorBidi" w:cstheme="majorBidi"/>
          <w:b/>
          <w:sz w:val="24"/>
          <w:lang w:val="fr-FR"/>
        </w:rPr>
        <w:t xml:space="preserve"> 4.3</w:t>
      </w:r>
    </w:p>
    <w:p w14:paraId="3D4BACBB" w14:textId="77777777" w:rsidR="00CA3533" w:rsidRPr="00CA3533" w:rsidRDefault="00CA3533" w:rsidP="00CA3533">
      <w:pPr>
        <w:tabs>
          <w:tab w:val="left" w:pos="2268"/>
        </w:tabs>
        <w:spacing w:after="120"/>
        <w:ind w:left="1134" w:right="1134"/>
        <w:jc w:val="both"/>
        <w:rPr>
          <w:rFonts w:eastAsiaTheme="minorHAnsi"/>
          <w:lang w:val="fr-FR" w:eastAsia="en-US"/>
        </w:rPr>
      </w:pPr>
      <w:r w:rsidRPr="00CA3533">
        <w:rPr>
          <w:rFonts w:eastAsiaTheme="minorHAnsi"/>
          <w:lang w:val="fr-FR" w:eastAsia="en-US"/>
        </w:rPr>
        <w:t>4.3.2.1.5</w:t>
      </w:r>
      <w:r w:rsidRPr="00CA3533">
        <w:rPr>
          <w:rFonts w:eastAsiaTheme="minorHAnsi"/>
          <w:lang w:val="fr-FR" w:eastAsia="en-US"/>
        </w:rPr>
        <w:tab/>
        <w:t>Remplacer « 6.8.2.3.1 » par « 6.8.2.3.2 ».</w:t>
      </w:r>
    </w:p>
    <w:p w14:paraId="1B2E6897" w14:textId="32396466" w:rsidR="00CA3533" w:rsidRPr="00CA3533" w:rsidRDefault="00CA3533" w:rsidP="00CA3533">
      <w:pPr>
        <w:tabs>
          <w:tab w:val="left" w:pos="2268"/>
        </w:tabs>
        <w:spacing w:after="120"/>
        <w:ind w:left="2268" w:right="1134" w:hanging="1134"/>
        <w:jc w:val="both"/>
        <w:rPr>
          <w:rFonts w:eastAsiaTheme="minorHAnsi"/>
          <w:lang w:val="fr-FR" w:eastAsia="en-US"/>
        </w:rPr>
      </w:pPr>
      <w:r w:rsidRPr="00CA3533">
        <w:rPr>
          <w:rFonts w:eastAsiaTheme="minorHAnsi"/>
          <w:lang w:val="fr-FR" w:eastAsia="en-US"/>
        </w:rPr>
        <w:t>4.3.2.1.7</w:t>
      </w:r>
      <w:r w:rsidRPr="00CA3533">
        <w:rPr>
          <w:rFonts w:eastAsiaTheme="minorHAnsi"/>
          <w:lang w:val="fr-FR" w:eastAsia="en-US"/>
        </w:rPr>
        <w:tab/>
        <w:t>Au dernier paragraphe, remplacer « expert » par « organisme de contrôle ».</w:t>
      </w:r>
      <w:r w:rsidR="00BC4FF4">
        <w:rPr>
          <w:rFonts w:eastAsiaTheme="minorHAnsi"/>
          <w:lang w:val="fr-FR" w:eastAsia="en-US"/>
        </w:rPr>
        <w:t xml:space="preserve"> </w:t>
      </w:r>
      <w:r w:rsidR="00714E48">
        <w:rPr>
          <w:rFonts w:eastAsiaTheme="minorHAnsi"/>
          <w:lang w:val="fr-FR" w:eastAsia="en-US"/>
        </w:rPr>
        <w:t xml:space="preserve">Les autres modifications ne s’appliquent pas au texte français. </w:t>
      </w:r>
    </w:p>
    <w:p w14:paraId="66BE84A3" w14:textId="77777777" w:rsidR="00CA3533" w:rsidRPr="00CA3533" w:rsidRDefault="00CA3533" w:rsidP="00CA3533">
      <w:pPr>
        <w:spacing w:after="120"/>
        <w:ind w:left="2268" w:right="1134" w:hanging="1134"/>
        <w:jc w:val="both"/>
        <w:rPr>
          <w:lang w:val="fr-FR" w:eastAsia="fr-FR"/>
        </w:rPr>
      </w:pPr>
      <w:r w:rsidRPr="00CA3533">
        <w:rPr>
          <w:lang w:val="fr-FR" w:eastAsia="fr-FR"/>
        </w:rPr>
        <w:t>4.3.2.3.7</w:t>
      </w:r>
      <w:r w:rsidRPr="00CA3533">
        <w:rPr>
          <w:lang w:val="fr-FR" w:eastAsia="fr-FR"/>
        </w:rPr>
        <w:tab/>
        <w:t>Dans le premier paragraphe, remplacer « après expiration de la période de validité du contrôle prescrit aux 6.8.2.4.2, 6.8.3.4.6 et 6.8.3.4.12 » par « après la date spécifiée pour le contrôle prescrit aux 6.8.2.4.2, 6.8.2.4.3, 6.8.3.4.6 et 6.8.3.4.12 ».</w:t>
      </w:r>
    </w:p>
    <w:p w14:paraId="35F34924" w14:textId="77777777" w:rsidR="00CA3533" w:rsidRPr="00CA3533" w:rsidRDefault="00CA3533" w:rsidP="00CA3533">
      <w:pPr>
        <w:spacing w:after="120"/>
        <w:ind w:left="2268" w:right="1134" w:hanging="1134"/>
        <w:jc w:val="both"/>
        <w:rPr>
          <w:lang w:val="fr-FR" w:eastAsia="fr-FR"/>
        </w:rPr>
      </w:pPr>
      <w:r w:rsidRPr="00CA3533">
        <w:rPr>
          <w:lang w:val="fr-FR" w:eastAsia="fr-FR"/>
        </w:rPr>
        <w:tab/>
        <w:t>Dans le deuxième paragraphe, remplacer « </w:t>
      </w:r>
      <w:r w:rsidRPr="00CA3533">
        <w:rPr>
          <w:lang w:val="fr-FR" w:eastAsia="en-US"/>
        </w:rPr>
        <w:t xml:space="preserve">avant la date d’expiration du dernier contrôle périodique » par « avant la date </w:t>
      </w:r>
      <w:r w:rsidRPr="00CA3533">
        <w:rPr>
          <w:lang w:val="fr-FR" w:eastAsia="fr-FR"/>
        </w:rPr>
        <w:t>spécifiée pour le prochain contrôle ».</w:t>
      </w:r>
    </w:p>
    <w:p w14:paraId="5149C172" w14:textId="77777777" w:rsidR="00CA3533" w:rsidRPr="00CA3533" w:rsidRDefault="00CA3533" w:rsidP="00CA3533">
      <w:pPr>
        <w:spacing w:after="120"/>
        <w:ind w:left="2268" w:right="1134" w:hanging="1134"/>
        <w:jc w:val="both"/>
        <w:rPr>
          <w:lang w:val="fr-FR" w:eastAsia="en-US"/>
        </w:rPr>
      </w:pPr>
      <w:r w:rsidRPr="00CA3533">
        <w:rPr>
          <w:lang w:val="fr-FR" w:eastAsia="fr-FR"/>
        </w:rPr>
        <w:tab/>
        <w:t>Dans l’alinéa a), remplacer « </w:t>
      </w:r>
      <w:r w:rsidRPr="00CA3533">
        <w:rPr>
          <w:lang w:val="fr-FR" w:eastAsia="en-US"/>
        </w:rPr>
        <w:t>suivant l’expiration de ce délai » par « après la date spécifiée si le contrôle dû est un contrôle périodique conformément aux 6.8.2.4.2, 6.8.3.4.6 a) et 6.8.3.4.12 ».</w:t>
      </w:r>
    </w:p>
    <w:p w14:paraId="158F0450" w14:textId="77777777" w:rsidR="00CA3533" w:rsidRPr="00CA3533" w:rsidRDefault="00CA3533" w:rsidP="00CA3533">
      <w:pPr>
        <w:spacing w:after="120"/>
        <w:ind w:left="2268" w:right="1134" w:hanging="1134"/>
        <w:jc w:val="both"/>
        <w:rPr>
          <w:lang w:val="fr-FR" w:eastAsia="en-US"/>
        </w:rPr>
      </w:pPr>
      <w:r w:rsidRPr="00CA3533">
        <w:rPr>
          <w:lang w:val="fr-FR" w:eastAsia="en-US"/>
        </w:rPr>
        <w:tab/>
        <w:t>Modifier l’alinéa b) pour lire comme suit :</w:t>
      </w:r>
    </w:p>
    <w:p w14:paraId="2AA538FF" w14:textId="5ECD6DFA" w:rsidR="00CA3533" w:rsidRPr="00CA3533" w:rsidRDefault="00CA3533" w:rsidP="00CA3533">
      <w:pPr>
        <w:spacing w:after="120"/>
        <w:ind w:left="2268" w:right="1134" w:hanging="1134"/>
        <w:jc w:val="both"/>
        <w:rPr>
          <w:lang w:val="fr-FR" w:eastAsia="en-US"/>
        </w:rPr>
      </w:pPr>
      <w:r w:rsidRPr="00CA3533">
        <w:rPr>
          <w:lang w:val="fr-FR" w:eastAsia="en-US"/>
        </w:rPr>
        <w:tab/>
        <w:t>« b)</w:t>
      </w:r>
      <w:r w:rsidRPr="00CA3533">
        <w:rPr>
          <w:lang w:val="fr-FR" w:eastAsia="en-US"/>
        </w:rPr>
        <w:tab/>
        <w:t>sauf si l'autorité compétente en dispose autrement, pendant une période ne dépassant pas trois mois au-delà de la date spécifiée si le contrôle dû est un contrôle périodique conformément aux 6.8.2.4.2, 6.8.3.4.6 a) et 6.8.3.4.12, afin de permettre le retour des marchandises dangereuses retournées aux fins d'élimination ou de recyclage. Le document de transport doit faire état de cette exemption ; »</w:t>
      </w:r>
    </w:p>
    <w:p w14:paraId="1F885080" w14:textId="77777777" w:rsidR="00CA3533" w:rsidRPr="00CA3533" w:rsidRDefault="00CA3533" w:rsidP="00CA3533">
      <w:pPr>
        <w:spacing w:after="120"/>
        <w:ind w:left="2268" w:right="1134" w:hanging="1134"/>
        <w:jc w:val="both"/>
        <w:rPr>
          <w:lang w:val="fr-FR" w:eastAsia="en-US"/>
        </w:rPr>
      </w:pPr>
      <w:r w:rsidRPr="00CA3533">
        <w:rPr>
          <w:lang w:val="fr-FR" w:eastAsia="en-US"/>
        </w:rPr>
        <w:tab/>
        <w:t>Ajouter un nouvel alinéa c) pour lire comme suit :</w:t>
      </w:r>
    </w:p>
    <w:p w14:paraId="4B850B60" w14:textId="0A00F042" w:rsidR="00CA3533" w:rsidRPr="00CA3533" w:rsidRDefault="00CA3533" w:rsidP="00CA3533">
      <w:pPr>
        <w:spacing w:after="120"/>
        <w:ind w:left="2268" w:right="1134" w:hanging="1134"/>
        <w:jc w:val="both"/>
        <w:rPr>
          <w:lang w:val="fr-FR" w:eastAsia="en-US"/>
        </w:rPr>
      </w:pPr>
      <w:r w:rsidRPr="00CA3533">
        <w:rPr>
          <w:lang w:val="fr-FR" w:eastAsia="en-US"/>
        </w:rPr>
        <w:tab/>
        <w:t>« c)</w:t>
      </w:r>
      <w:r w:rsidRPr="00CA3533">
        <w:rPr>
          <w:lang w:val="fr-FR" w:eastAsia="en-US"/>
        </w:rPr>
        <w:tab/>
        <w:t>pendant une période ne dépassant pas trois mois après la date spécifiée, si le contrôle dû est un contrôle intermédiaire conformément aux 6.8.2.4.3, 6.8.3.4.6 b) et 6.8.3.4.12. »</w:t>
      </w:r>
    </w:p>
    <w:p w14:paraId="3AA05519" w14:textId="1AAFB1D0" w:rsidR="00CA3533" w:rsidRPr="00CA3533" w:rsidRDefault="00CA3533" w:rsidP="00CA3533">
      <w:pPr>
        <w:tabs>
          <w:tab w:val="left" w:pos="2268"/>
        </w:tabs>
        <w:spacing w:after="120"/>
        <w:ind w:left="2268" w:right="1134" w:hanging="1134"/>
        <w:jc w:val="both"/>
        <w:rPr>
          <w:rFonts w:eastAsiaTheme="minorHAnsi"/>
          <w:lang w:val="fr-FR" w:eastAsia="en-US"/>
        </w:rPr>
      </w:pPr>
      <w:r w:rsidRPr="00CA3533">
        <w:rPr>
          <w:rFonts w:eastAsiaTheme="minorHAnsi"/>
          <w:lang w:val="fr-FR" w:eastAsia="en-US"/>
        </w:rPr>
        <w:t>4.3.3.2.5</w:t>
      </w:r>
      <w:r w:rsidRPr="00CA3533">
        <w:rPr>
          <w:rFonts w:eastAsiaTheme="minorHAnsi"/>
          <w:lang w:val="fr-FR" w:eastAsia="en-US"/>
        </w:rPr>
        <w:tab/>
      </w:r>
      <w:r w:rsidR="001B51B4">
        <w:rPr>
          <w:rFonts w:eastAsiaTheme="minorHAnsi"/>
          <w:lang w:val="fr-FR" w:eastAsia="en-US"/>
        </w:rPr>
        <w:t>Dans le deuxième et dans le troisième paragraphe, remplacer</w:t>
      </w:r>
      <w:r w:rsidRPr="00CA3533">
        <w:rPr>
          <w:rFonts w:eastAsiaTheme="minorHAnsi"/>
          <w:lang w:val="fr-FR" w:eastAsia="en-US"/>
        </w:rPr>
        <w:t xml:space="preserve"> « l’expert agréé par l’autorité compétente » par « l’organisme de contrôle ».</w:t>
      </w:r>
    </w:p>
    <w:p w14:paraId="3876A3E4" w14:textId="5A1A957F" w:rsidR="00CA3533" w:rsidRPr="00CA3533" w:rsidRDefault="00CA3533" w:rsidP="00CA3533">
      <w:pPr>
        <w:spacing w:before="120" w:after="120"/>
        <w:ind w:left="2268" w:right="1134" w:hanging="1134"/>
        <w:jc w:val="both"/>
        <w:rPr>
          <w:lang w:val="fr-FR"/>
        </w:rPr>
      </w:pPr>
      <w:r w:rsidRPr="00CA3533">
        <w:rPr>
          <w:iCs/>
          <w:lang w:val="fr-FR"/>
        </w:rPr>
        <w:tab/>
      </w:r>
      <w:r w:rsidRPr="00CA3533">
        <w:rPr>
          <w:lang w:val="fr-FR"/>
        </w:rPr>
        <w:t>Dans le tableau, pour les quatre rubriques du No ONU 1012, modifier le texte figurant dans la colonne « Nom et description » pour lire, respectivement :</w:t>
      </w:r>
    </w:p>
    <w:tbl>
      <w:tblPr>
        <w:tblStyle w:val="TableGrid22"/>
        <w:tblW w:w="0" w:type="auto"/>
        <w:tblInd w:w="2263" w:type="dxa"/>
        <w:tblLook w:val="04A0" w:firstRow="1" w:lastRow="0" w:firstColumn="1" w:lastColumn="0" w:noHBand="0" w:noVBand="1"/>
      </w:tblPr>
      <w:tblGrid>
        <w:gridCol w:w="6237"/>
      </w:tblGrid>
      <w:tr w:rsidR="00CA3533" w:rsidRPr="00CA3533" w14:paraId="7BC63E04" w14:textId="77777777" w:rsidTr="00D56820">
        <w:tc>
          <w:tcPr>
            <w:tcW w:w="6237" w:type="dxa"/>
          </w:tcPr>
          <w:p w14:paraId="3A7A2ABC" w14:textId="77777777" w:rsidR="00CA3533" w:rsidRPr="00CA3533" w:rsidRDefault="00CA3533" w:rsidP="00CA3533">
            <w:pPr>
              <w:spacing w:after="120"/>
              <w:ind w:right="1134"/>
              <w:jc w:val="both"/>
              <w:rPr>
                <w:rFonts w:eastAsia="SimSun"/>
              </w:rPr>
            </w:pPr>
            <w:r w:rsidRPr="00CA3533">
              <w:rPr>
                <w:rFonts w:eastAsia="SimSun"/>
              </w:rPr>
              <w:t>BUTYLÈNE (1-butylène) ou</w:t>
            </w:r>
          </w:p>
        </w:tc>
      </w:tr>
      <w:tr w:rsidR="00CA3533" w:rsidRPr="00CA3533" w14:paraId="41C03031" w14:textId="77777777" w:rsidTr="00D56820">
        <w:tc>
          <w:tcPr>
            <w:tcW w:w="6237" w:type="dxa"/>
          </w:tcPr>
          <w:p w14:paraId="7F4629D8" w14:textId="77777777" w:rsidR="00CA3533" w:rsidRPr="00CA3533" w:rsidRDefault="00CA3533" w:rsidP="00CA3533">
            <w:pPr>
              <w:spacing w:after="120"/>
              <w:ind w:right="1134"/>
              <w:jc w:val="both"/>
              <w:rPr>
                <w:rFonts w:eastAsia="SimSun"/>
              </w:rPr>
            </w:pPr>
            <w:r w:rsidRPr="00CA3533">
              <w:rPr>
                <w:rFonts w:eastAsia="SimSun"/>
              </w:rPr>
              <w:t>BUTYLÈNE (trans-2-butylène) ou</w:t>
            </w:r>
          </w:p>
        </w:tc>
      </w:tr>
      <w:tr w:rsidR="00CA3533" w:rsidRPr="00CA3533" w14:paraId="4192FF38" w14:textId="77777777" w:rsidTr="00D56820">
        <w:tc>
          <w:tcPr>
            <w:tcW w:w="6237" w:type="dxa"/>
          </w:tcPr>
          <w:p w14:paraId="050590DC" w14:textId="77777777" w:rsidR="00CA3533" w:rsidRPr="00CA3533" w:rsidRDefault="00CA3533" w:rsidP="00CA3533">
            <w:pPr>
              <w:spacing w:after="120"/>
              <w:ind w:right="1134"/>
              <w:jc w:val="both"/>
              <w:rPr>
                <w:rFonts w:eastAsia="SimSun"/>
              </w:rPr>
            </w:pPr>
            <w:r w:rsidRPr="00CA3533">
              <w:rPr>
                <w:rFonts w:eastAsia="SimSun"/>
              </w:rPr>
              <w:t>BUTYLÈNE (cis-2-butylène) ou</w:t>
            </w:r>
          </w:p>
        </w:tc>
      </w:tr>
      <w:tr w:rsidR="00CA3533" w:rsidRPr="00CA3533" w14:paraId="5CF75662" w14:textId="77777777" w:rsidTr="00D56820">
        <w:tc>
          <w:tcPr>
            <w:tcW w:w="6237" w:type="dxa"/>
          </w:tcPr>
          <w:p w14:paraId="3F55E322" w14:textId="77777777" w:rsidR="00CA3533" w:rsidRPr="00CA3533" w:rsidRDefault="00CA3533" w:rsidP="00CA3533">
            <w:pPr>
              <w:spacing w:after="120"/>
              <w:ind w:right="1134"/>
              <w:jc w:val="both"/>
              <w:rPr>
                <w:rFonts w:eastAsia="SimSun"/>
              </w:rPr>
            </w:pPr>
            <w:r w:rsidRPr="00CA3533">
              <w:rPr>
                <w:rFonts w:eastAsia="SimSun"/>
              </w:rPr>
              <w:t>BUTYLÈNE (butylènes en mélange)</w:t>
            </w:r>
          </w:p>
        </w:tc>
      </w:tr>
    </w:tbl>
    <w:p w14:paraId="4E447ECA" w14:textId="77777777" w:rsidR="00CA3533" w:rsidRPr="00CA3533" w:rsidRDefault="00CA3533" w:rsidP="00F654EC">
      <w:pPr>
        <w:spacing w:before="120" w:after="120"/>
        <w:ind w:left="1134" w:right="1134"/>
        <w:jc w:val="both"/>
        <w:rPr>
          <w:lang w:val="fr-FR" w:eastAsia="fr-FR"/>
        </w:rPr>
      </w:pPr>
      <w:r w:rsidRPr="00CA3533">
        <w:rPr>
          <w:lang w:val="fr-FR" w:eastAsia="fr-FR"/>
        </w:rPr>
        <w:t xml:space="preserve">4.3.3.3.2 </w:t>
      </w:r>
      <w:r w:rsidRPr="00CA3533">
        <w:rPr>
          <w:lang w:val="fr-FR" w:eastAsia="fr-FR"/>
        </w:rPr>
        <w:tab/>
        <w:t xml:space="preserve">Supprimer et ajouter « 4.3.3.3.2 </w:t>
      </w:r>
      <w:r w:rsidRPr="00CA3533">
        <w:rPr>
          <w:i/>
          <w:lang w:val="fr-FR" w:eastAsia="fr-FR"/>
        </w:rPr>
        <w:t>(Supprimé) </w:t>
      </w:r>
      <w:r w:rsidRPr="00CA3533">
        <w:rPr>
          <w:lang w:val="fr-FR" w:eastAsia="fr-FR"/>
        </w:rPr>
        <w:t>».</w:t>
      </w:r>
    </w:p>
    <w:p w14:paraId="6890BD15" w14:textId="70A2E623" w:rsidR="00CA3533" w:rsidRPr="00CA3533" w:rsidRDefault="00CA3533" w:rsidP="00CA3533">
      <w:pPr>
        <w:spacing w:after="120"/>
        <w:ind w:left="2268" w:right="1134" w:hanging="1134"/>
        <w:jc w:val="both"/>
        <w:rPr>
          <w:lang w:val="fr-FR"/>
        </w:rPr>
      </w:pPr>
      <w:r w:rsidRPr="00CA3533">
        <w:rPr>
          <w:lang w:val="fr-FR"/>
        </w:rPr>
        <w:t>4.3.4.1.3</w:t>
      </w:r>
      <w:r w:rsidRPr="00CA3533">
        <w:rPr>
          <w:lang w:val="fr-FR"/>
        </w:rPr>
        <w:tab/>
        <w:t>Dans le tableau, sous « Classe 5.1 », pour le No ONU 2426, modifier le nom et la description pour lire comme suit : «</w:t>
      </w:r>
      <w:r w:rsidR="00340CB1">
        <w:rPr>
          <w:lang w:val="fr-FR"/>
        </w:rPr>
        <w:t> </w:t>
      </w:r>
      <w:r w:rsidR="00EF693E" w:rsidRPr="00CA3533">
        <w:rPr>
          <w:lang w:val="fr-FR"/>
        </w:rPr>
        <w:t>Nitrate d'ammonium liquide</w:t>
      </w:r>
      <w:r w:rsidRPr="00CA3533">
        <w:rPr>
          <w:lang w:val="fr-FR"/>
        </w:rPr>
        <w:t>, solution chaude concentrée</w:t>
      </w:r>
      <w:r w:rsidR="00340CB1">
        <w:rPr>
          <w:lang w:val="fr-FR"/>
        </w:rPr>
        <w:t> </w:t>
      </w:r>
      <w:r w:rsidRPr="00CA3533">
        <w:rPr>
          <w:lang w:val="fr-FR"/>
        </w:rPr>
        <w:t>».</w:t>
      </w:r>
    </w:p>
    <w:p w14:paraId="4A90B743"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tab/>
      </w:r>
      <w:r w:rsidRPr="00CA3533">
        <w:rPr>
          <w:rFonts w:asciiTheme="majorBidi" w:hAnsiTheme="majorBidi" w:cstheme="majorBidi"/>
          <w:b/>
          <w:sz w:val="24"/>
          <w:lang w:val="fr-FR"/>
        </w:rPr>
        <w:tab/>
        <w:t>Chapitre 4.4</w:t>
      </w:r>
    </w:p>
    <w:p w14:paraId="2CD361BA" w14:textId="77777777" w:rsidR="00CA3533" w:rsidRPr="00CA3533" w:rsidRDefault="00CA3533" w:rsidP="00CA3533">
      <w:pPr>
        <w:spacing w:after="120"/>
        <w:ind w:left="2268" w:right="1134" w:hanging="1134"/>
        <w:jc w:val="both"/>
        <w:rPr>
          <w:lang w:val="fr-FR"/>
        </w:rPr>
      </w:pPr>
      <w:r w:rsidRPr="00CA3533">
        <w:rPr>
          <w:lang w:val="fr-FR"/>
        </w:rPr>
        <w:t xml:space="preserve">4.4.1 (e) </w:t>
      </w:r>
      <w:r w:rsidRPr="00CA3533">
        <w:rPr>
          <w:lang w:val="fr-FR"/>
        </w:rPr>
        <w:tab/>
        <w:t>Remplacer « chapitre 6.9 » par « chapitre 6.13 »</w:t>
      </w:r>
    </w:p>
    <w:p w14:paraId="4458F4FC" w14:textId="77777777" w:rsidR="00CA3533" w:rsidRPr="00CA3533" w:rsidRDefault="00CA3533" w:rsidP="00CA3533">
      <w:pPr>
        <w:spacing w:after="120"/>
        <w:ind w:left="2268" w:right="1134" w:hanging="1134"/>
        <w:jc w:val="both"/>
        <w:rPr>
          <w:lang w:val="fr-FR"/>
        </w:rPr>
      </w:pPr>
      <w:r w:rsidRPr="00CA3533">
        <w:rPr>
          <w:lang w:val="fr-FR"/>
        </w:rPr>
        <w:t xml:space="preserve">4.4.2.2 </w:t>
      </w:r>
      <w:r w:rsidRPr="00CA3533">
        <w:rPr>
          <w:lang w:val="fr-FR"/>
        </w:rPr>
        <w:tab/>
        <w:t>Remplacer « 6.9.6 » par « 6.13.6 ».</w:t>
      </w:r>
    </w:p>
    <w:p w14:paraId="63B6AE64"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lastRenderedPageBreak/>
        <w:tab/>
      </w:r>
      <w:r w:rsidRPr="00CA3533">
        <w:rPr>
          <w:rFonts w:asciiTheme="majorBidi" w:hAnsiTheme="majorBidi" w:cstheme="majorBidi"/>
          <w:b/>
          <w:sz w:val="24"/>
          <w:lang w:val="fr-FR"/>
        </w:rPr>
        <w:tab/>
        <w:t>Chapitre 4.7</w:t>
      </w:r>
    </w:p>
    <w:p w14:paraId="05CCE8BB" w14:textId="77777777" w:rsidR="00351A60" w:rsidRDefault="00CA3533" w:rsidP="00351A60">
      <w:pPr>
        <w:tabs>
          <w:tab w:val="left" w:pos="2268"/>
        </w:tabs>
        <w:spacing w:after="120"/>
        <w:ind w:left="2268" w:right="1134" w:hanging="1134"/>
        <w:jc w:val="both"/>
        <w:rPr>
          <w:lang w:val="fr-FR" w:eastAsia="en-US"/>
        </w:rPr>
      </w:pPr>
      <w:r w:rsidRPr="00CA3533">
        <w:rPr>
          <w:lang w:val="fr-FR" w:eastAsia="en-US"/>
        </w:rPr>
        <w:t>Note 2 sous le titre du chapitre 4.7</w:t>
      </w:r>
    </w:p>
    <w:p w14:paraId="724D1FCC" w14:textId="332DF997" w:rsidR="00CA3533" w:rsidRPr="00CA3533" w:rsidRDefault="00CA3533" w:rsidP="00351A60">
      <w:pPr>
        <w:tabs>
          <w:tab w:val="left" w:pos="2268"/>
        </w:tabs>
        <w:spacing w:after="120"/>
        <w:ind w:left="2268" w:right="1134" w:hanging="1134"/>
        <w:jc w:val="both"/>
        <w:rPr>
          <w:lang w:val="fr-FR" w:eastAsia="en-US"/>
        </w:rPr>
      </w:pPr>
      <w:r w:rsidRPr="00CA3533">
        <w:rPr>
          <w:lang w:val="fr-FR" w:eastAsia="en-US"/>
        </w:rPr>
        <w:t xml:space="preserve"> </w:t>
      </w:r>
      <w:r w:rsidRPr="00CA3533">
        <w:rPr>
          <w:lang w:val="fr-FR" w:eastAsia="en-US"/>
        </w:rPr>
        <w:tab/>
        <w:t>Remplacer « 6.9, 6.11 et 6.12 » par « 6.9, 6.11, 6.12 et 6.13 ».</w:t>
      </w:r>
    </w:p>
    <w:p w14:paraId="3D7438FD"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tab/>
      </w:r>
      <w:r w:rsidRPr="00CA3533">
        <w:rPr>
          <w:rFonts w:asciiTheme="majorBidi" w:hAnsiTheme="majorBidi" w:cstheme="majorBidi"/>
          <w:b/>
          <w:sz w:val="24"/>
          <w:lang w:val="fr-FR"/>
        </w:rPr>
        <w:tab/>
        <w:t>Chapitre 5.1</w:t>
      </w:r>
    </w:p>
    <w:p w14:paraId="2EBB2591" w14:textId="77777777" w:rsidR="00CA3533" w:rsidRPr="00CA3533" w:rsidRDefault="00CA3533" w:rsidP="00CA3533">
      <w:pPr>
        <w:spacing w:after="120"/>
        <w:ind w:left="2268" w:right="1134" w:hanging="1134"/>
        <w:jc w:val="both"/>
        <w:rPr>
          <w:lang w:val="fr-FR"/>
        </w:rPr>
      </w:pPr>
      <w:r w:rsidRPr="00CA3533">
        <w:rPr>
          <w:rFonts w:eastAsiaTheme="minorHAnsi"/>
          <w:lang w:val="fr-FR" w:eastAsia="en-US"/>
        </w:rPr>
        <w:t>5.1.3</w:t>
      </w:r>
      <w:r w:rsidRPr="00CA3533">
        <w:rPr>
          <w:rFonts w:eastAsiaTheme="minorHAnsi"/>
          <w:lang w:val="fr-FR" w:eastAsia="en-US"/>
        </w:rPr>
        <w:tab/>
        <w:t xml:space="preserve">Dans le titre, </w:t>
      </w:r>
      <w:r w:rsidRPr="00CA3533">
        <w:rPr>
          <w:lang w:val="fr-FR"/>
        </w:rPr>
        <w:t>remplacer « véhicules pour vrac et conteneurs pour vrac » par « véhicules et conteneurs pour le transport en vrac ».</w:t>
      </w:r>
    </w:p>
    <w:p w14:paraId="0C82464E" w14:textId="77777777" w:rsidR="00CA3533" w:rsidRPr="00CA3533" w:rsidRDefault="00CA3533" w:rsidP="00CA3533">
      <w:pPr>
        <w:spacing w:after="120"/>
        <w:ind w:left="2268" w:right="1134" w:hanging="1134"/>
        <w:jc w:val="both"/>
        <w:rPr>
          <w:lang w:val="fr-FR"/>
        </w:rPr>
      </w:pPr>
      <w:r w:rsidRPr="00CA3533">
        <w:rPr>
          <w:lang w:val="fr-FR"/>
        </w:rPr>
        <w:t>5.1.3.1</w:t>
      </w:r>
      <w:r w:rsidRPr="00CA3533">
        <w:rPr>
          <w:lang w:val="fr-FR"/>
        </w:rPr>
        <w:tab/>
        <w:t>Remplacer « conteneurs pour vrac » par « conteneurs pour le transport en vrac ».</w:t>
      </w:r>
    </w:p>
    <w:p w14:paraId="4B8E6BC9" w14:textId="77777777" w:rsidR="00CA3533" w:rsidRPr="00CA3533" w:rsidRDefault="00CA3533" w:rsidP="00CA3533">
      <w:pPr>
        <w:keepNext/>
        <w:spacing w:after="120"/>
        <w:ind w:left="1134" w:right="1134"/>
        <w:jc w:val="both"/>
        <w:rPr>
          <w:lang w:val="fr-FR"/>
        </w:rPr>
      </w:pPr>
      <w:r w:rsidRPr="00CA3533">
        <w:rPr>
          <w:lang w:val="fr-FR"/>
        </w:rPr>
        <w:t>5.1.5.1.3</w:t>
      </w:r>
      <w:r w:rsidRPr="00CA3533">
        <w:rPr>
          <w:lang w:val="fr-FR"/>
        </w:rPr>
        <w:tab/>
        <w:t>Modifier le texte sous le titre pour lire comme suit :</w:t>
      </w:r>
    </w:p>
    <w:p w14:paraId="31C9E2A6" w14:textId="3F8FF9F9" w:rsidR="00CA3533" w:rsidRPr="00CA3533" w:rsidRDefault="00CA3533" w:rsidP="00CA3533">
      <w:pPr>
        <w:spacing w:after="120"/>
        <w:ind w:left="2268" w:right="1134"/>
        <w:jc w:val="both"/>
        <w:rPr>
          <w:lang w:val="fr-FR"/>
        </w:rPr>
      </w:pPr>
      <w:r w:rsidRPr="00CA3533">
        <w:rPr>
          <w:lang w:val="fr-FR"/>
        </w:rPr>
        <w:t>« Une autorité compétente peut approuver des dispositions en vertu desquelles les envois qui ne satisfont pas à toutes les prescriptions applicables de l’ADR peuvent être transportés en application d’un arrangement spécial (voir 1.7.4). »</w:t>
      </w:r>
    </w:p>
    <w:p w14:paraId="526C04DD"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tab/>
      </w:r>
      <w:r w:rsidRPr="00CA3533">
        <w:rPr>
          <w:rFonts w:asciiTheme="majorBidi" w:hAnsiTheme="majorBidi" w:cstheme="majorBidi"/>
          <w:b/>
          <w:sz w:val="24"/>
          <w:lang w:val="fr-FR"/>
        </w:rPr>
        <w:tab/>
        <w:t>Chapitre 5.2</w:t>
      </w:r>
    </w:p>
    <w:p w14:paraId="15037019" w14:textId="77777777" w:rsidR="00CA3533" w:rsidRPr="00CA3533" w:rsidRDefault="00CA3533" w:rsidP="00CA3533">
      <w:pPr>
        <w:spacing w:before="120" w:after="120"/>
        <w:ind w:left="2268" w:right="1134" w:hanging="1134"/>
        <w:jc w:val="both"/>
        <w:rPr>
          <w:lang w:val="fr-FR"/>
        </w:rPr>
      </w:pPr>
      <w:r w:rsidRPr="00CA3533">
        <w:rPr>
          <w:lang w:val="fr-FR"/>
        </w:rPr>
        <w:t>5.2.1.6</w:t>
      </w:r>
      <w:r w:rsidRPr="00CA3533">
        <w:rPr>
          <w:lang w:val="fr-FR"/>
        </w:rPr>
        <w:tab/>
        <w:t>À la fin de la note de bas de page 1, ajouter le nouveau tiret suivant :</w:t>
      </w:r>
    </w:p>
    <w:p w14:paraId="3FF03271" w14:textId="77777777" w:rsidR="00CA3533" w:rsidRPr="00CA3533" w:rsidRDefault="00CA3533" w:rsidP="00CA3533">
      <w:pPr>
        <w:spacing w:before="120" w:after="120"/>
        <w:ind w:left="2268" w:right="1134" w:hanging="1134"/>
        <w:jc w:val="both"/>
        <w:rPr>
          <w:lang w:val="fr-FR"/>
        </w:rPr>
      </w:pPr>
      <w:r w:rsidRPr="00CA3533">
        <w:rPr>
          <w:lang w:val="fr-FR"/>
        </w:rPr>
        <w:tab/>
        <w:t>« -</w:t>
      </w:r>
      <w:r w:rsidRPr="00CA3533">
        <w:rPr>
          <w:lang w:val="fr-FR"/>
        </w:rPr>
        <w:tab/>
      </w:r>
      <w:r w:rsidRPr="00CA3533">
        <w:rPr>
          <w:rFonts w:ascii="TimesNewRomanPS-ItalicMT" w:hAnsi="TimesNewRomanPS-ItalicMT" w:cs="TimesNewRomanPS-ItalicMT"/>
          <w:i/>
          <w:iCs/>
          <w:lang w:val="fr-FR"/>
        </w:rPr>
        <w:t>Pour le No ONU 1012 Butylène : 1-butylène, cis-2-butylène, trans-2-butylène, butylènes en mélange.</w:t>
      </w:r>
      <w:r w:rsidRPr="00CA3533">
        <w:rPr>
          <w:rFonts w:ascii="TimesNewRomanPS-ItalicMT" w:hAnsi="TimesNewRomanPS-ItalicMT" w:cs="TimesNewRomanPS-ItalicMT"/>
          <w:lang w:val="fr-FR"/>
        </w:rPr>
        <w:t> »</w:t>
      </w:r>
    </w:p>
    <w:p w14:paraId="7CCBFE33" w14:textId="77777777" w:rsidR="00CA3533" w:rsidRPr="00CA3533" w:rsidRDefault="00CA3533" w:rsidP="00CA3533">
      <w:pPr>
        <w:spacing w:after="120"/>
        <w:ind w:left="2268" w:right="1134" w:hanging="1134"/>
        <w:jc w:val="both"/>
        <w:rPr>
          <w:rFonts w:eastAsiaTheme="minorHAnsi"/>
          <w:lang w:val="fr-FR" w:eastAsia="en-US"/>
        </w:rPr>
      </w:pPr>
      <w:r w:rsidRPr="00CA3533">
        <w:rPr>
          <w:lang w:val="fr-FR" w:eastAsia="en-US"/>
        </w:rPr>
        <w:t>5.2.1.9.2</w:t>
      </w:r>
      <w:r w:rsidRPr="00CA3533">
        <w:rPr>
          <w:lang w:val="fr-FR" w:eastAsia="en-US"/>
        </w:rPr>
        <w:tab/>
      </w:r>
      <w:r w:rsidRPr="00CA3533">
        <w:rPr>
          <w:rFonts w:eastAsiaTheme="minorHAnsi"/>
          <w:lang w:val="fr-FR" w:eastAsia="en-US"/>
        </w:rPr>
        <w:t>Enlever le double astérisque dans la figure 5.2.1.9.2 et supprimer la note correspondant à ce double astérisque sous la figure.</w:t>
      </w:r>
    </w:p>
    <w:p w14:paraId="38E3F2F9" w14:textId="77777777" w:rsidR="00CA3533" w:rsidRPr="00CA3533" w:rsidRDefault="00CA3533" w:rsidP="00CA3533">
      <w:pPr>
        <w:spacing w:before="120" w:after="120"/>
        <w:ind w:left="2268" w:right="1134" w:hanging="1134"/>
        <w:jc w:val="both"/>
        <w:rPr>
          <w:lang w:val="fr-FR"/>
        </w:rPr>
      </w:pPr>
      <w:r w:rsidRPr="00CA3533">
        <w:rPr>
          <w:rFonts w:eastAsia="SimSun"/>
          <w:lang w:val="fr-FR" w:eastAsia="de-DE"/>
        </w:rPr>
        <w:t>5.2.1.10.1</w:t>
      </w:r>
      <w:r w:rsidRPr="00CA3533">
        <w:rPr>
          <w:lang w:val="fr-FR"/>
        </w:rPr>
        <w:tab/>
        <w:t>Numéroter les tirets en tant qu’alinéas a) à d). À l’alinéa c), remplacer « récipients cryogéniques » par « récipients cryogéniques fermés ou ouverts ».</w:t>
      </w:r>
    </w:p>
    <w:p w14:paraId="1BED0B75" w14:textId="77777777" w:rsidR="00CA3533" w:rsidRPr="00CA3533" w:rsidRDefault="00CA3533" w:rsidP="00CA3533">
      <w:pPr>
        <w:spacing w:before="120" w:after="120"/>
        <w:ind w:left="2268" w:right="1134" w:hanging="1134"/>
        <w:jc w:val="both"/>
        <w:rPr>
          <w:lang w:val="fr-FR"/>
        </w:rPr>
      </w:pPr>
      <w:r w:rsidRPr="00CA3533">
        <w:rPr>
          <w:rFonts w:eastAsia="SimSun"/>
          <w:lang w:val="fr-FR" w:eastAsia="de-DE"/>
        </w:rPr>
        <w:t>5.2.1.10.2</w:t>
      </w:r>
      <w:r w:rsidRPr="00CA3533">
        <w:rPr>
          <w:lang w:val="fr-FR"/>
        </w:rPr>
        <w:t xml:space="preserve"> a)</w:t>
      </w:r>
      <w:r w:rsidRPr="00CA3533">
        <w:rPr>
          <w:lang w:val="fr-FR"/>
        </w:rPr>
        <w:tab/>
        <w:t>Remplacer « récipients cryogéniques » par « récipients cryogéniques fermés ou ouverts ».</w:t>
      </w:r>
    </w:p>
    <w:p w14:paraId="1734C973"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5.2.2.2.2</w:t>
      </w:r>
      <w:r w:rsidRPr="00CA3533">
        <w:rPr>
          <w:rFonts w:eastAsiaTheme="minorHAnsi"/>
          <w:lang w:val="fr-FR" w:eastAsia="en-US"/>
        </w:rPr>
        <w:tab/>
        <w:t>Dans le tableau, pour la rubrique « Danger de classe 9 », supprimer «, y compris les matières dangereuses pour l’environnement ».</w:t>
      </w:r>
    </w:p>
    <w:p w14:paraId="116C0F14"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tab/>
      </w:r>
      <w:r w:rsidRPr="00CA3533">
        <w:rPr>
          <w:rFonts w:asciiTheme="majorBidi" w:hAnsiTheme="majorBidi" w:cstheme="majorBidi"/>
          <w:b/>
          <w:sz w:val="24"/>
          <w:lang w:val="fr-FR"/>
        </w:rPr>
        <w:tab/>
        <w:t>Chapitre 5.3</w:t>
      </w:r>
    </w:p>
    <w:p w14:paraId="798B224B" w14:textId="0BF81CA2" w:rsidR="00CA3533" w:rsidRPr="00CA3533" w:rsidRDefault="00CA3533" w:rsidP="00CA3533">
      <w:pPr>
        <w:spacing w:after="120"/>
        <w:ind w:left="1134" w:right="1134"/>
        <w:jc w:val="both"/>
        <w:rPr>
          <w:lang w:val="fr-FR"/>
        </w:rPr>
      </w:pPr>
      <w:r w:rsidRPr="00CA3533">
        <w:rPr>
          <w:lang w:val="fr-FR"/>
        </w:rPr>
        <w:t>5.3.2.1.5</w:t>
      </w:r>
      <w:r w:rsidRPr="00CA3533">
        <w:rPr>
          <w:lang w:val="fr-FR"/>
        </w:rPr>
        <w:tab/>
        <w:t>Modifier le nota pour lire comme suit :</w:t>
      </w:r>
    </w:p>
    <w:p w14:paraId="69AF81A4" w14:textId="634943F8" w:rsidR="00CA3533" w:rsidRPr="00CA3533" w:rsidRDefault="00CA3533" w:rsidP="00201B4D">
      <w:pPr>
        <w:spacing w:after="120"/>
        <w:ind w:left="2268" w:right="1134" w:hanging="1134"/>
        <w:jc w:val="both"/>
        <w:rPr>
          <w:lang w:val="fr-FR"/>
        </w:rPr>
      </w:pPr>
      <w:r w:rsidRPr="00CA3533">
        <w:rPr>
          <w:lang w:val="fr-FR"/>
        </w:rPr>
        <w:t>« </w:t>
      </w:r>
      <w:r w:rsidRPr="00CA3533">
        <w:rPr>
          <w:b/>
          <w:bCs/>
          <w:i/>
          <w:iCs/>
          <w:lang w:val="fr-FR"/>
        </w:rPr>
        <w:t>NOTA :</w:t>
      </w:r>
      <w:r w:rsidRPr="00CA3533">
        <w:rPr>
          <w:i/>
          <w:iCs/>
          <w:lang w:val="fr-FR"/>
        </w:rPr>
        <w:tab/>
        <w:t>Il n'est pas nécessaire d'appliquer ce paragraphe aux véhicules transportant des conteneurs pour le transport en vrac, citernes ou CGEM d'une capacité maximale de 3 000 litres.</w:t>
      </w:r>
      <w:r w:rsidRPr="00CA3533">
        <w:rPr>
          <w:lang w:val="fr-FR"/>
        </w:rPr>
        <w:t> »</w:t>
      </w:r>
    </w:p>
    <w:p w14:paraId="5744FEFC" w14:textId="77777777" w:rsidR="00CA3533" w:rsidRPr="00CA3533" w:rsidRDefault="00CA3533" w:rsidP="00CA3533">
      <w:pPr>
        <w:spacing w:after="120"/>
        <w:ind w:left="2268" w:right="1134" w:hanging="1134"/>
        <w:jc w:val="both"/>
        <w:rPr>
          <w:lang w:val="fr-FR"/>
        </w:rPr>
      </w:pPr>
      <w:r w:rsidRPr="00CA3533">
        <w:rPr>
          <w:rFonts w:eastAsiaTheme="minorHAnsi"/>
          <w:lang w:val="fr-FR" w:eastAsia="en-US"/>
        </w:rPr>
        <w:t>5.3.2.1.7</w:t>
      </w:r>
      <w:r w:rsidRPr="00CA3533">
        <w:rPr>
          <w:rFonts w:eastAsiaTheme="minorHAnsi"/>
          <w:lang w:val="fr-FR" w:eastAsia="en-US"/>
        </w:rPr>
        <w:tab/>
        <w:t xml:space="preserve">À la fin, </w:t>
      </w:r>
      <w:r w:rsidRPr="00CA3533">
        <w:rPr>
          <w:lang w:val="fr-FR"/>
        </w:rPr>
        <w:t>remplacer « conteneurs pour vrac » par « conteneurs pour le transport en vrac ».</w:t>
      </w:r>
    </w:p>
    <w:p w14:paraId="75A96834" w14:textId="77777777" w:rsidR="00CA3533" w:rsidRPr="00CA3533" w:rsidRDefault="00CA3533" w:rsidP="00CA3533">
      <w:pPr>
        <w:keepNext/>
        <w:keepLines/>
        <w:tabs>
          <w:tab w:val="right" w:pos="851"/>
        </w:tabs>
        <w:spacing w:before="360" w:after="240" w:line="270" w:lineRule="exact"/>
        <w:ind w:left="1134" w:right="1134" w:hanging="1134"/>
        <w:rPr>
          <w:b/>
          <w:sz w:val="24"/>
          <w:lang w:val="fr-FR"/>
        </w:rPr>
      </w:pPr>
      <w:r w:rsidRPr="00CA3533">
        <w:rPr>
          <w:b/>
          <w:sz w:val="24"/>
          <w:lang w:val="fr-FR"/>
        </w:rPr>
        <w:tab/>
      </w:r>
      <w:r w:rsidRPr="00CA3533">
        <w:rPr>
          <w:b/>
          <w:sz w:val="24"/>
          <w:lang w:val="fr-FR"/>
        </w:rPr>
        <w:tab/>
        <w:t>Chapitre 5.4</w:t>
      </w:r>
    </w:p>
    <w:p w14:paraId="7F0F90B1" w14:textId="77777777" w:rsidR="00CA3533" w:rsidRPr="00CA3533" w:rsidRDefault="00CA3533" w:rsidP="00CA3533">
      <w:pPr>
        <w:spacing w:after="120"/>
        <w:ind w:left="2268" w:right="1134" w:hanging="1134"/>
        <w:jc w:val="both"/>
        <w:rPr>
          <w:lang w:val="fr-FR"/>
        </w:rPr>
      </w:pPr>
      <w:r w:rsidRPr="00CA3533">
        <w:rPr>
          <w:lang w:val="fr-FR"/>
        </w:rPr>
        <w:t>5.4.1.1.1 k)</w:t>
      </w:r>
      <w:r w:rsidRPr="00CA3533">
        <w:rPr>
          <w:lang w:val="fr-FR"/>
        </w:rPr>
        <w:tab/>
        <w:t>À la fin, ajouter « ou comme spécifié dans un arrangement spécial sur la base du 1.7.4.2 ».</w:t>
      </w:r>
    </w:p>
    <w:p w14:paraId="06C5662A" w14:textId="6C81EADF" w:rsidR="00CA3533" w:rsidRPr="00CA3533" w:rsidRDefault="00CA3533" w:rsidP="00CA3533">
      <w:pPr>
        <w:spacing w:after="120"/>
        <w:ind w:left="2268" w:right="1134" w:hanging="1134"/>
        <w:jc w:val="both"/>
        <w:rPr>
          <w:bCs/>
          <w:lang w:val="fr-FR"/>
        </w:rPr>
      </w:pPr>
      <w:r w:rsidRPr="00CA3533">
        <w:rPr>
          <w:bCs/>
          <w:lang w:val="fr-FR"/>
        </w:rPr>
        <w:t>5.4.1.1.3</w:t>
      </w:r>
      <w:r w:rsidRPr="00CA3533">
        <w:rPr>
          <w:bCs/>
          <w:lang w:val="fr-FR"/>
        </w:rPr>
        <w:tab/>
      </w:r>
      <w:r w:rsidR="00200CB6">
        <w:rPr>
          <w:bCs/>
          <w:lang w:val="fr-FR"/>
        </w:rPr>
        <w:t>N</w:t>
      </w:r>
      <w:r w:rsidRPr="00CA3533">
        <w:rPr>
          <w:bCs/>
          <w:lang w:val="fr-FR"/>
        </w:rPr>
        <w:t xml:space="preserve">uméroter </w:t>
      </w:r>
      <w:r w:rsidR="006B0691">
        <w:rPr>
          <w:bCs/>
          <w:lang w:val="fr-FR"/>
        </w:rPr>
        <w:t xml:space="preserve">le texte sous le titre </w:t>
      </w:r>
      <w:r w:rsidRPr="00CA3533">
        <w:rPr>
          <w:bCs/>
          <w:lang w:val="fr-FR"/>
        </w:rPr>
        <w:t>en tant que 5.4.1.1.3.1.</w:t>
      </w:r>
    </w:p>
    <w:p w14:paraId="5DED1E57" w14:textId="77777777" w:rsidR="00CA3533" w:rsidRPr="00CA3533" w:rsidRDefault="00CA3533" w:rsidP="00CA3533">
      <w:pPr>
        <w:spacing w:after="120"/>
        <w:ind w:left="2268" w:right="1134" w:hanging="1134"/>
        <w:jc w:val="both"/>
        <w:rPr>
          <w:bCs/>
          <w:iCs/>
          <w:lang w:val="fr-FR"/>
        </w:rPr>
      </w:pPr>
      <w:r w:rsidRPr="00CA3533">
        <w:rPr>
          <w:bCs/>
          <w:iCs/>
          <w:lang w:val="fr-FR"/>
        </w:rPr>
        <w:t>Insérer le nouveau 5.4.1.1.3.2 suivant :</w:t>
      </w:r>
    </w:p>
    <w:p w14:paraId="6CB1DB93" w14:textId="77777777" w:rsidR="00CA3533" w:rsidRPr="00CA3533" w:rsidRDefault="00CA3533" w:rsidP="00CA3533">
      <w:pPr>
        <w:spacing w:after="120"/>
        <w:ind w:left="2268" w:right="1133" w:hanging="1134"/>
        <w:jc w:val="both"/>
        <w:rPr>
          <w:bCs/>
          <w:iCs/>
          <w:lang w:val="fr-FR"/>
        </w:rPr>
      </w:pPr>
      <w:r w:rsidRPr="00CA3533">
        <w:rPr>
          <w:bCs/>
          <w:iCs/>
          <w:lang w:val="fr-FR"/>
        </w:rPr>
        <w:t>« 5.4.1.1.3.2</w:t>
      </w:r>
      <w:r w:rsidRPr="00CA3533">
        <w:rPr>
          <w:bCs/>
          <w:iCs/>
          <w:lang w:val="fr-FR"/>
        </w:rPr>
        <w:tab/>
        <w:t>S’il est impossible de mesurer la quantité exacte de déchets transportés sur le lieu de chargement, la quantité visée au 5.4.1.1.1 f) peut être estimée dans les cas suivants selon les conditions suivantes :</w:t>
      </w:r>
    </w:p>
    <w:p w14:paraId="7E418CC9" w14:textId="147C10C2" w:rsidR="00CA3533" w:rsidRPr="00CA3533" w:rsidRDefault="00CA3533" w:rsidP="00CA3533">
      <w:pPr>
        <w:spacing w:after="120"/>
        <w:ind w:left="2694" w:right="1133" w:hanging="426"/>
        <w:jc w:val="both"/>
        <w:rPr>
          <w:bCs/>
          <w:iCs/>
          <w:lang w:val="fr-FR"/>
        </w:rPr>
      </w:pPr>
      <w:r w:rsidRPr="00CA3533">
        <w:rPr>
          <w:bCs/>
          <w:iCs/>
          <w:lang w:val="fr-FR"/>
        </w:rPr>
        <w:lastRenderedPageBreak/>
        <w:t>a)</w:t>
      </w:r>
      <w:r w:rsidRPr="00CA3533">
        <w:rPr>
          <w:bCs/>
          <w:iCs/>
          <w:lang w:val="fr-FR"/>
        </w:rPr>
        <w:tab/>
        <w:t>Pour les emballages, une liste des emballages précisant leur type et leur volume nominal est ajoutée au document de transport ;</w:t>
      </w:r>
    </w:p>
    <w:p w14:paraId="33C2FAEC" w14:textId="769BA1A3" w:rsidR="00CA3533" w:rsidRPr="00CA3533" w:rsidRDefault="00CA3533" w:rsidP="00CA3533">
      <w:pPr>
        <w:spacing w:after="120"/>
        <w:ind w:left="2694" w:right="1133" w:hanging="426"/>
        <w:jc w:val="both"/>
        <w:rPr>
          <w:bCs/>
          <w:iCs/>
          <w:lang w:val="fr-FR"/>
        </w:rPr>
      </w:pPr>
      <w:r w:rsidRPr="00CA3533">
        <w:rPr>
          <w:bCs/>
          <w:iCs/>
          <w:lang w:val="fr-FR"/>
        </w:rPr>
        <w:t>b)</w:t>
      </w:r>
      <w:r w:rsidRPr="00CA3533">
        <w:rPr>
          <w:bCs/>
          <w:iCs/>
          <w:lang w:val="fr-FR"/>
        </w:rPr>
        <w:tab/>
        <w:t>Pour les conteneurs, l’estimation se base sur leur volume nominal et les autres informations disponibles, par exemple le type de déchets, la densité moyenne, le taux de remplissage ;</w:t>
      </w:r>
    </w:p>
    <w:p w14:paraId="5A210BF8" w14:textId="4B94EF23" w:rsidR="00CA3533" w:rsidRPr="00CA3533" w:rsidRDefault="00CA3533" w:rsidP="00CA3533">
      <w:pPr>
        <w:spacing w:after="120"/>
        <w:ind w:left="2694" w:right="1133" w:hanging="426"/>
        <w:jc w:val="both"/>
        <w:rPr>
          <w:bCs/>
          <w:iCs/>
          <w:lang w:val="fr-FR"/>
        </w:rPr>
      </w:pPr>
      <w:r w:rsidRPr="00CA3533">
        <w:rPr>
          <w:bCs/>
          <w:iCs/>
          <w:lang w:val="fr-FR"/>
        </w:rPr>
        <w:t>c)</w:t>
      </w:r>
      <w:r w:rsidRPr="00CA3533">
        <w:rPr>
          <w:bCs/>
          <w:iCs/>
          <w:lang w:val="fr-FR"/>
        </w:rPr>
        <w:tab/>
        <w:t>Pour les citernes à déchets opérant sous vide, l’estimation est justifiée, par exemple au moyen d’une estimation fournie par l’expéditeur ou par les équipements du véhicule.</w:t>
      </w:r>
    </w:p>
    <w:p w14:paraId="40D519F0" w14:textId="77777777" w:rsidR="00CA3533" w:rsidRPr="00CA3533" w:rsidRDefault="00CA3533" w:rsidP="00CA3533">
      <w:pPr>
        <w:spacing w:after="120"/>
        <w:ind w:left="2694" w:right="1133" w:hanging="426"/>
        <w:jc w:val="both"/>
        <w:rPr>
          <w:bCs/>
          <w:iCs/>
          <w:lang w:val="fr-FR"/>
        </w:rPr>
      </w:pPr>
      <w:r w:rsidRPr="00CA3533">
        <w:rPr>
          <w:bCs/>
          <w:iCs/>
          <w:lang w:val="fr-FR"/>
        </w:rPr>
        <w:t>Une telle estimation de la quantité n’est pas autorisée pour :</w:t>
      </w:r>
    </w:p>
    <w:p w14:paraId="4A50D4CB" w14:textId="77777777" w:rsidR="00CA3533" w:rsidRPr="00CA3533" w:rsidRDefault="00CA3533" w:rsidP="00CA3533">
      <w:pPr>
        <w:spacing w:after="120"/>
        <w:ind w:left="2694" w:right="1133" w:hanging="426"/>
        <w:jc w:val="both"/>
        <w:rPr>
          <w:bCs/>
          <w:iCs/>
          <w:lang w:val="fr-FR"/>
        </w:rPr>
      </w:pPr>
      <w:r w:rsidRPr="00CA3533">
        <w:rPr>
          <w:bCs/>
          <w:iCs/>
          <w:lang w:val="fr-FR"/>
        </w:rPr>
        <w:t>-</w:t>
      </w:r>
      <w:r w:rsidRPr="00CA3533">
        <w:rPr>
          <w:bCs/>
          <w:iCs/>
          <w:lang w:val="fr-FR"/>
        </w:rPr>
        <w:tab/>
        <w:t>Les exemptions pour lesquelles la quantité exacte est essentielle (par exemple 1.1.3.6) ;</w:t>
      </w:r>
    </w:p>
    <w:p w14:paraId="1A0049F6" w14:textId="77777777" w:rsidR="00CA3533" w:rsidRPr="00CA3533" w:rsidRDefault="00CA3533" w:rsidP="00CA3533">
      <w:pPr>
        <w:spacing w:after="120"/>
        <w:ind w:left="2694" w:right="1133" w:hanging="426"/>
        <w:jc w:val="both"/>
        <w:rPr>
          <w:bCs/>
          <w:iCs/>
          <w:lang w:val="fr-FR"/>
        </w:rPr>
      </w:pPr>
      <w:r w:rsidRPr="00CA3533">
        <w:rPr>
          <w:bCs/>
          <w:iCs/>
          <w:lang w:val="fr-FR"/>
        </w:rPr>
        <w:t>-</w:t>
      </w:r>
      <w:r w:rsidRPr="00CA3533">
        <w:rPr>
          <w:bCs/>
          <w:iCs/>
          <w:lang w:val="fr-FR"/>
        </w:rPr>
        <w:tab/>
        <w:t>Les déchets contenant les matières visées au 2.1.3.5.3 ou les matières de la classe 4.3 ;</w:t>
      </w:r>
    </w:p>
    <w:p w14:paraId="18223085" w14:textId="77777777" w:rsidR="00CA3533" w:rsidRPr="00CA3533" w:rsidRDefault="00CA3533" w:rsidP="00CA3533">
      <w:pPr>
        <w:spacing w:after="120"/>
        <w:ind w:left="2694" w:right="1133" w:hanging="426"/>
        <w:jc w:val="both"/>
        <w:rPr>
          <w:bCs/>
          <w:iCs/>
          <w:lang w:val="fr-FR"/>
        </w:rPr>
      </w:pPr>
      <w:r w:rsidRPr="00CA3533">
        <w:rPr>
          <w:bCs/>
          <w:iCs/>
          <w:lang w:val="fr-FR"/>
        </w:rPr>
        <w:t>-</w:t>
      </w:r>
      <w:r w:rsidRPr="00CA3533">
        <w:rPr>
          <w:bCs/>
          <w:iCs/>
          <w:lang w:val="fr-FR"/>
        </w:rPr>
        <w:tab/>
        <w:t>Les citernes autres que les citernes à déchets opérant sous vide.</w:t>
      </w:r>
    </w:p>
    <w:p w14:paraId="72AC2319" w14:textId="406C74A3" w:rsidR="00CA3533" w:rsidRPr="00CA3533" w:rsidRDefault="00CA3533" w:rsidP="00CA3533">
      <w:pPr>
        <w:spacing w:after="120"/>
        <w:ind w:left="2694" w:right="1133" w:hanging="426"/>
        <w:jc w:val="both"/>
        <w:rPr>
          <w:bCs/>
          <w:iCs/>
          <w:lang w:val="fr-FR"/>
        </w:rPr>
      </w:pPr>
      <w:r w:rsidRPr="00CA3533">
        <w:rPr>
          <w:bCs/>
          <w:iCs/>
          <w:lang w:val="fr-FR"/>
        </w:rPr>
        <w:t>Le document de transport doit porter la mention suivante :</w:t>
      </w:r>
    </w:p>
    <w:p w14:paraId="50CB6C8B" w14:textId="2BA6F48C" w:rsidR="00CA3533" w:rsidRPr="00CA3533" w:rsidRDefault="00CA3533" w:rsidP="00CA3533">
      <w:pPr>
        <w:spacing w:after="120"/>
        <w:ind w:left="2268" w:right="1133"/>
        <w:jc w:val="both"/>
        <w:rPr>
          <w:bCs/>
          <w:iCs/>
          <w:lang w:val="fr-FR"/>
        </w:rPr>
      </w:pPr>
      <w:r w:rsidRPr="00CA3533">
        <w:rPr>
          <w:bCs/>
          <w:iCs/>
          <w:lang w:val="fr-FR"/>
        </w:rPr>
        <w:t>« QUANTITÉ ESTIMÉE CONFORMÉMENT AU 5.4.1.1.3.2 ». »</w:t>
      </w:r>
    </w:p>
    <w:p w14:paraId="29A06B47" w14:textId="77777777" w:rsidR="00CA3533" w:rsidRPr="00CA3533" w:rsidRDefault="00CA3533" w:rsidP="00CA3533">
      <w:pPr>
        <w:kinsoku/>
        <w:overflowPunct/>
        <w:autoSpaceDE/>
        <w:autoSpaceDN/>
        <w:adjustRightInd/>
        <w:snapToGrid/>
        <w:spacing w:after="120"/>
        <w:ind w:left="2268" w:right="1134" w:hanging="1134"/>
        <w:jc w:val="both"/>
        <w:rPr>
          <w:lang w:val="fr-FR" w:eastAsia="en-US"/>
        </w:rPr>
      </w:pPr>
      <w:r w:rsidRPr="00CA3533">
        <w:rPr>
          <w:rFonts w:eastAsia="SimSun"/>
          <w:lang w:val="fr-FR"/>
        </w:rPr>
        <w:t>5.4.1.1.5</w:t>
      </w:r>
      <w:r w:rsidRPr="00CA3533">
        <w:rPr>
          <w:lang w:val="fr-FR" w:eastAsia="en-US"/>
        </w:rPr>
        <w:tab/>
        <w:t>Modifier le paragraphe sous le titre pour lire comme suit :</w:t>
      </w:r>
    </w:p>
    <w:p w14:paraId="0A404290" w14:textId="1F852777" w:rsidR="00CA3533" w:rsidRPr="00CA3533" w:rsidRDefault="00CA3533" w:rsidP="00CA3533">
      <w:pPr>
        <w:kinsoku/>
        <w:overflowPunct/>
        <w:autoSpaceDE/>
        <w:autoSpaceDN/>
        <w:adjustRightInd/>
        <w:snapToGrid/>
        <w:spacing w:after="120"/>
        <w:ind w:left="2268" w:right="1134"/>
        <w:jc w:val="both"/>
        <w:rPr>
          <w:lang w:val="fr-FR" w:eastAsia="en-US"/>
        </w:rPr>
      </w:pPr>
      <w:r w:rsidRPr="00CA3533">
        <w:rPr>
          <w:lang w:val="fr-FR" w:eastAsia="en-US"/>
        </w:rPr>
        <w:t>« Pour les marchandises dangereuses qui sont transportées dans un emballage de secours conformément au 4.1.1.19, y compris dans un grand emballage de secours, des emballages ou grands emballages de plus grande dimension, d’un type et d’un niveau d’épreuve appropriés pour une utilisation en tant qu’emballage de secours, les mots "</w:t>
      </w:r>
      <w:r w:rsidRPr="000023A7">
        <w:rPr>
          <w:b/>
          <w:bCs/>
          <w:lang w:val="fr-FR" w:eastAsia="en-US"/>
        </w:rPr>
        <w:t>EMBALLAGE DE SECOURS</w:t>
      </w:r>
      <w:r w:rsidRPr="00CA3533">
        <w:rPr>
          <w:lang w:val="fr-FR" w:eastAsia="en-US"/>
        </w:rPr>
        <w:t>" doivent être ajoutés.</w:t>
      </w:r>
    </w:p>
    <w:p w14:paraId="5E463187" w14:textId="46F0D605" w:rsidR="00CA3533" w:rsidRPr="00CA3533" w:rsidRDefault="00CA3533" w:rsidP="00CA3533">
      <w:pPr>
        <w:kinsoku/>
        <w:overflowPunct/>
        <w:autoSpaceDE/>
        <w:autoSpaceDN/>
        <w:adjustRightInd/>
        <w:snapToGrid/>
        <w:spacing w:after="120"/>
        <w:ind w:left="2268" w:right="1134"/>
        <w:jc w:val="both"/>
        <w:rPr>
          <w:lang w:val="fr-FR" w:eastAsia="en-US"/>
        </w:rPr>
      </w:pPr>
      <w:r w:rsidRPr="00CA3533">
        <w:rPr>
          <w:lang w:val="fr-FR" w:eastAsia="en-US"/>
        </w:rPr>
        <w:t>Pour les marchandises dangereuses qui sont transportées dans un récipient à pression de secours conformément au 4.1.1.20, les mots "</w:t>
      </w:r>
      <w:r w:rsidRPr="000023A7">
        <w:rPr>
          <w:b/>
          <w:bCs/>
          <w:lang w:val="fr-FR" w:eastAsia="en-US"/>
        </w:rPr>
        <w:t>RÉCIPIENT À PRESSION DE SECOURS</w:t>
      </w:r>
      <w:r w:rsidRPr="00CA3533">
        <w:rPr>
          <w:lang w:val="fr-FR" w:eastAsia="en-US"/>
        </w:rPr>
        <w:t>" doivent être ajoutés. ».</w:t>
      </w:r>
    </w:p>
    <w:p w14:paraId="47969434" w14:textId="77777777" w:rsidR="00CA3533" w:rsidRPr="00CA3533" w:rsidRDefault="00CA3533" w:rsidP="00CA3533">
      <w:pPr>
        <w:kinsoku/>
        <w:overflowPunct/>
        <w:autoSpaceDE/>
        <w:autoSpaceDN/>
        <w:adjustRightInd/>
        <w:snapToGrid/>
        <w:spacing w:after="120"/>
        <w:ind w:left="2268" w:right="1134" w:hanging="1134"/>
        <w:jc w:val="both"/>
        <w:rPr>
          <w:lang w:val="fr-FR" w:eastAsia="fr-FR"/>
        </w:rPr>
      </w:pPr>
      <w:r w:rsidRPr="00CA3533">
        <w:rPr>
          <w:lang w:val="fr-FR" w:eastAsia="fr-FR"/>
        </w:rPr>
        <w:t>5.4.1.1.11</w:t>
      </w:r>
      <w:r w:rsidRPr="00CA3533">
        <w:rPr>
          <w:lang w:val="fr-FR" w:eastAsia="fr-FR"/>
        </w:rPr>
        <w:tab/>
        <w:t>Remplacer « 6.7.2.19.6 b) » par « 6.7.2.19.6.1 b) » (deux fois), remplacer « 6.7.3.15.6 b) » par « 6.7.3.15.6.1 b) » (deux fois) et remplacer « 6.7.4.14.6 b) » par « 6.7.4.14.6.1 b) » (deux fois).</w:t>
      </w:r>
    </w:p>
    <w:p w14:paraId="4C11BB8A" w14:textId="19BC0913"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5.4.1.1.15</w:t>
      </w:r>
      <w:r w:rsidRPr="00CA3533">
        <w:rPr>
          <w:lang w:val="fr-FR" w:eastAsia="en-US"/>
        </w:rPr>
        <w:tab/>
        <w:t>Dans le titre, remplacer « </w:t>
      </w:r>
      <w:r w:rsidRPr="00BF0E25">
        <w:rPr>
          <w:i/>
          <w:iCs/>
          <w:lang w:val="fr-FR" w:eastAsia="en-US"/>
        </w:rPr>
        <w:t>matières stabilisées par régulation de température</w:t>
      </w:r>
      <w:r w:rsidRPr="00CA3533">
        <w:rPr>
          <w:lang w:val="fr-FR" w:eastAsia="en-US"/>
        </w:rPr>
        <w:t> » par « </w:t>
      </w:r>
      <w:r w:rsidRPr="00BF0E25">
        <w:rPr>
          <w:i/>
          <w:iCs/>
          <w:lang w:val="fr-FR" w:eastAsia="en-US"/>
        </w:rPr>
        <w:t>matières stabilisées et matières avec régulation de température</w:t>
      </w:r>
      <w:r w:rsidRPr="00CA3533">
        <w:rPr>
          <w:lang w:val="fr-FR" w:eastAsia="en-US"/>
        </w:rPr>
        <w:t> ».</w:t>
      </w:r>
    </w:p>
    <w:p w14:paraId="5F547E77"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ab/>
        <w:t>Modifier le texte sous ce titre pour lire :</w:t>
      </w:r>
    </w:p>
    <w:p w14:paraId="47847332" w14:textId="77777777" w:rsidR="00CA3533" w:rsidRPr="00CA3533" w:rsidRDefault="00CA3533" w:rsidP="00CA3533">
      <w:pPr>
        <w:tabs>
          <w:tab w:val="left" w:pos="2268"/>
        </w:tabs>
        <w:kinsoku/>
        <w:overflowPunct/>
        <w:autoSpaceDE/>
        <w:autoSpaceDN/>
        <w:adjustRightInd/>
        <w:snapToGrid/>
        <w:spacing w:after="120"/>
        <w:ind w:left="2268" w:right="1134"/>
        <w:jc w:val="both"/>
        <w:rPr>
          <w:lang w:val="fr-FR" w:eastAsia="en-US"/>
        </w:rPr>
      </w:pPr>
      <w:r w:rsidRPr="00CA3533">
        <w:rPr>
          <w:lang w:val="fr-FR" w:eastAsia="en-US"/>
        </w:rPr>
        <w:t>« À moins qu’il ne figure déjà dans la désignation officielle de transport, il faut ajouter le mot "</w:t>
      </w:r>
      <w:r w:rsidRPr="00D80C07">
        <w:rPr>
          <w:b/>
          <w:bCs/>
          <w:lang w:val="fr-FR" w:eastAsia="en-US"/>
        </w:rPr>
        <w:t>STABILISÉ</w:t>
      </w:r>
      <w:r w:rsidRPr="00966C19">
        <w:rPr>
          <w:lang w:val="fr-FR" w:eastAsia="en-US"/>
        </w:rPr>
        <w:t>" dans le cas d’une stabilisation, ou les mots "</w:t>
      </w:r>
      <w:r w:rsidRPr="00D80C07">
        <w:rPr>
          <w:b/>
          <w:bCs/>
          <w:lang w:val="fr-FR" w:eastAsia="en-US"/>
        </w:rPr>
        <w:t>AVEC RÉGULATION DE TEMPÉRATURE</w:t>
      </w:r>
      <w:r w:rsidRPr="00CA3533">
        <w:rPr>
          <w:lang w:val="fr-FR" w:eastAsia="en-US"/>
        </w:rPr>
        <w:t>" si la stabilisation se fait par régulation de température ou par stabilisation chimique en combinaison avec la régulation de température (voir 3.1.2.6).</w:t>
      </w:r>
    </w:p>
    <w:p w14:paraId="3F442872" w14:textId="77777777" w:rsidR="00CA3533" w:rsidRPr="00CA3533" w:rsidRDefault="00CA3533" w:rsidP="00CA3533">
      <w:pPr>
        <w:tabs>
          <w:tab w:val="left" w:pos="2268"/>
        </w:tabs>
        <w:kinsoku/>
        <w:overflowPunct/>
        <w:autoSpaceDE/>
        <w:autoSpaceDN/>
        <w:adjustRightInd/>
        <w:snapToGrid/>
        <w:spacing w:after="120"/>
        <w:ind w:left="2268" w:right="1134"/>
        <w:jc w:val="both"/>
        <w:rPr>
          <w:lang w:val="fr-FR" w:eastAsia="en-US"/>
        </w:rPr>
      </w:pPr>
      <w:r w:rsidRPr="00CA3533">
        <w:rPr>
          <w:lang w:val="fr-FR" w:eastAsia="en-US"/>
        </w:rPr>
        <w:t>Si les mots "AVEC RÉGULATION DE TEMPÉRATURE" font partie de la désignation officielle de transport (voir également 3.1.2.6), la température de régulation et la température critique (voir 7.1.7) doivent être indiquées sur le document de transport comme suit :</w:t>
      </w:r>
    </w:p>
    <w:p w14:paraId="34D06ABE" w14:textId="77777777" w:rsidR="00CA3533" w:rsidRPr="00CA3533" w:rsidRDefault="00CA3533" w:rsidP="00CA3533">
      <w:pPr>
        <w:tabs>
          <w:tab w:val="left" w:pos="2268"/>
        </w:tabs>
        <w:kinsoku/>
        <w:overflowPunct/>
        <w:autoSpaceDE/>
        <w:autoSpaceDN/>
        <w:adjustRightInd/>
        <w:snapToGrid/>
        <w:spacing w:after="120"/>
        <w:ind w:left="2268" w:right="1134"/>
        <w:jc w:val="both"/>
        <w:rPr>
          <w:lang w:val="fr-FR" w:eastAsia="en-US"/>
        </w:rPr>
      </w:pPr>
      <w:r w:rsidRPr="00CA3533">
        <w:rPr>
          <w:b/>
          <w:bCs/>
          <w:lang w:val="fr-FR" w:eastAsia="en-US"/>
        </w:rPr>
        <w:t>"Température de régulation : ... °C Température critique : ... °C"</w:t>
      </w:r>
      <w:r w:rsidRPr="00CA3533">
        <w:rPr>
          <w:lang w:val="fr-FR" w:eastAsia="en-US"/>
        </w:rPr>
        <w:t> »</w:t>
      </w:r>
    </w:p>
    <w:p w14:paraId="041D182C" w14:textId="2EB02E67" w:rsidR="00CA3533" w:rsidRPr="00CA3533" w:rsidRDefault="00CA3533" w:rsidP="00CA3533">
      <w:pPr>
        <w:tabs>
          <w:tab w:val="left" w:pos="2268"/>
        </w:tabs>
        <w:kinsoku/>
        <w:overflowPunct/>
        <w:autoSpaceDE/>
        <w:autoSpaceDN/>
        <w:adjustRightInd/>
        <w:snapToGrid/>
        <w:spacing w:after="120"/>
        <w:ind w:left="1134" w:right="1134"/>
        <w:jc w:val="both"/>
        <w:rPr>
          <w:lang w:val="fr-FR" w:eastAsia="en-US"/>
        </w:rPr>
      </w:pPr>
      <w:r w:rsidRPr="00CA3533">
        <w:rPr>
          <w:lang w:val="fr-FR" w:eastAsia="en-US"/>
        </w:rPr>
        <w:t>5.4.1.1.16</w:t>
      </w:r>
      <w:r w:rsidRPr="00CA3533">
        <w:rPr>
          <w:lang w:val="fr-FR" w:eastAsia="en-US"/>
        </w:rPr>
        <w:tab/>
        <w:t>Supprimer et ajouter « 5.4.1.1.16</w:t>
      </w:r>
      <w:r w:rsidRPr="00CA3533">
        <w:rPr>
          <w:lang w:val="fr-FR" w:eastAsia="en-US"/>
        </w:rPr>
        <w:tab/>
      </w:r>
      <w:r w:rsidRPr="00CA3533">
        <w:rPr>
          <w:i/>
          <w:iCs/>
          <w:lang w:val="fr-FR" w:eastAsia="en-US"/>
        </w:rPr>
        <w:t>(Supprimé)</w:t>
      </w:r>
      <w:r w:rsidRPr="00CA3533">
        <w:rPr>
          <w:lang w:val="fr-FR" w:eastAsia="en-US"/>
        </w:rPr>
        <w:t> ».</w:t>
      </w:r>
    </w:p>
    <w:p w14:paraId="6B350601" w14:textId="77777777" w:rsidR="00CA3533" w:rsidRPr="00CA3533" w:rsidRDefault="00CA3533" w:rsidP="00CA3533">
      <w:pPr>
        <w:kinsoku/>
        <w:overflowPunct/>
        <w:autoSpaceDE/>
        <w:autoSpaceDN/>
        <w:adjustRightInd/>
        <w:snapToGrid/>
        <w:spacing w:after="120"/>
        <w:ind w:left="2268" w:right="1134" w:hanging="1134"/>
        <w:jc w:val="both"/>
        <w:rPr>
          <w:lang w:val="fr-FR" w:eastAsia="en-US"/>
        </w:rPr>
      </w:pPr>
      <w:r w:rsidRPr="00CA3533">
        <w:rPr>
          <w:rFonts w:eastAsia="SimSun"/>
          <w:lang w:val="fr-FR"/>
        </w:rPr>
        <w:t>5.4.1.1.21</w:t>
      </w:r>
      <w:r w:rsidRPr="00CA3533">
        <w:rPr>
          <w:lang w:val="fr-FR" w:eastAsia="en-US"/>
        </w:rPr>
        <w:tab/>
        <w:t>Modifier pour lire comme suit :</w:t>
      </w:r>
    </w:p>
    <w:p w14:paraId="6C345324" w14:textId="37F0F478" w:rsidR="00CA3533" w:rsidRPr="00CA3533" w:rsidRDefault="00CA3533" w:rsidP="00CA3533">
      <w:pPr>
        <w:kinsoku/>
        <w:overflowPunct/>
        <w:autoSpaceDE/>
        <w:autoSpaceDN/>
        <w:adjustRightInd/>
        <w:snapToGrid/>
        <w:spacing w:after="120"/>
        <w:ind w:left="2268" w:right="1134" w:hanging="1134"/>
        <w:jc w:val="both"/>
        <w:rPr>
          <w:lang w:val="fr-FR" w:eastAsia="en-US"/>
        </w:rPr>
      </w:pPr>
      <w:r w:rsidRPr="00CA3533">
        <w:rPr>
          <w:lang w:val="fr-FR" w:eastAsia="en-US"/>
        </w:rPr>
        <w:t>« </w:t>
      </w:r>
      <w:r w:rsidRPr="00CA3533">
        <w:rPr>
          <w:rFonts w:eastAsia="SimSun"/>
          <w:lang w:val="fr-FR"/>
        </w:rPr>
        <w:t>5.4.1.1.21</w:t>
      </w:r>
      <w:r w:rsidRPr="00CA3533">
        <w:rPr>
          <w:lang w:val="fr-FR" w:eastAsia="en-US"/>
        </w:rPr>
        <w:tab/>
      </w:r>
      <w:r w:rsidRPr="00CA3533">
        <w:rPr>
          <w:i/>
          <w:iCs/>
          <w:lang w:val="fr-FR" w:eastAsia="en-US"/>
        </w:rPr>
        <w:t>Renseignements supplémentaires en cas d’application de dispositions spéciales</w:t>
      </w:r>
    </w:p>
    <w:p w14:paraId="2E6672CE" w14:textId="6A69A73E" w:rsidR="00CA3533" w:rsidRPr="00CA3533" w:rsidRDefault="00CA3533" w:rsidP="00CA3533">
      <w:pPr>
        <w:tabs>
          <w:tab w:val="left" w:pos="1134"/>
        </w:tabs>
        <w:kinsoku/>
        <w:overflowPunct/>
        <w:autoSpaceDE/>
        <w:autoSpaceDN/>
        <w:adjustRightInd/>
        <w:snapToGrid/>
        <w:spacing w:after="120"/>
        <w:ind w:left="2268" w:right="1134"/>
        <w:jc w:val="both"/>
        <w:rPr>
          <w:lang w:val="fr-FR" w:eastAsia="en-US"/>
        </w:rPr>
      </w:pPr>
      <w:r w:rsidRPr="00CA3533">
        <w:rPr>
          <w:lang w:val="fr-FR" w:eastAsia="en-US"/>
        </w:rPr>
        <w:tab/>
        <w:t>Lorsque, conformément à une disposition spéciale du chapitre 3.3, des renseignements supplémentaires sont nécessaires, ces renseignements doivent figurer dans le document de transport. »</w:t>
      </w:r>
    </w:p>
    <w:p w14:paraId="6565FB19" w14:textId="65B095C7" w:rsidR="00FB739F" w:rsidRDefault="00FB739F" w:rsidP="00FB739F">
      <w:pPr>
        <w:tabs>
          <w:tab w:val="left" w:pos="2268"/>
        </w:tabs>
        <w:kinsoku/>
        <w:overflowPunct/>
        <w:autoSpaceDE/>
        <w:autoSpaceDN/>
        <w:adjustRightInd/>
        <w:snapToGrid/>
        <w:spacing w:after="120"/>
        <w:ind w:left="2268" w:right="1134" w:hanging="1134"/>
        <w:jc w:val="both"/>
        <w:rPr>
          <w:lang w:val="fr-FR"/>
        </w:rPr>
      </w:pPr>
      <w:r>
        <w:rPr>
          <w:lang w:val="fr-FR"/>
        </w:rPr>
        <w:lastRenderedPageBreak/>
        <w:t>Ajouter le</w:t>
      </w:r>
      <w:r w:rsidR="004C74D9">
        <w:rPr>
          <w:lang w:val="fr-FR"/>
        </w:rPr>
        <w:t>s</w:t>
      </w:r>
      <w:r>
        <w:rPr>
          <w:lang w:val="fr-FR"/>
        </w:rPr>
        <w:t xml:space="preserve"> nouveau</w:t>
      </w:r>
      <w:r w:rsidR="004C74D9">
        <w:rPr>
          <w:lang w:val="fr-FR"/>
        </w:rPr>
        <w:t>x</w:t>
      </w:r>
      <w:r>
        <w:rPr>
          <w:lang w:val="fr-FR"/>
        </w:rPr>
        <w:t xml:space="preserve"> </w:t>
      </w:r>
      <w:r w:rsidRPr="00CB0B64">
        <w:rPr>
          <w:lang w:val="fr-FR"/>
        </w:rPr>
        <w:t>5.4.1.1.22</w:t>
      </w:r>
      <w:r w:rsidR="0069666F">
        <w:rPr>
          <w:lang w:val="fr-FR"/>
        </w:rPr>
        <w:t>, 5.4.1.1.23 et 5.4.1.1.24</w:t>
      </w:r>
      <w:r>
        <w:rPr>
          <w:lang w:val="fr-FR"/>
        </w:rPr>
        <w:t> suivant</w:t>
      </w:r>
      <w:r w:rsidR="0069666F">
        <w:rPr>
          <w:lang w:val="fr-FR"/>
        </w:rPr>
        <w:t>s</w:t>
      </w:r>
      <w:r>
        <w:rPr>
          <w:lang w:val="fr-FR"/>
        </w:rPr>
        <w:t xml:space="preserve"> :</w:t>
      </w:r>
    </w:p>
    <w:p w14:paraId="145EE525" w14:textId="20ACA306" w:rsidR="00FB739F" w:rsidRDefault="00FB739F" w:rsidP="00FB739F">
      <w:pPr>
        <w:tabs>
          <w:tab w:val="left" w:pos="2268"/>
        </w:tabs>
        <w:kinsoku/>
        <w:overflowPunct/>
        <w:autoSpaceDE/>
        <w:autoSpaceDN/>
        <w:adjustRightInd/>
        <w:snapToGrid/>
        <w:spacing w:after="120"/>
        <w:ind w:left="2268" w:right="1134" w:hanging="1134"/>
        <w:jc w:val="both"/>
        <w:rPr>
          <w:lang w:val="fr-FR"/>
        </w:rPr>
      </w:pPr>
      <w:r>
        <w:rPr>
          <w:lang w:val="fr-FR"/>
        </w:rPr>
        <w:t>« </w:t>
      </w:r>
      <w:r w:rsidRPr="00CB0B64">
        <w:rPr>
          <w:lang w:val="fr-FR"/>
        </w:rPr>
        <w:t>5.4.1.1.22</w:t>
      </w:r>
      <w:r>
        <w:rPr>
          <w:lang w:val="fr-FR"/>
        </w:rPr>
        <w:tab/>
      </w:r>
      <w:r w:rsidRPr="002020E5">
        <w:rPr>
          <w:i/>
          <w:iCs/>
          <w:lang w:val="fr-FR"/>
        </w:rPr>
        <w:t>(Réservé)</w:t>
      </w:r>
    </w:p>
    <w:p w14:paraId="16201674" w14:textId="6FC14FBE"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5.4.1.1.</w:t>
      </w:r>
      <w:r w:rsidR="00DF62CA" w:rsidRPr="00CA3533">
        <w:rPr>
          <w:lang w:val="fr-FR" w:eastAsia="en-US"/>
        </w:rPr>
        <w:t>2</w:t>
      </w:r>
      <w:r w:rsidR="00DF62CA">
        <w:rPr>
          <w:lang w:val="fr-FR" w:eastAsia="en-US"/>
        </w:rPr>
        <w:t>3</w:t>
      </w:r>
      <w:r w:rsidRPr="00CA3533">
        <w:rPr>
          <w:lang w:val="fr-FR" w:eastAsia="en-US"/>
        </w:rPr>
        <w:tab/>
      </w:r>
      <w:r w:rsidRPr="00CA3533">
        <w:rPr>
          <w:lang w:val="fr-FR" w:eastAsia="en-US"/>
        </w:rPr>
        <w:tab/>
      </w:r>
      <w:r w:rsidRPr="00CA3533">
        <w:rPr>
          <w:i/>
          <w:iCs/>
          <w:lang w:val="fr-FR" w:eastAsia="en-US"/>
        </w:rPr>
        <w:t>Dispositions spéciales pour le transport des matières transportées à l’état fondu</w:t>
      </w:r>
      <w:r w:rsidRPr="00CA3533">
        <w:rPr>
          <w:lang w:val="fr-FR" w:eastAsia="en-US"/>
        </w:rPr>
        <w:t xml:space="preserve"> </w:t>
      </w:r>
    </w:p>
    <w:p w14:paraId="680A1DF4" w14:textId="3E8175B2" w:rsidR="00CA3533" w:rsidRPr="00CA3533" w:rsidRDefault="00CA3533" w:rsidP="00CA3533">
      <w:pPr>
        <w:tabs>
          <w:tab w:val="left" w:pos="2268"/>
        </w:tabs>
        <w:kinsoku/>
        <w:overflowPunct/>
        <w:autoSpaceDE/>
        <w:autoSpaceDN/>
        <w:adjustRightInd/>
        <w:snapToGrid/>
        <w:spacing w:after="120"/>
        <w:ind w:left="2268" w:right="1134"/>
        <w:jc w:val="both"/>
        <w:rPr>
          <w:lang w:val="fr-FR" w:eastAsia="en-US"/>
        </w:rPr>
      </w:pPr>
      <w:r w:rsidRPr="00CA3533">
        <w:rPr>
          <w:lang w:val="fr-FR" w:eastAsia="en-US"/>
        </w:rPr>
        <w:t>Lorsqu’une matière qui est un solide selon la définition donnée en 1.2.1 est présentée au transport à l’état fondu, il faut ajouter le qualificatif "</w:t>
      </w:r>
      <w:r w:rsidRPr="00CA3533">
        <w:rPr>
          <w:b/>
          <w:bCs/>
          <w:lang w:val="fr-FR" w:eastAsia="en-US"/>
        </w:rPr>
        <w:t>FONDU</w:t>
      </w:r>
      <w:r w:rsidRPr="00CA3533">
        <w:rPr>
          <w:lang w:val="fr-FR" w:eastAsia="en-US"/>
        </w:rPr>
        <w:t>" dans la désignation officielle de transport, à moins qu’il ne figure déjà dans celle-ci (voir 3.1.2.5)</w:t>
      </w:r>
      <w:r w:rsidR="00FD6C78">
        <w:rPr>
          <w:lang w:val="fr-FR" w:eastAsia="en-US"/>
        </w:rPr>
        <w:t>.</w:t>
      </w:r>
    </w:p>
    <w:p w14:paraId="181049AC" w14:textId="74D09EC2" w:rsidR="00CA3533" w:rsidRPr="00CA3533" w:rsidRDefault="00CA3533" w:rsidP="00CA3533">
      <w:pPr>
        <w:spacing w:after="120"/>
        <w:ind w:left="2268" w:right="1134" w:hanging="1134"/>
        <w:jc w:val="both"/>
        <w:rPr>
          <w:rFonts w:eastAsiaTheme="minorHAnsi"/>
          <w:i/>
          <w:iCs/>
          <w:lang w:val="fr-FR" w:eastAsia="en-US"/>
        </w:rPr>
      </w:pPr>
      <w:r w:rsidRPr="00CA3533">
        <w:rPr>
          <w:rFonts w:eastAsiaTheme="minorHAnsi"/>
          <w:lang w:val="fr-FR" w:eastAsia="en-US"/>
        </w:rPr>
        <w:t>5.4.1.1.</w:t>
      </w:r>
      <w:r w:rsidR="00951E4D" w:rsidRPr="00CA3533">
        <w:rPr>
          <w:rFonts w:eastAsiaTheme="minorHAnsi"/>
          <w:lang w:val="fr-FR" w:eastAsia="en-US"/>
        </w:rPr>
        <w:t>2</w:t>
      </w:r>
      <w:r w:rsidR="00951E4D">
        <w:rPr>
          <w:rFonts w:eastAsiaTheme="minorHAnsi"/>
          <w:lang w:val="fr-FR" w:eastAsia="en-US"/>
        </w:rPr>
        <w:t>4</w:t>
      </w:r>
      <w:r w:rsidRPr="00CA3533">
        <w:rPr>
          <w:rFonts w:eastAsiaTheme="minorHAnsi"/>
          <w:lang w:val="fr-FR" w:eastAsia="en-US"/>
        </w:rPr>
        <w:tab/>
      </w:r>
      <w:r w:rsidRPr="00CA3533">
        <w:rPr>
          <w:rFonts w:eastAsiaTheme="minorHAnsi"/>
          <w:i/>
          <w:iCs/>
          <w:lang w:val="fr-FR" w:eastAsia="en-US"/>
        </w:rPr>
        <w:t>Dispositions spéciales concernant les récipients à pression rechargeables autorisés par le Département des transports des États-Unis d’Amérique</w:t>
      </w:r>
    </w:p>
    <w:p w14:paraId="43E6FD9D"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Pour le transport conformément au 1.1.4.7, le document de transport doit porter la mention suivante :</w:t>
      </w:r>
    </w:p>
    <w:p w14:paraId="0F9C375F" w14:textId="77777777" w:rsidR="00CA3533" w:rsidRPr="00CA3533" w:rsidRDefault="00CA3533" w:rsidP="00CA3533">
      <w:pPr>
        <w:spacing w:after="120"/>
        <w:ind w:left="3402" w:right="1134" w:hanging="1134"/>
        <w:jc w:val="both"/>
        <w:rPr>
          <w:rFonts w:eastAsiaTheme="minorHAnsi"/>
          <w:lang w:val="fr-FR" w:eastAsia="en-US"/>
        </w:rPr>
      </w:pPr>
      <w:r w:rsidRPr="00CA3533">
        <w:rPr>
          <w:rFonts w:eastAsiaTheme="minorHAnsi"/>
          <w:lang w:val="fr-FR" w:eastAsia="en-US"/>
        </w:rPr>
        <w:t>« </w:t>
      </w:r>
      <w:r w:rsidRPr="00B854B0">
        <w:rPr>
          <w:rFonts w:eastAsiaTheme="minorHAnsi"/>
          <w:b/>
          <w:bCs/>
          <w:lang w:val="fr-FR" w:eastAsia="en-US"/>
        </w:rPr>
        <w:t>TRANSPORT CONFORMÉMENT AU 1.1.4.7.1</w:t>
      </w:r>
      <w:r w:rsidRPr="00CA3533">
        <w:rPr>
          <w:rFonts w:eastAsiaTheme="minorHAnsi"/>
          <w:lang w:val="fr-FR" w:eastAsia="en-US"/>
        </w:rPr>
        <w:t> » ou</w:t>
      </w:r>
    </w:p>
    <w:p w14:paraId="7704E7FD" w14:textId="77777777" w:rsidR="00CA3533" w:rsidRPr="00CA3533" w:rsidRDefault="00CA3533" w:rsidP="00CA3533">
      <w:pPr>
        <w:spacing w:after="120"/>
        <w:ind w:left="3402" w:right="1134" w:hanging="1134"/>
        <w:jc w:val="both"/>
        <w:rPr>
          <w:rFonts w:eastAsiaTheme="minorHAnsi"/>
          <w:lang w:val="fr-FR" w:eastAsia="en-US"/>
        </w:rPr>
      </w:pPr>
      <w:r w:rsidRPr="00CA3533">
        <w:rPr>
          <w:rFonts w:eastAsiaTheme="minorHAnsi"/>
          <w:lang w:val="fr-FR" w:eastAsia="en-US"/>
        </w:rPr>
        <w:t>« </w:t>
      </w:r>
      <w:r w:rsidRPr="00B854B0">
        <w:rPr>
          <w:rFonts w:eastAsiaTheme="minorHAnsi"/>
          <w:b/>
          <w:bCs/>
          <w:lang w:val="fr-FR" w:eastAsia="en-US"/>
        </w:rPr>
        <w:t>TRANSPORT CONFORMÉMENT AU 1.1.4.7.2</w:t>
      </w:r>
      <w:r w:rsidRPr="00CA3533">
        <w:rPr>
          <w:rFonts w:eastAsiaTheme="minorHAnsi"/>
          <w:lang w:val="fr-FR" w:eastAsia="en-US"/>
        </w:rPr>
        <w:t> », selon le cas. »</w:t>
      </w:r>
    </w:p>
    <w:p w14:paraId="72F04B0A"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5.4.1.2.2</w:t>
      </w:r>
      <w:r w:rsidRPr="00CA3533">
        <w:rPr>
          <w:lang w:val="fr-FR" w:eastAsia="en-US"/>
        </w:rPr>
        <w:tab/>
        <w:t>Ajouter le nouvel alinéa suivant à la fin :</w:t>
      </w:r>
    </w:p>
    <w:p w14:paraId="077BB22D" w14:textId="77777777" w:rsidR="00CA3533" w:rsidRPr="00CA3533" w:rsidRDefault="00CA3533" w:rsidP="00CA3533">
      <w:pPr>
        <w:tabs>
          <w:tab w:val="left" w:pos="2268"/>
        </w:tabs>
        <w:kinsoku/>
        <w:overflowPunct/>
        <w:autoSpaceDE/>
        <w:autoSpaceDN/>
        <w:adjustRightInd/>
        <w:snapToGrid/>
        <w:spacing w:after="120"/>
        <w:ind w:left="2835" w:right="1134" w:hanging="567"/>
        <w:jc w:val="both"/>
        <w:rPr>
          <w:lang w:val="fr-FR" w:eastAsia="en-US"/>
        </w:rPr>
      </w:pPr>
      <w:r w:rsidRPr="00CA3533">
        <w:rPr>
          <w:lang w:val="fr-FR" w:eastAsia="en-US"/>
        </w:rPr>
        <w:t>« e)</w:t>
      </w:r>
      <w:r w:rsidRPr="00CA3533">
        <w:rPr>
          <w:lang w:val="fr-FR" w:eastAsia="en-US"/>
        </w:rPr>
        <w:tab/>
        <w:t>Pour le transport du No ONU 1012, le document de transport doit contenir le nom du gaz spécifique transporté (voir disposition spéciale 398 du chapitre 3.3) entre parenthèses après la désignation officielle de transport. »</w:t>
      </w:r>
    </w:p>
    <w:p w14:paraId="5515391E" w14:textId="77777777" w:rsidR="00CA3533" w:rsidRPr="00CA3533" w:rsidRDefault="00CA3533" w:rsidP="00CA3533">
      <w:pPr>
        <w:spacing w:after="120"/>
        <w:ind w:left="2268" w:right="1134" w:hanging="1134"/>
        <w:jc w:val="both"/>
        <w:rPr>
          <w:lang w:val="fr-FR"/>
        </w:rPr>
      </w:pPr>
      <w:r w:rsidRPr="00CA3533">
        <w:rPr>
          <w:lang w:val="fr-FR"/>
        </w:rPr>
        <w:t>5.4.2</w:t>
      </w:r>
      <w:r w:rsidRPr="00CA3533">
        <w:rPr>
          <w:lang w:val="fr-FR"/>
        </w:rPr>
        <w:tab/>
        <w:t>Dans le premier paragraphe, à la fin, remplacer « avec le document de transport » par « au transporteur maritime par les responsables de l’empotage du conteneur. ».</w:t>
      </w:r>
    </w:p>
    <w:p w14:paraId="2A3D074C" w14:textId="77777777" w:rsidR="00CA3533" w:rsidRPr="00CA3533" w:rsidRDefault="00CA3533" w:rsidP="00CA3533">
      <w:pPr>
        <w:spacing w:after="120"/>
        <w:ind w:left="2268" w:right="1134" w:hanging="1134"/>
        <w:jc w:val="both"/>
        <w:rPr>
          <w:lang w:val="fr-FR"/>
        </w:rPr>
      </w:pPr>
      <w:r w:rsidRPr="00CA3533">
        <w:rPr>
          <w:lang w:val="fr-FR"/>
        </w:rPr>
        <w:tab/>
        <w:t>Dans la première phrase du deuxième paragraphe, après « Un document unique », insérer « (voir par exemple 5.4.5) ». À la fin de la première phrase du deuxième paragraphe, supprimer « ; dans le cas contraire, ces documents doivent être attachés ».</w:t>
      </w:r>
    </w:p>
    <w:p w14:paraId="024DA875" w14:textId="77777777" w:rsidR="00CA3533" w:rsidRPr="00CA3533" w:rsidRDefault="00CA3533" w:rsidP="00CA3533">
      <w:pPr>
        <w:spacing w:after="120"/>
        <w:ind w:left="2268" w:right="1134" w:hanging="1134"/>
        <w:jc w:val="both"/>
        <w:rPr>
          <w:lang w:val="fr-FR"/>
        </w:rPr>
      </w:pPr>
      <w:r w:rsidRPr="00CA3533">
        <w:rPr>
          <w:lang w:val="fr-FR"/>
        </w:rPr>
        <w:tab/>
        <w:t>Dans la deuxième phrase du deuxième paragraphe, remplacer « doit remplir » par « remplit ».</w:t>
      </w:r>
    </w:p>
    <w:p w14:paraId="78444CAB" w14:textId="77777777" w:rsidR="00CA3533" w:rsidRPr="00CA3533" w:rsidRDefault="00CA3533" w:rsidP="00CA3533">
      <w:pPr>
        <w:spacing w:after="120"/>
        <w:ind w:left="2268" w:right="1134" w:hanging="1134"/>
        <w:jc w:val="both"/>
        <w:rPr>
          <w:lang w:val="fr-FR"/>
        </w:rPr>
      </w:pPr>
      <w:r w:rsidRPr="00CA3533">
        <w:rPr>
          <w:lang w:val="fr-FR"/>
        </w:rPr>
        <w:tab/>
        <w:t>Supprimer le nota figurant après le deuxième paragraphe.</w:t>
      </w:r>
    </w:p>
    <w:p w14:paraId="6F3E36DA" w14:textId="77777777" w:rsidR="00CA3533" w:rsidRPr="00CA3533" w:rsidRDefault="00CA3533" w:rsidP="00CA3533">
      <w:pPr>
        <w:spacing w:after="120"/>
        <w:ind w:left="2268" w:right="1134" w:hanging="1134"/>
        <w:jc w:val="both"/>
        <w:rPr>
          <w:lang w:val="fr-FR"/>
        </w:rPr>
      </w:pPr>
      <w:r w:rsidRPr="00CA3533">
        <w:rPr>
          <w:lang w:val="fr-FR"/>
        </w:rPr>
        <w:tab/>
        <w:t>Dans le dernier paragraphe, remplacer « peut être fourni » par « peut également être fourni ».</w:t>
      </w:r>
    </w:p>
    <w:p w14:paraId="52895744" w14:textId="77777777" w:rsidR="00CA3533" w:rsidRPr="00CA3533" w:rsidRDefault="00CA3533" w:rsidP="00CA3533">
      <w:pPr>
        <w:keepNext/>
        <w:keepLines/>
        <w:tabs>
          <w:tab w:val="right" w:pos="851"/>
        </w:tabs>
        <w:spacing w:before="360" w:after="240" w:line="270" w:lineRule="exact"/>
        <w:ind w:left="1134" w:right="1134" w:hanging="1134"/>
        <w:rPr>
          <w:b/>
          <w:sz w:val="24"/>
          <w:lang w:val="fr-FR"/>
        </w:rPr>
      </w:pPr>
      <w:r w:rsidRPr="00CA3533">
        <w:rPr>
          <w:b/>
          <w:sz w:val="24"/>
          <w:lang w:val="fr-FR"/>
        </w:rPr>
        <w:tab/>
      </w:r>
      <w:r w:rsidRPr="00CA3533">
        <w:rPr>
          <w:b/>
          <w:sz w:val="24"/>
          <w:lang w:val="fr-FR"/>
        </w:rPr>
        <w:tab/>
        <w:t>Chapitre 5.5</w:t>
      </w:r>
    </w:p>
    <w:p w14:paraId="79E5A89C" w14:textId="77777777" w:rsidR="00CA3533" w:rsidRPr="00CA3533" w:rsidRDefault="00CA3533" w:rsidP="00CA3533">
      <w:pPr>
        <w:tabs>
          <w:tab w:val="left" w:pos="2268"/>
        </w:tabs>
        <w:spacing w:after="120"/>
        <w:ind w:left="1134" w:right="1134"/>
        <w:jc w:val="both"/>
        <w:rPr>
          <w:lang w:val="fr-FR"/>
        </w:rPr>
      </w:pPr>
      <w:r w:rsidRPr="00CA3533">
        <w:rPr>
          <w:lang w:val="fr-FR"/>
        </w:rPr>
        <w:t>5.5.2.4.1</w:t>
      </w:r>
      <w:r w:rsidRPr="00CA3533">
        <w:rPr>
          <w:lang w:val="fr-FR"/>
        </w:rPr>
        <w:tab/>
        <w:t>Numéroter les tirets en tant qu’alinéas a) à c).</w:t>
      </w:r>
    </w:p>
    <w:p w14:paraId="79571B99" w14:textId="77777777" w:rsidR="00CA3533" w:rsidRPr="00CA3533" w:rsidRDefault="00CA3533" w:rsidP="00CA3533">
      <w:pPr>
        <w:keepNext/>
        <w:keepLines/>
        <w:tabs>
          <w:tab w:val="right" w:pos="851"/>
        </w:tabs>
        <w:spacing w:before="360" w:after="240" w:line="270" w:lineRule="exact"/>
        <w:ind w:left="1134" w:right="1134" w:hanging="1134"/>
        <w:rPr>
          <w:b/>
          <w:sz w:val="24"/>
          <w:lang w:val="fr-FR" w:eastAsia="en-US"/>
        </w:rPr>
      </w:pPr>
      <w:r w:rsidRPr="00CA3533">
        <w:rPr>
          <w:b/>
          <w:sz w:val="24"/>
          <w:lang w:val="fr-FR" w:eastAsia="en-US"/>
        </w:rPr>
        <w:tab/>
      </w:r>
      <w:r w:rsidRPr="00CA3533">
        <w:rPr>
          <w:b/>
          <w:sz w:val="24"/>
          <w:lang w:val="fr-FR" w:eastAsia="en-US"/>
        </w:rPr>
        <w:tab/>
        <w:t>Chapitre 6.1</w:t>
      </w:r>
    </w:p>
    <w:p w14:paraId="1DCAC794" w14:textId="77777777" w:rsidR="00CA3533" w:rsidRPr="00CA3533" w:rsidRDefault="00CA3533" w:rsidP="00CA3533">
      <w:pPr>
        <w:spacing w:after="120"/>
        <w:ind w:left="2268" w:right="1134" w:hanging="1134"/>
        <w:jc w:val="both"/>
        <w:rPr>
          <w:rFonts w:eastAsiaTheme="minorHAnsi"/>
          <w:lang w:val="fr-FR" w:eastAsia="en-US"/>
        </w:rPr>
      </w:pPr>
      <w:r w:rsidRPr="00CA3533">
        <w:rPr>
          <w:lang w:val="fr-FR" w:eastAsia="en-US"/>
        </w:rPr>
        <w:t>6.1.1.2</w:t>
      </w:r>
      <w:r w:rsidRPr="00CA3533">
        <w:rPr>
          <w:lang w:val="fr-FR" w:eastAsia="en-US"/>
        </w:rPr>
        <w:tab/>
      </w:r>
      <w:r w:rsidRPr="00CA3533">
        <w:rPr>
          <w:lang w:val="fr-FR" w:eastAsia="en-US"/>
        </w:rPr>
        <w:tab/>
      </w:r>
      <w:r w:rsidRPr="00CA3533">
        <w:rPr>
          <w:rFonts w:eastAsiaTheme="minorHAnsi"/>
          <w:lang w:val="fr-FR" w:eastAsia="en-US"/>
        </w:rPr>
        <w:t>Dans la deuxième phrase, remplacer « aux épreuves décrites » par « aux prescriptions décrites ».</w:t>
      </w:r>
    </w:p>
    <w:p w14:paraId="07572A26"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6.1.1.4</w:t>
      </w:r>
      <w:r w:rsidRPr="00CA3533">
        <w:rPr>
          <w:lang w:val="fr-FR" w:eastAsia="en-US"/>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l'ISO 9001 ».</w:t>
      </w:r>
    </w:p>
    <w:p w14:paraId="35F89BD1" w14:textId="13624F75" w:rsidR="00CA3533" w:rsidRPr="00CA3533" w:rsidRDefault="00CA3533" w:rsidP="00CA3533">
      <w:pPr>
        <w:spacing w:after="120"/>
        <w:ind w:left="1134" w:right="1134"/>
        <w:jc w:val="both"/>
        <w:rPr>
          <w:rFonts w:eastAsia="SimSun"/>
          <w:lang w:val="fr-FR"/>
        </w:rPr>
      </w:pPr>
      <w:r w:rsidRPr="00CA3533">
        <w:rPr>
          <w:rFonts w:eastAsia="SimSun"/>
          <w:lang w:val="fr-FR"/>
        </w:rPr>
        <w:t>6.1.4.8.8</w:t>
      </w:r>
      <w:r w:rsidRPr="00CA3533">
        <w:rPr>
          <w:rFonts w:eastAsia="SimSun"/>
          <w:lang w:val="fr-FR"/>
        </w:rPr>
        <w:tab/>
      </w:r>
      <w:r w:rsidRPr="00CA3533">
        <w:rPr>
          <w:shd w:val="clear" w:color="auto" w:fill="FFFFFF"/>
          <w:lang w:val="fr-FR"/>
        </w:rPr>
        <w:t>Supprimer et ajouter « </w:t>
      </w:r>
      <w:r w:rsidRPr="00CA3533">
        <w:rPr>
          <w:rFonts w:eastAsia="SimSun"/>
          <w:lang w:val="fr-FR"/>
        </w:rPr>
        <w:t>6.1.4.8.8</w:t>
      </w:r>
      <w:r w:rsidRPr="00CA3533">
        <w:rPr>
          <w:shd w:val="clear" w:color="auto" w:fill="FFFFFF"/>
          <w:lang w:val="fr-FR"/>
        </w:rPr>
        <w:tab/>
      </w:r>
      <w:r w:rsidRPr="00CA3533">
        <w:rPr>
          <w:i/>
          <w:iCs/>
          <w:shd w:val="clear" w:color="auto" w:fill="FFFFFF"/>
          <w:lang w:val="fr-FR"/>
        </w:rPr>
        <w:t>(Supprimé)</w:t>
      </w:r>
      <w:r w:rsidRPr="00CA3533">
        <w:rPr>
          <w:shd w:val="clear" w:color="auto" w:fill="FFFFFF"/>
          <w:lang w:val="fr-FR"/>
        </w:rPr>
        <w:t> ».</w:t>
      </w:r>
    </w:p>
    <w:p w14:paraId="1D7E7A9E" w14:textId="2F6887FC" w:rsidR="00CA3533" w:rsidRPr="00CA3533" w:rsidRDefault="00CA3533" w:rsidP="00CA3533">
      <w:pPr>
        <w:kinsoku/>
        <w:overflowPunct/>
        <w:autoSpaceDE/>
        <w:autoSpaceDN/>
        <w:adjustRightInd/>
        <w:snapToGrid/>
        <w:spacing w:after="120"/>
        <w:ind w:left="2268" w:right="1134" w:hanging="1134"/>
        <w:jc w:val="both"/>
        <w:rPr>
          <w:rFonts w:eastAsia="SimSun"/>
          <w:lang w:val="fr-FR"/>
        </w:rPr>
      </w:pPr>
      <w:r w:rsidRPr="00CA3533">
        <w:rPr>
          <w:rFonts w:eastAsia="SimSun"/>
          <w:lang w:val="fr-FR"/>
        </w:rPr>
        <w:t>6.1.4.13.1</w:t>
      </w:r>
      <w:r w:rsidRPr="00CA3533">
        <w:rPr>
          <w:rFonts w:eastAsia="SimSun"/>
          <w:lang w:val="fr-FR"/>
        </w:rPr>
        <w:tab/>
      </w:r>
      <w:r w:rsidRPr="00CA3533">
        <w:rPr>
          <w:lang w:val="fr-FR"/>
        </w:rPr>
        <w:t xml:space="preserve">Après la première phrase, ajouter la nouvelle phrase suivante : « Sauf pour les matières plastiques recyclées définies au 1.2.1, aucun matériau déjà utilisé, autre que les déchets, chutes ou matériaux rebroyés provenant du même </w:t>
      </w:r>
      <w:r w:rsidRPr="00CA3533">
        <w:rPr>
          <w:lang w:val="fr-FR"/>
        </w:rPr>
        <w:lastRenderedPageBreak/>
        <w:t>procédé de fabrication, ne peut être employé. ».</w:t>
      </w:r>
      <w:r w:rsidR="00A26BF1">
        <w:rPr>
          <w:lang w:val="fr-FR"/>
        </w:rPr>
        <w:t xml:space="preserve"> Dans la troisième phrase, remplacer « Elle » par « La caisse ».</w:t>
      </w:r>
    </w:p>
    <w:p w14:paraId="1832C323" w14:textId="305FE2EE" w:rsidR="00CA3533" w:rsidRPr="00CA3533" w:rsidRDefault="00CA3533" w:rsidP="00CA3533">
      <w:pPr>
        <w:spacing w:after="120"/>
        <w:ind w:left="1134" w:right="1134"/>
        <w:jc w:val="both"/>
        <w:rPr>
          <w:rFonts w:eastAsia="SimSun"/>
          <w:lang w:val="fr-FR"/>
        </w:rPr>
      </w:pPr>
      <w:bookmarkStart w:id="7" w:name="_Hlk74666782"/>
      <w:r w:rsidRPr="00CA3533">
        <w:rPr>
          <w:rFonts w:eastAsia="SimSun"/>
          <w:lang w:val="fr-FR"/>
        </w:rPr>
        <w:t>6.1.4.13.7</w:t>
      </w:r>
      <w:bookmarkEnd w:id="7"/>
      <w:r w:rsidRPr="00CA3533">
        <w:rPr>
          <w:rFonts w:eastAsia="SimSun"/>
          <w:lang w:val="fr-FR"/>
        </w:rPr>
        <w:tab/>
      </w:r>
      <w:r w:rsidRPr="00CA3533">
        <w:rPr>
          <w:shd w:val="clear" w:color="auto" w:fill="FFFFFF"/>
          <w:lang w:val="fr-FR"/>
        </w:rPr>
        <w:t>Supprimer et ajouter « </w:t>
      </w:r>
      <w:r w:rsidRPr="00CA3533">
        <w:rPr>
          <w:rFonts w:eastAsia="SimSun"/>
          <w:lang w:val="fr-FR"/>
        </w:rPr>
        <w:t>6.1.4.13.7</w:t>
      </w:r>
      <w:r w:rsidRPr="00CA3533">
        <w:rPr>
          <w:rFonts w:eastAsia="SimSun"/>
          <w:shd w:val="clear" w:color="auto" w:fill="FFFFFF"/>
          <w:lang w:val="fr-FR"/>
        </w:rPr>
        <w:tab/>
      </w:r>
      <w:r w:rsidRPr="00CA3533">
        <w:rPr>
          <w:i/>
          <w:iCs/>
          <w:shd w:val="clear" w:color="auto" w:fill="FFFFFF"/>
          <w:lang w:val="fr-FR"/>
        </w:rPr>
        <w:t>(Supprimé)</w:t>
      </w:r>
      <w:r w:rsidRPr="00CA3533">
        <w:rPr>
          <w:shd w:val="clear" w:color="auto" w:fill="FFFFFF"/>
          <w:lang w:val="fr-FR"/>
        </w:rPr>
        <w:t> ».</w:t>
      </w:r>
    </w:p>
    <w:p w14:paraId="12822107"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tab/>
      </w:r>
      <w:r w:rsidRPr="00CA3533">
        <w:rPr>
          <w:rFonts w:asciiTheme="majorBidi" w:hAnsiTheme="majorBidi" w:cstheme="majorBidi"/>
          <w:b/>
          <w:sz w:val="24"/>
          <w:lang w:val="fr-FR"/>
        </w:rPr>
        <w:tab/>
        <w:t>Chapitre 6.2</w:t>
      </w:r>
    </w:p>
    <w:p w14:paraId="2539B621" w14:textId="0B3B5703" w:rsidR="00CA3533" w:rsidRPr="00CA3533" w:rsidRDefault="00CA3533" w:rsidP="00CA3533">
      <w:pPr>
        <w:spacing w:before="120" w:after="120"/>
        <w:ind w:left="2268" w:right="1134" w:hanging="1134"/>
        <w:jc w:val="both"/>
        <w:rPr>
          <w:lang w:val="fr-FR"/>
        </w:rPr>
      </w:pPr>
      <w:r w:rsidRPr="00CA3533">
        <w:rPr>
          <w:lang w:val="fr-FR"/>
        </w:rPr>
        <w:t>6.2.1.1.1</w:t>
      </w:r>
      <w:r w:rsidRPr="00CA3533">
        <w:rPr>
          <w:lang w:val="fr-FR"/>
        </w:rPr>
        <w:tab/>
        <w:t>Après «</w:t>
      </w:r>
      <w:r w:rsidR="00A36A7B">
        <w:rPr>
          <w:lang w:val="fr-FR"/>
        </w:rPr>
        <w:t> </w:t>
      </w:r>
      <w:r w:rsidRPr="00CA3533">
        <w:rPr>
          <w:lang w:val="fr-FR"/>
        </w:rPr>
        <w:t>Les récipients à pression</w:t>
      </w:r>
      <w:r w:rsidR="00A36A7B">
        <w:rPr>
          <w:lang w:val="fr-FR"/>
        </w:rPr>
        <w:t> </w:t>
      </w:r>
      <w:r w:rsidRPr="00CA3533">
        <w:rPr>
          <w:lang w:val="fr-FR"/>
        </w:rPr>
        <w:t>», supprimer «</w:t>
      </w:r>
      <w:r w:rsidR="00A36A7B">
        <w:rPr>
          <w:lang w:val="fr-FR"/>
        </w:rPr>
        <w:t> </w:t>
      </w:r>
      <w:r w:rsidRPr="00CA3533">
        <w:rPr>
          <w:lang w:val="fr-FR"/>
        </w:rPr>
        <w:t>et leurs fermetures</w:t>
      </w:r>
      <w:r w:rsidR="00A36A7B">
        <w:rPr>
          <w:lang w:val="fr-FR"/>
        </w:rPr>
        <w:t> </w:t>
      </w:r>
      <w:r w:rsidRPr="00CA3533">
        <w:rPr>
          <w:lang w:val="fr-FR"/>
        </w:rPr>
        <w:t>». À la fin de la phrase, remplacer «</w:t>
      </w:r>
      <w:r w:rsidR="00A36A7B">
        <w:rPr>
          <w:lang w:val="fr-FR"/>
        </w:rPr>
        <w:t> </w:t>
      </w:r>
      <w:r w:rsidRPr="00CA3533">
        <w:rPr>
          <w:lang w:val="fr-FR"/>
        </w:rPr>
        <w:t>en cours de transport et d’utilisation</w:t>
      </w:r>
      <w:r w:rsidR="00A36A7B">
        <w:rPr>
          <w:lang w:val="fr-FR"/>
        </w:rPr>
        <w:t> </w:t>
      </w:r>
      <w:r w:rsidRPr="00CA3533">
        <w:rPr>
          <w:lang w:val="fr-FR"/>
        </w:rPr>
        <w:t>» par «</w:t>
      </w:r>
      <w:r w:rsidR="00A36A7B">
        <w:rPr>
          <w:lang w:val="fr-FR"/>
        </w:rPr>
        <w:t> </w:t>
      </w:r>
      <w:r w:rsidRPr="00CA3533">
        <w:rPr>
          <w:lang w:val="fr-FR"/>
        </w:rPr>
        <w:t>en cours de transport et d’utilisation prévue ».</w:t>
      </w:r>
    </w:p>
    <w:p w14:paraId="320CC663" w14:textId="645E8D52" w:rsidR="00CA3533" w:rsidRPr="00CA3533" w:rsidRDefault="00CA3533" w:rsidP="00CA3533">
      <w:pPr>
        <w:spacing w:before="120" w:after="120"/>
        <w:ind w:left="2268" w:right="1134" w:hanging="1134"/>
        <w:jc w:val="both"/>
        <w:rPr>
          <w:lang w:val="fr-FR"/>
        </w:rPr>
      </w:pPr>
      <w:r w:rsidRPr="00CA3533">
        <w:rPr>
          <w:lang w:val="fr-FR"/>
        </w:rPr>
        <w:t>6.2.1.1.4</w:t>
      </w:r>
      <w:r w:rsidRPr="00CA3533">
        <w:rPr>
          <w:lang w:val="fr-FR"/>
        </w:rPr>
        <w:tab/>
        <w:t>À la fin de la phrase, remplacer «</w:t>
      </w:r>
      <w:r w:rsidR="00A36A7B">
        <w:rPr>
          <w:lang w:val="fr-FR"/>
        </w:rPr>
        <w:t> </w:t>
      </w:r>
      <w:r w:rsidRPr="00CA3533">
        <w:rPr>
          <w:lang w:val="fr-FR"/>
        </w:rPr>
        <w:t>employer</w:t>
      </w:r>
      <w:r w:rsidR="00A36A7B">
        <w:rPr>
          <w:lang w:val="fr-FR"/>
        </w:rPr>
        <w:t> </w:t>
      </w:r>
      <w:r w:rsidRPr="00CA3533">
        <w:rPr>
          <w:lang w:val="fr-FR"/>
        </w:rPr>
        <w:t>» par «</w:t>
      </w:r>
      <w:r w:rsidR="00A36A7B">
        <w:rPr>
          <w:lang w:val="fr-FR"/>
        </w:rPr>
        <w:t> </w:t>
      </w:r>
      <w:r w:rsidRPr="00CA3533">
        <w:rPr>
          <w:lang w:val="fr-FR"/>
        </w:rPr>
        <w:t>souder</w:t>
      </w:r>
      <w:r w:rsidR="00A36A7B">
        <w:rPr>
          <w:lang w:val="fr-FR"/>
        </w:rPr>
        <w:t> </w:t>
      </w:r>
      <w:r w:rsidRPr="00CA3533">
        <w:rPr>
          <w:lang w:val="fr-FR"/>
        </w:rPr>
        <w:t>».</w:t>
      </w:r>
    </w:p>
    <w:p w14:paraId="2F2398DC" w14:textId="77777777" w:rsidR="00CA3533" w:rsidRPr="00CA3533" w:rsidRDefault="00CA3533" w:rsidP="00CA3533">
      <w:pPr>
        <w:spacing w:before="120" w:after="120"/>
        <w:ind w:left="2268" w:right="1134" w:hanging="1134"/>
        <w:jc w:val="both"/>
        <w:rPr>
          <w:lang w:val="fr-FR"/>
        </w:rPr>
      </w:pPr>
      <w:r w:rsidRPr="00CA3533">
        <w:rPr>
          <w:lang w:val="fr-FR"/>
        </w:rPr>
        <w:t>6.2.1.1.5</w:t>
      </w:r>
      <w:r w:rsidRPr="00CA3533">
        <w:rPr>
          <w:lang w:val="fr-FR"/>
        </w:rPr>
        <w:tab/>
        <w:t xml:space="preserve">Dans la première phrase, remplacer « les bouteilles, les tubes, les fûts à pression » par « les enveloppes de récipients à pression ». </w:t>
      </w:r>
    </w:p>
    <w:p w14:paraId="03AC020C" w14:textId="77777777" w:rsidR="00CA3533" w:rsidRPr="00CA3533" w:rsidRDefault="00CA3533" w:rsidP="00CA3533">
      <w:pPr>
        <w:spacing w:before="120" w:after="120"/>
        <w:ind w:left="2268" w:right="1134"/>
        <w:jc w:val="both"/>
        <w:rPr>
          <w:lang w:val="fr-FR"/>
        </w:rPr>
      </w:pPr>
      <w:r w:rsidRPr="00CA3533">
        <w:rPr>
          <w:lang w:val="fr-FR"/>
        </w:rPr>
        <w:t>Dans la dernière phrase, avant « la bouteille pour un gaz adsorbé », ajouter « l’enveloppe de ».</w:t>
      </w:r>
    </w:p>
    <w:p w14:paraId="78D73CD4" w14:textId="3FAD8CE9" w:rsidR="00CA3533" w:rsidRPr="00CA3533" w:rsidRDefault="00CA3533" w:rsidP="00CA3533">
      <w:pPr>
        <w:spacing w:before="120" w:after="120"/>
        <w:ind w:left="2268" w:right="1134" w:hanging="1134"/>
        <w:jc w:val="both"/>
        <w:rPr>
          <w:lang w:val="fr-FR"/>
        </w:rPr>
      </w:pPr>
      <w:r w:rsidRPr="00CA3533">
        <w:rPr>
          <w:lang w:val="fr-FR"/>
        </w:rPr>
        <w:t>6.2.1.1.6</w:t>
      </w:r>
      <w:r w:rsidRPr="00CA3533">
        <w:rPr>
          <w:lang w:val="fr-FR"/>
        </w:rPr>
        <w:tab/>
        <w:t xml:space="preserve">Remplacer « Les récipients à pression assemblés dans un cadre doivent être soutenus par une structure et reliés ensemble de façon à former une unité. Ils doivent être fixés » par « Les bouteilles ou enveloppes de bouteilles assemblées dans un cadre doivent être soutenues par une structure et reliées ensemble de façon à former une unité. Elles doivent être fixées ». </w:t>
      </w:r>
    </w:p>
    <w:p w14:paraId="7445933D" w14:textId="77777777" w:rsidR="00CA3533" w:rsidRPr="00CA3533" w:rsidRDefault="00CA3533" w:rsidP="00CA3533">
      <w:pPr>
        <w:spacing w:before="120" w:after="120"/>
        <w:ind w:left="2268" w:right="1134"/>
        <w:jc w:val="both"/>
        <w:rPr>
          <w:lang w:val="fr-FR"/>
        </w:rPr>
      </w:pPr>
      <w:r w:rsidRPr="00CA3533">
        <w:rPr>
          <w:lang w:val="fr-FR"/>
        </w:rPr>
        <w:t>Dans la dernière phrase, remplacer « chaque récipient à pression doit être muni » par « chaque enveloppe de bouteille doit être munie », « chaque récipient à pression puisse être rempli » par « chaque bouteille puisse être remplie » et « ne puisse se produire entre les récipients à pression » par « ne puisse se produire entre les bouteilles ».</w:t>
      </w:r>
    </w:p>
    <w:p w14:paraId="2C2E7FAD" w14:textId="77777777" w:rsidR="00CA3533" w:rsidRPr="00CA3533" w:rsidRDefault="00CA3533" w:rsidP="00CA3533">
      <w:pPr>
        <w:spacing w:before="120" w:after="120"/>
        <w:ind w:left="2268" w:right="1134" w:hanging="1134"/>
        <w:jc w:val="both"/>
        <w:rPr>
          <w:lang w:val="fr-FR"/>
        </w:rPr>
      </w:pPr>
      <w:r w:rsidRPr="00CA3533">
        <w:rPr>
          <w:lang w:val="fr-FR"/>
        </w:rPr>
        <w:t>6.2.1.1.8.2</w:t>
      </w:r>
      <w:r w:rsidRPr="00CA3533">
        <w:rPr>
          <w:lang w:val="fr-FR"/>
        </w:rPr>
        <w:tab/>
        <w:t xml:space="preserve">Dans la troisième phrase, remplacer « la paroi du récipient à pression » par « le réservoir intérieur ». </w:t>
      </w:r>
    </w:p>
    <w:p w14:paraId="0EE4D4B6" w14:textId="529A6945" w:rsidR="00CA3533" w:rsidRPr="00CA3533" w:rsidRDefault="00CA3533" w:rsidP="00CA3533">
      <w:pPr>
        <w:spacing w:before="120" w:after="120"/>
        <w:ind w:left="2268" w:right="1134"/>
        <w:jc w:val="both"/>
        <w:rPr>
          <w:lang w:val="fr-FR"/>
        </w:rPr>
      </w:pPr>
      <w:r w:rsidRPr="00CA3533">
        <w:rPr>
          <w:lang w:val="fr-FR"/>
        </w:rPr>
        <w:t>Dans la quatrième phrase, remplacer « récipient à pression » par « réservoir intérieur » et, à la fin, remplacer « </w:t>
      </w:r>
      <w:r w:rsidR="0005229B" w:rsidRPr="0005229B">
        <w:rPr>
          <w:lang w:val="fr-FR"/>
        </w:rPr>
        <w:t>équipements</w:t>
      </w:r>
      <w:r w:rsidRPr="00CA3533">
        <w:rPr>
          <w:lang w:val="fr-FR"/>
        </w:rPr>
        <w:t> » par « équipements de service ».</w:t>
      </w:r>
    </w:p>
    <w:p w14:paraId="7BC0FAD1" w14:textId="77777777" w:rsidR="00CA3533" w:rsidRPr="00CA3533" w:rsidRDefault="00CA3533" w:rsidP="00CA3533">
      <w:pPr>
        <w:spacing w:before="120" w:after="120"/>
        <w:ind w:left="2268" w:right="1134" w:hanging="1134"/>
        <w:jc w:val="both"/>
        <w:rPr>
          <w:lang w:val="fr-FR"/>
        </w:rPr>
      </w:pPr>
      <w:r w:rsidRPr="00CA3533">
        <w:rPr>
          <w:lang w:val="fr-FR"/>
        </w:rPr>
        <w:t>6.2.1.1.9</w:t>
      </w:r>
      <w:r w:rsidRPr="00CA3533">
        <w:rPr>
          <w:lang w:val="fr-FR"/>
        </w:rPr>
        <w:tab/>
        <w:t xml:space="preserve">À la fin du titre, remplacer « récipients à pression pour le transport de l’acétylène » par « bouteilles d’acétylène ». </w:t>
      </w:r>
    </w:p>
    <w:p w14:paraId="356326AD" w14:textId="77777777" w:rsidR="00CA3533" w:rsidRPr="00CA3533" w:rsidRDefault="00CA3533" w:rsidP="00CA3533">
      <w:pPr>
        <w:spacing w:before="120" w:after="120"/>
        <w:ind w:left="2268" w:right="1134"/>
        <w:jc w:val="both"/>
        <w:rPr>
          <w:lang w:val="fr-FR"/>
        </w:rPr>
      </w:pPr>
      <w:r w:rsidRPr="00CA3533">
        <w:rPr>
          <w:lang w:val="fr-FR"/>
        </w:rPr>
        <w:t xml:space="preserve">Dans la première phrase, remplacer « récipients à pression » par « enveloppes de bouteilles » et accorder le reste de la phrase en conséquence. </w:t>
      </w:r>
    </w:p>
    <w:p w14:paraId="37CF9357" w14:textId="77777777" w:rsidR="00CA3533" w:rsidRPr="00CA3533" w:rsidRDefault="00CA3533" w:rsidP="00CA3533">
      <w:pPr>
        <w:spacing w:before="120" w:after="120"/>
        <w:ind w:left="2268" w:right="1134"/>
        <w:jc w:val="both"/>
        <w:rPr>
          <w:lang w:val="fr-FR"/>
        </w:rPr>
      </w:pPr>
      <w:r w:rsidRPr="00CA3533">
        <w:rPr>
          <w:lang w:val="fr-FR"/>
        </w:rPr>
        <w:t xml:space="preserve">À l’alinéa a), remplacer « le récipient à pression » par « l’enveloppe de bouteille ». </w:t>
      </w:r>
    </w:p>
    <w:p w14:paraId="315437F0" w14:textId="77777777" w:rsidR="00CA3533" w:rsidRPr="00CA3533" w:rsidRDefault="00CA3533" w:rsidP="00CA3533">
      <w:pPr>
        <w:spacing w:before="120" w:after="120"/>
        <w:ind w:left="2268" w:right="1134"/>
        <w:jc w:val="both"/>
        <w:rPr>
          <w:lang w:val="fr-FR"/>
        </w:rPr>
      </w:pPr>
      <w:r w:rsidRPr="00CA3533">
        <w:rPr>
          <w:lang w:val="fr-FR"/>
        </w:rPr>
        <w:t>Dans la dernière phrase, remplacer « compatible avec le récipient à pression » par « compatible avec les parties de la bouteille qui se trouvent en contact avec lui ».</w:t>
      </w:r>
    </w:p>
    <w:p w14:paraId="06F2C908" w14:textId="77777777" w:rsidR="00CA3533" w:rsidRPr="00CA3533" w:rsidRDefault="00CA3533" w:rsidP="00CA3533">
      <w:pPr>
        <w:spacing w:before="120" w:after="120"/>
        <w:ind w:left="2268" w:right="1134" w:hanging="1134"/>
        <w:jc w:val="both"/>
        <w:rPr>
          <w:lang w:val="fr-FR"/>
        </w:rPr>
      </w:pPr>
      <w:r w:rsidRPr="00CA3533">
        <w:rPr>
          <w:lang w:val="fr-FR"/>
        </w:rPr>
        <w:t>6.2.1.2.1</w:t>
      </w:r>
      <w:r w:rsidRPr="00CA3533">
        <w:rPr>
          <w:lang w:val="fr-FR"/>
        </w:rPr>
        <w:tab/>
        <w:t>Après « des récipients à pression », supprimer « et de leurs fermetures ».</w:t>
      </w:r>
    </w:p>
    <w:p w14:paraId="2B16FF64" w14:textId="77777777" w:rsidR="00CA3533" w:rsidRPr="00CA3533" w:rsidRDefault="00CA3533" w:rsidP="00CA3533">
      <w:pPr>
        <w:spacing w:before="120" w:after="120"/>
        <w:ind w:left="2268" w:right="1134" w:hanging="1134"/>
        <w:jc w:val="both"/>
        <w:rPr>
          <w:lang w:val="fr-FR"/>
        </w:rPr>
      </w:pPr>
      <w:r w:rsidRPr="00CA3533">
        <w:rPr>
          <w:lang w:val="fr-FR"/>
        </w:rPr>
        <w:t>6.2.1.2.2</w:t>
      </w:r>
      <w:r w:rsidRPr="00CA3533">
        <w:rPr>
          <w:lang w:val="fr-FR"/>
        </w:rPr>
        <w:tab/>
        <w:t>Au début de la première phrase, après « récipients à pression », supprimer « et leurs fermetures ».</w:t>
      </w:r>
    </w:p>
    <w:p w14:paraId="2C505DBF" w14:textId="5E98F637" w:rsidR="00CA3533" w:rsidRPr="00CA3533" w:rsidRDefault="000C47EA" w:rsidP="00CA3533">
      <w:pPr>
        <w:spacing w:before="120" w:after="120"/>
        <w:ind w:left="2268" w:right="1134" w:hanging="1134"/>
        <w:jc w:val="both"/>
        <w:rPr>
          <w:lang w:val="fr-FR"/>
        </w:rPr>
      </w:pPr>
      <w:r w:rsidRPr="00CA3533">
        <w:rPr>
          <w:lang w:val="fr-FR"/>
        </w:rPr>
        <w:t>6.2.1.3.1</w:t>
      </w:r>
      <w:r w:rsidRPr="00CA3533">
        <w:rPr>
          <w:lang w:val="fr-FR"/>
        </w:rPr>
        <w:tab/>
        <w:t>Remplacer « </w:t>
      </w:r>
      <w:r>
        <w:rPr>
          <w:lang w:val="fr-FR"/>
        </w:rPr>
        <w:t>À</w:t>
      </w:r>
      <w:r w:rsidRPr="00CA3533">
        <w:rPr>
          <w:lang w:val="fr-FR"/>
        </w:rPr>
        <w:t xml:space="preserve"> l’exception des dispositifs de décompression</w:t>
      </w:r>
      <w:r>
        <w:rPr>
          <w:lang w:val="fr-FR"/>
        </w:rPr>
        <w:t xml:space="preserve">, les </w:t>
      </w:r>
      <w:r w:rsidRPr="00CA3533">
        <w:rPr>
          <w:lang w:val="fr-FR"/>
        </w:rPr>
        <w:t xml:space="preserve">robinets, tubulures et </w:t>
      </w:r>
      <w:r>
        <w:rPr>
          <w:lang w:val="fr-FR"/>
        </w:rPr>
        <w:t xml:space="preserve">autres </w:t>
      </w:r>
      <w:r w:rsidRPr="00CA3533">
        <w:rPr>
          <w:lang w:val="fr-FR"/>
        </w:rPr>
        <w:t>équipements » par « </w:t>
      </w:r>
      <w:r>
        <w:rPr>
          <w:lang w:val="fr-FR"/>
        </w:rPr>
        <w:t>À</w:t>
      </w:r>
      <w:r w:rsidRPr="00CA3533">
        <w:rPr>
          <w:lang w:val="fr-FR"/>
        </w:rPr>
        <w:t xml:space="preserve"> l’exception des matières poreuses, absorbantes ou adsorbantes, des dispositifs de décompression, des manomètres et des jauges de niveau</w:t>
      </w:r>
      <w:r>
        <w:rPr>
          <w:lang w:val="fr-FR"/>
        </w:rPr>
        <w:t xml:space="preserve">, les </w:t>
      </w:r>
      <w:r w:rsidRPr="00CA3533">
        <w:rPr>
          <w:lang w:val="fr-FR"/>
        </w:rPr>
        <w:t>équipements de service »</w:t>
      </w:r>
      <w:r>
        <w:rPr>
          <w:lang w:val="fr-FR"/>
        </w:rPr>
        <w:t>.</w:t>
      </w:r>
    </w:p>
    <w:p w14:paraId="222927A1" w14:textId="77777777" w:rsidR="00CA3533" w:rsidRPr="00CA3533" w:rsidRDefault="00CA3533" w:rsidP="00CA3533">
      <w:pPr>
        <w:spacing w:before="120" w:after="120"/>
        <w:ind w:left="2268" w:right="1134" w:hanging="1134"/>
        <w:jc w:val="both"/>
        <w:rPr>
          <w:lang w:val="fr-FR"/>
        </w:rPr>
      </w:pPr>
      <w:r w:rsidRPr="00CA3533">
        <w:rPr>
          <w:lang w:val="fr-FR"/>
        </w:rPr>
        <w:t>6.2.1.3.2</w:t>
      </w:r>
      <w:r w:rsidRPr="00CA3533">
        <w:rPr>
          <w:lang w:val="fr-FR"/>
        </w:rPr>
        <w:tab/>
        <w:t>Modifier pour lire comme suit :</w:t>
      </w:r>
    </w:p>
    <w:p w14:paraId="1FE20AA8" w14:textId="3491083D" w:rsidR="00CA3533" w:rsidRPr="00CA3533" w:rsidRDefault="00CA3533" w:rsidP="00CA3533">
      <w:pPr>
        <w:spacing w:after="120"/>
        <w:ind w:left="2268" w:right="1134" w:hanging="1134"/>
        <w:jc w:val="both"/>
        <w:rPr>
          <w:lang w:val="fr-FR"/>
        </w:rPr>
      </w:pPr>
      <w:r w:rsidRPr="00CA3533">
        <w:rPr>
          <w:lang w:val="fr-FR"/>
        </w:rPr>
        <w:t>« 6.2.1.3.2</w:t>
      </w:r>
      <w:r w:rsidRPr="00CA3533">
        <w:rPr>
          <w:lang w:val="fr-FR"/>
        </w:rPr>
        <w:tab/>
        <w:t xml:space="preserve">L’équipement de service doit être disposé ou conçu de façon à empêcher toute avarie ou toute ouverture intempestive risquant de se traduire par la fuite du contenu du récipient en conditions normales de manutention ou de transport. Toutes les fermetures doivent être protégées de la même manière que ce qui </w:t>
      </w:r>
      <w:r w:rsidRPr="00CA3533">
        <w:rPr>
          <w:lang w:val="fr-FR"/>
        </w:rPr>
        <w:lastRenderedPageBreak/>
        <w:t>est prescrit pour les robinets au 4.1.6.8. Les parties du tuyau collecteur raccordées aux obturateurs doivent être suffisamment souples pour protéger les robinets et la tuyauterie contre une rupture par cisaillement ou une libération du contenu du récipient à pression. ».</w:t>
      </w:r>
    </w:p>
    <w:p w14:paraId="3DBF873A" w14:textId="77777777" w:rsidR="00CA3533" w:rsidRPr="00CA3533" w:rsidRDefault="00CA3533" w:rsidP="00CA3533">
      <w:pPr>
        <w:spacing w:before="120" w:after="120"/>
        <w:ind w:left="2268" w:right="1134" w:hanging="1134"/>
        <w:jc w:val="both"/>
        <w:rPr>
          <w:lang w:val="fr-FR"/>
        </w:rPr>
      </w:pPr>
      <w:r w:rsidRPr="00CA3533">
        <w:rPr>
          <w:lang w:val="fr-FR"/>
        </w:rPr>
        <w:t>6.2.1.3.3</w:t>
      </w:r>
      <w:r w:rsidRPr="00CA3533">
        <w:rPr>
          <w:lang w:val="fr-FR"/>
        </w:rPr>
        <w:tab/>
        <w:t>Remplacer « doivent être équipé de dispositifs » par « doivent être équipé de dispositifs de manutention ».</w:t>
      </w:r>
    </w:p>
    <w:p w14:paraId="77B39EBF" w14:textId="77777777" w:rsidR="00CA3533" w:rsidRPr="00CA3533" w:rsidRDefault="00CA3533" w:rsidP="00CA3533">
      <w:pPr>
        <w:spacing w:before="120" w:after="120"/>
        <w:ind w:left="2268" w:right="1134" w:hanging="1134"/>
        <w:jc w:val="both"/>
        <w:rPr>
          <w:lang w:val="fr-FR"/>
        </w:rPr>
      </w:pPr>
      <w:r w:rsidRPr="00CA3533">
        <w:rPr>
          <w:lang w:val="fr-FR"/>
        </w:rPr>
        <w:t>6.2.1.4.1</w:t>
      </w:r>
      <w:r w:rsidRPr="00CA3533">
        <w:rPr>
          <w:lang w:val="fr-FR"/>
        </w:rPr>
        <w:tab/>
        <w:t>Supprimer la deuxième phrase, commençant par « Les récipients à pression ».</w:t>
      </w:r>
    </w:p>
    <w:p w14:paraId="40DE0E0E" w14:textId="40223665" w:rsidR="00CA3533" w:rsidRPr="00CA3533" w:rsidRDefault="00CA3533" w:rsidP="00CA3533">
      <w:pPr>
        <w:spacing w:before="120" w:after="120"/>
        <w:ind w:left="2268" w:right="1134" w:hanging="1134"/>
        <w:jc w:val="both"/>
        <w:rPr>
          <w:lang w:val="fr-FR"/>
        </w:rPr>
      </w:pPr>
      <w:r w:rsidRPr="00CA3533">
        <w:rPr>
          <w:lang w:val="fr-FR"/>
        </w:rPr>
        <w:t>Ajouter un nouveau 6.2.1.4.3, libellé comme suit :</w:t>
      </w:r>
    </w:p>
    <w:p w14:paraId="21CE14EA" w14:textId="77777777" w:rsidR="00CA3533" w:rsidRPr="00CA3533" w:rsidRDefault="00CA3533" w:rsidP="00CA3533">
      <w:pPr>
        <w:spacing w:after="120"/>
        <w:ind w:left="2268" w:right="1134" w:hanging="1134"/>
        <w:jc w:val="both"/>
        <w:rPr>
          <w:lang w:val="fr-FR"/>
        </w:rPr>
      </w:pPr>
      <w:r w:rsidRPr="00CA3533">
        <w:rPr>
          <w:lang w:val="fr-FR"/>
        </w:rPr>
        <w:t>« 6.2.1.4.3</w:t>
      </w:r>
      <w:r w:rsidRPr="00CA3533">
        <w:rPr>
          <w:lang w:val="fr-FR"/>
        </w:rPr>
        <w:tab/>
        <w:t>Les enveloppes des récipients à pression et les réservoirs intérieurs des récipients cryogéniques fermés doivent être examinés, éprouvés et agréés par un organisme de contrôle. ».</w:t>
      </w:r>
    </w:p>
    <w:p w14:paraId="7A052913" w14:textId="6FC7530F" w:rsidR="00CA3533" w:rsidRPr="00CA3533" w:rsidRDefault="00CA3533" w:rsidP="00CA3533">
      <w:pPr>
        <w:spacing w:before="120" w:after="120"/>
        <w:ind w:left="2268" w:right="1134" w:hanging="1134"/>
        <w:jc w:val="both"/>
        <w:rPr>
          <w:lang w:val="fr-FR"/>
        </w:rPr>
      </w:pPr>
      <w:r w:rsidRPr="00CA3533">
        <w:rPr>
          <w:lang w:val="fr-FR"/>
        </w:rPr>
        <w:t>Ajouter un nouveau 6.2.1.4.4, libellé comme suit :</w:t>
      </w:r>
    </w:p>
    <w:p w14:paraId="3305B677" w14:textId="77777777" w:rsidR="00CA3533" w:rsidRPr="00CA3533" w:rsidRDefault="00CA3533" w:rsidP="00CA3533">
      <w:pPr>
        <w:spacing w:after="120"/>
        <w:ind w:left="2268" w:right="1134" w:hanging="1134"/>
        <w:jc w:val="both"/>
        <w:rPr>
          <w:lang w:val="fr-FR"/>
        </w:rPr>
      </w:pPr>
      <w:r w:rsidRPr="00CA3533">
        <w:rPr>
          <w:lang w:val="fr-FR"/>
        </w:rPr>
        <w:t>« 6.2.1.4.4</w:t>
      </w:r>
      <w:r w:rsidRPr="00CA3533">
        <w:rPr>
          <w:lang w:val="fr-FR"/>
        </w:rPr>
        <w:tab/>
        <w:t>Dans le cas des bouteilles rechargeables, des fûts à pression et des tubes, on peut procéder séparément à l’évaluation de la conformité de l’enveloppe et de la ou des fermetures. Aucune évaluation supplémentaire de l’assemblage final n’est alors requise.</w:t>
      </w:r>
    </w:p>
    <w:p w14:paraId="7D35B0BE" w14:textId="77777777" w:rsidR="00CA3533" w:rsidRPr="00CA3533" w:rsidRDefault="00CA3533" w:rsidP="00CA3533">
      <w:pPr>
        <w:spacing w:after="120"/>
        <w:ind w:left="2268" w:right="1134"/>
        <w:jc w:val="both"/>
        <w:rPr>
          <w:lang w:val="fr-FR"/>
        </w:rPr>
      </w:pPr>
      <w:r w:rsidRPr="00CA3533">
        <w:rPr>
          <w:lang w:val="fr-FR"/>
        </w:rPr>
        <w:t>S’agissant des cadres de bouteilles, les enveloppes des bouteilles et le ou les robinets peuvent être évalués séparément mais il faut procéder à une évaluation supplémentaire de l’assemblage final.</w:t>
      </w:r>
    </w:p>
    <w:p w14:paraId="0FCA6E19" w14:textId="77777777" w:rsidR="00CA3533" w:rsidRPr="00CA3533" w:rsidRDefault="00CA3533" w:rsidP="00CA3533">
      <w:pPr>
        <w:spacing w:after="120"/>
        <w:ind w:left="2268" w:right="1134"/>
        <w:jc w:val="both"/>
        <w:rPr>
          <w:lang w:val="fr-FR"/>
        </w:rPr>
      </w:pPr>
      <w:r w:rsidRPr="00CA3533">
        <w:rPr>
          <w:lang w:val="fr-FR"/>
        </w:rPr>
        <w:t>S’agissant des récipients cryogéniques fermés, les réservoirs intérieurs et les fermetures peuvent être évalués séparément mais une évaluation supplémentaire de l’assemblage complet est requise.</w:t>
      </w:r>
    </w:p>
    <w:p w14:paraId="63EE7F56" w14:textId="77777777" w:rsidR="00CA3533" w:rsidRPr="00CA3533" w:rsidRDefault="00CA3533" w:rsidP="00CA3533">
      <w:pPr>
        <w:spacing w:after="120"/>
        <w:ind w:left="2268" w:right="1134"/>
        <w:jc w:val="both"/>
        <w:rPr>
          <w:lang w:val="fr-FR"/>
        </w:rPr>
      </w:pPr>
      <w:r w:rsidRPr="00CA3533">
        <w:rPr>
          <w:lang w:val="fr-FR"/>
        </w:rPr>
        <w:t>Dans le cas des bouteilles d’acétylène, l’évaluation de la conformité doit consister, au choix :</w:t>
      </w:r>
    </w:p>
    <w:p w14:paraId="4F97E04E" w14:textId="77777777" w:rsidR="00CA3533" w:rsidRPr="00CA3533" w:rsidRDefault="00CA3533" w:rsidP="00CA3533">
      <w:pPr>
        <w:spacing w:after="120"/>
        <w:ind w:left="2835" w:right="1134" w:hanging="567"/>
        <w:jc w:val="both"/>
        <w:rPr>
          <w:lang w:val="fr-FR"/>
        </w:rPr>
      </w:pPr>
      <w:r w:rsidRPr="00CA3533">
        <w:rPr>
          <w:lang w:val="fr-FR"/>
        </w:rPr>
        <w:t>a)</w:t>
      </w:r>
      <w:r w:rsidRPr="00CA3533">
        <w:rPr>
          <w:lang w:val="fr-FR"/>
        </w:rPr>
        <w:tab/>
        <w:t>En une évaluation de la conformité portant à la fois sur l’enveloppe de la bouteille et sur la matière poreuse qu’elle contient ; ou</w:t>
      </w:r>
    </w:p>
    <w:p w14:paraId="1084F6EA" w14:textId="77777777" w:rsidR="00CA3533" w:rsidRPr="00CA3533" w:rsidRDefault="00CA3533" w:rsidP="00CA3533">
      <w:pPr>
        <w:spacing w:after="120"/>
        <w:ind w:left="2835" w:right="1134" w:hanging="567"/>
        <w:jc w:val="both"/>
        <w:rPr>
          <w:lang w:val="fr-FR"/>
        </w:rPr>
      </w:pPr>
      <w:r w:rsidRPr="00CA3533">
        <w:rPr>
          <w:lang w:val="fr-FR"/>
        </w:rPr>
        <w:t>b)</w:t>
      </w:r>
      <w:r w:rsidRPr="00CA3533">
        <w:rPr>
          <w:lang w:val="fr-FR"/>
        </w:rPr>
        <w:tab/>
      </w:r>
      <w:r w:rsidRPr="00CA3533">
        <w:rPr>
          <w:lang w:val="fr-FR" w:eastAsia="en-US"/>
        </w:rPr>
        <w:t>En une évaluation de la conformité séparée portant sur l’enveloppe de la bouteille vide et une évaluation de la conformité supplémentaire portant sur l’enveloppe de la bouteille avec la matière poreuse qu’elle contient.</w:t>
      </w:r>
      <w:r w:rsidRPr="00CA3533">
        <w:rPr>
          <w:lang w:val="fr-FR"/>
        </w:rPr>
        <w:t> ».</w:t>
      </w:r>
    </w:p>
    <w:p w14:paraId="58013C08" w14:textId="77777777" w:rsidR="00CA3533" w:rsidRPr="00CA3533" w:rsidRDefault="00CA3533" w:rsidP="00CA3533">
      <w:pPr>
        <w:spacing w:before="120" w:after="120"/>
        <w:ind w:left="2268" w:right="1134" w:hanging="1134"/>
        <w:jc w:val="both"/>
        <w:rPr>
          <w:lang w:val="fr-FR"/>
        </w:rPr>
      </w:pPr>
      <w:r w:rsidRPr="00CA3533">
        <w:rPr>
          <w:lang w:val="fr-FR"/>
        </w:rPr>
        <w:t>6.2.1.5.1</w:t>
      </w:r>
      <w:r w:rsidRPr="00CA3533">
        <w:rPr>
          <w:lang w:val="fr-FR"/>
        </w:rPr>
        <w:tab/>
        <w:t xml:space="preserve">Dans la première phrase, remplacer « les récipients cryogéniques fermés et les dispositifs de stockage à hydrure métallique » par « les récipients cryogéniques fermés, les dispositifs de stockage à hydrure métallique et les cadres de bouteilles ». Après « aux normes de conception », ajouter « ou à des codes techniques reconnus ». </w:t>
      </w:r>
    </w:p>
    <w:p w14:paraId="4268F49E" w14:textId="77777777" w:rsidR="00CA3533" w:rsidRPr="00CA3533" w:rsidRDefault="00CA3533" w:rsidP="00CA3533">
      <w:pPr>
        <w:spacing w:before="120" w:after="120"/>
        <w:ind w:left="2268" w:right="1134" w:hanging="1134"/>
        <w:jc w:val="both"/>
        <w:rPr>
          <w:lang w:val="fr-FR"/>
        </w:rPr>
      </w:pPr>
      <w:r w:rsidRPr="00CA3533">
        <w:rPr>
          <w:lang w:val="fr-FR"/>
        </w:rPr>
        <w:tab/>
      </w:r>
      <w:r w:rsidRPr="00CA3533">
        <w:rPr>
          <w:lang w:val="fr-FR"/>
        </w:rPr>
        <w:tab/>
        <w:t>À la ligne précédant l’alinéa a), remplacer « de récipients à pression » par « d’enveloppes de récipients à pression ».</w:t>
      </w:r>
    </w:p>
    <w:p w14:paraId="4F7D38F3" w14:textId="77777777" w:rsidR="00CA3533" w:rsidRPr="00CA3533" w:rsidRDefault="00CA3533" w:rsidP="00CA3533">
      <w:pPr>
        <w:spacing w:before="120" w:after="120"/>
        <w:ind w:left="2268" w:right="1134" w:hanging="1134"/>
        <w:jc w:val="both"/>
        <w:rPr>
          <w:lang w:val="fr-FR"/>
        </w:rPr>
      </w:pPr>
      <w:r w:rsidRPr="00CA3533">
        <w:rPr>
          <w:lang w:val="fr-FR"/>
        </w:rPr>
        <w:tab/>
        <w:t>À la fin de l’alinéa d), supprimer « des récipients à pression ».</w:t>
      </w:r>
    </w:p>
    <w:p w14:paraId="11FE9D2B" w14:textId="77777777" w:rsidR="00CA3533" w:rsidRPr="00CA3533" w:rsidRDefault="00CA3533" w:rsidP="00CA3533">
      <w:pPr>
        <w:spacing w:before="120" w:after="120"/>
        <w:ind w:left="2268" w:right="1134" w:hanging="1134"/>
        <w:jc w:val="both"/>
        <w:rPr>
          <w:lang w:val="fr-FR"/>
        </w:rPr>
      </w:pPr>
      <w:r w:rsidRPr="00CA3533">
        <w:rPr>
          <w:lang w:val="fr-FR"/>
        </w:rPr>
        <w:tab/>
        <w:t>À l’alinéa e), remplacer « du filetage des goulots » par « des filetages utilisés pour ajuster les fermetures ».</w:t>
      </w:r>
    </w:p>
    <w:p w14:paraId="6FE03AC2" w14:textId="77777777" w:rsidR="00CA3533" w:rsidRPr="00CA3533" w:rsidRDefault="00CA3533" w:rsidP="00CA3533">
      <w:pPr>
        <w:spacing w:before="120" w:after="120"/>
        <w:ind w:left="2268" w:right="1134" w:hanging="1134"/>
        <w:jc w:val="both"/>
        <w:rPr>
          <w:lang w:val="fr-FR"/>
        </w:rPr>
      </w:pPr>
      <w:r w:rsidRPr="00CA3533">
        <w:rPr>
          <w:lang w:val="fr-FR"/>
        </w:rPr>
        <w:tab/>
      </w:r>
      <w:r w:rsidRPr="00CA3533">
        <w:rPr>
          <w:lang w:val="fr-FR"/>
        </w:rPr>
        <w:tab/>
        <w:t>À la ligne précédant l’alinéa g), remplacer « tous les récipients à pression » par « </w:t>
      </w:r>
      <w:bookmarkStart w:id="8" w:name="_Hlk69221872"/>
      <w:r w:rsidRPr="00CA3533">
        <w:rPr>
          <w:lang w:val="fr-FR"/>
        </w:rPr>
        <w:t>toutes les enveloppes de récipients à pression</w:t>
      </w:r>
      <w:bookmarkEnd w:id="8"/>
      <w:r w:rsidRPr="00CA3533">
        <w:rPr>
          <w:lang w:val="fr-FR"/>
        </w:rPr>
        <w:t> ».</w:t>
      </w:r>
    </w:p>
    <w:p w14:paraId="083B10E7" w14:textId="77777777" w:rsidR="00CA3533" w:rsidRPr="00CA3533" w:rsidRDefault="00CA3533" w:rsidP="00CA3533">
      <w:pPr>
        <w:spacing w:before="120" w:after="120"/>
        <w:ind w:left="2268" w:right="1134" w:hanging="1134"/>
        <w:jc w:val="both"/>
        <w:rPr>
          <w:lang w:val="fr-FR"/>
        </w:rPr>
      </w:pPr>
      <w:r w:rsidRPr="00CA3533">
        <w:rPr>
          <w:lang w:val="fr-FR"/>
        </w:rPr>
        <w:tab/>
        <w:t>À l’alinéa g), remplacer « récipients à pression » par « enveloppes des récipients à pression ».</w:t>
      </w:r>
    </w:p>
    <w:p w14:paraId="5D041B19" w14:textId="77777777" w:rsidR="00CA3533" w:rsidRPr="00CA3533" w:rsidRDefault="00CA3533" w:rsidP="00CA3533">
      <w:pPr>
        <w:spacing w:before="120" w:after="120"/>
        <w:ind w:left="2268" w:right="1134" w:hanging="1134"/>
        <w:jc w:val="both"/>
        <w:rPr>
          <w:lang w:val="fr-FR"/>
        </w:rPr>
      </w:pPr>
      <w:r w:rsidRPr="00CA3533">
        <w:rPr>
          <w:lang w:val="fr-FR"/>
        </w:rPr>
        <w:tab/>
        <w:t>À l’alinéa h), remplacer dans les deux phrases « récipients à pression » par « enveloppes des récipients à pression » et accorder le reste du texte en conséquence.</w:t>
      </w:r>
    </w:p>
    <w:p w14:paraId="01907C3B" w14:textId="77777777" w:rsidR="00CA3533" w:rsidRPr="00CA3533" w:rsidRDefault="00CA3533" w:rsidP="00CA3533">
      <w:pPr>
        <w:spacing w:before="120" w:after="120"/>
        <w:ind w:left="2268" w:right="1134" w:hanging="1134"/>
        <w:jc w:val="both"/>
        <w:rPr>
          <w:lang w:val="fr-FR"/>
        </w:rPr>
      </w:pPr>
      <w:r w:rsidRPr="00CA3533">
        <w:rPr>
          <w:lang w:val="fr-FR"/>
        </w:rPr>
        <w:tab/>
        <w:t>À l’alinéa i), remplacer « récipients à pression » par « enveloppes de récipients à pression ».</w:t>
      </w:r>
    </w:p>
    <w:p w14:paraId="1EFA975C" w14:textId="77777777" w:rsidR="00CA3533" w:rsidRPr="00CA3533" w:rsidRDefault="00CA3533" w:rsidP="00CA3533">
      <w:pPr>
        <w:spacing w:before="120" w:after="120"/>
        <w:ind w:left="2268" w:right="1134" w:hanging="1134"/>
        <w:jc w:val="both"/>
        <w:rPr>
          <w:lang w:val="fr-FR"/>
        </w:rPr>
      </w:pPr>
      <w:r w:rsidRPr="00CA3533">
        <w:rPr>
          <w:lang w:val="fr-FR"/>
        </w:rPr>
        <w:lastRenderedPageBreak/>
        <w:tab/>
        <w:t>À l’alinéa j), remplacer « récipients à pression destinés ... doivent être examinés » par « </w:t>
      </w:r>
      <w:bookmarkStart w:id="9" w:name="_Hlk69221967"/>
      <w:r w:rsidRPr="00CA3533">
        <w:rPr>
          <w:lang w:val="fr-FR"/>
        </w:rPr>
        <w:t>enveloppes des bouteilles destinées</w:t>
      </w:r>
      <w:bookmarkEnd w:id="9"/>
      <w:r w:rsidRPr="00CA3533">
        <w:rPr>
          <w:lang w:val="fr-FR"/>
        </w:rPr>
        <w:t xml:space="preserve"> ... doivent être examinées ».</w:t>
      </w:r>
    </w:p>
    <w:p w14:paraId="0E8D798C" w14:textId="77777777" w:rsidR="00CA3533" w:rsidRPr="00CA3533" w:rsidRDefault="00CA3533" w:rsidP="00CA3533">
      <w:pPr>
        <w:spacing w:before="120" w:after="120"/>
        <w:ind w:left="2268" w:right="1134" w:hanging="1134"/>
        <w:jc w:val="both"/>
        <w:rPr>
          <w:lang w:val="fr-FR"/>
        </w:rPr>
      </w:pPr>
      <w:r w:rsidRPr="00CA3533">
        <w:rPr>
          <w:lang w:val="fr-FR"/>
        </w:rPr>
        <w:tab/>
        <w:t>Après l’alinéa j), ajouter les nouvelles dispositions suivantes :</w:t>
      </w:r>
    </w:p>
    <w:p w14:paraId="647C95A9" w14:textId="77777777" w:rsidR="00CA3533" w:rsidRPr="00CA3533" w:rsidRDefault="00CA3533" w:rsidP="00CA3533">
      <w:pPr>
        <w:tabs>
          <w:tab w:val="left" w:pos="2268"/>
        </w:tabs>
        <w:spacing w:before="120" w:after="120"/>
        <w:ind w:left="2835" w:right="1134" w:hanging="567"/>
        <w:jc w:val="both"/>
        <w:rPr>
          <w:lang w:val="fr-FR"/>
        </w:rPr>
      </w:pPr>
      <w:r w:rsidRPr="00CA3533">
        <w:rPr>
          <w:lang w:val="fr-FR"/>
        </w:rPr>
        <w:t>« Sur un échantillon suffisant de fermetures :</w:t>
      </w:r>
    </w:p>
    <w:p w14:paraId="1A865385" w14:textId="77777777" w:rsidR="00CA3533" w:rsidRPr="00CA3533" w:rsidRDefault="00CA3533" w:rsidP="00CA3533">
      <w:pPr>
        <w:tabs>
          <w:tab w:val="left" w:pos="2268"/>
        </w:tabs>
        <w:spacing w:before="120" w:after="120"/>
        <w:ind w:left="2835" w:right="1134" w:hanging="567"/>
        <w:jc w:val="both"/>
        <w:rPr>
          <w:lang w:val="fr-FR"/>
        </w:rPr>
      </w:pPr>
      <w:r w:rsidRPr="00CA3533">
        <w:rPr>
          <w:lang w:val="fr-FR"/>
        </w:rPr>
        <w:t>k)</w:t>
      </w:r>
      <w:r w:rsidRPr="00CA3533">
        <w:rPr>
          <w:lang w:val="fr-FR"/>
        </w:rPr>
        <w:tab/>
        <w:t>Vérification des matériaux ;</w:t>
      </w:r>
    </w:p>
    <w:p w14:paraId="2E3ECC51" w14:textId="77777777" w:rsidR="00CA3533" w:rsidRPr="00CA3533" w:rsidRDefault="00CA3533" w:rsidP="00CA3533">
      <w:pPr>
        <w:tabs>
          <w:tab w:val="left" w:pos="2268"/>
        </w:tabs>
        <w:spacing w:before="120" w:after="120"/>
        <w:ind w:left="2835" w:right="1134" w:hanging="567"/>
        <w:jc w:val="both"/>
        <w:rPr>
          <w:lang w:val="fr-FR"/>
        </w:rPr>
      </w:pPr>
      <w:r w:rsidRPr="00CA3533">
        <w:rPr>
          <w:lang w:val="fr-FR"/>
        </w:rPr>
        <w:t>l)</w:t>
      </w:r>
      <w:r w:rsidRPr="00CA3533">
        <w:rPr>
          <w:lang w:val="fr-FR"/>
        </w:rPr>
        <w:tab/>
        <w:t>Vérification des dimensions ;</w:t>
      </w:r>
    </w:p>
    <w:p w14:paraId="3A30FF57" w14:textId="77777777" w:rsidR="00CA3533" w:rsidRPr="00CA3533" w:rsidRDefault="00CA3533" w:rsidP="00CA3533">
      <w:pPr>
        <w:tabs>
          <w:tab w:val="left" w:pos="2268"/>
        </w:tabs>
        <w:spacing w:before="120" w:after="120"/>
        <w:ind w:left="2835" w:right="1134" w:hanging="567"/>
        <w:jc w:val="both"/>
        <w:rPr>
          <w:lang w:val="fr-FR"/>
        </w:rPr>
      </w:pPr>
      <w:r w:rsidRPr="00CA3533">
        <w:rPr>
          <w:lang w:val="fr-FR"/>
        </w:rPr>
        <w:t>m)</w:t>
      </w:r>
      <w:r w:rsidRPr="00CA3533">
        <w:rPr>
          <w:lang w:val="fr-FR"/>
        </w:rPr>
        <w:tab/>
        <w:t>Vérification de la propreté ;</w:t>
      </w:r>
    </w:p>
    <w:p w14:paraId="04C08420" w14:textId="77777777" w:rsidR="00CA3533" w:rsidRPr="00CA3533" w:rsidRDefault="00CA3533" w:rsidP="00CA3533">
      <w:pPr>
        <w:tabs>
          <w:tab w:val="left" w:pos="2268"/>
        </w:tabs>
        <w:spacing w:before="120" w:after="120"/>
        <w:ind w:left="2835" w:right="1134" w:hanging="567"/>
        <w:jc w:val="both"/>
        <w:rPr>
          <w:lang w:val="fr-FR"/>
        </w:rPr>
      </w:pPr>
      <w:r w:rsidRPr="00CA3533">
        <w:rPr>
          <w:lang w:val="fr-FR"/>
        </w:rPr>
        <w:t>n)</w:t>
      </w:r>
      <w:r w:rsidRPr="00CA3533">
        <w:rPr>
          <w:lang w:val="fr-FR"/>
        </w:rPr>
        <w:tab/>
        <w:t>Contrôle de l’assemblage complet ;</w:t>
      </w:r>
    </w:p>
    <w:p w14:paraId="68997918" w14:textId="77777777" w:rsidR="00CA3533" w:rsidRPr="00CA3533" w:rsidRDefault="00CA3533" w:rsidP="00CA3533">
      <w:pPr>
        <w:tabs>
          <w:tab w:val="left" w:pos="2268"/>
        </w:tabs>
        <w:spacing w:before="120" w:after="120"/>
        <w:ind w:left="2835" w:right="1134" w:hanging="567"/>
        <w:jc w:val="both"/>
        <w:rPr>
          <w:lang w:val="fr-FR"/>
        </w:rPr>
      </w:pPr>
      <w:r w:rsidRPr="00CA3533">
        <w:rPr>
          <w:lang w:val="fr-FR"/>
        </w:rPr>
        <w:t>o)</w:t>
      </w:r>
      <w:r w:rsidRPr="00CA3533">
        <w:rPr>
          <w:lang w:val="fr-FR"/>
        </w:rPr>
        <w:tab/>
        <w:t xml:space="preserve">Vérification de la présence de marques. </w:t>
      </w:r>
    </w:p>
    <w:p w14:paraId="62C773C5" w14:textId="77777777" w:rsidR="00CA3533" w:rsidRPr="00CA3533" w:rsidDel="0090237F" w:rsidRDefault="00CA3533" w:rsidP="00CA3533">
      <w:pPr>
        <w:tabs>
          <w:tab w:val="left" w:pos="2268"/>
        </w:tabs>
        <w:spacing w:before="120" w:after="120"/>
        <w:ind w:left="2835" w:right="1134" w:hanging="567"/>
        <w:jc w:val="both"/>
        <w:rPr>
          <w:lang w:val="fr-FR"/>
        </w:rPr>
      </w:pPr>
      <w:r w:rsidRPr="00CA3533">
        <w:rPr>
          <w:lang w:val="fr-FR"/>
        </w:rPr>
        <w:t>Pour toutes les fermetures :</w:t>
      </w:r>
    </w:p>
    <w:p w14:paraId="18B1358B" w14:textId="2D2A90DF" w:rsidR="00CA3533" w:rsidRPr="00CA3533" w:rsidRDefault="00CA3533" w:rsidP="00CA3533">
      <w:pPr>
        <w:tabs>
          <w:tab w:val="left" w:pos="2268"/>
        </w:tabs>
        <w:spacing w:before="120" w:after="120"/>
        <w:ind w:left="2835" w:right="1134" w:hanging="567"/>
        <w:jc w:val="both"/>
        <w:rPr>
          <w:lang w:val="fr-FR"/>
        </w:rPr>
      </w:pPr>
      <w:r w:rsidRPr="00CA3533">
        <w:rPr>
          <w:lang w:val="fr-FR"/>
        </w:rPr>
        <w:t>p)</w:t>
      </w:r>
      <w:r w:rsidRPr="00CA3533">
        <w:rPr>
          <w:lang w:val="fr-FR"/>
        </w:rPr>
        <w:tab/>
        <w:t>Épreuve d’étanchéité. »</w:t>
      </w:r>
    </w:p>
    <w:p w14:paraId="615FDB54" w14:textId="77777777" w:rsidR="00CA3533" w:rsidRPr="00CA3533" w:rsidRDefault="00CA3533" w:rsidP="00CA3533">
      <w:pPr>
        <w:spacing w:before="120" w:after="120"/>
        <w:ind w:left="2268" w:right="1134" w:hanging="1134"/>
        <w:jc w:val="both"/>
        <w:rPr>
          <w:lang w:val="fr-FR"/>
        </w:rPr>
      </w:pPr>
      <w:r w:rsidRPr="00CA3533">
        <w:rPr>
          <w:lang w:val="fr-FR"/>
        </w:rPr>
        <w:t>6.2.1.5.2</w:t>
      </w:r>
      <w:r w:rsidRPr="00CA3533">
        <w:rPr>
          <w:lang w:val="fr-FR"/>
        </w:rPr>
        <w:tab/>
        <w:t>Modifier pour lire comme suit :</w:t>
      </w:r>
    </w:p>
    <w:p w14:paraId="356E0A72" w14:textId="77777777" w:rsidR="00CA3533" w:rsidRPr="00CA3533" w:rsidRDefault="00CA3533" w:rsidP="00CA3533">
      <w:pPr>
        <w:spacing w:after="120"/>
        <w:ind w:left="2268" w:right="1134" w:hanging="1134"/>
        <w:jc w:val="both"/>
        <w:rPr>
          <w:lang w:val="fr-FR"/>
        </w:rPr>
      </w:pPr>
      <w:r w:rsidRPr="00CA3533">
        <w:rPr>
          <w:lang w:val="fr-FR"/>
        </w:rPr>
        <w:t>« 6.2.1.5.2</w:t>
      </w:r>
      <w:r w:rsidRPr="00CA3533">
        <w:rPr>
          <w:lang w:val="fr-FR"/>
        </w:rPr>
        <w:tab/>
        <w:t>Les récipients cryogéniques fermés doivent subir les épreuves et les contrôles pendant et après fabrication conformément aux normes de conception qui leur sont applicables ou à des codes techniques reconnus, et notamment les suivants :</w:t>
      </w:r>
    </w:p>
    <w:p w14:paraId="59938497" w14:textId="77777777" w:rsidR="00CA3533" w:rsidRPr="00CA3533" w:rsidRDefault="00CA3533" w:rsidP="00CA3533">
      <w:pPr>
        <w:spacing w:after="120"/>
        <w:ind w:left="2268" w:right="1134"/>
        <w:jc w:val="both"/>
        <w:rPr>
          <w:lang w:val="fr-FR"/>
        </w:rPr>
      </w:pPr>
      <w:r w:rsidRPr="00CA3533">
        <w:rPr>
          <w:lang w:val="fr-FR"/>
        </w:rPr>
        <w:tab/>
        <w:t>Sur un échantillon suffisant de réservoirs intérieurs :</w:t>
      </w:r>
    </w:p>
    <w:p w14:paraId="0B527225" w14:textId="77777777" w:rsidR="00CA3533" w:rsidRPr="00CA3533" w:rsidRDefault="00CA3533" w:rsidP="00CA3533">
      <w:pPr>
        <w:spacing w:after="120"/>
        <w:ind w:left="2835" w:right="1134" w:hanging="567"/>
        <w:jc w:val="both"/>
        <w:rPr>
          <w:lang w:val="fr-FR"/>
        </w:rPr>
      </w:pPr>
      <w:r w:rsidRPr="00CA3533">
        <w:rPr>
          <w:lang w:val="fr-FR"/>
        </w:rPr>
        <w:t>a)</w:t>
      </w:r>
      <w:r w:rsidRPr="00CA3533">
        <w:rPr>
          <w:lang w:val="fr-FR"/>
        </w:rPr>
        <w:tab/>
        <w:t>Essais pour vérifier les caractéristiques mécaniques du matériau de construction ;</w:t>
      </w:r>
    </w:p>
    <w:p w14:paraId="74F1AE62" w14:textId="77777777" w:rsidR="00CA3533" w:rsidRPr="00CA3533" w:rsidRDefault="00CA3533" w:rsidP="00CA3533">
      <w:pPr>
        <w:spacing w:after="120"/>
        <w:ind w:left="2835" w:right="1134" w:hanging="567"/>
        <w:jc w:val="both"/>
        <w:rPr>
          <w:lang w:val="fr-FR"/>
        </w:rPr>
      </w:pPr>
      <w:r w:rsidRPr="00CA3533">
        <w:rPr>
          <w:lang w:val="fr-FR"/>
        </w:rPr>
        <w:t>b)</w:t>
      </w:r>
      <w:r w:rsidRPr="00CA3533">
        <w:rPr>
          <w:lang w:val="fr-FR"/>
        </w:rPr>
        <w:tab/>
        <w:t>Vérification de l'épaisseur minimale de la paroi ;</w:t>
      </w:r>
    </w:p>
    <w:p w14:paraId="76BBE799" w14:textId="77777777" w:rsidR="00CA3533" w:rsidRPr="00CA3533" w:rsidRDefault="00CA3533" w:rsidP="00CA3533">
      <w:pPr>
        <w:spacing w:after="120"/>
        <w:ind w:left="2835" w:right="1134" w:hanging="567"/>
        <w:jc w:val="both"/>
        <w:rPr>
          <w:lang w:val="fr-FR"/>
        </w:rPr>
      </w:pPr>
      <w:r w:rsidRPr="00CA3533">
        <w:rPr>
          <w:lang w:val="fr-FR"/>
        </w:rPr>
        <w:t>c)</w:t>
      </w:r>
      <w:r w:rsidRPr="00CA3533">
        <w:rPr>
          <w:lang w:val="fr-FR"/>
        </w:rPr>
        <w:tab/>
        <w:t>Contrôle de l'état extérieur et intérieur ;</w:t>
      </w:r>
    </w:p>
    <w:p w14:paraId="21B0DE7B" w14:textId="77777777" w:rsidR="00CA3533" w:rsidRPr="00CA3533" w:rsidRDefault="00CA3533" w:rsidP="00CA3533">
      <w:pPr>
        <w:spacing w:after="120"/>
        <w:ind w:left="2835" w:right="1134" w:hanging="567"/>
        <w:jc w:val="both"/>
        <w:rPr>
          <w:lang w:val="fr-FR"/>
        </w:rPr>
      </w:pPr>
      <w:r w:rsidRPr="00CA3533">
        <w:rPr>
          <w:lang w:val="fr-FR"/>
        </w:rPr>
        <w:t>d)</w:t>
      </w:r>
      <w:r w:rsidRPr="00CA3533">
        <w:rPr>
          <w:lang w:val="fr-FR"/>
        </w:rPr>
        <w:tab/>
        <w:t>Vérification de la conformité avec la norme de conception ou le code technique ;</w:t>
      </w:r>
    </w:p>
    <w:p w14:paraId="1953DEF1" w14:textId="3AB34B5F" w:rsidR="00CA3533" w:rsidRPr="00CA3533" w:rsidRDefault="00CA3533" w:rsidP="00CA3533">
      <w:pPr>
        <w:spacing w:after="120"/>
        <w:ind w:left="2835" w:right="1134" w:hanging="567"/>
        <w:jc w:val="both"/>
        <w:rPr>
          <w:lang w:val="fr-FR"/>
        </w:rPr>
      </w:pPr>
      <w:r w:rsidRPr="00CA3533">
        <w:rPr>
          <w:lang w:val="fr-FR"/>
        </w:rPr>
        <w:t>e)</w:t>
      </w:r>
      <w:r w:rsidRPr="00CA3533">
        <w:rPr>
          <w:lang w:val="fr-FR"/>
        </w:rPr>
        <w:tab/>
        <w:t>Contrôle des soudures par radiographie, ultrasons ou toute autre méthode d'épreuve non destructive, conformément à la norme de conception et de construction ou au code technique ;</w:t>
      </w:r>
    </w:p>
    <w:p w14:paraId="419C7740" w14:textId="77777777" w:rsidR="00CA3533" w:rsidRPr="00CA3533" w:rsidRDefault="00CA3533" w:rsidP="00CA3533">
      <w:pPr>
        <w:spacing w:after="120"/>
        <w:ind w:left="2835" w:right="1134" w:hanging="567"/>
        <w:jc w:val="both"/>
        <w:rPr>
          <w:lang w:val="fr-FR"/>
        </w:rPr>
      </w:pPr>
      <w:r w:rsidRPr="00CA3533">
        <w:rPr>
          <w:lang w:val="fr-FR"/>
        </w:rPr>
        <w:t>Sur tous les réservoirs intérieurs :</w:t>
      </w:r>
    </w:p>
    <w:p w14:paraId="2A97B8D4" w14:textId="77777777" w:rsidR="00CA3533" w:rsidRPr="00CA3533" w:rsidRDefault="00CA3533" w:rsidP="00CA3533">
      <w:pPr>
        <w:spacing w:after="120"/>
        <w:ind w:left="2835" w:right="1134" w:hanging="567"/>
        <w:jc w:val="both"/>
        <w:rPr>
          <w:lang w:val="fr-FR"/>
        </w:rPr>
      </w:pPr>
      <w:r w:rsidRPr="00CA3533">
        <w:rPr>
          <w:lang w:val="fr-FR"/>
        </w:rPr>
        <w:t>f)</w:t>
      </w:r>
      <w:r w:rsidRPr="00CA3533">
        <w:rPr>
          <w:lang w:val="fr-FR"/>
        </w:rPr>
        <w:tab/>
        <w:t>Epreuve de pression hydraulique : le réservoir intérieur doit se conformer aux critères d’acceptation énoncés dans la norme technique de conception et de fabrication ou dans le code technique ;</w:t>
      </w:r>
    </w:p>
    <w:p w14:paraId="199A6A0B" w14:textId="77777777" w:rsidR="00CA3533" w:rsidRPr="00CA3533" w:rsidRDefault="00CA3533" w:rsidP="00CA3533">
      <w:pPr>
        <w:spacing w:after="120"/>
        <w:ind w:left="2835" w:right="1134"/>
        <w:jc w:val="both"/>
        <w:rPr>
          <w:i/>
          <w:iCs/>
          <w:lang w:val="fr-FR"/>
        </w:rPr>
      </w:pPr>
      <w:r w:rsidRPr="00CA3533">
        <w:rPr>
          <w:b/>
          <w:bCs/>
          <w:i/>
          <w:iCs/>
          <w:lang w:val="fr-FR"/>
        </w:rPr>
        <w:t>NOTA :</w:t>
      </w:r>
      <w:r w:rsidRPr="00CA3533">
        <w:rPr>
          <w:i/>
          <w:iCs/>
          <w:lang w:val="fr-FR"/>
        </w:rPr>
        <w:t xml:space="preserve"> Avec l'accord de l’autorité compétente, l'épreuve de pression hydraulique peut être remplacée par une épreuve au moyen d'un gaz, lorsque cette opération ne présente pas de danger.</w:t>
      </w:r>
    </w:p>
    <w:p w14:paraId="53E2F758" w14:textId="77777777" w:rsidR="00CA3533" w:rsidRPr="00CA3533" w:rsidRDefault="00CA3533" w:rsidP="00CA3533">
      <w:pPr>
        <w:spacing w:after="120"/>
        <w:ind w:left="2835" w:right="1134" w:hanging="567"/>
        <w:jc w:val="both"/>
        <w:rPr>
          <w:lang w:val="fr-FR"/>
        </w:rPr>
      </w:pPr>
      <w:r w:rsidRPr="00CA3533">
        <w:rPr>
          <w:lang w:val="fr-FR"/>
        </w:rPr>
        <w:t>g)</w:t>
      </w:r>
      <w:r w:rsidRPr="00CA3533">
        <w:rPr>
          <w:lang w:val="fr-FR"/>
        </w:rPr>
        <w:tab/>
        <w:t>Examen et évaluation des défauts de fabrication et, soit réparation des réservoirs intérieurs, soit déclaration de ceux-ci comme impropres à l'usage ;</w:t>
      </w:r>
    </w:p>
    <w:p w14:paraId="4537D285" w14:textId="77777777" w:rsidR="00CA3533" w:rsidRPr="00CA3533" w:rsidRDefault="00CA3533" w:rsidP="00CA3533">
      <w:pPr>
        <w:spacing w:after="120"/>
        <w:ind w:left="2835" w:right="1134" w:hanging="567"/>
        <w:jc w:val="both"/>
        <w:rPr>
          <w:lang w:val="fr-FR"/>
        </w:rPr>
      </w:pPr>
      <w:r w:rsidRPr="00CA3533">
        <w:rPr>
          <w:lang w:val="fr-FR"/>
        </w:rPr>
        <w:t>h)</w:t>
      </w:r>
      <w:r w:rsidRPr="00CA3533">
        <w:rPr>
          <w:lang w:val="fr-FR"/>
        </w:rPr>
        <w:tab/>
        <w:t>Contrôle des marques.</w:t>
      </w:r>
    </w:p>
    <w:p w14:paraId="09941335" w14:textId="77777777" w:rsidR="00CA3533" w:rsidRPr="00CA3533" w:rsidRDefault="00CA3533" w:rsidP="00CA3533">
      <w:pPr>
        <w:spacing w:after="120"/>
        <w:ind w:left="2268" w:right="1134"/>
        <w:jc w:val="both"/>
        <w:rPr>
          <w:lang w:val="fr-FR"/>
        </w:rPr>
      </w:pPr>
      <w:r w:rsidRPr="00CA3533">
        <w:rPr>
          <w:lang w:val="fr-FR"/>
        </w:rPr>
        <w:t>Sur un échantillon suffisant de fermetures :</w:t>
      </w:r>
    </w:p>
    <w:p w14:paraId="10B19865" w14:textId="77777777" w:rsidR="00CA3533" w:rsidRPr="00CA3533" w:rsidRDefault="00CA3533" w:rsidP="00CA3533">
      <w:pPr>
        <w:spacing w:after="120"/>
        <w:ind w:left="2268" w:right="1134"/>
        <w:jc w:val="both"/>
        <w:rPr>
          <w:lang w:val="fr-FR"/>
        </w:rPr>
      </w:pPr>
      <w:r w:rsidRPr="00CA3533">
        <w:rPr>
          <w:lang w:val="fr-FR"/>
        </w:rPr>
        <w:t>i)</w:t>
      </w:r>
      <w:r w:rsidRPr="00CA3533">
        <w:rPr>
          <w:lang w:val="fr-FR"/>
        </w:rPr>
        <w:tab/>
        <w:t>Vérification des matériaux ;</w:t>
      </w:r>
    </w:p>
    <w:p w14:paraId="083020C1" w14:textId="77777777" w:rsidR="00CA3533" w:rsidRPr="00CA3533" w:rsidRDefault="00CA3533" w:rsidP="00CA3533">
      <w:pPr>
        <w:spacing w:after="120"/>
        <w:ind w:left="2268" w:right="1134"/>
        <w:jc w:val="both"/>
        <w:rPr>
          <w:lang w:val="fr-FR"/>
        </w:rPr>
      </w:pPr>
      <w:r w:rsidRPr="00CA3533">
        <w:rPr>
          <w:lang w:val="fr-FR"/>
        </w:rPr>
        <w:t>j)</w:t>
      </w:r>
      <w:r w:rsidRPr="00CA3533">
        <w:rPr>
          <w:lang w:val="fr-FR"/>
        </w:rPr>
        <w:tab/>
        <w:t>Vérification des dimensions ;</w:t>
      </w:r>
    </w:p>
    <w:p w14:paraId="39653939" w14:textId="77777777" w:rsidR="00CA3533" w:rsidRPr="00CA3533" w:rsidRDefault="00CA3533" w:rsidP="00CA3533">
      <w:pPr>
        <w:spacing w:after="120"/>
        <w:ind w:left="1701" w:right="1134" w:firstLine="567"/>
        <w:jc w:val="both"/>
        <w:rPr>
          <w:lang w:val="fr-FR"/>
        </w:rPr>
      </w:pPr>
      <w:r w:rsidRPr="00CA3533">
        <w:rPr>
          <w:lang w:val="fr-FR"/>
        </w:rPr>
        <w:t>k)</w:t>
      </w:r>
      <w:r w:rsidRPr="00CA3533">
        <w:rPr>
          <w:lang w:val="fr-FR"/>
        </w:rPr>
        <w:tab/>
        <w:t>Vérification de la propreté ;</w:t>
      </w:r>
    </w:p>
    <w:p w14:paraId="7B510084" w14:textId="77777777" w:rsidR="00CA3533" w:rsidRPr="00CA3533" w:rsidRDefault="00CA3533" w:rsidP="00CA3533">
      <w:pPr>
        <w:spacing w:after="120"/>
        <w:ind w:left="1701" w:right="1134" w:firstLine="567"/>
        <w:jc w:val="both"/>
        <w:rPr>
          <w:lang w:val="fr-FR"/>
        </w:rPr>
      </w:pPr>
      <w:r w:rsidRPr="00CA3533">
        <w:rPr>
          <w:lang w:val="fr-FR"/>
        </w:rPr>
        <w:t>l)</w:t>
      </w:r>
      <w:r w:rsidRPr="00CA3533">
        <w:rPr>
          <w:lang w:val="fr-FR"/>
        </w:rPr>
        <w:tab/>
        <w:t>Contrôle de l’assemblage complet ;</w:t>
      </w:r>
    </w:p>
    <w:p w14:paraId="6D8DCCB9" w14:textId="77777777" w:rsidR="00CA3533" w:rsidRPr="00CA3533" w:rsidRDefault="00CA3533" w:rsidP="00CA3533">
      <w:pPr>
        <w:spacing w:after="120"/>
        <w:ind w:left="1701" w:right="1134" w:firstLine="567"/>
        <w:jc w:val="both"/>
        <w:rPr>
          <w:lang w:val="fr-FR"/>
        </w:rPr>
      </w:pPr>
      <w:r w:rsidRPr="00CA3533">
        <w:rPr>
          <w:lang w:val="fr-FR"/>
        </w:rPr>
        <w:t>m)</w:t>
      </w:r>
      <w:r w:rsidRPr="00CA3533">
        <w:rPr>
          <w:lang w:val="fr-FR"/>
        </w:rPr>
        <w:tab/>
        <w:t>Vérification de la présence de marques.</w:t>
      </w:r>
    </w:p>
    <w:p w14:paraId="73F3D050" w14:textId="77777777" w:rsidR="00CA3533" w:rsidRPr="00CA3533" w:rsidRDefault="00CA3533" w:rsidP="00CA3533">
      <w:pPr>
        <w:spacing w:after="120"/>
        <w:ind w:left="1701" w:right="1134" w:firstLine="567"/>
        <w:jc w:val="both"/>
        <w:rPr>
          <w:lang w:val="fr-FR"/>
        </w:rPr>
      </w:pPr>
      <w:r w:rsidRPr="00CA3533">
        <w:rPr>
          <w:lang w:val="fr-FR"/>
        </w:rPr>
        <w:t>Pour toutes les fermetures :</w:t>
      </w:r>
    </w:p>
    <w:p w14:paraId="6B8B77AF" w14:textId="77777777" w:rsidR="00CA3533" w:rsidRPr="00CA3533" w:rsidRDefault="00CA3533" w:rsidP="00CA3533">
      <w:pPr>
        <w:spacing w:after="120"/>
        <w:ind w:left="1701" w:right="1134" w:firstLine="567"/>
        <w:jc w:val="both"/>
        <w:rPr>
          <w:lang w:val="fr-FR"/>
        </w:rPr>
      </w:pPr>
      <w:r w:rsidRPr="00CA3533">
        <w:rPr>
          <w:lang w:val="fr-FR"/>
        </w:rPr>
        <w:lastRenderedPageBreak/>
        <w:t>n)</w:t>
      </w:r>
      <w:r w:rsidRPr="00CA3533">
        <w:rPr>
          <w:lang w:val="fr-FR"/>
        </w:rPr>
        <w:tab/>
        <w:t>Épreuve d’étanchéité.</w:t>
      </w:r>
    </w:p>
    <w:p w14:paraId="607B60B2" w14:textId="77777777" w:rsidR="00CA3533" w:rsidRPr="00CA3533" w:rsidRDefault="00CA3533" w:rsidP="00CA3533">
      <w:pPr>
        <w:spacing w:after="120"/>
        <w:ind w:left="1701" w:right="1134" w:firstLine="567"/>
        <w:jc w:val="both"/>
        <w:rPr>
          <w:lang w:val="fr-FR"/>
        </w:rPr>
      </w:pPr>
      <w:r w:rsidRPr="00CA3533">
        <w:rPr>
          <w:iCs/>
          <w:lang w:val="fr-FR"/>
        </w:rPr>
        <w:t>Sur un échantillon suffisant de récipients cryogéniques fermés complets </w:t>
      </w:r>
      <w:r w:rsidRPr="00CA3533">
        <w:rPr>
          <w:lang w:val="fr-FR"/>
        </w:rPr>
        <w:t>:</w:t>
      </w:r>
    </w:p>
    <w:p w14:paraId="78396AB2" w14:textId="77777777" w:rsidR="00CA3533" w:rsidRPr="00CA3533" w:rsidRDefault="00CA3533" w:rsidP="00CA3533">
      <w:pPr>
        <w:spacing w:after="120"/>
        <w:ind w:left="1701" w:right="1134" w:firstLine="567"/>
        <w:jc w:val="both"/>
        <w:rPr>
          <w:lang w:val="fr-FR"/>
        </w:rPr>
      </w:pPr>
      <w:r w:rsidRPr="00CA3533">
        <w:rPr>
          <w:lang w:val="fr-FR"/>
        </w:rPr>
        <w:t>o)</w:t>
      </w:r>
      <w:r w:rsidRPr="00CA3533">
        <w:rPr>
          <w:lang w:val="fr-FR"/>
        </w:rPr>
        <w:tab/>
        <w:t xml:space="preserve">Épreuve de </w:t>
      </w:r>
      <w:r w:rsidRPr="00CA3533">
        <w:rPr>
          <w:iCs/>
          <w:lang w:val="fr-FR"/>
        </w:rPr>
        <w:t>bon fonctionnement de l’équipement </w:t>
      </w:r>
      <w:r w:rsidRPr="00CA3533">
        <w:rPr>
          <w:lang w:val="fr-FR"/>
        </w:rPr>
        <w:t>;</w:t>
      </w:r>
    </w:p>
    <w:p w14:paraId="4DBF2D4B" w14:textId="77777777" w:rsidR="00CA3533" w:rsidRPr="00CA3533" w:rsidRDefault="00CA3533" w:rsidP="00CA3533">
      <w:pPr>
        <w:spacing w:after="120"/>
        <w:ind w:left="2835" w:right="1134" w:hanging="567"/>
        <w:jc w:val="both"/>
        <w:rPr>
          <w:iCs/>
          <w:lang w:val="fr-FR"/>
        </w:rPr>
      </w:pPr>
      <w:r w:rsidRPr="00CA3533">
        <w:rPr>
          <w:lang w:val="fr-FR"/>
        </w:rPr>
        <w:t>p)</w:t>
      </w:r>
      <w:r w:rsidRPr="00CA3533">
        <w:rPr>
          <w:lang w:val="fr-FR"/>
        </w:rPr>
        <w:tab/>
        <w:t>Vérification de la conformité avec la norme de conception ou le code technique.</w:t>
      </w:r>
    </w:p>
    <w:p w14:paraId="3A396F30" w14:textId="77777777" w:rsidR="00CA3533" w:rsidRPr="00CA3533" w:rsidRDefault="00CA3533" w:rsidP="00CA3533">
      <w:pPr>
        <w:spacing w:after="120"/>
        <w:ind w:left="1701" w:right="1134" w:firstLine="567"/>
        <w:jc w:val="both"/>
        <w:rPr>
          <w:lang w:val="fr-FR"/>
        </w:rPr>
      </w:pPr>
      <w:r w:rsidRPr="00CA3533">
        <w:rPr>
          <w:lang w:val="fr-FR"/>
        </w:rPr>
        <w:t>Pour tous les récipients cryogéniques fermés complets :</w:t>
      </w:r>
    </w:p>
    <w:p w14:paraId="486B4F37" w14:textId="55047C46" w:rsidR="00CA3533" w:rsidRPr="00CA3533" w:rsidRDefault="00CA3533" w:rsidP="00CA3533">
      <w:pPr>
        <w:spacing w:after="120"/>
        <w:ind w:left="1701" w:right="1134" w:firstLine="567"/>
        <w:jc w:val="both"/>
        <w:rPr>
          <w:lang w:val="fr-FR"/>
        </w:rPr>
      </w:pPr>
      <w:r w:rsidRPr="00CA3533">
        <w:rPr>
          <w:lang w:val="fr-FR"/>
        </w:rPr>
        <w:t>q)</w:t>
      </w:r>
      <w:r w:rsidRPr="00CA3533">
        <w:rPr>
          <w:lang w:val="fr-FR"/>
        </w:rPr>
        <w:tab/>
        <w:t>Épreuve d’étanchéité. »</w:t>
      </w:r>
    </w:p>
    <w:p w14:paraId="57CAD575" w14:textId="77777777" w:rsidR="00CA3533" w:rsidRPr="00CA3533" w:rsidRDefault="00CA3533" w:rsidP="00CA3533">
      <w:pPr>
        <w:spacing w:before="120" w:after="120"/>
        <w:ind w:left="2268" w:right="1134" w:hanging="1134"/>
        <w:jc w:val="both"/>
        <w:rPr>
          <w:lang w:val="fr-FR"/>
        </w:rPr>
      </w:pPr>
      <w:r w:rsidRPr="00CA3533">
        <w:rPr>
          <w:lang w:val="fr-FR"/>
        </w:rPr>
        <w:t>6.2.1.5.3</w:t>
      </w:r>
      <w:r w:rsidRPr="00CA3533">
        <w:rPr>
          <w:lang w:val="fr-FR"/>
        </w:rPr>
        <w:tab/>
        <w:t>Dans la première phrase, remplacer « de récipients utilisés » par « d’enveloppes de récipients à pression utilisées ».</w:t>
      </w:r>
    </w:p>
    <w:p w14:paraId="1B6BD999" w14:textId="0E78A4A8" w:rsidR="00CA3533" w:rsidRPr="00CA3533" w:rsidRDefault="00CA3533" w:rsidP="00CA3533">
      <w:pPr>
        <w:spacing w:after="120"/>
        <w:ind w:left="1134" w:right="1134"/>
        <w:jc w:val="both"/>
        <w:rPr>
          <w:lang w:val="fr-FR"/>
        </w:rPr>
      </w:pPr>
      <w:r w:rsidRPr="00CA3533">
        <w:rPr>
          <w:lang w:val="fr-FR"/>
        </w:rPr>
        <w:t>Ajouter le nouveau 6.2.1.5.4 suivant :</w:t>
      </w:r>
    </w:p>
    <w:p w14:paraId="1387923C" w14:textId="183B5B08" w:rsidR="00CA3533" w:rsidRPr="00CA3533" w:rsidRDefault="00CA3533" w:rsidP="00CA3533">
      <w:pPr>
        <w:spacing w:after="120"/>
        <w:ind w:left="2268" w:right="1134" w:hanging="1134"/>
        <w:jc w:val="both"/>
        <w:rPr>
          <w:lang w:val="fr-FR"/>
        </w:rPr>
      </w:pPr>
      <w:r w:rsidRPr="00CA3533">
        <w:rPr>
          <w:lang w:val="fr-FR"/>
        </w:rPr>
        <w:t>« </w:t>
      </w:r>
      <w:bookmarkStart w:id="10" w:name="_Hlk69222212"/>
      <w:r w:rsidRPr="00CA3533">
        <w:rPr>
          <w:lang w:val="fr-FR"/>
        </w:rPr>
        <w:t>6.2.1.5.4</w:t>
      </w:r>
      <w:r w:rsidRPr="00CA3533">
        <w:rPr>
          <w:lang w:val="fr-FR"/>
        </w:rPr>
        <w:tab/>
        <w:t>Pour les cadres de bouteilles, les enveloppes et les fermetures des bouteilles doivent subir les contrôles et épreuves initiaux prescrits au 6.2.1.5.1. Un échantillon de cadres suffisant doit être soumis à une épreuve de charge de deux fois le poids brut maximal du cadre de bouteilles.</w:t>
      </w:r>
    </w:p>
    <w:p w14:paraId="5301BE7E" w14:textId="77777777" w:rsidR="00CA3533" w:rsidRPr="00CA3533" w:rsidRDefault="00CA3533" w:rsidP="00CA3533">
      <w:pPr>
        <w:spacing w:after="120"/>
        <w:ind w:left="2268" w:right="1134"/>
        <w:jc w:val="both"/>
        <w:rPr>
          <w:lang w:val="fr-FR"/>
        </w:rPr>
      </w:pPr>
      <w:r w:rsidRPr="00CA3533">
        <w:rPr>
          <w:lang w:val="fr-FR"/>
        </w:rPr>
        <w:t xml:space="preserve">En outre, tous les tuyaux collecteurs des cadres de bouteilles doivent subir une épreuve de pression hydraulique et tous les cadres de bouteilles complets doivent être soumis à une épreuve d’étanchéité. </w:t>
      </w:r>
    </w:p>
    <w:p w14:paraId="04F5D88B" w14:textId="28206B4A" w:rsidR="00CA3533" w:rsidRPr="00CA3533" w:rsidRDefault="00CA3533" w:rsidP="00CA3533">
      <w:pPr>
        <w:spacing w:after="120"/>
        <w:ind w:left="2268" w:right="1134"/>
        <w:jc w:val="both"/>
        <w:rPr>
          <w:bCs/>
          <w:lang w:val="fr-FR"/>
        </w:rPr>
      </w:pPr>
      <w:r w:rsidRPr="00CA3533">
        <w:rPr>
          <w:b/>
          <w:bCs/>
          <w:i/>
          <w:iCs/>
          <w:lang w:val="fr-FR"/>
        </w:rPr>
        <w:t>NOTA :</w:t>
      </w:r>
      <w:r w:rsidRPr="00CA3533">
        <w:rPr>
          <w:lang w:val="fr-FR"/>
        </w:rPr>
        <w:t xml:space="preserve"> </w:t>
      </w:r>
      <w:r w:rsidRPr="00CA3533">
        <w:rPr>
          <w:i/>
          <w:iCs/>
          <w:lang w:val="fr-FR"/>
        </w:rPr>
        <w:t>Sous réserve de l’accord de l’autorité compétente, l’épreuve de pression hydraulique peut être remplacée par une épreuve effectuée au moyen d’un gaz, sous réserve que cette opération ne présente pas de danger.</w:t>
      </w:r>
      <w:bookmarkEnd w:id="10"/>
      <w:r w:rsidRPr="00CA3533">
        <w:rPr>
          <w:lang w:val="fr-FR"/>
        </w:rPr>
        <w:t> »</w:t>
      </w:r>
    </w:p>
    <w:p w14:paraId="66810E22" w14:textId="77777777" w:rsidR="00CA3533" w:rsidRPr="00CA3533" w:rsidRDefault="00CA3533" w:rsidP="00CA3533">
      <w:pPr>
        <w:spacing w:before="120" w:after="120"/>
        <w:ind w:left="2268" w:right="1134" w:hanging="1134"/>
        <w:jc w:val="both"/>
        <w:rPr>
          <w:lang w:val="fr-FR"/>
        </w:rPr>
      </w:pPr>
      <w:r w:rsidRPr="00CA3533">
        <w:rPr>
          <w:lang w:val="fr-FR"/>
        </w:rPr>
        <w:t>6.2.1.6.1</w:t>
      </w:r>
      <w:r w:rsidRPr="00CA3533">
        <w:rPr>
          <w:lang w:val="fr-FR"/>
        </w:rPr>
        <w:tab/>
        <w:t>Remplacer les alinéas c), d) et e) et ajouter un nouvel alinéa f) comme suit avant les Notas :</w:t>
      </w:r>
    </w:p>
    <w:p w14:paraId="00080CB1" w14:textId="77777777" w:rsidR="00CA3533" w:rsidRPr="00CA3533" w:rsidRDefault="00CA3533" w:rsidP="00CA3533">
      <w:pPr>
        <w:spacing w:after="120"/>
        <w:ind w:left="2835" w:right="1134" w:hanging="567"/>
        <w:jc w:val="both"/>
        <w:rPr>
          <w:lang w:val="fr-FR"/>
        </w:rPr>
      </w:pPr>
      <w:r w:rsidRPr="00CA3533">
        <w:rPr>
          <w:lang w:val="fr-FR"/>
        </w:rPr>
        <w:t>« c)</w:t>
      </w:r>
      <w:r w:rsidRPr="00CA3533">
        <w:rPr>
          <w:lang w:val="fr-FR"/>
        </w:rPr>
        <w:tab/>
        <w:t>Contrôle du filetage :</w:t>
      </w:r>
    </w:p>
    <w:p w14:paraId="4FDB89B6" w14:textId="77777777" w:rsidR="00CA3533" w:rsidRPr="00CA3533" w:rsidRDefault="00CA3533" w:rsidP="00CA3533">
      <w:pPr>
        <w:spacing w:after="120"/>
        <w:ind w:left="3402" w:right="1134" w:hanging="567"/>
        <w:jc w:val="both"/>
        <w:rPr>
          <w:lang w:val="fr-FR"/>
        </w:rPr>
      </w:pPr>
      <w:r w:rsidRPr="00CA3533">
        <w:rPr>
          <w:lang w:val="fr-FR"/>
        </w:rPr>
        <w:t>i)</w:t>
      </w:r>
      <w:r w:rsidRPr="00CA3533">
        <w:rPr>
          <w:lang w:val="fr-FR"/>
        </w:rPr>
        <w:tab/>
        <w:t>S’il y a des signes de corrosion ; ou</w:t>
      </w:r>
    </w:p>
    <w:p w14:paraId="343EF9CA" w14:textId="77777777" w:rsidR="00CA3533" w:rsidRPr="00CA3533" w:rsidRDefault="00CA3533" w:rsidP="00CA3533">
      <w:pPr>
        <w:spacing w:after="120"/>
        <w:ind w:left="3402" w:right="1134" w:hanging="567"/>
        <w:jc w:val="both"/>
        <w:rPr>
          <w:lang w:val="fr-FR"/>
        </w:rPr>
      </w:pPr>
      <w:r w:rsidRPr="00CA3533">
        <w:rPr>
          <w:lang w:val="fr-FR"/>
        </w:rPr>
        <w:t>ii)</w:t>
      </w:r>
      <w:r w:rsidRPr="00CA3533">
        <w:rPr>
          <w:lang w:val="fr-FR"/>
        </w:rPr>
        <w:tab/>
        <w:t>Si les fermetures ou d’autres équipements de service ont été démontés ;</w:t>
      </w:r>
    </w:p>
    <w:p w14:paraId="6F01865C" w14:textId="77777777" w:rsidR="00CA3533" w:rsidRPr="00CA3533" w:rsidRDefault="00CA3533" w:rsidP="00CA3533">
      <w:pPr>
        <w:spacing w:after="120"/>
        <w:ind w:left="2835" w:right="1134" w:hanging="567"/>
        <w:jc w:val="both"/>
        <w:rPr>
          <w:lang w:val="fr-FR"/>
        </w:rPr>
      </w:pPr>
      <w:r w:rsidRPr="00CA3533">
        <w:rPr>
          <w:lang w:val="fr-FR"/>
        </w:rPr>
        <w:t>d)</w:t>
      </w:r>
      <w:r w:rsidRPr="00CA3533">
        <w:rPr>
          <w:lang w:val="fr-FR"/>
        </w:rPr>
        <w:tab/>
        <w:t>Épreuve de pression hydraulique sur l’enveloppe du récipient à pression et, si nécessaire, vérification des caractéristiques du matériau par des épreuves appropriées ;</w:t>
      </w:r>
    </w:p>
    <w:p w14:paraId="288C584E" w14:textId="77777777" w:rsidR="00CA3533" w:rsidRPr="00CA3533" w:rsidRDefault="00CA3533" w:rsidP="00CA3533">
      <w:pPr>
        <w:spacing w:after="120"/>
        <w:ind w:left="2835" w:right="1134" w:hanging="567"/>
        <w:jc w:val="both"/>
        <w:rPr>
          <w:lang w:val="fr-FR"/>
        </w:rPr>
      </w:pPr>
      <w:r w:rsidRPr="00CA3533">
        <w:rPr>
          <w:lang w:val="fr-FR"/>
        </w:rPr>
        <w:t>e)</w:t>
      </w:r>
      <w:r w:rsidRPr="00CA3533">
        <w:rPr>
          <w:lang w:val="fr-FR"/>
        </w:rPr>
        <w:tab/>
        <w:t>Contrôle des équipements de service, s’ils doivent être remis en service. Ce contrôle peut être réalisé séparément de celui de l’enveloppe du récipient à pression ; et</w:t>
      </w:r>
    </w:p>
    <w:p w14:paraId="2B247CEE" w14:textId="7EC0B1E6" w:rsidR="00CA3533" w:rsidRPr="00CA3533" w:rsidRDefault="00CA3533" w:rsidP="00CA3533">
      <w:pPr>
        <w:spacing w:after="120"/>
        <w:ind w:left="2835" w:right="1134" w:hanging="567"/>
        <w:jc w:val="both"/>
        <w:rPr>
          <w:lang w:val="fr-FR"/>
        </w:rPr>
      </w:pPr>
      <w:r w:rsidRPr="00CA3533">
        <w:rPr>
          <w:lang w:val="fr-FR"/>
        </w:rPr>
        <w:t>f)</w:t>
      </w:r>
      <w:r w:rsidRPr="00CA3533">
        <w:rPr>
          <w:lang w:val="fr-FR"/>
        </w:rPr>
        <w:tab/>
        <w:t>Épreuve d’étanchéité sur les cadres de bouteilles après réassemblage. »</w:t>
      </w:r>
    </w:p>
    <w:p w14:paraId="31D99313" w14:textId="0CE27EE0" w:rsidR="00CA3533" w:rsidRPr="00CA3533" w:rsidRDefault="00CA3533" w:rsidP="006D7919">
      <w:pPr>
        <w:spacing w:before="120" w:after="120"/>
        <w:ind w:left="2268" w:right="1134" w:hanging="1134"/>
        <w:jc w:val="both"/>
        <w:rPr>
          <w:lang w:val="fr-FR"/>
        </w:rPr>
      </w:pPr>
      <w:r w:rsidRPr="00CA3533">
        <w:rPr>
          <w:lang w:val="fr-FR"/>
        </w:rPr>
        <w:tab/>
        <w:t>Dans le Nota 2</w:t>
      </w:r>
      <w:r w:rsidR="00E605F8">
        <w:rPr>
          <w:lang w:val="fr-FR"/>
        </w:rPr>
        <w:t>, r</w:t>
      </w:r>
      <w:r w:rsidRPr="00CA3533">
        <w:rPr>
          <w:lang w:val="fr-FR"/>
        </w:rPr>
        <w:t>emplacer « Pour les bouteilles et tubes en acier sans soudure</w:t>
      </w:r>
      <w:r w:rsidR="006D7919">
        <w:rPr>
          <w:lang w:val="fr-FR"/>
        </w:rPr>
        <w:t> </w:t>
      </w:r>
      <w:r w:rsidRPr="00CA3533">
        <w:rPr>
          <w:lang w:val="fr-FR"/>
        </w:rPr>
        <w:t>» par «</w:t>
      </w:r>
      <w:r w:rsidR="006D7919">
        <w:rPr>
          <w:lang w:val="fr-FR"/>
        </w:rPr>
        <w:t> </w:t>
      </w:r>
      <w:r w:rsidRPr="00CA3533">
        <w:rPr>
          <w:lang w:val="fr-FR"/>
        </w:rPr>
        <w:t>Pour les enveloppes de bouteilles et tubes en acier sans soudure ».</w:t>
      </w:r>
    </w:p>
    <w:p w14:paraId="02EC06DD" w14:textId="77777777" w:rsidR="00CA3533" w:rsidRPr="00CA3533" w:rsidRDefault="00CA3533" w:rsidP="00CA3533">
      <w:pPr>
        <w:spacing w:before="120" w:after="120"/>
        <w:ind w:left="2268" w:right="1134" w:hanging="1134"/>
        <w:jc w:val="both"/>
        <w:rPr>
          <w:iCs/>
          <w:lang w:val="fr-FR"/>
        </w:rPr>
      </w:pPr>
      <w:r w:rsidRPr="00CA3533">
        <w:rPr>
          <w:iCs/>
          <w:lang w:val="fr-FR"/>
        </w:rPr>
        <w:tab/>
        <w:t>Modifier le Nota 3 pour lire comme suit :</w:t>
      </w:r>
    </w:p>
    <w:p w14:paraId="33D00049" w14:textId="442674FF" w:rsidR="00CA3533" w:rsidRPr="00CA3533" w:rsidRDefault="00CA3533" w:rsidP="003960E8">
      <w:pPr>
        <w:spacing w:after="120"/>
        <w:ind w:left="2268" w:right="1134" w:hanging="1134"/>
        <w:jc w:val="both"/>
        <w:rPr>
          <w:lang w:val="fr-FR"/>
        </w:rPr>
      </w:pPr>
      <w:r w:rsidRPr="00CA3533">
        <w:rPr>
          <w:iCs/>
          <w:lang w:val="fr-FR"/>
        </w:rPr>
        <w:t>« </w:t>
      </w:r>
      <w:r w:rsidRPr="00CA3533">
        <w:rPr>
          <w:b/>
          <w:bCs/>
          <w:i/>
          <w:iCs/>
          <w:lang w:val="fr-FR"/>
        </w:rPr>
        <w:t>3 :</w:t>
      </w:r>
      <w:r w:rsidRPr="00CA3533">
        <w:rPr>
          <w:lang w:val="fr-FR"/>
        </w:rPr>
        <w:tab/>
      </w:r>
      <w:bookmarkStart w:id="11" w:name="_Hlk69222336"/>
      <w:r w:rsidRPr="00CA3533">
        <w:rPr>
          <w:i/>
          <w:iCs/>
          <w:lang w:val="fr-FR"/>
        </w:rPr>
        <w:t>Le contrôle de l’état intérieur du 6.2.1.6.1 b) et l’épreuve de pression hydraulique du 6.2.1.6.1 d) peuvent être remplacés par un contrôle par ultrasons, effectué conformément à la norme ISO 18119:2018 pour les enveloppes de bouteilles sans soudure en acier et en alliages d’aluminium.</w:t>
      </w:r>
      <w:bookmarkEnd w:id="11"/>
      <w:r w:rsidRPr="00CA3533">
        <w:rPr>
          <w:i/>
          <w:iCs/>
          <w:lang w:val="fr-FR"/>
        </w:rPr>
        <w:t> </w:t>
      </w:r>
      <w:r w:rsidRPr="00CA3533">
        <w:rPr>
          <w:lang w:val="fr-FR"/>
        </w:rPr>
        <w:t>»</w:t>
      </w:r>
    </w:p>
    <w:p w14:paraId="4DA7CC9C" w14:textId="77777777" w:rsidR="00CA3533" w:rsidRPr="00CA3533" w:rsidRDefault="00CA3533" w:rsidP="00CA3533">
      <w:pPr>
        <w:spacing w:before="120" w:after="120"/>
        <w:ind w:left="2268" w:right="1134" w:hanging="1134"/>
        <w:jc w:val="both"/>
        <w:rPr>
          <w:lang w:val="fr-FR"/>
        </w:rPr>
      </w:pPr>
      <w:r w:rsidRPr="00CA3533">
        <w:rPr>
          <w:lang w:val="fr-FR"/>
        </w:rPr>
        <w:tab/>
        <w:t>Ajouter le nouveau Nota 4, comme suit et renuméroter le Nota 4 actuel en tant que Nota 5 :</w:t>
      </w:r>
    </w:p>
    <w:p w14:paraId="39615038" w14:textId="739F5FAD" w:rsidR="00CA3533" w:rsidRPr="00CA3533" w:rsidRDefault="00CA3533" w:rsidP="003960E8">
      <w:pPr>
        <w:spacing w:after="120"/>
        <w:ind w:left="2268" w:right="1134" w:hanging="1134"/>
        <w:jc w:val="both"/>
        <w:rPr>
          <w:lang w:val="fr-FR"/>
        </w:rPr>
      </w:pPr>
      <w:r w:rsidRPr="00CA3533">
        <w:rPr>
          <w:lang w:val="fr-FR"/>
        </w:rPr>
        <w:t>« </w:t>
      </w:r>
      <w:r w:rsidRPr="00CA3533">
        <w:rPr>
          <w:b/>
          <w:bCs/>
          <w:i/>
          <w:iCs/>
          <w:lang w:val="fr-FR"/>
        </w:rPr>
        <w:t>4 :</w:t>
      </w:r>
      <w:r w:rsidRPr="00CA3533">
        <w:rPr>
          <w:i/>
          <w:iCs/>
          <w:lang w:val="fr-FR"/>
        </w:rPr>
        <w:tab/>
        <w:t>Pour les cadres de bouteilles, l’épreuve de pression hydraulique mentionnée à l’alinéa d) ci-dessus doit être effectuée sur les enveloppes de bouteilles et sur les tuyaux collecteurs.</w:t>
      </w:r>
      <w:r w:rsidRPr="00CA3533">
        <w:rPr>
          <w:lang w:val="fr-FR"/>
        </w:rPr>
        <w:t> »</w:t>
      </w:r>
    </w:p>
    <w:p w14:paraId="654F3C20" w14:textId="221E588F" w:rsidR="00CA3533" w:rsidRPr="00CA3533" w:rsidRDefault="00CA3533" w:rsidP="00CA3533">
      <w:pPr>
        <w:spacing w:after="120"/>
        <w:ind w:left="1134" w:right="1134"/>
        <w:jc w:val="both"/>
        <w:rPr>
          <w:iCs/>
          <w:lang w:val="fr-FR"/>
        </w:rPr>
      </w:pPr>
      <w:r w:rsidRPr="00CA3533">
        <w:rPr>
          <w:iCs/>
          <w:lang w:val="fr-FR"/>
        </w:rPr>
        <w:t>6.2.1.6.2</w:t>
      </w:r>
      <w:r w:rsidRPr="00CA3533">
        <w:rPr>
          <w:iCs/>
          <w:lang w:val="fr-FR"/>
        </w:rPr>
        <w:tab/>
        <w:t>Remplacer «</w:t>
      </w:r>
      <w:r w:rsidR="00144B30">
        <w:rPr>
          <w:iCs/>
          <w:lang w:val="fr-FR"/>
        </w:rPr>
        <w:t> </w:t>
      </w:r>
      <w:r w:rsidRPr="00CA3533">
        <w:rPr>
          <w:iCs/>
          <w:lang w:val="fr-FR"/>
        </w:rPr>
        <w:t>récipients à pression destinés</w:t>
      </w:r>
      <w:r w:rsidR="00144B30">
        <w:rPr>
          <w:iCs/>
          <w:lang w:val="fr-FR"/>
        </w:rPr>
        <w:t> </w:t>
      </w:r>
      <w:r w:rsidRPr="00CA3533">
        <w:rPr>
          <w:iCs/>
          <w:lang w:val="fr-FR"/>
        </w:rPr>
        <w:t>» par «</w:t>
      </w:r>
      <w:r w:rsidR="00144B30">
        <w:rPr>
          <w:iCs/>
          <w:lang w:val="fr-FR"/>
        </w:rPr>
        <w:t> </w:t>
      </w:r>
      <w:r w:rsidRPr="00CA3533">
        <w:rPr>
          <w:iCs/>
          <w:lang w:val="fr-FR"/>
        </w:rPr>
        <w:t>bouteilles destinées</w:t>
      </w:r>
      <w:r w:rsidR="00144B30">
        <w:rPr>
          <w:iCs/>
          <w:lang w:val="fr-FR"/>
        </w:rPr>
        <w:t> </w:t>
      </w:r>
      <w:r w:rsidRPr="00CA3533">
        <w:rPr>
          <w:iCs/>
          <w:lang w:val="fr-FR"/>
        </w:rPr>
        <w:t>».</w:t>
      </w:r>
    </w:p>
    <w:p w14:paraId="2BC271EA" w14:textId="77777777" w:rsidR="00CA3533" w:rsidRPr="00CA3533" w:rsidRDefault="00CA3533" w:rsidP="00CA3533">
      <w:pPr>
        <w:spacing w:before="120" w:after="120"/>
        <w:ind w:left="2268" w:right="1134" w:hanging="1134"/>
        <w:jc w:val="both"/>
        <w:rPr>
          <w:lang w:val="fr-FR"/>
        </w:rPr>
      </w:pPr>
      <w:r w:rsidRPr="00CA3533">
        <w:rPr>
          <w:lang w:val="fr-FR"/>
        </w:rPr>
        <w:t>6.2.1.7.2</w:t>
      </w:r>
      <w:r w:rsidRPr="00CA3533">
        <w:rPr>
          <w:lang w:val="fr-FR"/>
        </w:rPr>
        <w:tab/>
        <w:t>Modifier pour lire comme suit :</w:t>
      </w:r>
    </w:p>
    <w:p w14:paraId="5D98F320" w14:textId="5832490D" w:rsidR="00CA3533" w:rsidRPr="00CA3533" w:rsidRDefault="00CA3533" w:rsidP="00CA3533">
      <w:pPr>
        <w:spacing w:after="120"/>
        <w:ind w:left="2268" w:right="1134" w:hanging="1134"/>
        <w:jc w:val="both"/>
        <w:rPr>
          <w:b/>
          <w:bCs/>
          <w:lang w:val="fr-FR"/>
        </w:rPr>
      </w:pPr>
      <w:r w:rsidRPr="00CA3533">
        <w:rPr>
          <w:lang w:val="fr-FR"/>
        </w:rPr>
        <w:lastRenderedPageBreak/>
        <w:t>« 6.2.1.7.2</w:t>
      </w:r>
      <w:r w:rsidRPr="00CA3533">
        <w:rPr>
          <w:lang w:val="fr-FR"/>
        </w:rPr>
        <w:tab/>
        <w:t>Une évaluation de l’aptitude des fabricants des enveloppes de récipients à pression et des réservoirs intérieurs de récipients cryogéniques fermés doit être effectuée dans tous les cas par un organisme de contrôle reconnu par l'autorité compétente du pays d'agrément. Une évaluation d’aptitude des fabricants de fermetures doit être effectuée si l’autorité compétente l’exige. Cette évaluation doit être menée soit au moment de l’agrément du modèle type soit dans le cadre du contrôle de la production et de la certification. »</w:t>
      </w:r>
    </w:p>
    <w:p w14:paraId="4FB3F9A7" w14:textId="544AC18C" w:rsidR="00CA3533" w:rsidRPr="00CA3533" w:rsidRDefault="00CA3533" w:rsidP="00CA3533">
      <w:pPr>
        <w:spacing w:before="120" w:after="120"/>
        <w:ind w:left="2268" w:right="1134" w:hanging="1134"/>
        <w:jc w:val="both"/>
        <w:rPr>
          <w:lang w:val="fr-FR"/>
        </w:rPr>
      </w:pPr>
      <w:r w:rsidRPr="00CA3533">
        <w:rPr>
          <w:lang w:val="fr-FR"/>
        </w:rPr>
        <w:t>6.2.2</w:t>
      </w:r>
      <w:r w:rsidRPr="00CA3533">
        <w:rPr>
          <w:lang w:val="fr-FR"/>
        </w:rPr>
        <w:tab/>
        <w:t xml:space="preserve">Dans le </w:t>
      </w:r>
      <w:r w:rsidR="0021116A" w:rsidRPr="00CA3533">
        <w:rPr>
          <w:lang w:val="fr-FR"/>
        </w:rPr>
        <w:t>Nota </w:t>
      </w:r>
      <w:r w:rsidRPr="00CA3533">
        <w:rPr>
          <w:lang w:val="fr-FR"/>
        </w:rPr>
        <w:t xml:space="preserve">1, après « Les récipients à pression “UN” », supprimer « et les équipements de service ». </w:t>
      </w:r>
    </w:p>
    <w:p w14:paraId="467D4C24" w14:textId="77777777" w:rsidR="00CA3533" w:rsidRPr="00CA3533" w:rsidRDefault="00CA3533" w:rsidP="00CA3533">
      <w:pPr>
        <w:spacing w:before="120" w:after="120"/>
        <w:ind w:left="2268" w:right="1134" w:hanging="1134"/>
        <w:jc w:val="both"/>
        <w:rPr>
          <w:lang w:val="fr-FR"/>
        </w:rPr>
      </w:pPr>
      <w:r w:rsidRPr="00CA3533">
        <w:rPr>
          <w:lang w:val="fr-FR"/>
        </w:rPr>
        <w:t>6.2.2.1.1</w:t>
      </w:r>
      <w:r w:rsidRPr="00CA3533">
        <w:rPr>
          <w:lang w:val="fr-FR"/>
        </w:rPr>
        <w:tab/>
        <w:t>Dans la première phrase, remplacer « bouteilles “UN” » par « </w:t>
      </w:r>
      <w:bookmarkStart w:id="12" w:name="_Hlk69222472"/>
      <w:r w:rsidRPr="00CA3533">
        <w:rPr>
          <w:lang w:val="fr-FR"/>
        </w:rPr>
        <w:t>enveloppes de bouteilles “UN” rechargeables</w:t>
      </w:r>
      <w:bookmarkEnd w:id="12"/>
      <w:r w:rsidRPr="00CA3533">
        <w:rPr>
          <w:lang w:val="fr-FR"/>
        </w:rPr>
        <w:t xml:space="preserve"> ». </w:t>
      </w:r>
    </w:p>
    <w:p w14:paraId="4FDEDE10" w14:textId="77777777" w:rsidR="00CA3533" w:rsidRPr="00CA3533" w:rsidRDefault="00CA3533" w:rsidP="00F21B73">
      <w:pPr>
        <w:spacing w:after="120"/>
        <w:ind w:left="2268" w:right="1134" w:hanging="1134"/>
        <w:jc w:val="both"/>
        <w:rPr>
          <w:lang w:val="fr-FR"/>
        </w:rPr>
      </w:pPr>
      <w:r w:rsidRPr="00CA3533">
        <w:rPr>
          <w:lang w:val="fr-FR" w:eastAsia="en-US"/>
        </w:rPr>
        <w:tab/>
      </w:r>
      <w:r w:rsidRPr="00CA3533">
        <w:rPr>
          <w:rFonts w:eastAsiaTheme="minorHAnsi"/>
          <w:lang w:val="fr-FR" w:eastAsia="en-US"/>
        </w:rPr>
        <w:t xml:space="preserve">Dans le tableau, pour « ISO 9809-1:2010 », dans la colonne « Applicable à la fabrication », remplacer « Jusqu’à nouvel ordre » par « Jusqu’au 31 décembre 2026 ». </w:t>
      </w:r>
      <w:r w:rsidRPr="00CA3533">
        <w:rPr>
          <w:lang w:val="fr-FR"/>
        </w:rPr>
        <w:t>Après la rubrique existante pour la norme « </w:t>
      </w:r>
      <w:r w:rsidRPr="00CA3533">
        <w:rPr>
          <w:rFonts w:eastAsiaTheme="minorHAnsi"/>
          <w:lang w:val="fr-FR" w:eastAsia="en-US"/>
        </w:rPr>
        <w:t>ISO 9809-1:2010</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709CEB0C" w14:textId="77777777" w:rsidTr="00D56820">
        <w:tc>
          <w:tcPr>
            <w:tcW w:w="1544" w:type="dxa"/>
            <w:shd w:val="clear" w:color="auto" w:fill="auto"/>
          </w:tcPr>
          <w:p w14:paraId="33F9F59D" w14:textId="77777777" w:rsidR="00CA3533" w:rsidRPr="00CA3533" w:rsidRDefault="00CA3533" w:rsidP="00CA3533">
            <w:pPr>
              <w:kinsoku/>
              <w:overflowPunct/>
              <w:autoSpaceDE/>
              <w:autoSpaceDN/>
              <w:adjustRightInd/>
              <w:snapToGrid/>
              <w:rPr>
                <w:lang w:val="fr-FR" w:eastAsia="en-US"/>
              </w:rPr>
            </w:pPr>
            <w:r w:rsidRPr="00CA3533">
              <w:rPr>
                <w:lang w:val="fr-FR" w:eastAsia="en-US"/>
              </w:rPr>
              <w:t xml:space="preserve">ISO 9809-1:2019 </w:t>
            </w:r>
          </w:p>
        </w:tc>
        <w:tc>
          <w:tcPr>
            <w:tcW w:w="4820" w:type="dxa"/>
            <w:shd w:val="clear" w:color="auto" w:fill="auto"/>
          </w:tcPr>
          <w:p w14:paraId="17504DCC"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7EC542B4"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4EF22EB5" w14:textId="77777777" w:rsidR="00CA3533" w:rsidRPr="00CA3533" w:rsidRDefault="00CA3533" w:rsidP="00CA3533">
      <w:pPr>
        <w:tabs>
          <w:tab w:val="left" w:pos="2268"/>
        </w:tabs>
        <w:spacing w:before="120" w:after="120"/>
        <w:ind w:left="2268" w:right="1134" w:hanging="1134"/>
        <w:jc w:val="both"/>
        <w:rPr>
          <w:lang w:val="fr-FR"/>
        </w:rPr>
      </w:pPr>
      <w:r w:rsidRPr="00CA3533">
        <w:rPr>
          <w:lang w:val="fr-FR" w:eastAsia="en-US"/>
        </w:rPr>
        <w:tab/>
      </w:r>
      <w:r w:rsidRPr="00CA3533">
        <w:rPr>
          <w:lang w:val="fr-FR" w:eastAsia="en-US"/>
        </w:rPr>
        <w:tab/>
      </w:r>
      <w:r w:rsidRPr="00CA3533">
        <w:rPr>
          <w:rFonts w:eastAsiaTheme="minorHAnsi"/>
          <w:lang w:val="fr-FR" w:eastAsia="en-US"/>
        </w:rPr>
        <w:t xml:space="preserve">Dans le tableau, pour « ISO 9809-2:2010 », dans la colonne « Applicable à la fabrication », remplacer « Jusqu’à nouvel ordre » par « Jusqu’au 31 décembre 2026 ». </w:t>
      </w:r>
      <w:r w:rsidRPr="00CA3533">
        <w:rPr>
          <w:lang w:val="fr-FR"/>
        </w:rPr>
        <w:t>Après la rubrique existante pour la norme « I</w:t>
      </w:r>
      <w:r w:rsidRPr="00CA3533">
        <w:rPr>
          <w:rFonts w:eastAsiaTheme="minorHAnsi"/>
          <w:lang w:val="fr-FR" w:eastAsia="en-US"/>
        </w:rPr>
        <w:t>SO 9809-2:2010</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574074F6" w14:textId="77777777" w:rsidTr="00D56820">
        <w:tc>
          <w:tcPr>
            <w:tcW w:w="1544" w:type="dxa"/>
            <w:shd w:val="clear" w:color="auto" w:fill="auto"/>
          </w:tcPr>
          <w:p w14:paraId="3BF6BFA1" w14:textId="77777777" w:rsidR="00CA3533" w:rsidRPr="00CA3533" w:rsidRDefault="00CA3533" w:rsidP="00CA3533">
            <w:pPr>
              <w:kinsoku/>
              <w:overflowPunct/>
              <w:autoSpaceDE/>
              <w:autoSpaceDN/>
              <w:adjustRightInd/>
              <w:snapToGrid/>
              <w:rPr>
                <w:lang w:val="fr-FR" w:eastAsia="en-US"/>
              </w:rPr>
            </w:pPr>
            <w:r w:rsidRPr="00CA3533">
              <w:rPr>
                <w:lang w:val="fr-FR" w:eastAsia="en-US"/>
              </w:rPr>
              <w:t xml:space="preserve">ISO 9809-2:2019 </w:t>
            </w:r>
          </w:p>
        </w:tc>
        <w:tc>
          <w:tcPr>
            <w:tcW w:w="4820" w:type="dxa"/>
            <w:shd w:val="clear" w:color="auto" w:fill="auto"/>
          </w:tcPr>
          <w:p w14:paraId="04225038"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Bouteilles à gaz — Conception, construction et essais des bouteilles à gaz et des tubes rechargeables en acier sans soudure — Partie 2: Bouteilles et tubes en acier trempé et revenu ayant une résistance à la traction supérieure ou égale à 1 100 MPa</w:t>
            </w:r>
          </w:p>
        </w:tc>
        <w:tc>
          <w:tcPr>
            <w:tcW w:w="1275" w:type="dxa"/>
            <w:shd w:val="clear" w:color="auto" w:fill="auto"/>
          </w:tcPr>
          <w:p w14:paraId="336C27D2"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5ED3DAC1" w14:textId="77777777" w:rsidR="00CA3533" w:rsidRPr="00CA3533" w:rsidRDefault="00CA3533" w:rsidP="00CA3533">
      <w:pPr>
        <w:tabs>
          <w:tab w:val="left" w:pos="2268"/>
        </w:tabs>
        <w:spacing w:before="120" w:after="120"/>
        <w:ind w:left="2268" w:right="1134" w:hanging="1134"/>
        <w:jc w:val="both"/>
        <w:rPr>
          <w:lang w:val="fr-FR"/>
        </w:rPr>
      </w:pPr>
      <w:r w:rsidRPr="00CA3533">
        <w:rPr>
          <w:lang w:val="fr-FR" w:eastAsia="en-US"/>
        </w:rPr>
        <w:tab/>
      </w:r>
      <w:r w:rsidRPr="00CA3533">
        <w:rPr>
          <w:lang w:val="fr-FR" w:eastAsia="en-US"/>
        </w:rPr>
        <w:tab/>
      </w:r>
      <w:r w:rsidRPr="00CA3533">
        <w:rPr>
          <w:rFonts w:eastAsiaTheme="minorHAnsi"/>
          <w:lang w:val="fr-FR" w:eastAsia="en-US"/>
        </w:rPr>
        <w:t xml:space="preserve">Dans le tableau, pour « ISO 9809-3:2010 », dans la colonne « Applicable à la fabrication », remplacer « Jusqu’à nouvel ordre » par « Jusqu’au 31 décembre 2026 ». </w:t>
      </w:r>
      <w:r w:rsidRPr="00CA3533">
        <w:rPr>
          <w:lang w:val="fr-FR"/>
        </w:rPr>
        <w:t>Après la rubrique existante pour la norme « I</w:t>
      </w:r>
      <w:r w:rsidRPr="00CA3533">
        <w:rPr>
          <w:rFonts w:eastAsiaTheme="minorHAnsi"/>
          <w:lang w:val="fr-FR" w:eastAsia="en-US"/>
        </w:rPr>
        <w:t>SO 9809-3:2010</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19D79742" w14:textId="77777777" w:rsidTr="00D56820">
        <w:tc>
          <w:tcPr>
            <w:tcW w:w="1544" w:type="dxa"/>
            <w:shd w:val="clear" w:color="auto" w:fill="auto"/>
          </w:tcPr>
          <w:p w14:paraId="007C12B5" w14:textId="77777777" w:rsidR="00CA3533" w:rsidRPr="00CA3533" w:rsidRDefault="00CA3533" w:rsidP="00CA3533">
            <w:pPr>
              <w:kinsoku/>
              <w:overflowPunct/>
              <w:autoSpaceDE/>
              <w:autoSpaceDN/>
              <w:adjustRightInd/>
              <w:snapToGrid/>
              <w:rPr>
                <w:lang w:val="fr-FR" w:eastAsia="en-US"/>
              </w:rPr>
            </w:pPr>
            <w:r w:rsidRPr="00CA3533">
              <w:rPr>
                <w:lang w:val="fr-FR" w:eastAsia="en-US"/>
              </w:rPr>
              <w:t xml:space="preserve">ISO 9809-3:2019 </w:t>
            </w:r>
          </w:p>
        </w:tc>
        <w:tc>
          <w:tcPr>
            <w:tcW w:w="4820" w:type="dxa"/>
            <w:shd w:val="clear" w:color="auto" w:fill="auto"/>
          </w:tcPr>
          <w:p w14:paraId="32E64F25"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Bouteilles à gaz — Conception, construction et essais des bouteilles à gaz et des tubes rechargeables en acier sans soudure — Partie 3: Bouteilles et tubes en acier normalisé</w:t>
            </w:r>
          </w:p>
        </w:tc>
        <w:tc>
          <w:tcPr>
            <w:tcW w:w="1275" w:type="dxa"/>
            <w:shd w:val="clear" w:color="auto" w:fill="auto"/>
          </w:tcPr>
          <w:p w14:paraId="48770A6B"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7ED27BD1" w14:textId="77777777" w:rsidR="00CA3533" w:rsidRPr="00CA3533" w:rsidRDefault="00CA3533" w:rsidP="00CA3533">
      <w:pPr>
        <w:spacing w:before="120" w:after="120"/>
        <w:ind w:left="2268" w:right="1134" w:hanging="1134"/>
        <w:jc w:val="both"/>
        <w:rPr>
          <w:lang w:val="fr-FR"/>
        </w:rPr>
      </w:pPr>
      <w:r w:rsidRPr="00CA3533">
        <w:rPr>
          <w:lang w:val="fr-FR"/>
        </w:rPr>
        <w:tab/>
        <w:t xml:space="preserve">Dans le tableau, supprimer les lignes correspondant aux références ISO 11118:1999 et ISO 11118:2015. </w:t>
      </w:r>
    </w:p>
    <w:p w14:paraId="6BE4EDA5" w14:textId="77777777" w:rsidR="00CA3533" w:rsidRPr="007B756A" w:rsidRDefault="00CA3533" w:rsidP="00CA3533">
      <w:pPr>
        <w:spacing w:before="120" w:after="120"/>
        <w:ind w:left="2268" w:right="1134" w:hanging="1134"/>
        <w:jc w:val="both"/>
        <w:rPr>
          <w:lang w:val="fr-FR"/>
        </w:rPr>
      </w:pPr>
      <w:r w:rsidRPr="00CA3533">
        <w:rPr>
          <w:lang w:val="fr-FR"/>
        </w:rPr>
        <w:tab/>
      </w:r>
      <w:r w:rsidRPr="007B756A">
        <w:rPr>
          <w:lang w:val="fr-FR"/>
        </w:rPr>
        <w:t>Dans le Nota 1 après le tableau</w:t>
      </w:r>
      <w:r w:rsidRPr="007B756A">
        <w:rPr>
          <w:bCs/>
          <w:lang w:val="fr-FR"/>
        </w:rPr>
        <w:t>,</w:t>
      </w:r>
      <w:r w:rsidRPr="007B756A">
        <w:rPr>
          <w:lang w:val="fr-FR"/>
        </w:rPr>
        <w:t xml:space="preserve"> remplacer « bouteilles à gaz composites » par « enveloppes de bouteilles à gaz composites ». </w:t>
      </w:r>
    </w:p>
    <w:p w14:paraId="487DC25C" w14:textId="77777777" w:rsidR="00CA3533" w:rsidRPr="007B756A" w:rsidRDefault="00CA3533" w:rsidP="00CA3533">
      <w:pPr>
        <w:spacing w:before="120" w:after="120"/>
        <w:ind w:left="2268" w:right="1134" w:hanging="1134"/>
        <w:jc w:val="both"/>
        <w:rPr>
          <w:lang w:val="fr-FR"/>
        </w:rPr>
      </w:pPr>
      <w:r w:rsidRPr="007B756A">
        <w:rPr>
          <w:lang w:val="fr-FR"/>
        </w:rPr>
        <w:tab/>
        <w:t>Dans la première phrase du Nota 2</w:t>
      </w:r>
      <w:r w:rsidRPr="007B756A">
        <w:rPr>
          <w:b/>
          <w:bCs/>
          <w:lang w:val="fr-FR"/>
        </w:rPr>
        <w:t xml:space="preserve"> </w:t>
      </w:r>
      <w:r w:rsidRPr="007B756A">
        <w:rPr>
          <w:lang w:val="fr-FR"/>
        </w:rPr>
        <w:t>après le tableau</w:t>
      </w:r>
      <w:r w:rsidRPr="007B756A">
        <w:rPr>
          <w:bCs/>
          <w:lang w:val="fr-FR"/>
        </w:rPr>
        <w:t>,</w:t>
      </w:r>
      <w:r w:rsidRPr="007B756A">
        <w:rPr>
          <w:lang w:val="fr-FR"/>
        </w:rPr>
        <w:t xml:space="preserve"> remplacer « bouteilles composites » par « enveloppes de bouteilles composites ». Dans la deuxième phrase, remplacer « bouteilles » par « enveloppes de bouteilles composites ». Dans la dernière phrase, remplacer « bouteille composite » par « enveloppe de bouteille composite ».</w:t>
      </w:r>
    </w:p>
    <w:p w14:paraId="1B962129" w14:textId="77777777" w:rsidR="00CA3533" w:rsidRPr="00CA3533" w:rsidRDefault="00CA3533" w:rsidP="00CA3533">
      <w:pPr>
        <w:spacing w:before="120" w:after="120"/>
        <w:ind w:left="2268" w:right="1134" w:hanging="1134"/>
        <w:jc w:val="both"/>
        <w:rPr>
          <w:lang w:val="fr-FR"/>
        </w:rPr>
      </w:pPr>
      <w:r w:rsidRPr="00CA3533">
        <w:rPr>
          <w:lang w:val="fr-FR"/>
        </w:rPr>
        <w:t>6.2.2.1.2</w:t>
      </w:r>
      <w:r w:rsidRPr="00CA3533">
        <w:rPr>
          <w:lang w:val="fr-FR"/>
        </w:rPr>
        <w:tab/>
        <w:t xml:space="preserve">Dans la première phrase, remplacer « tubes </w:t>
      </w:r>
      <w:r w:rsidRPr="00CA3533">
        <w:rPr>
          <w:bCs/>
          <w:lang w:val="fr-FR"/>
        </w:rPr>
        <w:t>“</w:t>
      </w:r>
      <w:r w:rsidRPr="00CA3533">
        <w:rPr>
          <w:lang w:val="fr-FR"/>
        </w:rPr>
        <w:t>UN</w:t>
      </w:r>
      <w:r w:rsidRPr="00CA3533">
        <w:rPr>
          <w:bCs/>
          <w:lang w:val="fr-FR"/>
        </w:rPr>
        <w:t>”</w:t>
      </w:r>
      <w:r w:rsidRPr="00CA3533">
        <w:rPr>
          <w:lang w:val="fr-FR"/>
        </w:rPr>
        <w:t xml:space="preserve"> » par « enveloppes de tubes </w:t>
      </w:r>
      <w:r w:rsidRPr="00CA3533">
        <w:rPr>
          <w:bCs/>
          <w:lang w:val="fr-FR"/>
        </w:rPr>
        <w:t>“</w:t>
      </w:r>
      <w:r w:rsidRPr="00CA3533">
        <w:rPr>
          <w:lang w:val="fr-FR"/>
        </w:rPr>
        <w:t>UN</w:t>
      </w:r>
      <w:r w:rsidRPr="00CA3533">
        <w:rPr>
          <w:bCs/>
          <w:lang w:val="fr-FR"/>
        </w:rPr>
        <w:t>”</w:t>
      </w:r>
      <w:r w:rsidRPr="00CA3533">
        <w:rPr>
          <w:lang w:val="fr-FR"/>
        </w:rPr>
        <w:t xml:space="preserve"> ». </w:t>
      </w:r>
    </w:p>
    <w:p w14:paraId="6982DE49" w14:textId="77777777" w:rsidR="00CA3533" w:rsidRPr="00CA3533" w:rsidRDefault="00CA3533" w:rsidP="00CA3533">
      <w:pPr>
        <w:spacing w:before="120" w:after="120"/>
        <w:ind w:left="2268" w:right="1134" w:hanging="1134"/>
        <w:jc w:val="both"/>
        <w:rPr>
          <w:lang w:val="fr-FR"/>
        </w:rPr>
      </w:pPr>
      <w:r w:rsidRPr="00CA3533">
        <w:rPr>
          <w:lang w:val="fr-FR"/>
        </w:rPr>
        <w:tab/>
      </w:r>
      <w:r w:rsidRPr="00CA3533">
        <w:rPr>
          <w:lang w:val="fr-FR"/>
        </w:rPr>
        <w:tab/>
        <w:t>Dans le tableau, pour la norme ISO 11515:2013, remplacer « Jusqu’à nouvel ordre » par « Jusqu’au 31 décembre 2026 ». Après la norme ISO 11515:2013,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CA3533" w:rsidRPr="00CA3533" w14:paraId="4021D72B" w14:textId="77777777" w:rsidTr="00D56820">
        <w:tc>
          <w:tcPr>
            <w:tcW w:w="1544" w:type="dxa"/>
            <w:shd w:val="clear" w:color="auto" w:fill="auto"/>
          </w:tcPr>
          <w:p w14:paraId="5C967FCB" w14:textId="77777777" w:rsidR="00CA3533" w:rsidRPr="00CA3533" w:rsidRDefault="00CA3533" w:rsidP="00CA3533">
            <w:pPr>
              <w:rPr>
                <w:lang w:val="fr-FR"/>
              </w:rPr>
            </w:pPr>
            <w:r w:rsidRPr="00CA3533">
              <w:rPr>
                <w:lang w:val="fr-FR"/>
              </w:rPr>
              <w:lastRenderedPageBreak/>
              <w:t xml:space="preserve">ISO 11515:2013 + </w:t>
            </w:r>
            <w:proofErr w:type="spellStart"/>
            <w:r w:rsidRPr="00CA3533">
              <w:rPr>
                <w:lang w:val="fr-FR"/>
              </w:rPr>
              <w:t>Amd</w:t>
            </w:r>
            <w:proofErr w:type="spellEnd"/>
            <w:r w:rsidRPr="00CA3533">
              <w:rPr>
                <w:lang w:val="fr-FR"/>
              </w:rPr>
              <w:t xml:space="preserve"> 1:2018 </w:t>
            </w:r>
          </w:p>
        </w:tc>
        <w:tc>
          <w:tcPr>
            <w:tcW w:w="4820" w:type="dxa"/>
            <w:shd w:val="clear" w:color="auto" w:fill="auto"/>
          </w:tcPr>
          <w:p w14:paraId="14B17075" w14:textId="77777777" w:rsidR="00CA3533" w:rsidRPr="00CA3533" w:rsidRDefault="00CA3533" w:rsidP="00CA3533">
            <w:pPr>
              <w:rPr>
                <w:lang w:val="fr-FR"/>
              </w:rPr>
            </w:pPr>
            <w:r w:rsidRPr="00CA3533">
              <w:rPr>
                <w:lang w:val="fr-FR"/>
              </w:rPr>
              <w:t>Bouteilles à gaz − Bouteilles tubulaires en composite renforcé rechargeables d’une capacité de 450 </w:t>
            </w:r>
            <w:r w:rsidRPr="00CA3533">
              <w:rPr>
                <w:i/>
                <w:iCs/>
                <w:lang w:val="fr-FR"/>
              </w:rPr>
              <w:t>l</w:t>
            </w:r>
            <w:r w:rsidRPr="00CA3533">
              <w:rPr>
                <w:lang w:val="fr-FR"/>
              </w:rPr>
              <w:t xml:space="preserve"> à 3 000 </w:t>
            </w:r>
            <w:r w:rsidRPr="00CA3533">
              <w:rPr>
                <w:i/>
                <w:iCs/>
                <w:lang w:val="fr-FR"/>
              </w:rPr>
              <w:t>l</w:t>
            </w:r>
            <w:r w:rsidRPr="00CA3533">
              <w:rPr>
                <w:lang w:val="fr-FR"/>
              </w:rPr>
              <w:t xml:space="preserve"> − Conception, construction et essais</w:t>
            </w:r>
          </w:p>
        </w:tc>
        <w:tc>
          <w:tcPr>
            <w:tcW w:w="1275" w:type="dxa"/>
            <w:shd w:val="clear" w:color="auto" w:fill="auto"/>
          </w:tcPr>
          <w:p w14:paraId="7633E695" w14:textId="77777777" w:rsidR="00CA3533" w:rsidRPr="00CA3533" w:rsidRDefault="00CA3533" w:rsidP="00CA3533">
            <w:pPr>
              <w:rPr>
                <w:lang w:val="fr-FR"/>
              </w:rPr>
            </w:pPr>
            <w:r w:rsidRPr="00CA3533">
              <w:rPr>
                <w:lang w:val="fr-FR"/>
              </w:rPr>
              <w:t>Jusqu’à nouvel ordre</w:t>
            </w:r>
          </w:p>
        </w:tc>
      </w:tr>
    </w:tbl>
    <w:p w14:paraId="6D485BF8" w14:textId="77777777" w:rsidR="00CA3533" w:rsidRPr="00CA3533" w:rsidRDefault="00CA3533" w:rsidP="00CA3533">
      <w:pPr>
        <w:spacing w:before="120" w:after="120"/>
        <w:ind w:left="2268" w:right="1134" w:hanging="1134"/>
        <w:jc w:val="both"/>
        <w:rPr>
          <w:lang w:val="fr-FR"/>
        </w:rPr>
      </w:pPr>
      <w:r w:rsidRPr="00CA3533">
        <w:rPr>
          <w:lang w:val="fr-FR" w:eastAsia="en-US"/>
        </w:rPr>
        <w:tab/>
      </w:r>
      <w:r w:rsidRPr="00CA3533">
        <w:rPr>
          <w:lang w:val="fr-FR" w:eastAsia="en-US"/>
        </w:rPr>
        <w:tab/>
        <w:t xml:space="preserve">À la fin du tableau, </w:t>
      </w:r>
      <w:r w:rsidRPr="00CA3533">
        <w:rPr>
          <w:lang w:val="fr-FR"/>
        </w:rPr>
        <w:t>ajouter les nouvelles rubriques suivantes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50007B28" w14:textId="77777777" w:rsidTr="00D56820">
        <w:tc>
          <w:tcPr>
            <w:tcW w:w="1544" w:type="dxa"/>
            <w:shd w:val="clear" w:color="auto" w:fill="auto"/>
          </w:tcPr>
          <w:p w14:paraId="0BFD20A6" w14:textId="77777777" w:rsidR="00CA3533" w:rsidRPr="00CA3533" w:rsidRDefault="00CA3533" w:rsidP="00CA3533">
            <w:pPr>
              <w:kinsoku/>
              <w:overflowPunct/>
              <w:autoSpaceDE/>
              <w:autoSpaceDN/>
              <w:adjustRightInd/>
              <w:snapToGrid/>
              <w:rPr>
                <w:lang w:val="fr-FR" w:eastAsia="en-US"/>
              </w:rPr>
            </w:pPr>
            <w:r w:rsidRPr="00CA3533">
              <w:rPr>
                <w:lang w:val="fr-FR" w:eastAsia="en-US"/>
              </w:rPr>
              <w:t>ISO 9809-1:2019</w:t>
            </w:r>
          </w:p>
        </w:tc>
        <w:tc>
          <w:tcPr>
            <w:tcW w:w="4820" w:type="dxa"/>
            <w:shd w:val="clear" w:color="auto" w:fill="auto"/>
          </w:tcPr>
          <w:p w14:paraId="08DA34FC"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362F4F43"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r w:rsidR="00CA3533" w:rsidRPr="00CA3533" w14:paraId="4B68993F" w14:textId="77777777" w:rsidTr="00D56820">
        <w:tc>
          <w:tcPr>
            <w:tcW w:w="1544" w:type="dxa"/>
            <w:shd w:val="clear" w:color="auto" w:fill="auto"/>
          </w:tcPr>
          <w:p w14:paraId="3D8181C0" w14:textId="77777777" w:rsidR="00CA3533" w:rsidRPr="00CA3533" w:rsidRDefault="00CA3533" w:rsidP="00CA3533">
            <w:pPr>
              <w:kinsoku/>
              <w:overflowPunct/>
              <w:autoSpaceDE/>
              <w:autoSpaceDN/>
              <w:adjustRightInd/>
              <w:snapToGrid/>
              <w:rPr>
                <w:lang w:val="fr-FR" w:eastAsia="en-US"/>
              </w:rPr>
            </w:pPr>
            <w:r w:rsidRPr="00CA3533">
              <w:rPr>
                <w:lang w:val="fr-FR" w:eastAsia="en-US"/>
              </w:rPr>
              <w:t>ISO 9809-2:2019</w:t>
            </w:r>
          </w:p>
        </w:tc>
        <w:tc>
          <w:tcPr>
            <w:tcW w:w="4820" w:type="dxa"/>
            <w:shd w:val="clear" w:color="auto" w:fill="auto"/>
          </w:tcPr>
          <w:p w14:paraId="2C5B82E2" w14:textId="77777777" w:rsidR="00CA3533" w:rsidRPr="00CA3533" w:rsidRDefault="00CA3533" w:rsidP="00CA3533">
            <w:pPr>
              <w:keepLines/>
              <w:kinsoku/>
              <w:overflowPunct/>
              <w:autoSpaceDE/>
              <w:autoSpaceDN/>
              <w:adjustRightInd/>
              <w:snapToGrid/>
              <w:jc w:val="both"/>
              <w:rPr>
                <w:iCs/>
                <w:lang w:val="fr-FR" w:eastAsia="en-US"/>
              </w:rPr>
            </w:pPr>
            <w:r w:rsidRPr="00CA3533">
              <w:rPr>
                <w:iCs/>
                <w:lang w:val="fr-FR" w:eastAsia="en-US"/>
              </w:rPr>
              <w:t>Bouteilles à gaz — Conception, construction et essais des bouteilles à gaz et des tubes rechargeables en acier sans soudure — Partie 2: Bouteilles et tubes en acier trempé et revenu ayant une résistance à la traction supérieure ou égale à 1 100 MPa</w:t>
            </w:r>
          </w:p>
        </w:tc>
        <w:tc>
          <w:tcPr>
            <w:tcW w:w="1275" w:type="dxa"/>
            <w:shd w:val="clear" w:color="auto" w:fill="auto"/>
          </w:tcPr>
          <w:p w14:paraId="4DB8F3AA" w14:textId="77777777" w:rsidR="00CA3533" w:rsidRPr="00CA3533" w:rsidRDefault="00CA3533" w:rsidP="00CA3533">
            <w:pPr>
              <w:kinsoku/>
              <w:overflowPunct/>
              <w:autoSpaceDE/>
              <w:autoSpaceDN/>
              <w:adjustRightInd/>
              <w:snapToGrid/>
              <w:rPr>
                <w:rFonts w:eastAsiaTheme="minorHAnsi"/>
                <w:lang w:val="fr-FR" w:eastAsia="en-US"/>
              </w:rPr>
            </w:pPr>
            <w:r w:rsidRPr="00CA3533">
              <w:rPr>
                <w:rFonts w:eastAsiaTheme="minorHAnsi"/>
                <w:lang w:val="fr-FR" w:eastAsia="en-US"/>
              </w:rPr>
              <w:t>Jusqu’à nouvel ordre</w:t>
            </w:r>
          </w:p>
        </w:tc>
      </w:tr>
      <w:tr w:rsidR="00CA3533" w:rsidRPr="00CA3533" w14:paraId="473EEFF7" w14:textId="77777777" w:rsidTr="00D56820">
        <w:tc>
          <w:tcPr>
            <w:tcW w:w="1544" w:type="dxa"/>
            <w:shd w:val="clear" w:color="auto" w:fill="auto"/>
          </w:tcPr>
          <w:p w14:paraId="06CBF396" w14:textId="77777777" w:rsidR="00CA3533" w:rsidRPr="00CA3533" w:rsidRDefault="00CA3533" w:rsidP="00CA3533">
            <w:pPr>
              <w:kinsoku/>
              <w:overflowPunct/>
              <w:autoSpaceDE/>
              <w:autoSpaceDN/>
              <w:adjustRightInd/>
              <w:snapToGrid/>
              <w:rPr>
                <w:lang w:val="fr-FR" w:eastAsia="en-US"/>
              </w:rPr>
            </w:pPr>
            <w:r w:rsidRPr="00CA3533">
              <w:rPr>
                <w:lang w:val="fr-FR" w:eastAsia="en-US"/>
              </w:rPr>
              <w:t xml:space="preserve">ISO 9809-3:2019 </w:t>
            </w:r>
          </w:p>
        </w:tc>
        <w:tc>
          <w:tcPr>
            <w:tcW w:w="4820" w:type="dxa"/>
            <w:shd w:val="clear" w:color="auto" w:fill="auto"/>
          </w:tcPr>
          <w:p w14:paraId="594C71F8"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Bouteilles à gaz — Conception, construction et essais des bouteilles à gaz et des tubes rechargeables en acier sans soudure — Partie 3: Bouteilles et tubes en acier normalisé</w:t>
            </w:r>
          </w:p>
        </w:tc>
        <w:tc>
          <w:tcPr>
            <w:tcW w:w="1275" w:type="dxa"/>
            <w:shd w:val="clear" w:color="auto" w:fill="auto"/>
          </w:tcPr>
          <w:p w14:paraId="64BD24F0"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5488BC55" w14:textId="77777777" w:rsidR="00CA3533" w:rsidRPr="008562BB" w:rsidRDefault="00CA3533" w:rsidP="00CA3533">
      <w:pPr>
        <w:spacing w:before="120" w:after="120"/>
        <w:ind w:left="2268" w:right="1134" w:hanging="1134"/>
        <w:jc w:val="both"/>
        <w:rPr>
          <w:lang w:val="fr-FR"/>
        </w:rPr>
      </w:pPr>
      <w:r w:rsidRPr="00CA3533">
        <w:rPr>
          <w:lang w:val="fr-FR"/>
        </w:rPr>
        <w:tab/>
      </w:r>
      <w:r w:rsidRPr="008562BB">
        <w:rPr>
          <w:lang w:val="fr-FR"/>
        </w:rPr>
        <w:t>Dans le Nota 1 après le tableau</w:t>
      </w:r>
      <w:r w:rsidRPr="008562BB">
        <w:rPr>
          <w:bCs/>
          <w:lang w:val="fr-FR"/>
        </w:rPr>
        <w:t>,</w:t>
      </w:r>
      <w:r w:rsidRPr="008562BB">
        <w:rPr>
          <w:lang w:val="fr-FR"/>
        </w:rPr>
        <w:t xml:space="preserve"> remplacer « tubes composites » par « enveloppes de tubes composites » et remplacer « être conçus » par « être conçues ». </w:t>
      </w:r>
    </w:p>
    <w:p w14:paraId="1CADEE69" w14:textId="77777777" w:rsidR="00CA3533" w:rsidRPr="008562BB" w:rsidRDefault="00CA3533" w:rsidP="00CA3533">
      <w:pPr>
        <w:spacing w:before="120" w:after="120"/>
        <w:ind w:left="2268" w:right="1134" w:hanging="1134"/>
        <w:jc w:val="both"/>
        <w:rPr>
          <w:lang w:val="fr-FR"/>
        </w:rPr>
      </w:pPr>
      <w:r w:rsidRPr="008562BB">
        <w:rPr>
          <w:lang w:val="fr-FR"/>
        </w:rPr>
        <w:tab/>
        <w:t>Dans la première phrase du Nota 2 après le tableau, remplacer « tubes composites » par « enveloppes de tubes composites » et remplacer « être remplis » par « être remplies ». Dans la deuxième phrase, remplacer « tubes fabriqués ... restent sûrs » par « enveloppes de tubes composites fabriquées ... restent sûres ». Dans la dernière phrase, remplacer « d’un tube » par « d’une enveloppe de tube ».</w:t>
      </w:r>
    </w:p>
    <w:p w14:paraId="579FEA57" w14:textId="77777777" w:rsidR="00CA3533" w:rsidRPr="00CA3533" w:rsidRDefault="00CA3533" w:rsidP="00CA3533">
      <w:pPr>
        <w:spacing w:after="120"/>
        <w:ind w:left="2268" w:right="1134" w:hanging="1134"/>
        <w:jc w:val="both"/>
        <w:rPr>
          <w:lang w:val="fr-FR"/>
        </w:rPr>
      </w:pPr>
      <w:r w:rsidRPr="00CA3533">
        <w:rPr>
          <w:lang w:val="fr-FR" w:eastAsia="en-US"/>
        </w:rPr>
        <w:t>6.2.2.1.3</w:t>
      </w:r>
      <w:r w:rsidRPr="00CA3533">
        <w:rPr>
          <w:lang w:val="fr-FR" w:eastAsia="en-US"/>
        </w:rPr>
        <w:tab/>
      </w:r>
      <w:r w:rsidRPr="00CA3533">
        <w:rPr>
          <w:rFonts w:eastAsiaTheme="minorHAnsi"/>
          <w:lang w:val="fr-FR" w:eastAsia="en-US"/>
        </w:rPr>
        <w:t xml:space="preserve">Dans le premier tableau, pour « ISO 9809-1:2010 », dans la colonne « Applicable à la fabrication », remplacer « Jusqu’à nouvel ordre » par « Jusqu’au 31 décembre 2026 ». </w:t>
      </w:r>
      <w:r w:rsidRPr="00CA3533">
        <w:rPr>
          <w:lang w:val="fr-FR"/>
        </w:rPr>
        <w:t>Après la rubrique existante pour la norme « </w:t>
      </w:r>
      <w:r w:rsidRPr="00CA3533">
        <w:rPr>
          <w:rFonts w:eastAsiaTheme="minorHAnsi"/>
          <w:lang w:val="fr-FR" w:eastAsia="en-US"/>
        </w:rPr>
        <w:t>ISO 9809-1:2010</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0C36BEC2" w14:textId="77777777" w:rsidTr="00D56820">
        <w:tc>
          <w:tcPr>
            <w:tcW w:w="1544" w:type="dxa"/>
            <w:shd w:val="clear" w:color="auto" w:fill="auto"/>
          </w:tcPr>
          <w:p w14:paraId="2CEDEE4A" w14:textId="77777777" w:rsidR="00CA3533" w:rsidRPr="00CA3533" w:rsidRDefault="00CA3533" w:rsidP="00CA3533">
            <w:pPr>
              <w:kinsoku/>
              <w:overflowPunct/>
              <w:autoSpaceDE/>
              <w:autoSpaceDN/>
              <w:adjustRightInd/>
              <w:snapToGrid/>
              <w:rPr>
                <w:lang w:val="fr-FR" w:eastAsia="en-US"/>
              </w:rPr>
            </w:pPr>
            <w:r w:rsidRPr="00CA3533">
              <w:rPr>
                <w:lang w:val="fr-FR" w:eastAsia="en-US"/>
              </w:rPr>
              <w:t xml:space="preserve">ISO 9809-1:2019 </w:t>
            </w:r>
          </w:p>
        </w:tc>
        <w:tc>
          <w:tcPr>
            <w:tcW w:w="4820" w:type="dxa"/>
            <w:shd w:val="clear" w:color="auto" w:fill="auto"/>
          </w:tcPr>
          <w:p w14:paraId="3EDB48D3"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7D85AC7A"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2B40C476" w14:textId="77777777" w:rsidR="00CA3533" w:rsidRPr="00CA3533" w:rsidRDefault="00CA3533" w:rsidP="00CA3533">
      <w:pPr>
        <w:tabs>
          <w:tab w:val="left" w:pos="2268"/>
        </w:tabs>
        <w:spacing w:before="120" w:after="120"/>
        <w:ind w:left="2268" w:right="1134" w:hanging="1134"/>
        <w:jc w:val="both"/>
        <w:rPr>
          <w:lang w:val="fr-FR"/>
        </w:rPr>
      </w:pPr>
      <w:r w:rsidRPr="00CA3533">
        <w:rPr>
          <w:lang w:val="fr-FR" w:eastAsia="en-US"/>
        </w:rPr>
        <w:tab/>
      </w:r>
      <w:r w:rsidRPr="00CA3533">
        <w:rPr>
          <w:rFonts w:eastAsiaTheme="minorHAnsi"/>
          <w:lang w:val="fr-FR" w:eastAsia="en-US"/>
        </w:rPr>
        <w:t xml:space="preserve">Dans le premier tableau, pour « ISO 9809-3:2010 », dans la colonne « Applicable à la fabrication », remplacer « Jusqu’à nouvel ordre » par « Jusqu’au 31 décembre 2026 ». </w:t>
      </w:r>
      <w:r w:rsidRPr="00CA3533">
        <w:rPr>
          <w:lang w:val="fr-FR"/>
        </w:rPr>
        <w:t>Après la rubrique existante pour la norme « </w:t>
      </w:r>
      <w:r w:rsidRPr="00CA3533">
        <w:rPr>
          <w:rFonts w:eastAsiaTheme="minorHAnsi"/>
          <w:lang w:val="fr-FR" w:eastAsia="en-US"/>
        </w:rPr>
        <w:t>ISO 9809-3:2010</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43F8BBF2" w14:textId="77777777" w:rsidTr="00D56820">
        <w:tc>
          <w:tcPr>
            <w:tcW w:w="1544" w:type="dxa"/>
            <w:shd w:val="clear" w:color="auto" w:fill="auto"/>
          </w:tcPr>
          <w:p w14:paraId="6EBDAE3E" w14:textId="77777777" w:rsidR="00CA3533" w:rsidRPr="00CA3533" w:rsidRDefault="00CA3533" w:rsidP="00CA3533">
            <w:pPr>
              <w:kinsoku/>
              <w:overflowPunct/>
              <w:autoSpaceDE/>
              <w:autoSpaceDN/>
              <w:adjustRightInd/>
              <w:snapToGrid/>
              <w:rPr>
                <w:lang w:val="fr-FR" w:eastAsia="en-US"/>
              </w:rPr>
            </w:pPr>
            <w:r w:rsidRPr="00CA3533">
              <w:rPr>
                <w:lang w:val="fr-FR" w:eastAsia="en-US"/>
              </w:rPr>
              <w:t xml:space="preserve">ISO 9809-3:2019 </w:t>
            </w:r>
          </w:p>
        </w:tc>
        <w:tc>
          <w:tcPr>
            <w:tcW w:w="4820" w:type="dxa"/>
            <w:shd w:val="clear" w:color="auto" w:fill="auto"/>
          </w:tcPr>
          <w:p w14:paraId="7DD27662"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Bouteilles à gaz — Conception, construction et essais des bouteilles à gaz et des tubes rechargeables en acier sans soudure — Partie 3: Bouteilles et tubes en acier normalisé</w:t>
            </w:r>
          </w:p>
        </w:tc>
        <w:tc>
          <w:tcPr>
            <w:tcW w:w="1275" w:type="dxa"/>
            <w:shd w:val="clear" w:color="auto" w:fill="auto"/>
          </w:tcPr>
          <w:p w14:paraId="0E14832B"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384F1D03" w14:textId="77777777" w:rsidR="00CA3533" w:rsidRPr="00CA3533" w:rsidRDefault="00CA3533" w:rsidP="00CA3533">
      <w:pPr>
        <w:spacing w:before="120" w:after="120"/>
        <w:ind w:left="2268" w:right="1134" w:hanging="1134"/>
        <w:jc w:val="both"/>
        <w:rPr>
          <w:lang w:val="fr-FR"/>
        </w:rPr>
      </w:pPr>
      <w:r w:rsidRPr="00CA3533">
        <w:rPr>
          <w:lang w:val="fr-FR"/>
        </w:rPr>
        <w:t>6.2.2.1.4</w:t>
      </w:r>
      <w:r w:rsidRPr="00CA3533">
        <w:rPr>
          <w:lang w:val="fr-FR"/>
        </w:rPr>
        <w:tab/>
        <w:t xml:space="preserve">Dans la première phrase, remplacer « récipients cryogéniques </w:t>
      </w:r>
      <w:r w:rsidRPr="00CA3533">
        <w:rPr>
          <w:bCs/>
          <w:lang w:val="fr-FR"/>
        </w:rPr>
        <w:t>“</w:t>
      </w:r>
      <w:r w:rsidRPr="00CA3533">
        <w:rPr>
          <w:lang w:val="fr-FR"/>
        </w:rPr>
        <w:t>UN</w:t>
      </w:r>
      <w:r w:rsidRPr="00CA3533">
        <w:rPr>
          <w:bCs/>
          <w:lang w:val="fr-FR"/>
        </w:rPr>
        <w:t>”</w:t>
      </w:r>
      <w:r w:rsidRPr="00CA3533">
        <w:rPr>
          <w:lang w:val="fr-FR"/>
        </w:rPr>
        <w:t xml:space="preserve"> » par « récipients cryogéniques </w:t>
      </w:r>
      <w:r w:rsidRPr="00CA3533">
        <w:rPr>
          <w:bCs/>
          <w:lang w:val="fr-FR"/>
        </w:rPr>
        <w:t>“</w:t>
      </w:r>
      <w:r w:rsidRPr="00CA3533">
        <w:rPr>
          <w:lang w:val="fr-FR"/>
        </w:rPr>
        <w:t>UN</w:t>
      </w:r>
      <w:r w:rsidRPr="00CA3533">
        <w:rPr>
          <w:bCs/>
          <w:lang w:val="fr-FR"/>
        </w:rPr>
        <w:t>”</w:t>
      </w:r>
      <w:r w:rsidRPr="00CA3533">
        <w:rPr>
          <w:lang w:val="fr-FR"/>
        </w:rPr>
        <w:t xml:space="preserve"> fermés ».</w:t>
      </w:r>
    </w:p>
    <w:p w14:paraId="4E18DDB9" w14:textId="77777777" w:rsidR="00CA3533" w:rsidRPr="00CA3533" w:rsidRDefault="00CA3533" w:rsidP="00CA3533">
      <w:pPr>
        <w:spacing w:after="120"/>
        <w:ind w:left="2268" w:right="1134" w:hanging="1134"/>
        <w:jc w:val="both"/>
        <w:rPr>
          <w:lang w:val="fr-FR"/>
        </w:rPr>
      </w:pPr>
      <w:r w:rsidRPr="00CA3533">
        <w:rPr>
          <w:lang w:val="fr-FR" w:eastAsia="en-US"/>
        </w:rPr>
        <w:tab/>
      </w:r>
      <w:r w:rsidRPr="00CA3533">
        <w:rPr>
          <w:rFonts w:eastAsiaTheme="minorHAnsi"/>
          <w:lang w:val="fr-FR" w:eastAsia="en-US"/>
        </w:rPr>
        <w:t xml:space="preserve">Dans le tableau, pour « ISO 21029-1:2004 », dans la colonne « Applicable à la fabrication », remplacer « Jusqu’à nouvel ordre » par « Jusqu’au 31 décembre 2026 ». </w:t>
      </w:r>
      <w:r w:rsidRPr="00CA3533">
        <w:rPr>
          <w:lang w:val="fr-FR"/>
        </w:rPr>
        <w:t>Après la rubrique existante pour la norme « </w:t>
      </w:r>
      <w:r w:rsidRPr="00CA3533">
        <w:rPr>
          <w:rFonts w:eastAsiaTheme="minorHAnsi"/>
          <w:lang w:val="fr-FR" w:eastAsia="en-US"/>
        </w:rPr>
        <w:t>ISO 21029-1:2004</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16C53662" w14:textId="77777777" w:rsidTr="00D56820">
        <w:tc>
          <w:tcPr>
            <w:tcW w:w="1544" w:type="dxa"/>
            <w:shd w:val="clear" w:color="auto" w:fill="auto"/>
          </w:tcPr>
          <w:p w14:paraId="2AFECFAF" w14:textId="77777777" w:rsidR="00CA3533" w:rsidRPr="00CA3533" w:rsidRDefault="00CA3533" w:rsidP="00CA3533">
            <w:pPr>
              <w:kinsoku/>
              <w:overflowPunct/>
              <w:autoSpaceDE/>
              <w:autoSpaceDN/>
              <w:adjustRightInd/>
              <w:snapToGrid/>
              <w:rPr>
                <w:lang w:val="fr-FR" w:eastAsia="en-US"/>
              </w:rPr>
            </w:pPr>
            <w:r w:rsidRPr="00CA3533">
              <w:rPr>
                <w:lang w:val="fr-FR" w:eastAsia="en-US"/>
              </w:rPr>
              <w:t>ISO 21029-1:2018 + Amd.1:2019</w:t>
            </w:r>
          </w:p>
        </w:tc>
        <w:tc>
          <w:tcPr>
            <w:tcW w:w="4820" w:type="dxa"/>
            <w:shd w:val="clear" w:color="auto" w:fill="auto"/>
          </w:tcPr>
          <w:p w14:paraId="0C723F60"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Récipients cryogéniques — Récipients transportables, isolés sous vide, d'un volume n'excédant pas 1 000 litres — Partie 1: Conception, fabrication, inspection et essais</w:t>
            </w:r>
          </w:p>
        </w:tc>
        <w:tc>
          <w:tcPr>
            <w:tcW w:w="1275" w:type="dxa"/>
            <w:shd w:val="clear" w:color="auto" w:fill="auto"/>
          </w:tcPr>
          <w:p w14:paraId="15F5EE57"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26C3F89D" w14:textId="77777777" w:rsidR="00CA3533" w:rsidRPr="00CA3533" w:rsidRDefault="00CA3533" w:rsidP="00CA3533">
      <w:pPr>
        <w:spacing w:before="120" w:after="120"/>
        <w:ind w:left="2268" w:right="1134" w:hanging="1134"/>
        <w:jc w:val="both"/>
        <w:rPr>
          <w:lang w:val="fr-FR"/>
        </w:rPr>
      </w:pPr>
      <w:r w:rsidRPr="00CA3533">
        <w:rPr>
          <w:lang w:val="fr-FR" w:eastAsia="en-US"/>
        </w:rPr>
        <w:t>6.2.2.1.5</w:t>
      </w:r>
      <w:r w:rsidRPr="00CA3533">
        <w:rPr>
          <w:lang w:val="fr-FR" w:eastAsia="en-US"/>
        </w:rPr>
        <w:tab/>
      </w:r>
      <w:r w:rsidRPr="00CA3533">
        <w:rPr>
          <w:rFonts w:eastAsiaTheme="minorHAnsi"/>
          <w:lang w:val="fr-FR" w:eastAsia="en-US"/>
        </w:rPr>
        <w:t xml:space="preserve">Dans le tableau, pour « ISO 16111:2008 », dans la colonne « Applicable à la fabrication », remplacer « Jusqu’à nouvel ordre » par « Jusqu’au 31 décembre </w:t>
      </w:r>
      <w:r w:rsidRPr="00CA3533">
        <w:rPr>
          <w:rFonts w:eastAsiaTheme="minorHAnsi"/>
          <w:lang w:val="fr-FR" w:eastAsia="en-US"/>
        </w:rPr>
        <w:lastRenderedPageBreak/>
        <w:t xml:space="preserve">2026 ». </w:t>
      </w:r>
      <w:r w:rsidRPr="00CA3533">
        <w:rPr>
          <w:lang w:val="fr-FR"/>
        </w:rPr>
        <w:t>Après la rubrique existante pour la norme « </w:t>
      </w:r>
      <w:r w:rsidRPr="00CA3533">
        <w:rPr>
          <w:rFonts w:eastAsiaTheme="minorHAnsi"/>
          <w:lang w:val="fr-FR" w:eastAsia="en-US"/>
        </w:rPr>
        <w:t>ISO 16111:2008</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42492B68" w14:textId="77777777" w:rsidTr="00D56820">
        <w:tc>
          <w:tcPr>
            <w:tcW w:w="1544" w:type="dxa"/>
            <w:shd w:val="clear" w:color="auto" w:fill="auto"/>
          </w:tcPr>
          <w:p w14:paraId="47255C8D" w14:textId="77777777" w:rsidR="00CA3533" w:rsidRPr="00CA3533" w:rsidRDefault="00CA3533" w:rsidP="00CA3533">
            <w:pPr>
              <w:kinsoku/>
              <w:overflowPunct/>
              <w:autoSpaceDE/>
              <w:autoSpaceDN/>
              <w:adjustRightInd/>
              <w:snapToGrid/>
              <w:rPr>
                <w:lang w:val="fr-FR" w:eastAsia="en-US"/>
              </w:rPr>
            </w:pPr>
            <w:r w:rsidRPr="00CA3533">
              <w:rPr>
                <w:lang w:val="fr-FR" w:eastAsia="en-US"/>
              </w:rPr>
              <w:t>ISO 16111:2018</w:t>
            </w:r>
          </w:p>
        </w:tc>
        <w:tc>
          <w:tcPr>
            <w:tcW w:w="4820" w:type="dxa"/>
            <w:shd w:val="clear" w:color="auto" w:fill="auto"/>
          </w:tcPr>
          <w:p w14:paraId="7F5C6BEE"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Appareils de stockage de gaz transportables — Hydrogène absorbé dans un hydrure métallique réversible</w:t>
            </w:r>
          </w:p>
        </w:tc>
        <w:tc>
          <w:tcPr>
            <w:tcW w:w="1275" w:type="dxa"/>
            <w:shd w:val="clear" w:color="auto" w:fill="auto"/>
          </w:tcPr>
          <w:p w14:paraId="17A57A15"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0C12FBF7" w14:textId="77777777" w:rsidR="00CA3533" w:rsidRPr="00CA3533" w:rsidRDefault="00CA3533" w:rsidP="00CA3533">
      <w:pPr>
        <w:spacing w:before="120" w:after="120"/>
        <w:ind w:left="2268" w:right="1134" w:hanging="1134"/>
        <w:jc w:val="both"/>
        <w:rPr>
          <w:lang w:val="fr-FR"/>
        </w:rPr>
      </w:pPr>
      <w:r w:rsidRPr="00CA3533">
        <w:rPr>
          <w:lang w:val="fr-FR"/>
        </w:rPr>
        <w:t>6.2.2.1.6</w:t>
      </w:r>
      <w:r w:rsidRPr="00CA3533">
        <w:rPr>
          <w:lang w:val="fr-FR"/>
        </w:rPr>
        <w:tab/>
        <w:t xml:space="preserve">La modification à la première phrase est sans objet en français. </w:t>
      </w:r>
    </w:p>
    <w:p w14:paraId="4F58FBA3" w14:textId="77777777" w:rsidR="00CA3533" w:rsidRPr="00CA3533" w:rsidRDefault="00CA3533" w:rsidP="00CA3533">
      <w:pPr>
        <w:spacing w:before="120" w:after="120"/>
        <w:ind w:left="2268" w:right="1134" w:hanging="1134"/>
        <w:jc w:val="both"/>
        <w:rPr>
          <w:lang w:val="fr-FR"/>
        </w:rPr>
      </w:pPr>
      <w:r w:rsidRPr="00CA3533">
        <w:rPr>
          <w:lang w:val="fr-FR"/>
        </w:rPr>
        <w:tab/>
        <w:t xml:space="preserve">Dans la deuxième phrase, remplacer « bouteille </w:t>
      </w:r>
      <w:r w:rsidRPr="00CA3533">
        <w:rPr>
          <w:bCs/>
          <w:lang w:val="fr-FR"/>
        </w:rPr>
        <w:t>“</w:t>
      </w:r>
      <w:r w:rsidRPr="00CA3533">
        <w:rPr>
          <w:lang w:val="fr-FR"/>
        </w:rPr>
        <w:t>UN</w:t>
      </w:r>
      <w:r w:rsidRPr="00CA3533">
        <w:rPr>
          <w:bCs/>
          <w:lang w:val="fr-FR"/>
        </w:rPr>
        <w:t>”</w:t>
      </w:r>
      <w:r w:rsidRPr="00CA3533">
        <w:rPr>
          <w:lang w:val="fr-FR"/>
        </w:rPr>
        <w:t xml:space="preserve"> » par « bouteille </w:t>
      </w:r>
      <w:r w:rsidRPr="00CA3533">
        <w:rPr>
          <w:bCs/>
          <w:lang w:val="fr-FR"/>
        </w:rPr>
        <w:t>“</w:t>
      </w:r>
      <w:r w:rsidRPr="00CA3533">
        <w:rPr>
          <w:lang w:val="fr-FR"/>
        </w:rPr>
        <w:t>UN</w:t>
      </w:r>
      <w:r w:rsidRPr="00CA3533">
        <w:rPr>
          <w:bCs/>
          <w:lang w:val="fr-FR"/>
        </w:rPr>
        <w:t>”</w:t>
      </w:r>
      <w:r w:rsidRPr="00CA3533">
        <w:rPr>
          <w:lang w:val="fr-FR"/>
        </w:rPr>
        <w:t xml:space="preserve"> </w:t>
      </w:r>
      <w:bookmarkStart w:id="13" w:name="_Hlk69224212"/>
      <w:r w:rsidRPr="00CA3533">
        <w:rPr>
          <w:lang w:val="fr-FR"/>
        </w:rPr>
        <w:t xml:space="preserve">ou une enveloppe de bouteille </w:t>
      </w:r>
      <w:r w:rsidRPr="00CA3533">
        <w:rPr>
          <w:bCs/>
          <w:lang w:val="fr-FR"/>
        </w:rPr>
        <w:t>“</w:t>
      </w:r>
      <w:r w:rsidRPr="00CA3533">
        <w:rPr>
          <w:lang w:val="fr-FR"/>
        </w:rPr>
        <w:t>UN</w:t>
      </w:r>
      <w:r w:rsidRPr="00CA3533">
        <w:rPr>
          <w:bCs/>
          <w:lang w:val="fr-FR"/>
        </w:rPr>
        <w:t>”</w:t>
      </w:r>
      <w:bookmarkEnd w:id="13"/>
      <w:r w:rsidRPr="00CA3533">
        <w:rPr>
          <w:lang w:val="fr-FR"/>
        </w:rPr>
        <w:t xml:space="preserve"> ». </w:t>
      </w:r>
    </w:p>
    <w:p w14:paraId="23BA6BF1" w14:textId="77777777" w:rsidR="00CA3533" w:rsidRPr="00CA3533" w:rsidRDefault="00CA3533" w:rsidP="00CA3533">
      <w:pPr>
        <w:spacing w:after="120"/>
        <w:ind w:left="2268" w:right="1134" w:hanging="1134"/>
        <w:jc w:val="both"/>
        <w:rPr>
          <w:lang w:val="fr-FR"/>
        </w:rPr>
      </w:pPr>
      <w:r w:rsidRPr="00CA3533">
        <w:rPr>
          <w:lang w:val="fr-FR" w:eastAsia="en-US"/>
        </w:rPr>
        <w:tab/>
      </w:r>
      <w:r w:rsidRPr="00CA3533">
        <w:rPr>
          <w:rFonts w:eastAsiaTheme="minorHAnsi"/>
          <w:lang w:val="fr-FR" w:eastAsia="en-US"/>
        </w:rPr>
        <w:t xml:space="preserve">Dans le tableau, pour « ISO 10961:2010 », dans la colonne « Applicable à la fabrication », remplacer « Jusqu’à nouvel ordre » par « Jusqu’au 31 décembre 2026 ». </w:t>
      </w:r>
      <w:r w:rsidRPr="00CA3533">
        <w:rPr>
          <w:lang w:val="fr-FR"/>
        </w:rPr>
        <w:t>Après la rubrique existante pour la norme « </w:t>
      </w:r>
      <w:r w:rsidRPr="00CA3533">
        <w:rPr>
          <w:rFonts w:eastAsiaTheme="minorHAnsi"/>
          <w:lang w:val="fr-FR" w:eastAsia="en-US"/>
        </w:rPr>
        <w:t>ISO 10961:2010</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6AFCBF50" w14:textId="77777777" w:rsidTr="00D56820">
        <w:tc>
          <w:tcPr>
            <w:tcW w:w="1544" w:type="dxa"/>
            <w:shd w:val="clear" w:color="auto" w:fill="auto"/>
          </w:tcPr>
          <w:p w14:paraId="41CBBA38" w14:textId="77777777" w:rsidR="00CA3533" w:rsidRPr="00CA3533" w:rsidRDefault="00CA3533" w:rsidP="00CA3533">
            <w:pPr>
              <w:kinsoku/>
              <w:overflowPunct/>
              <w:autoSpaceDE/>
              <w:autoSpaceDN/>
              <w:adjustRightInd/>
              <w:snapToGrid/>
              <w:rPr>
                <w:lang w:val="fr-FR" w:eastAsia="en-US"/>
              </w:rPr>
            </w:pPr>
            <w:r w:rsidRPr="00CA3533">
              <w:rPr>
                <w:lang w:val="fr-FR" w:eastAsia="en-US"/>
              </w:rPr>
              <w:t>ISO 10961:2019</w:t>
            </w:r>
          </w:p>
        </w:tc>
        <w:tc>
          <w:tcPr>
            <w:tcW w:w="4820" w:type="dxa"/>
            <w:shd w:val="clear" w:color="auto" w:fill="auto"/>
          </w:tcPr>
          <w:p w14:paraId="3FB3BCA0"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Bouteilles à gaz — Cadres de bouteilles — Conception, fabrication, essais et inspection</w:t>
            </w:r>
          </w:p>
        </w:tc>
        <w:tc>
          <w:tcPr>
            <w:tcW w:w="1275" w:type="dxa"/>
            <w:shd w:val="clear" w:color="auto" w:fill="auto"/>
          </w:tcPr>
          <w:p w14:paraId="6D582E7F"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7D443F98" w14:textId="77777777" w:rsidR="00CA3533" w:rsidRPr="00CA3533" w:rsidRDefault="00CA3533" w:rsidP="00CA3533">
      <w:pPr>
        <w:spacing w:before="120" w:after="120"/>
        <w:ind w:left="2268" w:right="1134" w:hanging="1134"/>
        <w:jc w:val="both"/>
        <w:rPr>
          <w:lang w:val="fr-FR"/>
        </w:rPr>
      </w:pPr>
      <w:r w:rsidRPr="00CA3533">
        <w:rPr>
          <w:lang w:val="fr-FR"/>
        </w:rPr>
        <w:tab/>
        <w:t>Remplacer le NOTA actuel après le tableau par :</w:t>
      </w:r>
    </w:p>
    <w:p w14:paraId="3E489AD6" w14:textId="01295114" w:rsidR="00CA3533" w:rsidRPr="00CA3533" w:rsidRDefault="00CA3533" w:rsidP="00640A87">
      <w:pPr>
        <w:spacing w:after="120"/>
        <w:ind w:left="2268" w:right="1134" w:hanging="1134"/>
        <w:jc w:val="both"/>
        <w:rPr>
          <w:i/>
          <w:lang w:val="fr-FR"/>
        </w:rPr>
      </w:pPr>
      <w:r w:rsidRPr="00CA3533">
        <w:rPr>
          <w:lang w:val="fr-FR"/>
        </w:rPr>
        <w:t>« </w:t>
      </w:r>
      <w:r w:rsidRPr="00CA3533">
        <w:rPr>
          <w:b/>
          <w:bCs/>
          <w:i/>
          <w:iCs/>
          <w:lang w:val="fr-FR"/>
        </w:rPr>
        <w:t>NOTA </w:t>
      </w:r>
      <w:r w:rsidRPr="00CA3533">
        <w:rPr>
          <w:b/>
          <w:i/>
          <w:iCs/>
          <w:lang w:val="fr-FR"/>
        </w:rPr>
        <w:t>:</w:t>
      </w:r>
      <w:r w:rsidRPr="00CA3533">
        <w:rPr>
          <w:i/>
          <w:lang w:val="fr-FR"/>
        </w:rPr>
        <w:t xml:space="preserve"> </w:t>
      </w:r>
      <w:r w:rsidR="00640A87">
        <w:rPr>
          <w:i/>
          <w:lang w:val="fr-FR"/>
        </w:rPr>
        <w:tab/>
      </w:r>
      <w:r w:rsidRPr="00CA3533">
        <w:rPr>
          <w:i/>
          <w:lang w:val="fr-FR"/>
        </w:rPr>
        <w:t>Il n’est pas nécessaire de refaire l’évaluation de la conformité d’un cadre de bouteilles portant la marque “UN” dans lequel une ou plusieurs bouteilles ou une ou plusieurs enveloppes de bouteilles ayant le même modèle type, y compris la même pression d’épreuve, ont été changées. L’équipement de service du cadre de bouteilles peut aussi être remplacé sans qu’il soit besoin de procéder à une nouvelle évaluation de conformité s’il est conforme au modèle type</w:t>
      </w:r>
      <w:r w:rsidRPr="00CA3533">
        <w:rPr>
          <w:i/>
          <w:iCs/>
          <w:lang w:val="fr-FR"/>
        </w:rPr>
        <w:t>.</w:t>
      </w:r>
      <w:r w:rsidRPr="00CA3533">
        <w:rPr>
          <w:lang w:val="fr-FR"/>
        </w:rPr>
        <w:t> »</w:t>
      </w:r>
    </w:p>
    <w:p w14:paraId="0268DDE3" w14:textId="77777777" w:rsidR="00CA3533" w:rsidRPr="00CA3533" w:rsidRDefault="00CA3533" w:rsidP="00CA3533">
      <w:pPr>
        <w:tabs>
          <w:tab w:val="left" w:pos="2268"/>
        </w:tabs>
        <w:spacing w:before="120" w:after="120"/>
        <w:ind w:left="2268" w:right="1134" w:hanging="1134"/>
        <w:jc w:val="both"/>
        <w:rPr>
          <w:lang w:val="fr-FR"/>
        </w:rPr>
      </w:pPr>
      <w:r w:rsidRPr="00CA3533">
        <w:rPr>
          <w:lang w:val="fr-FR" w:eastAsia="en-US"/>
        </w:rPr>
        <w:t>6.2.2.1.7</w:t>
      </w:r>
      <w:r w:rsidRPr="00CA3533">
        <w:rPr>
          <w:lang w:val="fr-FR" w:eastAsia="en-US"/>
        </w:rPr>
        <w:tab/>
      </w:r>
      <w:r w:rsidRPr="00CA3533">
        <w:rPr>
          <w:lang w:val="fr-FR" w:eastAsia="en-US"/>
        </w:rPr>
        <w:tab/>
      </w:r>
      <w:r w:rsidRPr="00CA3533">
        <w:rPr>
          <w:rFonts w:eastAsiaTheme="minorHAnsi"/>
          <w:lang w:val="fr-FR" w:eastAsia="en-US"/>
        </w:rPr>
        <w:t xml:space="preserve">Dans le tableau, pour « ISO 11513:2011 », dans la colonne « Applicable à la fabrication », remplacer « Jusqu’à nouvel ordre » par « Jusqu’au 31 décembre 2026 ». </w:t>
      </w:r>
      <w:r w:rsidRPr="00CA3533">
        <w:rPr>
          <w:lang w:val="fr-FR"/>
        </w:rPr>
        <w:t>Après la rubrique existante pour la norme « </w:t>
      </w:r>
      <w:r w:rsidRPr="00CA3533">
        <w:rPr>
          <w:rFonts w:eastAsiaTheme="minorHAnsi"/>
          <w:lang w:val="fr-FR" w:eastAsia="en-US"/>
        </w:rPr>
        <w:t>ISO 11513:2011 </w:t>
      </w:r>
      <w:r w:rsidRPr="00CA3533">
        <w:rPr>
          <w:lang w:val="fr-FR"/>
        </w:rPr>
        <w:t>»,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5C2DA224" w14:textId="77777777" w:rsidTr="00D56820">
        <w:tc>
          <w:tcPr>
            <w:tcW w:w="1544" w:type="dxa"/>
            <w:shd w:val="clear" w:color="auto" w:fill="auto"/>
          </w:tcPr>
          <w:p w14:paraId="0C14EE49" w14:textId="77777777" w:rsidR="00CA3533" w:rsidRPr="00CA3533" w:rsidRDefault="00CA3533" w:rsidP="00CA3533">
            <w:pPr>
              <w:kinsoku/>
              <w:overflowPunct/>
              <w:autoSpaceDE/>
              <w:autoSpaceDN/>
              <w:adjustRightInd/>
              <w:snapToGrid/>
              <w:rPr>
                <w:lang w:val="fr-FR" w:eastAsia="en-US"/>
              </w:rPr>
            </w:pPr>
            <w:r w:rsidRPr="00CA3533">
              <w:rPr>
                <w:lang w:val="fr-FR" w:eastAsia="en-US"/>
              </w:rPr>
              <w:t>ISO 11513:2019</w:t>
            </w:r>
          </w:p>
        </w:tc>
        <w:tc>
          <w:tcPr>
            <w:tcW w:w="4820" w:type="dxa"/>
            <w:shd w:val="clear" w:color="auto" w:fill="auto"/>
          </w:tcPr>
          <w:p w14:paraId="1A062F6E"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 xml:space="preserve">Bouteilles à gaz — Bouteilles en acier soudées rechargeables contenant des matériaux pour le stockage des gaz à une pression </w:t>
            </w:r>
            <w:proofErr w:type="spellStart"/>
            <w:r w:rsidRPr="00CA3533">
              <w:rPr>
                <w:iCs/>
                <w:lang w:val="fr-FR" w:eastAsia="en-US"/>
              </w:rPr>
              <w:t>sub</w:t>
            </w:r>
            <w:proofErr w:type="spellEnd"/>
            <w:r w:rsidRPr="00CA3533">
              <w:rPr>
                <w:iCs/>
                <w:lang w:val="fr-FR" w:eastAsia="en-US"/>
              </w:rPr>
              <w:t>-atmosphérique (à l'exclusion de l'acétylène) — Conception, fabrication, essais, utilisation et contrôle périodique</w:t>
            </w:r>
          </w:p>
        </w:tc>
        <w:tc>
          <w:tcPr>
            <w:tcW w:w="1275" w:type="dxa"/>
            <w:shd w:val="clear" w:color="auto" w:fill="auto"/>
          </w:tcPr>
          <w:p w14:paraId="7A564F50"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5DB21ADD" w14:textId="77777777" w:rsidR="00CA3533" w:rsidRPr="00CA3533" w:rsidRDefault="00CA3533" w:rsidP="00CA3533">
      <w:pPr>
        <w:spacing w:before="120" w:after="120"/>
        <w:ind w:left="2268" w:right="1134" w:hanging="1134"/>
        <w:jc w:val="both"/>
        <w:rPr>
          <w:lang w:val="fr-FR"/>
        </w:rPr>
      </w:pPr>
      <w:r w:rsidRPr="00CA3533">
        <w:rPr>
          <w:lang w:val="fr-FR" w:eastAsia="en-US"/>
        </w:rPr>
        <w:tab/>
      </w:r>
      <w:r w:rsidRPr="00CA3533">
        <w:rPr>
          <w:rFonts w:eastAsiaTheme="minorHAnsi"/>
          <w:lang w:val="fr-FR" w:eastAsia="en-US"/>
        </w:rPr>
        <w:t xml:space="preserve">Dans le tableau, pour « ISO 9809-1:2010 », dans la colonne « Applicable à la fabrication », remplacer « Jusqu’à nouvel ordre » par « Jusqu’au 31 décembre 2026 ». </w:t>
      </w:r>
      <w:r w:rsidRPr="00CA3533">
        <w:rPr>
          <w:lang w:val="fr-FR"/>
        </w:rPr>
        <w:t>Après la rubrique existante pour la norme « </w:t>
      </w:r>
      <w:r w:rsidRPr="00CA3533">
        <w:rPr>
          <w:rFonts w:eastAsiaTheme="minorHAnsi"/>
          <w:lang w:val="fr-FR" w:eastAsia="en-US"/>
        </w:rPr>
        <w:t>ISO 9809-1:2010</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0DF71327" w14:textId="77777777" w:rsidTr="00D56820">
        <w:tc>
          <w:tcPr>
            <w:tcW w:w="1544" w:type="dxa"/>
            <w:shd w:val="clear" w:color="auto" w:fill="auto"/>
          </w:tcPr>
          <w:p w14:paraId="14BD7DAF" w14:textId="77777777" w:rsidR="00CA3533" w:rsidRPr="00CA3533" w:rsidRDefault="00CA3533" w:rsidP="00CA3533">
            <w:pPr>
              <w:kinsoku/>
              <w:overflowPunct/>
              <w:autoSpaceDE/>
              <w:autoSpaceDN/>
              <w:adjustRightInd/>
              <w:snapToGrid/>
              <w:rPr>
                <w:lang w:val="fr-FR" w:eastAsia="en-US"/>
              </w:rPr>
            </w:pPr>
            <w:r w:rsidRPr="00CA3533">
              <w:rPr>
                <w:lang w:val="fr-FR" w:eastAsia="en-US"/>
              </w:rPr>
              <w:t xml:space="preserve">ISO 9809-1:2019 </w:t>
            </w:r>
          </w:p>
        </w:tc>
        <w:tc>
          <w:tcPr>
            <w:tcW w:w="4820" w:type="dxa"/>
            <w:shd w:val="clear" w:color="auto" w:fill="auto"/>
          </w:tcPr>
          <w:p w14:paraId="448B5D8B"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31907577"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5AA66621" w14:textId="77777777" w:rsidR="00CA3533" w:rsidRPr="00CA3533" w:rsidRDefault="00CA3533" w:rsidP="00CA3533">
      <w:pPr>
        <w:spacing w:before="120" w:after="120"/>
        <w:ind w:left="2268" w:right="1134" w:hanging="1134"/>
        <w:jc w:val="both"/>
        <w:rPr>
          <w:lang w:val="fr-FR"/>
        </w:rPr>
      </w:pPr>
      <w:r w:rsidRPr="00CA3533">
        <w:rPr>
          <w:lang w:val="fr-FR"/>
        </w:rPr>
        <w:t>6.2.2.1.8</w:t>
      </w:r>
      <w:r w:rsidRPr="00CA3533">
        <w:rPr>
          <w:lang w:val="fr-FR"/>
        </w:rPr>
        <w:tab/>
        <w:t>Dans le tableau, pour la norme ISO 21172-1:2015, remplacer « Jusqu’à nouvel ordre » par « Jusqu’au 31 décembre 2026 ». Après la norme ISO 21172-1:2015,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4444"/>
        <w:gridCol w:w="1275"/>
      </w:tblGrid>
      <w:tr w:rsidR="00CA3533" w:rsidRPr="00CA3533" w14:paraId="668BCBC8" w14:textId="77777777" w:rsidTr="00D56820">
        <w:tc>
          <w:tcPr>
            <w:tcW w:w="1760" w:type="dxa"/>
            <w:shd w:val="clear" w:color="auto" w:fill="auto"/>
          </w:tcPr>
          <w:p w14:paraId="3CA8EB36" w14:textId="77777777" w:rsidR="00CA3533" w:rsidRPr="00CA3533" w:rsidRDefault="00CA3533" w:rsidP="00CA3533">
            <w:pPr>
              <w:rPr>
                <w:lang w:val="fr-FR"/>
              </w:rPr>
            </w:pPr>
            <w:r w:rsidRPr="00CA3533">
              <w:rPr>
                <w:lang w:val="fr-FR"/>
              </w:rPr>
              <w:t xml:space="preserve">ISO 21172-1:2015 + </w:t>
            </w:r>
            <w:proofErr w:type="spellStart"/>
            <w:r w:rsidRPr="00CA3533">
              <w:rPr>
                <w:lang w:val="fr-FR"/>
              </w:rPr>
              <w:t>Amd</w:t>
            </w:r>
            <w:proofErr w:type="spellEnd"/>
            <w:r w:rsidRPr="00CA3533">
              <w:rPr>
                <w:lang w:val="fr-FR"/>
              </w:rPr>
              <w:t xml:space="preserve"> 1:2018</w:t>
            </w:r>
          </w:p>
        </w:tc>
        <w:tc>
          <w:tcPr>
            <w:tcW w:w="4444" w:type="dxa"/>
            <w:shd w:val="clear" w:color="auto" w:fill="auto"/>
          </w:tcPr>
          <w:p w14:paraId="37544DAF" w14:textId="77777777" w:rsidR="00CA3533" w:rsidRPr="00CA3533" w:rsidRDefault="00CA3533" w:rsidP="00CA3533">
            <w:pPr>
              <w:rPr>
                <w:lang w:val="fr-FR"/>
              </w:rPr>
            </w:pPr>
            <w:r w:rsidRPr="00CA3533">
              <w:rPr>
                <w:lang w:val="fr-FR"/>
              </w:rPr>
              <w:t xml:space="preserve">Bouteilles à gaz − Fûts soudés de capacité inférieure ou égale à 3 000 litres destinés au transport des gaz − Partie 1 : Capacité jusqu’à 1 000 litres </w:t>
            </w:r>
          </w:p>
        </w:tc>
        <w:tc>
          <w:tcPr>
            <w:tcW w:w="1275" w:type="dxa"/>
            <w:shd w:val="clear" w:color="auto" w:fill="auto"/>
          </w:tcPr>
          <w:p w14:paraId="38350EF6" w14:textId="77777777" w:rsidR="00CA3533" w:rsidRPr="00CA3533" w:rsidRDefault="00CA3533" w:rsidP="00CA3533">
            <w:pPr>
              <w:rPr>
                <w:lang w:val="fr-FR"/>
              </w:rPr>
            </w:pPr>
            <w:r w:rsidRPr="00CA3533">
              <w:rPr>
                <w:lang w:val="fr-FR"/>
              </w:rPr>
              <w:t>Jusqu’à nouvel ordre</w:t>
            </w:r>
          </w:p>
        </w:tc>
      </w:tr>
    </w:tbl>
    <w:p w14:paraId="1C159E63" w14:textId="0095CCD2" w:rsidR="00CA3533" w:rsidRPr="00CA3533" w:rsidRDefault="00CA3533" w:rsidP="00CA3533">
      <w:pPr>
        <w:spacing w:before="120" w:after="120"/>
        <w:ind w:left="2268" w:right="1134" w:hanging="1134"/>
        <w:jc w:val="both"/>
        <w:rPr>
          <w:lang w:val="fr-FR"/>
        </w:rPr>
      </w:pPr>
      <w:r w:rsidRPr="00CA3533">
        <w:rPr>
          <w:lang w:val="fr-FR"/>
        </w:rPr>
        <w:t xml:space="preserve">Ajouter un nouveau </w:t>
      </w:r>
      <w:r w:rsidR="00147482" w:rsidRPr="00CA3533">
        <w:rPr>
          <w:lang w:val="fr-FR"/>
        </w:rPr>
        <w:t>6.2.2.1.9</w:t>
      </w:r>
      <w:r w:rsidR="00147482">
        <w:rPr>
          <w:lang w:val="fr-FR"/>
        </w:rPr>
        <w:t xml:space="preserve"> </w:t>
      </w:r>
      <w:r w:rsidRPr="00CA3533">
        <w:rPr>
          <w:lang w:val="fr-FR"/>
        </w:rPr>
        <w:t>et un nouveau tableau, comme suit :</w:t>
      </w:r>
    </w:p>
    <w:p w14:paraId="0469F092" w14:textId="77777777" w:rsidR="00CA3533" w:rsidRPr="00CA3533" w:rsidRDefault="00CA3533" w:rsidP="00CA3533">
      <w:pPr>
        <w:spacing w:after="120"/>
        <w:ind w:left="2268" w:right="1134" w:hanging="1134"/>
        <w:jc w:val="both"/>
        <w:rPr>
          <w:lang w:val="fr-FR"/>
        </w:rPr>
      </w:pPr>
      <w:r w:rsidRPr="00CA3533">
        <w:rPr>
          <w:lang w:val="fr-FR"/>
        </w:rPr>
        <w:t>« 6.2.2.1.9</w:t>
      </w:r>
      <w:r w:rsidRPr="00CA3533">
        <w:rPr>
          <w:lang w:val="fr-FR"/>
        </w:rPr>
        <w:tab/>
        <w:t>Les normes ci-après s’appliquent à la conception, à la construction ainsi qu’aux épreuves et aux contrôles initiaux des bouteilles non rechargeables portant la marque “UN”, si ce n’est que les prescriptions de contrôle relatives au système d’évaluation de conformité et à l’agrément doivent être conformes au 6.2.2.5.</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8"/>
        <w:gridCol w:w="3616"/>
        <w:gridCol w:w="1946"/>
      </w:tblGrid>
      <w:tr w:rsidR="00CA3533" w:rsidRPr="00CA3533" w14:paraId="7C33DF7C" w14:textId="77777777" w:rsidTr="00D56820">
        <w:trPr>
          <w:cantSplit/>
          <w:tblHeader/>
        </w:trPr>
        <w:tc>
          <w:tcPr>
            <w:tcW w:w="1808" w:type="dxa"/>
            <w:tcBorders>
              <w:bottom w:val="single" w:sz="4" w:space="0" w:color="auto"/>
            </w:tcBorders>
            <w:shd w:val="clear" w:color="auto" w:fill="auto"/>
            <w:vAlign w:val="center"/>
          </w:tcPr>
          <w:p w14:paraId="6F3EB1C8" w14:textId="391338D8" w:rsidR="00CA3533" w:rsidRPr="00CA3533" w:rsidRDefault="00EC0C24" w:rsidP="00CA3533">
            <w:pPr>
              <w:spacing w:before="80" w:after="80" w:line="200" w:lineRule="exact"/>
              <w:ind w:left="57" w:right="57"/>
              <w:jc w:val="center"/>
              <w:rPr>
                <w:b/>
                <w:lang w:val="fr-FR"/>
              </w:rPr>
            </w:pPr>
            <w:r>
              <w:rPr>
                <w:b/>
                <w:lang w:val="fr-FR"/>
              </w:rPr>
              <w:lastRenderedPageBreak/>
              <w:t>Norme</w:t>
            </w:r>
          </w:p>
        </w:tc>
        <w:tc>
          <w:tcPr>
            <w:tcW w:w="3616" w:type="dxa"/>
            <w:tcBorders>
              <w:bottom w:val="single" w:sz="4" w:space="0" w:color="auto"/>
            </w:tcBorders>
            <w:shd w:val="clear" w:color="auto" w:fill="auto"/>
            <w:vAlign w:val="center"/>
          </w:tcPr>
          <w:p w14:paraId="53372DF5" w14:textId="77777777" w:rsidR="00CA3533" w:rsidRPr="00CA3533" w:rsidRDefault="00CA3533" w:rsidP="00CA3533">
            <w:pPr>
              <w:spacing w:before="80" w:after="80" w:line="200" w:lineRule="exact"/>
              <w:ind w:left="57" w:right="57"/>
              <w:jc w:val="center"/>
              <w:rPr>
                <w:b/>
                <w:lang w:val="fr-FR"/>
              </w:rPr>
            </w:pPr>
            <w:r w:rsidRPr="00CA3533">
              <w:rPr>
                <w:b/>
                <w:lang w:val="fr-FR"/>
              </w:rPr>
              <w:t>Titre</w:t>
            </w:r>
          </w:p>
        </w:tc>
        <w:tc>
          <w:tcPr>
            <w:tcW w:w="1946" w:type="dxa"/>
            <w:tcBorders>
              <w:bottom w:val="single" w:sz="4" w:space="0" w:color="auto"/>
            </w:tcBorders>
            <w:shd w:val="clear" w:color="auto" w:fill="auto"/>
            <w:vAlign w:val="center"/>
          </w:tcPr>
          <w:p w14:paraId="06EAE3DA" w14:textId="77777777" w:rsidR="00CA3533" w:rsidRPr="00CA3533" w:rsidRDefault="00CA3533" w:rsidP="00CA3533">
            <w:pPr>
              <w:spacing w:before="80" w:after="80" w:line="200" w:lineRule="exact"/>
              <w:ind w:left="57" w:right="57"/>
              <w:jc w:val="center"/>
              <w:rPr>
                <w:b/>
                <w:lang w:val="fr-FR"/>
              </w:rPr>
            </w:pPr>
            <w:r w:rsidRPr="00CA3533">
              <w:rPr>
                <w:b/>
                <w:lang w:val="fr-FR"/>
              </w:rPr>
              <w:t>Applicable à la fabrication</w:t>
            </w:r>
          </w:p>
        </w:tc>
      </w:tr>
      <w:tr w:rsidR="00CA3533" w:rsidRPr="00CA3533" w14:paraId="5FB57338" w14:textId="77777777" w:rsidTr="00D56820">
        <w:trPr>
          <w:cantSplit/>
        </w:trPr>
        <w:tc>
          <w:tcPr>
            <w:tcW w:w="1808" w:type="dxa"/>
            <w:tcBorders>
              <w:top w:val="nil"/>
            </w:tcBorders>
            <w:shd w:val="clear" w:color="auto" w:fill="auto"/>
          </w:tcPr>
          <w:p w14:paraId="6D118836" w14:textId="77777777" w:rsidR="00CA3533" w:rsidRPr="00CA3533" w:rsidRDefault="00CA3533" w:rsidP="00CA3533">
            <w:pPr>
              <w:spacing w:before="40" w:after="120"/>
              <w:ind w:left="57" w:right="57"/>
              <w:rPr>
                <w:lang w:val="fr-FR"/>
              </w:rPr>
            </w:pPr>
            <w:r w:rsidRPr="00CA3533">
              <w:rPr>
                <w:lang w:val="fr-FR"/>
              </w:rPr>
              <w:t>ISO 11118:1999</w:t>
            </w:r>
          </w:p>
        </w:tc>
        <w:tc>
          <w:tcPr>
            <w:tcW w:w="3616" w:type="dxa"/>
            <w:tcBorders>
              <w:top w:val="nil"/>
            </w:tcBorders>
            <w:shd w:val="clear" w:color="auto" w:fill="auto"/>
          </w:tcPr>
          <w:p w14:paraId="54A37CAC" w14:textId="77777777" w:rsidR="00CA3533" w:rsidRPr="00CA3533" w:rsidRDefault="00CA3533" w:rsidP="00CA3533">
            <w:pPr>
              <w:spacing w:before="40" w:after="120"/>
              <w:ind w:left="57" w:right="57"/>
              <w:rPr>
                <w:lang w:val="fr-FR"/>
              </w:rPr>
            </w:pPr>
            <w:r w:rsidRPr="00CA3533">
              <w:rPr>
                <w:lang w:val="fr-FR"/>
              </w:rPr>
              <w:t>Bouteilles à gaz − Bouteilles à gaz métalliques non rechargeables − Spécifications et méthodes d’essai</w:t>
            </w:r>
          </w:p>
        </w:tc>
        <w:tc>
          <w:tcPr>
            <w:tcW w:w="1946" w:type="dxa"/>
            <w:tcBorders>
              <w:top w:val="nil"/>
            </w:tcBorders>
            <w:shd w:val="clear" w:color="auto" w:fill="auto"/>
          </w:tcPr>
          <w:p w14:paraId="1EF2B278" w14:textId="77777777" w:rsidR="00CA3533" w:rsidRPr="00CA3533" w:rsidRDefault="00CA3533" w:rsidP="00CA3533">
            <w:pPr>
              <w:spacing w:before="40" w:after="120"/>
              <w:ind w:left="57" w:right="57"/>
              <w:rPr>
                <w:lang w:val="fr-FR"/>
              </w:rPr>
            </w:pPr>
            <w:r w:rsidRPr="00CA3533">
              <w:rPr>
                <w:lang w:val="fr-FR"/>
              </w:rPr>
              <w:t>Jusqu’au 31 décembre 2020</w:t>
            </w:r>
          </w:p>
        </w:tc>
      </w:tr>
      <w:tr w:rsidR="00CA3533" w:rsidRPr="00CA3533" w14:paraId="1EBDE02D" w14:textId="77777777" w:rsidTr="00D56820">
        <w:tc>
          <w:tcPr>
            <w:tcW w:w="1808" w:type="dxa"/>
            <w:shd w:val="clear" w:color="auto" w:fill="auto"/>
          </w:tcPr>
          <w:p w14:paraId="4F120C13" w14:textId="77777777" w:rsidR="00CA3533" w:rsidRPr="00CA3533" w:rsidRDefault="00CA3533" w:rsidP="00CA3533">
            <w:pPr>
              <w:spacing w:before="40" w:after="120"/>
              <w:ind w:left="57" w:right="57"/>
              <w:rPr>
                <w:lang w:val="fr-FR"/>
              </w:rPr>
            </w:pPr>
            <w:r w:rsidRPr="00CA3533">
              <w:rPr>
                <w:lang w:val="fr-FR"/>
              </w:rPr>
              <w:t>ISO 13340:2001</w:t>
            </w:r>
          </w:p>
        </w:tc>
        <w:tc>
          <w:tcPr>
            <w:tcW w:w="3616" w:type="dxa"/>
            <w:shd w:val="clear" w:color="auto" w:fill="auto"/>
          </w:tcPr>
          <w:p w14:paraId="026621DA" w14:textId="77777777" w:rsidR="00CA3533" w:rsidRPr="00CA3533" w:rsidRDefault="00CA3533" w:rsidP="00CA3533">
            <w:pPr>
              <w:spacing w:before="40" w:after="120"/>
              <w:ind w:left="57" w:right="57"/>
              <w:rPr>
                <w:lang w:val="fr-FR"/>
              </w:rPr>
            </w:pPr>
            <w:r w:rsidRPr="00CA3533">
              <w:rPr>
                <w:lang w:val="fr-FR"/>
              </w:rPr>
              <w:t>Bouteilles à gaz transportables − Robinets pour bouteilles à gaz non rechargeables − Spécifications et essais de prototype</w:t>
            </w:r>
          </w:p>
        </w:tc>
        <w:tc>
          <w:tcPr>
            <w:tcW w:w="1946" w:type="dxa"/>
            <w:shd w:val="clear" w:color="auto" w:fill="auto"/>
          </w:tcPr>
          <w:p w14:paraId="232D5FB8" w14:textId="77777777" w:rsidR="00CA3533" w:rsidRPr="00CA3533" w:rsidRDefault="00CA3533" w:rsidP="00CA3533">
            <w:pPr>
              <w:spacing w:before="40" w:after="120"/>
              <w:ind w:left="57" w:right="57"/>
              <w:rPr>
                <w:lang w:val="fr-FR"/>
              </w:rPr>
            </w:pPr>
            <w:r w:rsidRPr="00CA3533">
              <w:rPr>
                <w:lang w:val="fr-FR"/>
              </w:rPr>
              <w:t>Jusqu’au 31 décembre 2020</w:t>
            </w:r>
          </w:p>
        </w:tc>
      </w:tr>
      <w:tr w:rsidR="00CA3533" w:rsidRPr="00CA3533" w14:paraId="72AD4E4E" w14:textId="77777777" w:rsidTr="00D56820">
        <w:tc>
          <w:tcPr>
            <w:tcW w:w="1808" w:type="dxa"/>
            <w:shd w:val="clear" w:color="auto" w:fill="auto"/>
          </w:tcPr>
          <w:p w14:paraId="754DF004" w14:textId="77777777" w:rsidR="00CA3533" w:rsidRPr="00CA3533" w:rsidRDefault="00CA3533" w:rsidP="00CA3533">
            <w:pPr>
              <w:spacing w:before="40" w:after="120"/>
              <w:ind w:left="57" w:right="57"/>
              <w:rPr>
                <w:lang w:val="fr-FR"/>
              </w:rPr>
            </w:pPr>
            <w:r w:rsidRPr="00CA3533">
              <w:rPr>
                <w:lang w:val="fr-FR"/>
              </w:rPr>
              <w:t>ISO 11118:2015</w:t>
            </w:r>
          </w:p>
        </w:tc>
        <w:tc>
          <w:tcPr>
            <w:tcW w:w="3616" w:type="dxa"/>
            <w:shd w:val="clear" w:color="auto" w:fill="auto"/>
          </w:tcPr>
          <w:p w14:paraId="49FDC935" w14:textId="77777777" w:rsidR="00CA3533" w:rsidRPr="00CA3533" w:rsidRDefault="00CA3533" w:rsidP="00CA3533">
            <w:pPr>
              <w:spacing w:before="40" w:after="120"/>
              <w:ind w:left="57" w:right="57"/>
              <w:rPr>
                <w:lang w:val="fr-FR"/>
              </w:rPr>
            </w:pPr>
            <w:r w:rsidRPr="00CA3533">
              <w:rPr>
                <w:lang w:val="fr-FR"/>
              </w:rPr>
              <w:t>Bouteilles à gaz − Bouteilles à gaz métalliques non rechargeables − Spécifications et méthodes d’essai</w:t>
            </w:r>
          </w:p>
        </w:tc>
        <w:tc>
          <w:tcPr>
            <w:tcW w:w="1946" w:type="dxa"/>
            <w:shd w:val="clear" w:color="auto" w:fill="auto"/>
          </w:tcPr>
          <w:p w14:paraId="281CC48E" w14:textId="77777777" w:rsidR="00CA3533" w:rsidRPr="00CA3533" w:rsidRDefault="00CA3533" w:rsidP="00CA3533">
            <w:pPr>
              <w:spacing w:before="40" w:after="120"/>
              <w:ind w:left="57" w:right="57"/>
              <w:rPr>
                <w:lang w:val="fr-FR"/>
              </w:rPr>
            </w:pPr>
            <w:r w:rsidRPr="00CA3533">
              <w:rPr>
                <w:rFonts w:eastAsiaTheme="minorHAnsi"/>
                <w:lang w:val="fr-FR" w:eastAsia="en-US"/>
              </w:rPr>
              <w:t>Jusqu’au 31 décembre 2026</w:t>
            </w:r>
          </w:p>
        </w:tc>
      </w:tr>
      <w:tr w:rsidR="00CA3533" w:rsidRPr="00CA3533" w14:paraId="11EF4565" w14:textId="77777777" w:rsidTr="00D56820">
        <w:tc>
          <w:tcPr>
            <w:tcW w:w="1808" w:type="dxa"/>
            <w:shd w:val="clear" w:color="auto" w:fill="auto"/>
          </w:tcPr>
          <w:p w14:paraId="7DA1F48D" w14:textId="77777777" w:rsidR="00CA3533" w:rsidRPr="00CA3533" w:rsidRDefault="00CA3533" w:rsidP="00CA3533">
            <w:pPr>
              <w:spacing w:before="40" w:after="120"/>
              <w:ind w:left="57" w:right="57"/>
              <w:rPr>
                <w:lang w:val="fr-FR"/>
              </w:rPr>
            </w:pPr>
            <w:r w:rsidRPr="00CA3533">
              <w:rPr>
                <w:lang w:val="fr-FR" w:eastAsia="en-US"/>
              </w:rPr>
              <w:t>ISO 11118:2015 +Amd.1:2019</w:t>
            </w:r>
          </w:p>
        </w:tc>
        <w:tc>
          <w:tcPr>
            <w:tcW w:w="3616" w:type="dxa"/>
            <w:shd w:val="clear" w:color="auto" w:fill="auto"/>
          </w:tcPr>
          <w:p w14:paraId="492FCCEB" w14:textId="77777777" w:rsidR="00CA3533" w:rsidRPr="00CA3533" w:rsidRDefault="00CA3533" w:rsidP="00CA3533">
            <w:pPr>
              <w:spacing w:before="40" w:after="120"/>
              <w:ind w:left="57" w:right="57"/>
              <w:rPr>
                <w:lang w:val="fr-FR"/>
              </w:rPr>
            </w:pPr>
            <w:r w:rsidRPr="00CA3533">
              <w:rPr>
                <w:iCs/>
                <w:lang w:val="fr-FR" w:eastAsia="en-US"/>
              </w:rPr>
              <w:t xml:space="preserve">Bouteilles à gaz </w:t>
            </w:r>
            <w:r w:rsidRPr="00CA3533">
              <w:rPr>
                <w:lang w:val="fr-FR"/>
              </w:rPr>
              <w:t>−</w:t>
            </w:r>
            <w:r w:rsidRPr="00CA3533">
              <w:rPr>
                <w:iCs/>
                <w:lang w:val="fr-FR" w:eastAsia="en-US"/>
              </w:rPr>
              <w:t xml:space="preserve"> Bouteilles à gaz métalliques non rechargeables </w:t>
            </w:r>
            <w:r w:rsidRPr="00CA3533">
              <w:rPr>
                <w:lang w:val="fr-FR"/>
              </w:rPr>
              <w:t>−</w:t>
            </w:r>
            <w:r w:rsidRPr="00CA3533">
              <w:rPr>
                <w:iCs/>
                <w:lang w:val="fr-FR" w:eastAsia="en-US"/>
              </w:rPr>
              <w:t xml:space="preserve"> Spécifications et méthodes d'essai</w:t>
            </w:r>
          </w:p>
        </w:tc>
        <w:tc>
          <w:tcPr>
            <w:tcW w:w="1946" w:type="dxa"/>
            <w:shd w:val="clear" w:color="auto" w:fill="auto"/>
          </w:tcPr>
          <w:p w14:paraId="49D52B69" w14:textId="77777777" w:rsidR="00CA3533" w:rsidRPr="00CA3533" w:rsidRDefault="00CA3533" w:rsidP="00CA3533">
            <w:pPr>
              <w:spacing w:before="40" w:after="120"/>
              <w:ind w:left="57" w:right="57"/>
              <w:rPr>
                <w:rFonts w:eastAsiaTheme="minorHAnsi"/>
                <w:lang w:val="fr-FR" w:eastAsia="en-US"/>
              </w:rPr>
            </w:pPr>
            <w:r w:rsidRPr="00CA3533">
              <w:rPr>
                <w:rFonts w:eastAsiaTheme="minorHAnsi"/>
                <w:lang w:val="fr-FR" w:eastAsia="en-US"/>
              </w:rPr>
              <w:t>Jusqu’à nouvel ordre</w:t>
            </w:r>
          </w:p>
        </w:tc>
      </w:tr>
    </w:tbl>
    <w:p w14:paraId="2345FCE6" w14:textId="79E5F120" w:rsidR="00CA3533" w:rsidRPr="00CA3533" w:rsidRDefault="00CA3533" w:rsidP="00CA3533">
      <w:pPr>
        <w:spacing w:before="120" w:after="120"/>
        <w:ind w:left="1134" w:right="1134"/>
        <w:jc w:val="right"/>
        <w:rPr>
          <w:lang w:val="fr-FR"/>
        </w:rPr>
      </w:pPr>
      <w:r w:rsidRPr="00CA3533">
        <w:rPr>
          <w:lang w:val="fr-FR"/>
        </w:rPr>
        <w:t> »</w:t>
      </w:r>
    </w:p>
    <w:p w14:paraId="4F03C8CA" w14:textId="77777777" w:rsidR="00CA3533" w:rsidRPr="00CA3533" w:rsidRDefault="00CA3533" w:rsidP="00CA3533">
      <w:pPr>
        <w:spacing w:before="120" w:after="120"/>
        <w:ind w:left="2268" w:right="1134" w:hanging="1134"/>
        <w:jc w:val="both"/>
        <w:rPr>
          <w:lang w:val="fr-FR"/>
        </w:rPr>
      </w:pPr>
      <w:r w:rsidRPr="00CA3533">
        <w:rPr>
          <w:lang w:val="fr-FR"/>
        </w:rPr>
        <w:t>6.2.2.2</w:t>
      </w:r>
      <w:r w:rsidRPr="00CA3533">
        <w:rPr>
          <w:lang w:val="fr-FR"/>
        </w:rPr>
        <w:tab/>
      </w:r>
      <w:r w:rsidRPr="00CA3533">
        <w:rPr>
          <w:lang w:val="fr-FR"/>
        </w:rPr>
        <w:tab/>
        <w:t>Dans la première phrase, supprimer « des récipients à pression ». Dans le tableau, ajouter la nouvelle ligne de titre suivante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7"/>
        <w:gridCol w:w="4914"/>
      </w:tblGrid>
      <w:tr w:rsidR="00CA3533" w:rsidRPr="00CA3533" w14:paraId="117C4ED1" w14:textId="77777777" w:rsidTr="00D56820">
        <w:trPr>
          <w:cantSplit/>
          <w:tblHeader/>
        </w:trPr>
        <w:tc>
          <w:tcPr>
            <w:tcW w:w="1808" w:type="dxa"/>
            <w:tcBorders>
              <w:bottom w:val="single" w:sz="4" w:space="0" w:color="auto"/>
            </w:tcBorders>
            <w:shd w:val="clear" w:color="auto" w:fill="auto"/>
            <w:vAlign w:val="center"/>
          </w:tcPr>
          <w:p w14:paraId="5F3AC0ED" w14:textId="31789481" w:rsidR="00CA3533" w:rsidRPr="00CA3533" w:rsidRDefault="00C03A17" w:rsidP="00CA3533">
            <w:pPr>
              <w:spacing w:before="80" w:after="80" w:line="200" w:lineRule="exact"/>
              <w:ind w:left="57" w:right="57"/>
              <w:jc w:val="center"/>
              <w:rPr>
                <w:b/>
                <w:lang w:val="fr-FR"/>
              </w:rPr>
            </w:pPr>
            <w:r>
              <w:rPr>
                <w:b/>
                <w:lang w:val="fr-FR"/>
              </w:rPr>
              <w:t>Norme</w:t>
            </w:r>
          </w:p>
        </w:tc>
        <w:tc>
          <w:tcPr>
            <w:tcW w:w="3616" w:type="dxa"/>
            <w:tcBorders>
              <w:bottom w:val="single" w:sz="4" w:space="0" w:color="auto"/>
            </w:tcBorders>
            <w:shd w:val="clear" w:color="auto" w:fill="auto"/>
            <w:vAlign w:val="center"/>
          </w:tcPr>
          <w:p w14:paraId="6C08323D" w14:textId="77777777" w:rsidR="00CA3533" w:rsidRPr="00CA3533" w:rsidRDefault="00CA3533" w:rsidP="00CA3533">
            <w:pPr>
              <w:spacing w:before="80" w:after="80" w:line="200" w:lineRule="exact"/>
              <w:ind w:left="57" w:right="57"/>
              <w:jc w:val="center"/>
              <w:rPr>
                <w:b/>
                <w:lang w:val="fr-FR"/>
              </w:rPr>
            </w:pPr>
            <w:r w:rsidRPr="00CA3533">
              <w:rPr>
                <w:b/>
                <w:lang w:val="fr-FR"/>
              </w:rPr>
              <w:t>Titre</w:t>
            </w:r>
          </w:p>
        </w:tc>
      </w:tr>
    </w:tbl>
    <w:p w14:paraId="68E856C1" w14:textId="77777777" w:rsidR="00CA3533" w:rsidRPr="002E71B0" w:rsidRDefault="00CA3533" w:rsidP="00CA3533">
      <w:pPr>
        <w:spacing w:before="120" w:after="120"/>
        <w:ind w:left="2268" w:right="1134" w:hanging="1134"/>
        <w:jc w:val="both"/>
        <w:rPr>
          <w:lang w:val="fr-FR"/>
        </w:rPr>
      </w:pPr>
      <w:r w:rsidRPr="002E71B0">
        <w:rPr>
          <w:lang w:val="fr-FR"/>
        </w:rPr>
        <w:t>6.2.2.3</w:t>
      </w:r>
      <w:r w:rsidRPr="002E71B0">
        <w:rPr>
          <w:lang w:val="fr-FR"/>
        </w:rPr>
        <w:tab/>
      </w:r>
      <w:r w:rsidRPr="002E71B0">
        <w:rPr>
          <w:lang w:val="fr-FR"/>
        </w:rPr>
        <w:tab/>
        <w:t>Remplacer le titre « Équipement de service » par « Fermetures et leur protection ».</w:t>
      </w:r>
    </w:p>
    <w:p w14:paraId="3455181C" w14:textId="77777777" w:rsidR="00CA3533" w:rsidRPr="00CA3533" w:rsidRDefault="00CA3533" w:rsidP="00CA3533">
      <w:pPr>
        <w:spacing w:before="120" w:after="120"/>
        <w:ind w:left="2268" w:right="1134" w:hanging="1134"/>
        <w:jc w:val="both"/>
        <w:rPr>
          <w:lang w:val="fr-FR"/>
        </w:rPr>
      </w:pPr>
      <w:r w:rsidRPr="00CA3533">
        <w:rPr>
          <w:lang w:val="fr-FR"/>
        </w:rPr>
        <w:tab/>
      </w:r>
      <w:r w:rsidRPr="00CA3533">
        <w:rPr>
          <w:lang w:val="fr-FR"/>
        </w:rPr>
        <w:tab/>
        <w:t>Remplacer la première phrase par : « </w:t>
      </w:r>
      <w:bookmarkStart w:id="14" w:name="_Hlk69224963"/>
      <w:r w:rsidRPr="00CA3533">
        <w:rPr>
          <w:lang w:val="fr-FR"/>
        </w:rPr>
        <w:t>Les normes ci-après s’appliquent à la conception, à la construction ainsi qu’aux épreuves et aux contrôles initiaux des fermetures et de leur protection :</w:t>
      </w:r>
      <w:bookmarkEnd w:id="14"/>
      <w:r w:rsidRPr="00CA3533">
        <w:rPr>
          <w:lang w:val="fr-FR"/>
        </w:rPr>
        <w:t xml:space="preserve"> ». </w:t>
      </w:r>
    </w:p>
    <w:p w14:paraId="3F8AB686" w14:textId="77777777" w:rsidR="00CA3533" w:rsidRPr="00CA3533" w:rsidRDefault="00CA3533" w:rsidP="00CA3533">
      <w:pPr>
        <w:spacing w:after="120"/>
        <w:ind w:left="2268" w:right="1134" w:hanging="1134"/>
        <w:jc w:val="both"/>
        <w:rPr>
          <w:lang w:val="fr-FR"/>
        </w:rPr>
      </w:pPr>
      <w:r w:rsidRPr="00CA3533">
        <w:rPr>
          <w:lang w:val="fr-FR" w:eastAsia="en-US"/>
        </w:rPr>
        <w:tab/>
      </w:r>
      <w:r w:rsidRPr="00CA3533">
        <w:rPr>
          <w:lang w:val="fr-FR" w:eastAsia="en-US"/>
        </w:rPr>
        <w:tab/>
      </w:r>
      <w:r w:rsidRPr="00CA3533">
        <w:rPr>
          <w:rFonts w:eastAsiaTheme="minorHAnsi"/>
          <w:lang w:val="fr-FR" w:eastAsia="en-US"/>
        </w:rPr>
        <w:t xml:space="preserve">Dans le premier tableau, pour « ISO 11117:2008 + Cor.1:2009 », dans la colonne « Applicable à la fabrication », remplacer « Jusqu’à nouvel ordre » par « Jusqu’au 31 décembre 2026 ». </w:t>
      </w:r>
      <w:r w:rsidRPr="00CA3533">
        <w:rPr>
          <w:lang w:val="fr-FR"/>
        </w:rPr>
        <w:t>Après la rubrique existante pour la norme « </w:t>
      </w:r>
      <w:r w:rsidRPr="00CA3533">
        <w:rPr>
          <w:rFonts w:eastAsiaTheme="minorHAnsi"/>
          <w:lang w:val="fr-FR" w:eastAsia="en-US"/>
        </w:rPr>
        <w:t>ISO 11117:2008 + Cor.1:2009</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76441BBA" w14:textId="77777777" w:rsidTr="00D56820">
        <w:tc>
          <w:tcPr>
            <w:tcW w:w="1544" w:type="dxa"/>
            <w:shd w:val="clear" w:color="auto" w:fill="auto"/>
          </w:tcPr>
          <w:p w14:paraId="4789100A" w14:textId="77777777" w:rsidR="00CA3533" w:rsidRPr="00CA3533" w:rsidRDefault="00CA3533" w:rsidP="00CA3533">
            <w:pPr>
              <w:kinsoku/>
              <w:overflowPunct/>
              <w:autoSpaceDE/>
              <w:autoSpaceDN/>
              <w:adjustRightInd/>
              <w:snapToGrid/>
              <w:rPr>
                <w:lang w:val="fr-FR" w:eastAsia="en-US"/>
              </w:rPr>
            </w:pPr>
            <w:r w:rsidRPr="00CA3533">
              <w:rPr>
                <w:lang w:val="fr-FR" w:eastAsia="en-US"/>
              </w:rPr>
              <w:t>ISO 11117:2019</w:t>
            </w:r>
          </w:p>
        </w:tc>
        <w:tc>
          <w:tcPr>
            <w:tcW w:w="4820" w:type="dxa"/>
            <w:shd w:val="clear" w:color="auto" w:fill="auto"/>
          </w:tcPr>
          <w:p w14:paraId="703935E8"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Bouteilles à gaz — Chapeaux fermés et chapeaux ouverts de protection des robinets — Conception, construction et essais</w:t>
            </w:r>
          </w:p>
        </w:tc>
        <w:tc>
          <w:tcPr>
            <w:tcW w:w="1275" w:type="dxa"/>
            <w:shd w:val="clear" w:color="auto" w:fill="auto"/>
          </w:tcPr>
          <w:p w14:paraId="5DD60329"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2DE894A0" w14:textId="77777777" w:rsidR="00CA3533" w:rsidRPr="00CA3533" w:rsidRDefault="00CA3533" w:rsidP="00CA3533">
      <w:pPr>
        <w:spacing w:before="120" w:after="120"/>
        <w:ind w:left="2268" w:right="1134" w:hanging="1134"/>
        <w:jc w:val="both"/>
        <w:rPr>
          <w:lang w:val="fr-FR"/>
        </w:rPr>
      </w:pPr>
      <w:r w:rsidRPr="00CA3533">
        <w:rPr>
          <w:lang w:val="fr-FR"/>
        </w:rPr>
        <w:tab/>
      </w:r>
      <w:r w:rsidRPr="00CA3533">
        <w:rPr>
          <w:lang w:val="fr-FR"/>
        </w:rPr>
        <w:tab/>
        <w:t>Dans le premier tableau, supprimer la ligne correspondant à la référence « ISO 13340:2001 ».</w:t>
      </w:r>
    </w:p>
    <w:p w14:paraId="4E9A80E3" w14:textId="77777777" w:rsidR="00CA3533" w:rsidRPr="00CA3533" w:rsidRDefault="00CA3533" w:rsidP="00CA3533">
      <w:pPr>
        <w:spacing w:before="120" w:after="120"/>
        <w:ind w:left="2268" w:right="1134" w:hanging="1134"/>
        <w:jc w:val="both"/>
        <w:rPr>
          <w:rFonts w:eastAsiaTheme="minorHAnsi"/>
          <w:lang w:val="fr-FR" w:eastAsia="en-US"/>
        </w:rPr>
      </w:pPr>
      <w:r w:rsidRPr="00CA3533">
        <w:rPr>
          <w:lang w:val="fr-FR" w:eastAsia="en-US"/>
        </w:rPr>
        <w:tab/>
      </w:r>
      <w:r w:rsidRPr="00CA3533">
        <w:rPr>
          <w:lang w:val="fr-FR" w:eastAsia="en-US"/>
        </w:rPr>
        <w:tab/>
      </w:r>
      <w:r w:rsidRPr="00CA3533">
        <w:rPr>
          <w:rFonts w:eastAsiaTheme="minorHAnsi"/>
          <w:lang w:val="fr-FR" w:eastAsia="en-US"/>
        </w:rPr>
        <w:t xml:space="preserve">Dans le premier tableau, pour « ISO 17871:2015 », dans la colonne « Applicable à la fabrication », remplacer « Jusqu’à nouvel ordre » par « Jusqu’au 31 décembre 2026 ». Dans la colonne « Titre », ajouter le nouveau Nota suivant sous le titre : </w:t>
      </w:r>
    </w:p>
    <w:p w14:paraId="184F583D" w14:textId="59576878" w:rsidR="00CA3533" w:rsidRPr="00CA3533" w:rsidRDefault="00CA3533" w:rsidP="00CA3533">
      <w:pPr>
        <w:spacing w:before="120" w:after="120"/>
        <w:ind w:left="1134" w:right="1134"/>
        <w:jc w:val="both"/>
        <w:rPr>
          <w:rFonts w:eastAsiaTheme="minorHAnsi"/>
          <w:lang w:val="fr-FR" w:eastAsia="en-US"/>
        </w:rPr>
      </w:pPr>
      <w:r w:rsidRPr="00CA3533">
        <w:rPr>
          <w:rFonts w:eastAsiaTheme="minorHAnsi"/>
          <w:lang w:val="fr-FR" w:eastAsia="en-US"/>
        </w:rPr>
        <w:tab/>
        <w:t>« </w:t>
      </w:r>
      <w:r w:rsidRPr="00CA3533">
        <w:rPr>
          <w:rFonts w:eastAsiaTheme="minorHAnsi"/>
          <w:b/>
          <w:bCs/>
          <w:i/>
          <w:iCs/>
          <w:lang w:val="fr-FR" w:eastAsia="en-US"/>
        </w:rPr>
        <w:t>NOTA :</w:t>
      </w:r>
      <w:r w:rsidR="001209B1">
        <w:rPr>
          <w:rFonts w:eastAsiaTheme="minorHAnsi"/>
          <w:i/>
          <w:iCs/>
          <w:lang w:val="fr-FR" w:eastAsia="en-US"/>
        </w:rPr>
        <w:tab/>
      </w:r>
      <w:r w:rsidRPr="00CA3533">
        <w:rPr>
          <w:rFonts w:eastAsiaTheme="minorHAnsi"/>
          <w:i/>
          <w:iCs/>
          <w:lang w:val="fr-FR" w:eastAsia="en-US"/>
        </w:rPr>
        <w:t>Cette norme ne doit pas être utilisée pour les gaz inflammables.</w:t>
      </w:r>
      <w:r w:rsidRPr="00CA3533">
        <w:rPr>
          <w:rFonts w:eastAsiaTheme="minorHAnsi"/>
          <w:lang w:val="fr-FR" w:eastAsia="en-US"/>
        </w:rPr>
        <w:t> »</w:t>
      </w:r>
    </w:p>
    <w:p w14:paraId="36F8D27C" w14:textId="77777777" w:rsidR="00CA3533" w:rsidRPr="00CA3533" w:rsidRDefault="00CA3533" w:rsidP="00CA3533">
      <w:pPr>
        <w:tabs>
          <w:tab w:val="left" w:pos="2268"/>
        </w:tabs>
        <w:spacing w:before="120" w:after="120"/>
        <w:ind w:left="2268" w:right="1134" w:hanging="1134"/>
        <w:jc w:val="both"/>
        <w:rPr>
          <w:lang w:val="fr-FR"/>
        </w:rPr>
      </w:pPr>
      <w:r w:rsidRPr="00CA3533">
        <w:rPr>
          <w:lang w:val="fr-FR"/>
        </w:rPr>
        <w:tab/>
        <w:t>Après la rubrique existante pour la norme « </w:t>
      </w:r>
      <w:r w:rsidRPr="00CA3533">
        <w:rPr>
          <w:rFonts w:eastAsiaTheme="minorHAnsi"/>
          <w:lang w:val="fr-FR" w:eastAsia="en-US"/>
        </w:rPr>
        <w:t>17871:2015</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26C076CC" w14:textId="77777777" w:rsidTr="00D56820">
        <w:tc>
          <w:tcPr>
            <w:tcW w:w="1544" w:type="dxa"/>
            <w:shd w:val="clear" w:color="auto" w:fill="auto"/>
          </w:tcPr>
          <w:p w14:paraId="02AFACFA" w14:textId="77777777" w:rsidR="00CA3533" w:rsidRPr="00CA3533" w:rsidRDefault="00CA3533" w:rsidP="00CA3533">
            <w:pPr>
              <w:kinsoku/>
              <w:overflowPunct/>
              <w:autoSpaceDE/>
              <w:autoSpaceDN/>
              <w:adjustRightInd/>
              <w:snapToGrid/>
              <w:rPr>
                <w:lang w:val="fr-FR" w:eastAsia="en-US"/>
              </w:rPr>
            </w:pPr>
            <w:r w:rsidRPr="00CA3533">
              <w:rPr>
                <w:lang w:val="fr-FR" w:eastAsia="en-US"/>
              </w:rPr>
              <w:t>ISO 17871:2020</w:t>
            </w:r>
          </w:p>
        </w:tc>
        <w:tc>
          <w:tcPr>
            <w:tcW w:w="4820" w:type="dxa"/>
            <w:shd w:val="clear" w:color="auto" w:fill="auto"/>
          </w:tcPr>
          <w:p w14:paraId="288BA2B4"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Bouteilles à gaz — Robinets de bouteilles à ouverture rapide — Spécifications et essais de type</w:t>
            </w:r>
          </w:p>
        </w:tc>
        <w:tc>
          <w:tcPr>
            <w:tcW w:w="1275" w:type="dxa"/>
            <w:shd w:val="clear" w:color="auto" w:fill="auto"/>
          </w:tcPr>
          <w:p w14:paraId="0FED897F"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409A49A6" w14:textId="77777777" w:rsidR="00CA3533" w:rsidRPr="00CA3533" w:rsidRDefault="00CA3533" w:rsidP="00CA3533">
      <w:pPr>
        <w:tabs>
          <w:tab w:val="left" w:pos="2268"/>
        </w:tabs>
        <w:spacing w:before="120" w:after="120"/>
        <w:ind w:left="2268" w:right="1134" w:hanging="1134"/>
        <w:jc w:val="both"/>
        <w:rPr>
          <w:lang w:val="fr-FR"/>
        </w:rPr>
      </w:pPr>
      <w:r w:rsidRPr="00CA3533">
        <w:rPr>
          <w:rFonts w:eastAsiaTheme="minorHAnsi"/>
          <w:lang w:val="fr-FR" w:eastAsia="en-US"/>
        </w:rPr>
        <w:tab/>
        <w:t xml:space="preserve">Dans le deuxième tableau, pour « ISO 16111:2008 », dans la colonne « Applicable à la fabrication », remplacer « Jusqu’à nouvel ordre » par « Jusqu’au 31 décembre 2026 ». </w:t>
      </w:r>
      <w:r w:rsidRPr="00CA3533">
        <w:rPr>
          <w:lang w:val="fr-FR"/>
        </w:rPr>
        <w:t>Après la rubrique existante pour la norme « </w:t>
      </w:r>
      <w:r w:rsidRPr="00CA3533">
        <w:rPr>
          <w:rFonts w:eastAsiaTheme="minorHAnsi"/>
          <w:lang w:val="fr-FR" w:eastAsia="en-US"/>
        </w:rPr>
        <w:t>ISO 16111:2008</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576AF57A" w14:textId="77777777" w:rsidTr="00D56820">
        <w:tc>
          <w:tcPr>
            <w:tcW w:w="1544" w:type="dxa"/>
            <w:shd w:val="clear" w:color="auto" w:fill="auto"/>
          </w:tcPr>
          <w:p w14:paraId="7A084177" w14:textId="77777777" w:rsidR="00CA3533" w:rsidRPr="00CA3533" w:rsidRDefault="00CA3533" w:rsidP="00CA3533">
            <w:pPr>
              <w:kinsoku/>
              <w:overflowPunct/>
              <w:autoSpaceDE/>
              <w:autoSpaceDN/>
              <w:adjustRightInd/>
              <w:snapToGrid/>
              <w:rPr>
                <w:lang w:val="fr-FR" w:eastAsia="en-US"/>
              </w:rPr>
            </w:pPr>
            <w:r w:rsidRPr="00CA3533">
              <w:rPr>
                <w:lang w:val="fr-FR" w:eastAsia="en-US"/>
              </w:rPr>
              <w:t>ISO 16111:2018</w:t>
            </w:r>
          </w:p>
        </w:tc>
        <w:tc>
          <w:tcPr>
            <w:tcW w:w="4820" w:type="dxa"/>
            <w:shd w:val="clear" w:color="auto" w:fill="auto"/>
          </w:tcPr>
          <w:p w14:paraId="29C45C1B"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Appareils de stockage de gaz transportables — Hydrogène absorbé dans un hydrure métallique réversible</w:t>
            </w:r>
          </w:p>
        </w:tc>
        <w:tc>
          <w:tcPr>
            <w:tcW w:w="1275" w:type="dxa"/>
            <w:shd w:val="clear" w:color="auto" w:fill="auto"/>
          </w:tcPr>
          <w:p w14:paraId="6D0E449C"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3D583D3C" w14:textId="77777777" w:rsidR="00CA3533" w:rsidRPr="00CA3533" w:rsidRDefault="00CA3533" w:rsidP="00CA3533">
      <w:pPr>
        <w:spacing w:before="120" w:after="120"/>
        <w:ind w:left="2268" w:right="1134" w:hanging="1134"/>
        <w:jc w:val="both"/>
        <w:rPr>
          <w:lang w:val="fr-FR"/>
        </w:rPr>
      </w:pPr>
      <w:r w:rsidRPr="00CA3533">
        <w:rPr>
          <w:lang w:val="fr-FR"/>
        </w:rPr>
        <w:lastRenderedPageBreak/>
        <w:t>6.2.2.4</w:t>
      </w:r>
      <w:r w:rsidRPr="00CA3533">
        <w:rPr>
          <w:lang w:val="fr-FR"/>
        </w:rPr>
        <w:tab/>
      </w:r>
      <w:r w:rsidRPr="00CA3533">
        <w:rPr>
          <w:lang w:val="fr-FR"/>
        </w:rPr>
        <w:tab/>
        <w:t xml:space="preserve">Modifier la première phrase comme suit : « Les normes ci-après s’appliquent aux épreuves et aux contrôles périodiques des récipients à pression </w:t>
      </w:r>
      <w:r w:rsidRPr="00CA3533">
        <w:rPr>
          <w:bCs/>
          <w:lang w:val="fr-FR"/>
        </w:rPr>
        <w:t>“</w:t>
      </w:r>
      <w:r w:rsidRPr="00CA3533">
        <w:rPr>
          <w:lang w:val="fr-FR"/>
        </w:rPr>
        <w:t>UN</w:t>
      </w:r>
      <w:r w:rsidRPr="00CA3533">
        <w:rPr>
          <w:bCs/>
          <w:lang w:val="fr-FR"/>
        </w:rPr>
        <w:t>”</w:t>
      </w:r>
      <w:r w:rsidRPr="00CA3533">
        <w:rPr>
          <w:lang w:val="fr-FR"/>
        </w:rPr>
        <w:t> : ».</w:t>
      </w:r>
    </w:p>
    <w:p w14:paraId="7D32008F" w14:textId="5EDA9A0B" w:rsidR="00CA3533" w:rsidRPr="00CA3533" w:rsidRDefault="00CA3533" w:rsidP="00CA3533">
      <w:pPr>
        <w:spacing w:before="120" w:after="120"/>
        <w:ind w:left="2268" w:right="1134" w:hanging="1134"/>
        <w:jc w:val="both"/>
        <w:rPr>
          <w:lang w:val="fr-FR"/>
        </w:rPr>
      </w:pPr>
      <w:r w:rsidRPr="00CA3533">
        <w:rPr>
          <w:lang w:val="fr-FR"/>
        </w:rPr>
        <w:tab/>
      </w:r>
      <w:r w:rsidRPr="00CA3533">
        <w:rPr>
          <w:lang w:val="fr-FR"/>
        </w:rPr>
        <w:tab/>
        <w:t xml:space="preserve">Dans le premier tableau, pour la norme ISO 6406:2005, remplacer « Jusqu’à nouvel ordre » par </w:t>
      </w:r>
      <w:r w:rsidRPr="00B2541E">
        <w:rPr>
          <w:lang w:val="fr-FR"/>
        </w:rPr>
        <w:t>« Jusqu’au 31 décembre 2024 »</w:t>
      </w:r>
      <w:r w:rsidRPr="00CA3533">
        <w:rPr>
          <w:lang w:val="fr-FR"/>
        </w:rPr>
        <w:t>. Après la norme ISO 6406:2005,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508"/>
        <w:gridCol w:w="1275"/>
      </w:tblGrid>
      <w:tr w:rsidR="00CA3533" w:rsidRPr="00CA3533" w14:paraId="09EE124D" w14:textId="77777777" w:rsidTr="00D56820">
        <w:tc>
          <w:tcPr>
            <w:tcW w:w="1696" w:type="dxa"/>
            <w:shd w:val="clear" w:color="auto" w:fill="auto"/>
          </w:tcPr>
          <w:p w14:paraId="024C5F05" w14:textId="77777777" w:rsidR="00CA3533" w:rsidRPr="00CA3533" w:rsidRDefault="00CA3533" w:rsidP="00CA3533">
            <w:pPr>
              <w:rPr>
                <w:lang w:val="fr-FR"/>
              </w:rPr>
            </w:pPr>
            <w:r w:rsidRPr="00CA3533">
              <w:rPr>
                <w:lang w:val="fr-FR"/>
              </w:rPr>
              <w:t>ISO 18119:2018</w:t>
            </w:r>
          </w:p>
        </w:tc>
        <w:tc>
          <w:tcPr>
            <w:tcW w:w="4508" w:type="dxa"/>
            <w:shd w:val="clear" w:color="auto" w:fill="auto"/>
          </w:tcPr>
          <w:p w14:paraId="46E5FA0A" w14:textId="77777777" w:rsidR="00CA3533" w:rsidRPr="00CA3533" w:rsidRDefault="00CA3533" w:rsidP="00CA3533">
            <w:pPr>
              <w:rPr>
                <w:lang w:val="fr-FR"/>
              </w:rPr>
            </w:pPr>
            <w:r w:rsidRPr="00CA3533">
              <w:rPr>
                <w:lang w:val="fr-FR"/>
              </w:rPr>
              <w:t>Bouteilles à gaz − Bouteilles à gaz en acier et en alliages d’aluminium, sans soudure − Contrôles et essais périodiques</w:t>
            </w:r>
          </w:p>
        </w:tc>
        <w:tc>
          <w:tcPr>
            <w:tcW w:w="1275" w:type="dxa"/>
            <w:shd w:val="clear" w:color="auto" w:fill="auto"/>
          </w:tcPr>
          <w:p w14:paraId="7FB62673" w14:textId="77777777" w:rsidR="00CA3533" w:rsidRPr="00CA3533" w:rsidRDefault="00CA3533" w:rsidP="00CA3533">
            <w:pPr>
              <w:rPr>
                <w:lang w:val="fr-FR"/>
              </w:rPr>
            </w:pPr>
            <w:r w:rsidRPr="00CA3533">
              <w:rPr>
                <w:lang w:val="fr-FR"/>
              </w:rPr>
              <w:t>Jusqu’à nouvel ordre</w:t>
            </w:r>
          </w:p>
        </w:tc>
      </w:tr>
    </w:tbl>
    <w:p w14:paraId="0D40C5A7" w14:textId="77777777" w:rsidR="00CA3533" w:rsidRPr="00CA3533" w:rsidRDefault="00CA3533" w:rsidP="00CA3533">
      <w:pPr>
        <w:spacing w:before="120" w:after="120"/>
        <w:ind w:left="2268" w:right="1134" w:hanging="1134"/>
        <w:jc w:val="both"/>
        <w:rPr>
          <w:lang w:val="fr-FR"/>
        </w:rPr>
      </w:pPr>
      <w:r w:rsidRPr="00CA3533">
        <w:rPr>
          <w:lang w:val="fr-FR"/>
        </w:rPr>
        <w:tab/>
      </w:r>
      <w:r w:rsidRPr="00CA3533">
        <w:rPr>
          <w:lang w:val="fr-FR"/>
        </w:rPr>
        <w:tab/>
        <w:t>Dans le premier tableau, pour la norme ISO 10460:2005, remplacer « Jusqu’à nouvel ordre » par « Jusqu’au 31 décembre 2024 ». Après la norme ISO 10460:2005,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CA3533" w:rsidRPr="00CA3533" w14:paraId="534237BA" w14:textId="77777777" w:rsidTr="00D56820">
        <w:tc>
          <w:tcPr>
            <w:tcW w:w="1544" w:type="dxa"/>
            <w:shd w:val="clear" w:color="auto" w:fill="auto"/>
          </w:tcPr>
          <w:p w14:paraId="08EB5B8F" w14:textId="77777777" w:rsidR="00CA3533" w:rsidRPr="00CA3533" w:rsidRDefault="00CA3533" w:rsidP="00CA3533">
            <w:pPr>
              <w:rPr>
                <w:lang w:val="fr-FR"/>
              </w:rPr>
            </w:pPr>
            <w:r w:rsidRPr="00CA3533">
              <w:rPr>
                <w:lang w:val="fr-FR"/>
              </w:rPr>
              <w:t>ISO 10460:2018</w:t>
            </w:r>
          </w:p>
        </w:tc>
        <w:tc>
          <w:tcPr>
            <w:tcW w:w="4820" w:type="dxa"/>
            <w:shd w:val="clear" w:color="auto" w:fill="auto"/>
          </w:tcPr>
          <w:p w14:paraId="48241FCA" w14:textId="77777777" w:rsidR="00CA3533" w:rsidRPr="00CA3533" w:rsidRDefault="00CA3533" w:rsidP="00CA3533">
            <w:pPr>
              <w:rPr>
                <w:lang w:val="fr-FR"/>
              </w:rPr>
            </w:pPr>
            <w:r w:rsidRPr="00CA3533">
              <w:rPr>
                <w:lang w:val="fr-FR"/>
              </w:rPr>
              <w:t>Bouteilles à gaz − Bouteilles à gaz soudées en alliage d’aluminium, carbone et acier inoxydable − Contrôles et essais périodiques</w:t>
            </w:r>
          </w:p>
        </w:tc>
        <w:tc>
          <w:tcPr>
            <w:tcW w:w="1275" w:type="dxa"/>
            <w:shd w:val="clear" w:color="auto" w:fill="auto"/>
          </w:tcPr>
          <w:p w14:paraId="2CE473FB" w14:textId="77777777" w:rsidR="00CA3533" w:rsidRPr="00CA3533" w:rsidRDefault="00CA3533" w:rsidP="00CA3533">
            <w:pPr>
              <w:rPr>
                <w:lang w:val="fr-FR"/>
              </w:rPr>
            </w:pPr>
            <w:r w:rsidRPr="00CA3533">
              <w:rPr>
                <w:lang w:val="fr-FR"/>
              </w:rPr>
              <w:t>Jusqu’à nouvel ordre</w:t>
            </w:r>
          </w:p>
        </w:tc>
      </w:tr>
    </w:tbl>
    <w:p w14:paraId="2E60C8B7" w14:textId="2E4DE2E1" w:rsidR="00CA3533" w:rsidRPr="00CA3533" w:rsidRDefault="00CA3533" w:rsidP="00CA3533">
      <w:pPr>
        <w:spacing w:before="120" w:after="120"/>
        <w:ind w:left="2268" w:right="1134" w:hanging="1134"/>
        <w:jc w:val="both"/>
        <w:rPr>
          <w:lang w:val="fr-FR"/>
        </w:rPr>
      </w:pPr>
      <w:r w:rsidRPr="00CA3533">
        <w:rPr>
          <w:lang w:val="fr-FR"/>
        </w:rPr>
        <w:tab/>
      </w:r>
      <w:r w:rsidRPr="00CA3533">
        <w:rPr>
          <w:lang w:val="fr-FR"/>
        </w:rPr>
        <w:tab/>
        <w:t>Dans le premier tableau, pour la norme ISO 10461:2005</w:t>
      </w:r>
      <w:r w:rsidR="00744BBF">
        <w:rPr>
          <w:lang w:val="fr-FR"/>
        </w:rPr>
        <w:t xml:space="preserve"> + </w:t>
      </w:r>
      <w:r w:rsidRPr="00CA3533">
        <w:rPr>
          <w:lang w:val="fr-FR"/>
        </w:rPr>
        <w:t xml:space="preserve">A1:2006, remplacer « Jusqu’à nouvel ordre » par </w:t>
      </w:r>
      <w:r w:rsidRPr="008735A1">
        <w:rPr>
          <w:lang w:val="fr-FR"/>
        </w:rPr>
        <w:t>« Jusqu’au 31 décembre 2024 ».</w:t>
      </w:r>
      <w:r w:rsidRPr="00CA3533">
        <w:rPr>
          <w:lang w:val="fr-FR"/>
        </w:rPr>
        <w:t xml:space="preserve"> </w:t>
      </w:r>
    </w:p>
    <w:p w14:paraId="5200EEC5" w14:textId="77777777" w:rsidR="00CA3533" w:rsidRPr="00CA3533" w:rsidRDefault="00CA3533" w:rsidP="00CA3533">
      <w:pPr>
        <w:spacing w:before="120" w:after="120"/>
        <w:ind w:left="2268" w:right="1134" w:hanging="1134"/>
        <w:jc w:val="both"/>
        <w:rPr>
          <w:lang w:val="fr-FR"/>
        </w:rPr>
      </w:pPr>
      <w:r w:rsidRPr="00CA3533">
        <w:rPr>
          <w:rFonts w:eastAsiaTheme="minorHAnsi"/>
          <w:lang w:val="fr-FR" w:eastAsia="en-US"/>
        </w:rPr>
        <w:tab/>
      </w:r>
      <w:r w:rsidRPr="00CA3533">
        <w:rPr>
          <w:rFonts w:eastAsiaTheme="minorHAnsi"/>
          <w:lang w:val="fr-FR" w:eastAsia="en-US"/>
        </w:rPr>
        <w:tab/>
        <w:t xml:space="preserve">Dans le premier tableau, pour « ISO 10462:2013 », dans la colonne « Applicable à la fabrication », remplacer « Jusqu’à nouvel ordre » par « Jusqu’au 31 décembre 2024 ». </w:t>
      </w:r>
      <w:r w:rsidRPr="00CA3533">
        <w:rPr>
          <w:lang w:val="fr-FR"/>
        </w:rPr>
        <w:t>Après la rubrique existante pour la norme « </w:t>
      </w:r>
      <w:r w:rsidRPr="00CA3533">
        <w:rPr>
          <w:rFonts w:eastAsiaTheme="minorHAnsi"/>
          <w:lang w:val="fr-FR" w:eastAsia="en-US"/>
        </w:rPr>
        <w:t>ISO 10462:2013</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3DFEE9DC" w14:textId="77777777" w:rsidTr="00D56820">
        <w:tc>
          <w:tcPr>
            <w:tcW w:w="1544" w:type="dxa"/>
            <w:shd w:val="clear" w:color="auto" w:fill="auto"/>
          </w:tcPr>
          <w:p w14:paraId="08D4D0B0" w14:textId="77777777" w:rsidR="00CA3533" w:rsidRPr="00CA3533" w:rsidRDefault="00CA3533" w:rsidP="00CA3533">
            <w:pPr>
              <w:kinsoku/>
              <w:overflowPunct/>
              <w:autoSpaceDE/>
              <w:autoSpaceDN/>
              <w:adjustRightInd/>
              <w:snapToGrid/>
              <w:rPr>
                <w:lang w:val="fr-FR" w:eastAsia="en-US"/>
              </w:rPr>
            </w:pPr>
            <w:r w:rsidRPr="00CA3533">
              <w:rPr>
                <w:lang w:val="fr-FR" w:eastAsia="en-US"/>
              </w:rPr>
              <w:t>ISO 10462:2013 + Amd1:2019</w:t>
            </w:r>
          </w:p>
        </w:tc>
        <w:tc>
          <w:tcPr>
            <w:tcW w:w="4820" w:type="dxa"/>
            <w:shd w:val="clear" w:color="auto" w:fill="auto"/>
          </w:tcPr>
          <w:p w14:paraId="6756B099"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Bouteilles à gaz — Bouteilles d'acétylène — Contrôle et entretien périodiques</w:t>
            </w:r>
          </w:p>
        </w:tc>
        <w:tc>
          <w:tcPr>
            <w:tcW w:w="1275" w:type="dxa"/>
            <w:shd w:val="clear" w:color="auto" w:fill="auto"/>
          </w:tcPr>
          <w:p w14:paraId="03C1D46C"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775E605B" w14:textId="77777777" w:rsidR="00CA3533" w:rsidRPr="00CA3533" w:rsidRDefault="00CA3533" w:rsidP="00CA3533">
      <w:pPr>
        <w:tabs>
          <w:tab w:val="left" w:pos="2268"/>
        </w:tabs>
        <w:spacing w:before="120" w:after="120"/>
        <w:ind w:left="2268" w:right="1134" w:hanging="1134"/>
        <w:jc w:val="both"/>
        <w:rPr>
          <w:lang w:val="fr-FR"/>
        </w:rPr>
      </w:pPr>
      <w:r w:rsidRPr="00CA3533">
        <w:rPr>
          <w:lang w:val="fr-FR" w:eastAsia="en-US"/>
        </w:rPr>
        <w:tab/>
      </w:r>
      <w:r w:rsidRPr="00CA3533">
        <w:rPr>
          <w:lang w:val="fr-FR" w:eastAsia="en-US"/>
        </w:rPr>
        <w:tab/>
      </w:r>
      <w:r w:rsidRPr="00CA3533">
        <w:rPr>
          <w:rFonts w:eastAsiaTheme="minorHAnsi"/>
          <w:lang w:val="fr-FR" w:eastAsia="en-US"/>
        </w:rPr>
        <w:t xml:space="preserve">Dans le premier tableau, pour « ISO 11513:2011 », dans la colonne « Applicable à la fabrication », remplacer « Jusqu’à nouvel ordre » par « Jusqu’au 31 décembre 2024 ». </w:t>
      </w:r>
      <w:r w:rsidRPr="00CA3533">
        <w:rPr>
          <w:lang w:val="fr-FR"/>
        </w:rPr>
        <w:t>Après la rubrique existante pour la norme « </w:t>
      </w:r>
      <w:r w:rsidRPr="00CA3533">
        <w:rPr>
          <w:rFonts w:eastAsiaTheme="minorHAnsi"/>
          <w:lang w:val="fr-FR" w:eastAsia="en-US"/>
        </w:rPr>
        <w:t>ISO 11513:2011 </w:t>
      </w:r>
      <w:r w:rsidRPr="00CA3533">
        <w:rPr>
          <w:lang w:val="fr-FR"/>
        </w:rPr>
        <w:t>»,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48897767" w14:textId="77777777" w:rsidTr="00D56820">
        <w:tc>
          <w:tcPr>
            <w:tcW w:w="1544" w:type="dxa"/>
            <w:shd w:val="clear" w:color="auto" w:fill="auto"/>
          </w:tcPr>
          <w:p w14:paraId="7AA36F2D" w14:textId="77777777" w:rsidR="00CA3533" w:rsidRPr="00CA3533" w:rsidRDefault="00CA3533" w:rsidP="00CA3533">
            <w:pPr>
              <w:keepNext/>
              <w:keepLines/>
              <w:kinsoku/>
              <w:overflowPunct/>
              <w:autoSpaceDE/>
              <w:autoSpaceDN/>
              <w:adjustRightInd/>
              <w:snapToGrid/>
              <w:rPr>
                <w:lang w:val="fr-FR" w:eastAsia="en-US"/>
              </w:rPr>
            </w:pPr>
            <w:r w:rsidRPr="00CA3533">
              <w:rPr>
                <w:lang w:val="fr-FR" w:eastAsia="en-US"/>
              </w:rPr>
              <w:t>ISO 11513:2019</w:t>
            </w:r>
          </w:p>
        </w:tc>
        <w:tc>
          <w:tcPr>
            <w:tcW w:w="4820" w:type="dxa"/>
            <w:shd w:val="clear" w:color="auto" w:fill="auto"/>
          </w:tcPr>
          <w:p w14:paraId="6AED15BE" w14:textId="77777777" w:rsidR="00CA3533" w:rsidRPr="00CA3533" w:rsidRDefault="00CA3533" w:rsidP="00CA3533">
            <w:pPr>
              <w:keepNext/>
              <w:keepLines/>
              <w:kinsoku/>
              <w:overflowPunct/>
              <w:autoSpaceDE/>
              <w:autoSpaceDN/>
              <w:adjustRightInd/>
              <w:snapToGrid/>
              <w:jc w:val="both"/>
              <w:rPr>
                <w:lang w:val="fr-FR" w:eastAsia="en-US"/>
              </w:rPr>
            </w:pPr>
            <w:r w:rsidRPr="00CA3533">
              <w:rPr>
                <w:iCs/>
                <w:lang w:val="fr-FR" w:eastAsia="en-US"/>
              </w:rPr>
              <w:t xml:space="preserve">Bouteilles à gaz — Bouteilles en acier soudées rechargeables contenant des matériaux pour le stockage des gaz à une pression </w:t>
            </w:r>
            <w:proofErr w:type="spellStart"/>
            <w:r w:rsidRPr="00CA3533">
              <w:rPr>
                <w:iCs/>
                <w:lang w:val="fr-FR" w:eastAsia="en-US"/>
              </w:rPr>
              <w:t>sub</w:t>
            </w:r>
            <w:proofErr w:type="spellEnd"/>
            <w:r w:rsidRPr="00CA3533">
              <w:rPr>
                <w:iCs/>
                <w:lang w:val="fr-FR" w:eastAsia="en-US"/>
              </w:rPr>
              <w:t>-atmosphérique (à l'exclusion de l'acétylène) — Conception, fabrication, essais, utilisation et contrôle périodique</w:t>
            </w:r>
          </w:p>
        </w:tc>
        <w:tc>
          <w:tcPr>
            <w:tcW w:w="1275" w:type="dxa"/>
            <w:shd w:val="clear" w:color="auto" w:fill="auto"/>
          </w:tcPr>
          <w:p w14:paraId="246818BB" w14:textId="77777777" w:rsidR="00CA3533" w:rsidRPr="00CA3533" w:rsidRDefault="00CA3533" w:rsidP="00CA3533">
            <w:pPr>
              <w:keepNext/>
              <w:keepLines/>
              <w:kinsoku/>
              <w:overflowPunct/>
              <w:autoSpaceDE/>
              <w:autoSpaceDN/>
              <w:adjustRightInd/>
              <w:snapToGrid/>
              <w:rPr>
                <w:lang w:val="fr-FR" w:eastAsia="en-US"/>
              </w:rPr>
            </w:pPr>
            <w:r w:rsidRPr="00CA3533">
              <w:rPr>
                <w:rFonts w:eastAsiaTheme="minorHAnsi"/>
                <w:lang w:val="fr-FR" w:eastAsia="en-US"/>
              </w:rPr>
              <w:t>Jusqu’à nouvel ordre</w:t>
            </w:r>
          </w:p>
        </w:tc>
      </w:tr>
    </w:tbl>
    <w:p w14:paraId="5CB69078" w14:textId="2858126C" w:rsidR="00CA3533" w:rsidRPr="00CA3533" w:rsidRDefault="00CA3533" w:rsidP="00CA3533">
      <w:pPr>
        <w:spacing w:before="120" w:after="120"/>
        <w:ind w:left="2268" w:right="1134" w:hanging="1134"/>
        <w:jc w:val="both"/>
        <w:rPr>
          <w:lang w:val="fr-FR"/>
        </w:rPr>
      </w:pPr>
      <w:r w:rsidRPr="00CA3533">
        <w:rPr>
          <w:lang w:val="fr-FR"/>
        </w:rPr>
        <w:tab/>
      </w:r>
      <w:r w:rsidR="005714B9">
        <w:rPr>
          <w:lang w:val="fr-FR"/>
        </w:rPr>
        <w:t>S</w:t>
      </w:r>
      <w:r w:rsidRPr="00CA3533">
        <w:rPr>
          <w:lang w:val="fr-FR"/>
        </w:rPr>
        <w:t xml:space="preserve">upprimer la ligne relative à la norme </w:t>
      </w:r>
      <w:r w:rsidR="00C230DB">
        <w:rPr>
          <w:lang w:val="fr-FR"/>
        </w:rPr>
        <w:t>« </w:t>
      </w:r>
      <w:r w:rsidRPr="00CA3533">
        <w:rPr>
          <w:lang w:val="fr-FR"/>
        </w:rPr>
        <w:t>ISO 11623:2002</w:t>
      </w:r>
      <w:r w:rsidR="00C230DB">
        <w:rPr>
          <w:lang w:val="fr-FR"/>
        </w:rPr>
        <w:t> »</w:t>
      </w:r>
      <w:r w:rsidR="005714B9">
        <w:rPr>
          <w:lang w:val="fr-FR"/>
        </w:rPr>
        <w:t>.</w:t>
      </w:r>
    </w:p>
    <w:p w14:paraId="62D13491" w14:textId="77777777" w:rsidR="00CA3533" w:rsidRPr="00CA3533" w:rsidRDefault="00CA3533" w:rsidP="00CA3533">
      <w:pPr>
        <w:tabs>
          <w:tab w:val="left" w:pos="2268"/>
        </w:tabs>
        <w:spacing w:before="120" w:after="120"/>
        <w:ind w:left="1134" w:right="1134"/>
        <w:jc w:val="both"/>
        <w:rPr>
          <w:rFonts w:eastAsiaTheme="minorHAnsi"/>
          <w:lang w:val="fr-FR" w:eastAsia="en-US"/>
        </w:rPr>
      </w:pPr>
      <w:r w:rsidRPr="00CA3533">
        <w:rPr>
          <w:rFonts w:eastAsiaTheme="minorHAnsi"/>
          <w:lang w:val="fr-FR" w:eastAsia="en-US"/>
        </w:rPr>
        <w:tab/>
        <w:t>À la fin du premier tableau,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7B6D7801" w14:textId="77777777" w:rsidTr="00D56820">
        <w:tc>
          <w:tcPr>
            <w:tcW w:w="1544" w:type="dxa"/>
            <w:shd w:val="clear" w:color="auto" w:fill="auto"/>
          </w:tcPr>
          <w:p w14:paraId="0EDA8AE0" w14:textId="77777777" w:rsidR="00CA3533" w:rsidRPr="00CA3533" w:rsidRDefault="00CA3533" w:rsidP="00CA3533">
            <w:pPr>
              <w:kinsoku/>
              <w:overflowPunct/>
              <w:autoSpaceDE/>
              <w:autoSpaceDN/>
              <w:adjustRightInd/>
              <w:snapToGrid/>
              <w:rPr>
                <w:lang w:val="fr-FR" w:eastAsia="en-US"/>
              </w:rPr>
            </w:pPr>
            <w:r w:rsidRPr="00CA3533">
              <w:rPr>
                <w:lang w:val="fr-FR" w:eastAsia="en-US"/>
              </w:rPr>
              <w:t>ISO 23088:2020</w:t>
            </w:r>
          </w:p>
        </w:tc>
        <w:tc>
          <w:tcPr>
            <w:tcW w:w="4820" w:type="dxa"/>
            <w:shd w:val="clear" w:color="auto" w:fill="auto"/>
          </w:tcPr>
          <w:p w14:paraId="710E71F0" w14:textId="620C2C79" w:rsidR="00CA3533" w:rsidRPr="00CA3533" w:rsidRDefault="00CA3533" w:rsidP="00CA3533">
            <w:pPr>
              <w:kinsoku/>
              <w:overflowPunct/>
              <w:autoSpaceDE/>
              <w:autoSpaceDN/>
              <w:adjustRightInd/>
              <w:snapToGrid/>
              <w:rPr>
                <w:lang w:val="fr-FR" w:eastAsia="en-US"/>
              </w:rPr>
            </w:pPr>
            <w:r w:rsidRPr="00CA3533">
              <w:rPr>
                <w:iCs/>
                <w:lang w:val="fr-FR" w:eastAsia="en-US"/>
              </w:rPr>
              <w:t>Bouteilles à gaz — Contrôle et entretien périodiques des fûts sous pression en acier soudé — Capacités jusqu'à 1</w:t>
            </w:r>
            <w:r w:rsidR="00C230DB">
              <w:rPr>
                <w:iCs/>
                <w:lang w:val="fr-FR" w:eastAsia="en-US"/>
              </w:rPr>
              <w:t> </w:t>
            </w:r>
            <w:r w:rsidRPr="00CA3533">
              <w:rPr>
                <w:iCs/>
                <w:lang w:val="fr-FR" w:eastAsia="en-US"/>
              </w:rPr>
              <w:t xml:space="preserve">000 </w:t>
            </w:r>
            <w:r w:rsidRPr="00C230DB">
              <w:rPr>
                <w:i/>
                <w:lang w:val="fr-FR" w:eastAsia="en-US"/>
              </w:rPr>
              <w:t>l</w:t>
            </w:r>
          </w:p>
        </w:tc>
        <w:tc>
          <w:tcPr>
            <w:tcW w:w="1275" w:type="dxa"/>
            <w:shd w:val="clear" w:color="auto" w:fill="auto"/>
          </w:tcPr>
          <w:p w14:paraId="5235F7BA"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31A1AB9C" w14:textId="77777777" w:rsidR="00CA3533" w:rsidRPr="00CA3533" w:rsidRDefault="00CA3533" w:rsidP="00CA3533">
      <w:pPr>
        <w:tabs>
          <w:tab w:val="left" w:pos="2268"/>
        </w:tabs>
        <w:spacing w:before="120" w:after="120"/>
        <w:ind w:left="2268" w:right="1134" w:hanging="1134"/>
        <w:jc w:val="both"/>
        <w:rPr>
          <w:lang w:val="fr-FR"/>
        </w:rPr>
      </w:pPr>
      <w:r w:rsidRPr="00CA3533">
        <w:rPr>
          <w:rFonts w:eastAsiaTheme="minorHAnsi"/>
          <w:lang w:val="fr-FR" w:eastAsia="en-US"/>
        </w:rPr>
        <w:tab/>
        <w:t xml:space="preserve">Dans le deuxième tableau, pour « ISO 16111:2008 », dans la colonne « Applicable à la fabrication », remplacer « Jusqu’à nouvel ordre » par « Jusqu’au 31 décembre 2024 ». </w:t>
      </w:r>
      <w:r w:rsidRPr="00CA3533">
        <w:rPr>
          <w:lang w:val="fr-FR"/>
        </w:rPr>
        <w:t>Après la rubrique existante pour la norme « </w:t>
      </w:r>
      <w:r w:rsidRPr="00CA3533">
        <w:rPr>
          <w:rFonts w:eastAsiaTheme="minorHAnsi"/>
          <w:lang w:val="fr-FR" w:eastAsia="en-US"/>
        </w:rPr>
        <w:t>ISO 16111:2008</w:t>
      </w:r>
      <w:r w:rsidRPr="00CA3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A3533" w:rsidRPr="00CA3533" w14:paraId="65510220" w14:textId="77777777" w:rsidTr="00D56820">
        <w:tc>
          <w:tcPr>
            <w:tcW w:w="1544" w:type="dxa"/>
            <w:shd w:val="clear" w:color="auto" w:fill="auto"/>
          </w:tcPr>
          <w:p w14:paraId="22415338" w14:textId="77777777" w:rsidR="00CA3533" w:rsidRPr="00CA3533" w:rsidRDefault="00CA3533" w:rsidP="00CA3533">
            <w:pPr>
              <w:kinsoku/>
              <w:overflowPunct/>
              <w:autoSpaceDE/>
              <w:autoSpaceDN/>
              <w:adjustRightInd/>
              <w:snapToGrid/>
              <w:rPr>
                <w:lang w:val="fr-FR" w:eastAsia="en-US"/>
              </w:rPr>
            </w:pPr>
            <w:r w:rsidRPr="00CA3533">
              <w:rPr>
                <w:lang w:val="fr-FR" w:eastAsia="en-US"/>
              </w:rPr>
              <w:t>ISO 16111:2018</w:t>
            </w:r>
          </w:p>
        </w:tc>
        <w:tc>
          <w:tcPr>
            <w:tcW w:w="4820" w:type="dxa"/>
            <w:shd w:val="clear" w:color="auto" w:fill="auto"/>
          </w:tcPr>
          <w:p w14:paraId="3F225320" w14:textId="77777777" w:rsidR="00CA3533" w:rsidRPr="00CA3533" w:rsidRDefault="00CA3533" w:rsidP="00CA3533">
            <w:pPr>
              <w:kinsoku/>
              <w:overflowPunct/>
              <w:autoSpaceDE/>
              <w:autoSpaceDN/>
              <w:adjustRightInd/>
              <w:snapToGrid/>
              <w:jc w:val="both"/>
              <w:rPr>
                <w:lang w:val="fr-FR" w:eastAsia="en-US"/>
              </w:rPr>
            </w:pPr>
            <w:r w:rsidRPr="00CA3533">
              <w:rPr>
                <w:iCs/>
                <w:lang w:val="fr-FR" w:eastAsia="en-US"/>
              </w:rPr>
              <w:t>Appareils de stockage de gaz transportables — Hydrogène absorbé dans un hydrure métallique réversible</w:t>
            </w:r>
          </w:p>
        </w:tc>
        <w:tc>
          <w:tcPr>
            <w:tcW w:w="1275" w:type="dxa"/>
            <w:shd w:val="clear" w:color="auto" w:fill="auto"/>
          </w:tcPr>
          <w:p w14:paraId="22DBCCEA" w14:textId="77777777" w:rsidR="00CA3533" w:rsidRPr="00CA3533" w:rsidRDefault="00CA3533" w:rsidP="00CA3533">
            <w:pPr>
              <w:kinsoku/>
              <w:overflowPunct/>
              <w:autoSpaceDE/>
              <w:autoSpaceDN/>
              <w:adjustRightInd/>
              <w:snapToGrid/>
              <w:rPr>
                <w:lang w:val="fr-FR" w:eastAsia="en-US"/>
              </w:rPr>
            </w:pPr>
            <w:r w:rsidRPr="00CA3533">
              <w:rPr>
                <w:rFonts w:eastAsiaTheme="minorHAnsi"/>
                <w:lang w:val="fr-FR" w:eastAsia="en-US"/>
              </w:rPr>
              <w:t>Jusqu’à nouvel ordre</w:t>
            </w:r>
          </w:p>
        </w:tc>
      </w:tr>
    </w:tbl>
    <w:p w14:paraId="6FCB6CA6" w14:textId="77777777" w:rsidR="00CA3533" w:rsidRPr="008E280E" w:rsidRDefault="00CA3533" w:rsidP="00CA3533">
      <w:pPr>
        <w:spacing w:before="120" w:after="120"/>
        <w:ind w:left="2268" w:right="1134" w:hanging="1134"/>
        <w:jc w:val="both"/>
        <w:rPr>
          <w:lang w:val="fr-FR"/>
        </w:rPr>
      </w:pPr>
      <w:r w:rsidRPr="00CA3533">
        <w:rPr>
          <w:lang w:val="fr-FR"/>
        </w:rPr>
        <w:t>6.2.2.5</w:t>
      </w:r>
      <w:r w:rsidRPr="00CA3533">
        <w:rPr>
          <w:lang w:val="fr-FR"/>
        </w:rPr>
        <w:tab/>
      </w:r>
      <w:r w:rsidRPr="00CA3533">
        <w:rPr>
          <w:lang w:val="fr-FR"/>
        </w:rPr>
        <w:tab/>
        <w:t>Au début du 6.2.2</w:t>
      </w:r>
      <w:r w:rsidRPr="008E280E">
        <w:rPr>
          <w:lang w:val="fr-FR"/>
        </w:rPr>
        <w:t>.5, le 6.2.2.5.1 devient le 6.2.2.5.0. Ajouter le Nota suivant à la fin (après la définition de « Vérifier ») :</w:t>
      </w:r>
    </w:p>
    <w:p w14:paraId="6A141324" w14:textId="493FB28D" w:rsidR="00CA3533" w:rsidRPr="00CA3533" w:rsidRDefault="00CA3533" w:rsidP="009D795F">
      <w:pPr>
        <w:spacing w:after="120"/>
        <w:ind w:left="2268" w:right="1134" w:hanging="1134"/>
        <w:jc w:val="both"/>
        <w:rPr>
          <w:lang w:val="fr-FR"/>
        </w:rPr>
      </w:pPr>
      <w:r w:rsidRPr="00CA3533">
        <w:rPr>
          <w:bCs/>
          <w:iCs/>
          <w:lang w:val="fr-FR"/>
        </w:rPr>
        <w:t>«</w:t>
      </w:r>
      <w:r w:rsidRPr="00CA3533">
        <w:rPr>
          <w:b/>
          <w:bCs/>
          <w:i/>
          <w:iCs/>
          <w:lang w:val="fr-FR"/>
        </w:rPr>
        <w:t> NOTA</w:t>
      </w:r>
      <w:r w:rsidRPr="008E280E">
        <w:rPr>
          <w:b/>
          <w:i/>
          <w:iCs/>
          <w:lang w:val="fr-FR"/>
        </w:rPr>
        <w:t> :</w:t>
      </w:r>
      <w:r w:rsidRPr="00CA3533">
        <w:rPr>
          <w:lang w:val="fr-FR"/>
        </w:rPr>
        <w:t xml:space="preserve"> </w:t>
      </w:r>
      <w:r w:rsidR="009D795F">
        <w:rPr>
          <w:lang w:val="fr-FR"/>
        </w:rPr>
        <w:tab/>
      </w:r>
      <w:r w:rsidRPr="00CA3533">
        <w:rPr>
          <w:i/>
          <w:iCs/>
          <w:lang w:val="fr-FR"/>
        </w:rPr>
        <w:t xml:space="preserve">Dans la présente sous-section, lorsque des évaluations séparées sont réalisées, le terme </w:t>
      </w:r>
      <w:r w:rsidRPr="00CA3533">
        <w:rPr>
          <w:bCs/>
          <w:i/>
          <w:iCs/>
          <w:lang w:val="fr-FR"/>
        </w:rPr>
        <w:t>“</w:t>
      </w:r>
      <w:r w:rsidRPr="00CA3533">
        <w:rPr>
          <w:i/>
          <w:iCs/>
          <w:lang w:val="fr-FR"/>
        </w:rPr>
        <w:t>récipient à pression</w:t>
      </w:r>
      <w:r w:rsidRPr="00CA3533">
        <w:rPr>
          <w:bCs/>
          <w:i/>
          <w:iCs/>
          <w:lang w:val="fr-FR"/>
        </w:rPr>
        <w:t>”</w:t>
      </w:r>
      <w:r w:rsidRPr="00CA3533">
        <w:rPr>
          <w:i/>
          <w:iCs/>
          <w:lang w:val="fr-FR"/>
        </w:rPr>
        <w:t xml:space="preserve"> désigne, selon le cas, le récipient à pression, l’enveloppe du récipient à pression, le réservoir intérieur du récipient cryogénique fermé ou une fermeture.</w:t>
      </w:r>
      <w:r w:rsidRPr="00CA3533">
        <w:rPr>
          <w:lang w:val="fr-FR"/>
        </w:rPr>
        <w:t> »</w:t>
      </w:r>
    </w:p>
    <w:p w14:paraId="7F8F5D52" w14:textId="331BDC92" w:rsidR="003E3EB4" w:rsidRDefault="00CA3533" w:rsidP="003E3EB4">
      <w:pPr>
        <w:spacing w:after="120"/>
        <w:ind w:left="1134" w:right="1134"/>
        <w:jc w:val="both"/>
        <w:rPr>
          <w:lang w:val="fr-FR"/>
        </w:rPr>
      </w:pPr>
      <w:r w:rsidRPr="00CA3533">
        <w:rPr>
          <w:lang w:val="fr-FR"/>
        </w:rPr>
        <w:t>Ajouter un nouveau paragraphe 6.2.2.5.1, libellé comme suit :</w:t>
      </w:r>
    </w:p>
    <w:p w14:paraId="6F4CF45A" w14:textId="17505310" w:rsidR="00CA3533" w:rsidRPr="00CA3533" w:rsidRDefault="00CA3533" w:rsidP="003E3EB4">
      <w:pPr>
        <w:spacing w:after="120"/>
        <w:ind w:left="2268" w:right="1134" w:hanging="1134"/>
        <w:jc w:val="both"/>
        <w:rPr>
          <w:lang w:val="fr-FR"/>
        </w:rPr>
      </w:pPr>
      <w:r w:rsidRPr="00CA3533">
        <w:rPr>
          <w:lang w:val="fr-FR"/>
        </w:rPr>
        <w:lastRenderedPageBreak/>
        <w:t>« 6.2.2.5.1</w:t>
      </w:r>
      <w:r w:rsidRPr="00CA3533">
        <w:rPr>
          <w:lang w:val="fr-FR"/>
        </w:rPr>
        <w:tab/>
        <w:t>Les prescriptions du 6.2.2.5 doivent être appliquées pour évaluer la conformité des récipients à pression. Le 6.2.1.4.4 indique dans le détail quelles parties des récipients à pression peuvent faire l’objet d’une évaluation de conformité séparée. Les prescriptions du 6.2.2.5 peuvent cependant être remplacées par d’autres prescriptions spécifiées par l’autorité compétente, dans les cas suivants :</w:t>
      </w:r>
    </w:p>
    <w:p w14:paraId="76470492" w14:textId="77777777" w:rsidR="00CA3533" w:rsidRPr="00CA3533" w:rsidRDefault="00CA3533" w:rsidP="00CA3533">
      <w:pPr>
        <w:spacing w:after="120"/>
        <w:ind w:left="2835" w:right="1134" w:hanging="567"/>
        <w:jc w:val="both"/>
        <w:rPr>
          <w:lang w:val="fr-FR"/>
        </w:rPr>
      </w:pPr>
      <w:r w:rsidRPr="00CA3533">
        <w:rPr>
          <w:lang w:val="fr-FR"/>
        </w:rPr>
        <w:t>a)</w:t>
      </w:r>
      <w:r w:rsidRPr="00CA3533">
        <w:rPr>
          <w:lang w:val="fr-FR"/>
        </w:rPr>
        <w:tab/>
        <w:t>Évaluation de la conformité des fermetures ;</w:t>
      </w:r>
    </w:p>
    <w:p w14:paraId="1D875A30" w14:textId="77777777" w:rsidR="00CA3533" w:rsidRPr="00CA3533" w:rsidRDefault="00CA3533" w:rsidP="00CA3533">
      <w:pPr>
        <w:spacing w:after="120"/>
        <w:ind w:left="2835" w:right="1134" w:hanging="567"/>
        <w:jc w:val="both"/>
        <w:rPr>
          <w:lang w:val="fr-FR"/>
        </w:rPr>
      </w:pPr>
      <w:r w:rsidRPr="00CA3533">
        <w:rPr>
          <w:lang w:val="fr-FR"/>
        </w:rPr>
        <w:t>b)</w:t>
      </w:r>
      <w:r w:rsidRPr="00CA3533">
        <w:rPr>
          <w:lang w:val="fr-FR"/>
        </w:rPr>
        <w:tab/>
        <w:t>Évaluation de la conformité de l’assemblage complet des cadres de bouteilles, sous réserve que la conformité des enveloppes de bouteilles qui le composent ait été évaluée conformément aux prescriptions du 6.2.2.5 ; et</w:t>
      </w:r>
    </w:p>
    <w:p w14:paraId="6C9BB4BB" w14:textId="0DAC1A5B" w:rsidR="00CA3533" w:rsidRPr="00CA3533" w:rsidRDefault="00CA3533" w:rsidP="00CA3533">
      <w:pPr>
        <w:spacing w:after="120"/>
        <w:ind w:left="2835" w:right="1134" w:hanging="567"/>
        <w:jc w:val="both"/>
        <w:rPr>
          <w:lang w:val="fr-FR"/>
        </w:rPr>
      </w:pPr>
      <w:r w:rsidRPr="00CA3533">
        <w:rPr>
          <w:lang w:val="fr-FR"/>
        </w:rPr>
        <w:t>c)</w:t>
      </w:r>
      <w:r w:rsidRPr="00CA3533">
        <w:rPr>
          <w:lang w:val="fr-FR"/>
        </w:rPr>
        <w:tab/>
        <w:t>Évaluation de la conformité de l’assemblage complet des récipients cryogéniques fermés, sous réserve que la conformité des récipients intérieurs ait été évaluée conformément aux prescriptions du 6.2.2.5. »</w:t>
      </w:r>
    </w:p>
    <w:p w14:paraId="2C716D36" w14:textId="5C2FB03A" w:rsidR="00CA3533" w:rsidRPr="00CA3533" w:rsidRDefault="00CA3533" w:rsidP="00CA3533">
      <w:pPr>
        <w:spacing w:before="120" w:after="120"/>
        <w:ind w:left="2268" w:right="1134" w:hanging="1134"/>
        <w:jc w:val="both"/>
        <w:rPr>
          <w:lang w:val="fr-FR"/>
        </w:rPr>
      </w:pPr>
      <w:r w:rsidRPr="00CA3533">
        <w:rPr>
          <w:lang w:val="fr-FR"/>
        </w:rPr>
        <w:t>6.2.2.5.4.9</w:t>
      </w:r>
      <w:r w:rsidRPr="00CA3533">
        <w:rPr>
          <w:lang w:val="fr-FR"/>
        </w:rPr>
        <w:tab/>
        <w:t>Dans c), remplacer le texte actuel par : « </w:t>
      </w:r>
      <w:r w:rsidR="007F596E">
        <w:rPr>
          <w:lang w:val="fr-FR"/>
        </w:rPr>
        <w:t>D</w:t>
      </w:r>
      <w:r w:rsidRPr="00CA3533">
        <w:rPr>
          <w:lang w:val="fr-FR"/>
        </w:rPr>
        <w:t>e soumettre les récipients concernés aux épreuves prescrites pour l’agrément du modèle type, comme prescrit par la norme ou le code technique applicable au récipient à pression, ou de superviser ces épreuves ;».</w:t>
      </w:r>
    </w:p>
    <w:p w14:paraId="16776D16" w14:textId="77777777" w:rsidR="00CA3533" w:rsidRPr="00CA3533" w:rsidRDefault="00CA3533" w:rsidP="00CA3533">
      <w:pPr>
        <w:spacing w:before="120" w:after="120"/>
        <w:ind w:left="2268" w:right="1134" w:hanging="1134"/>
        <w:jc w:val="both"/>
        <w:rPr>
          <w:lang w:val="fr-FR"/>
        </w:rPr>
      </w:pPr>
      <w:r w:rsidRPr="00CA3533">
        <w:rPr>
          <w:lang w:val="fr-FR"/>
        </w:rPr>
        <w:tab/>
        <w:t>Ajouter la nouvelle phrase suivante à la fin de l’avant-dernier paragraphe : « Si la compatibilité entre les matériaux dont est constitué le récipient à pression et le contenu de celui-ci n’a pas pu être examinée de manière exhaustive au moment de la délivrance du certificat, une déclaration indiquant que l’évaluation de la compatibilité n’a pas été menée à bien doit être consignée dans le certificat d’agrément du modèle type. ».</w:t>
      </w:r>
    </w:p>
    <w:p w14:paraId="7EA0AEDE" w14:textId="77777777" w:rsidR="00CA3533" w:rsidRPr="00CA3533" w:rsidRDefault="00CA3533" w:rsidP="00CA3533">
      <w:pPr>
        <w:spacing w:before="120" w:after="120"/>
        <w:ind w:left="2268" w:right="1134" w:hanging="1134"/>
        <w:jc w:val="both"/>
        <w:rPr>
          <w:lang w:val="fr-FR"/>
        </w:rPr>
      </w:pPr>
      <w:r w:rsidRPr="00CA3533">
        <w:rPr>
          <w:lang w:val="fr-FR"/>
        </w:rPr>
        <w:t>6.2.2.7</w:t>
      </w:r>
      <w:r w:rsidRPr="00CA3533">
        <w:rPr>
          <w:lang w:val="fr-FR"/>
        </w:rPr>
        <w:tab/>
      </w:r>
      <w:r w:rsidRPr="00CA3533">
        <w:rPr>
          <w:lang w:val="fr-FR"/>
        </w:rPr>
        <w:tab/>
        <w:t>Modifier le Nota en remplaçant « au 6.2.2.9 et les prescriptions de marquage » par « au 6.2.2.9, les prescriptions de marquage », et ajouter, à la fin, « et les prescriptions de marquage pour les fermetures figurent au 6.2.2.11 ».</w:t>
      </w:r>
    </w:p>
    <w:p w14:paraId="75617E98" w14:textId="7AF8A9FC" w:rsidR="00CA3533" w:rsidRPr="00CA3533" w:rsidRDefault="00CA3533" w:rsidP="00CA3533">
      <w:pPr>
        <w:spacing w:before="120" w:after="120"/>
        <w:ind w:left="2268" w:right="1134" w:hanging="1134"/>
        <w:jc w:val="both"/>
        <w:rPr>
          <w:lang w:val="fr-FR"/>
        </w:rPr>
      </w:pPr>
      <w:r w:rsidRPr="00CA3533">
        <w:rPr>
          <w:lang w:val="fr-FR"/>
        </w:rPr>
        <w:t>6.2.2.7.1</w:t>
      </w:r>
      <w:r w:rsidRPr="00CA3533">
        <w:rPr>
          <w:lang w:val="fr-FR"/>
        </w:rPr>
        <w:tab/>
        <w:t>Dans la première phrase, remplacer « récipients à pression » par «</w:t>
      </w:r>
      <w:r w:rsidR="0023540E">
        <w:rPr>
          <w:lang w:val="fr-FR"/>
        </w:rPr>
        <w:t> </w:t>
      </w:r>
      <w:r w:rsidRPr="00CA3533">
        <w:rPr>
          <w:lang w:val="fr-FR"/>
        </w:rPr>
        <w:t xml:space="preserve">enveloppes de récipients à pression rechargeables </w:t>
      </w:r>
      <w:r w:rsidRPr="00CA3533">
        <w:rPr>
          <w:bCs/>
          <w:lang w:val="fr-FR"/>
        </w:rPr>
        <w:t>“</w:t>
      </w:r>
      <w:r w:rsidRPr="00CA3533">
        <w:rPr>
          <w:lang w:val="fr-FR"/>
        </w:rPr>
        <w:t>UN</w:t>
      </w:r>
      <w:r w:rsidRPr="00CA3533">
        <w:rPr>
          <w:bCs/>
          <w:lang w:val="fr-FR"/>
        </w:rPr>
        <w:t>”</w:t>
      </w:r>
      <w:r w:rsidRPr="00CA3533">
        <w:rPr>
          <w:lang w:val="fr-FR"/>
        </w:rPr>
        <w:t xml:space="preserve"> et les récipients cryogéniques fermés ». </w:t>
      </w:r>
    </w:p>
    <w:p w14:paraId="3842887A" w14:textId="77777777" w:rsidR="00CA3533" w:rsidRPr="00CA3533" w:rsidRDefault="00CA3533" w:rsidP="00CA3533">
      <w:pPr>
        <w:spacing w:before="120" w:after="120"/>
        <w:ind w:left="2268" w:right="1134" w:hanging="1134"/>
        <w:jc w:val="both"/>
        <w:rPr>
          <w:lang w:val="fr-FR"/>
        </w:rPr>
      </w:pPr>
      <w:r w:rsidRPr="00CA3533">
        <w:rPr>
          <w:lang w:val="fr-FR"/>
        </w:rPr>
        <w:tab/>
        <w:t xml:space="preserve">À la fin de la deuxième phrase, supprimer « sur le récipient à pression ». </w:t>
      </w:r>
    </w:p>
    <w:p w14:paraId="6B7A8284" w14:textId="77777777" w:rsidR="00CA3533" w:rsidRPr="00CA3533" w:rsidRDefault="00CA3533" w:rsidP="00CA3533">
      <w:pPr>
        <w:spacing w:before="120" w:after="120"/>
        <w:ind w:left="2268" w:right="1134" w:hanging="1134"/>
        <w:jc w:val="both"/>
        <w:rPr>
          <w:lang w:val="fr-FR"/>
        </w:rPr>
      </w:pPr>
      <w:r w:rsidRPr="00CA3533">
        <w:rPr>
          <w:lang w:val="fr-FR"/>
        </w:rPr>
        <w:tab/>
        <w:t>À la troisième phrase, après « le fond supérieur ou le col », insérer « </w:t>
      </w:r>
      <w:bookmarkStart w:id="15" w:name="_Hlk69227765"/>
      <w:r w:rsidRPr="00CA3533">
        <w:rPr>
          <w:lang w:val="fr-FR"/>
        </w:rPr>
        <w:t>de l’enveloppe</w:t>
      </w:r>
      <w:bookmarkEnd w:id="15"/>
      <w:r w:rsidRPr="00CA3533">
        <w:rPr>
          <w:lang w:val="fr-FR"/>
        </w:rPr>
        <w:t> ».</w:t>
      </w:r>
    </w:p>
    <w:p w14:paraId="25CD0819" w14:textId="0A6EE2E7" w:rsidR="002154F7" w:rsidRDefault="00CA3533" w:rsidP="002154F7">
      <w:pPr>
        <w:spacing w:before="120" w:after="120"/>
        <w:ind w:left="2268" w:right="1134" w:hanging="1134"/>
        <w:jc w:val="both"/>
        <w:rPr>
          <w:lang w:val="fr-FR"/>
        </w:rPr>
      </w:pPr>
      <w:r w:rsidRPr="00CA3533">
        <w:rPr>
          <w:lang w:val="fr-FR"/>
        </w:rPr>
        <w:t>6.2.2.7.2</w:t>
      </w:r>
      <w:r w:rsidRPr="00CA3533">
        <w:rPr>
          <w:lang w:val="fr-FR"/>
        </w:rPr>
        <w:tab/>
        <w:t>À la fin</w:t>
      </w:r>
      <w:r w:rsidR="00D812EF">
        <w:rPr>
          <w:lang w:val="fr-FR"/>
        </w:rPr>
        <w:t xml:space="preserve"> de l’alinéa b)</w:t>
      </w:r>
      <w:r w:rsidRPr="00CA3533">
        <w:rPr>
          <w:lang w:val="fr-FR"/>
        </w:rPr>
        <w:t>, ajouter le nouveau Nota suivant :</w:t>
      </w:r>
      <w:bookmarkStart w:id="16" w:name="_Hlk531615118"/>
    </w:p>
    <w:p w14:paraId="22941B38" w14:textId="45BC7A1A" w:rsidR="00CA3533" w:rsidRPr="00CA3533" w:rsidRDefault="00CA3533" w:rsidP="002154F7">
      <w:pPr>
        <w:spacing w:before="120" w:after="120"/>
        <w:ind w:left="2268" w:right="1134" w:hanging="1134"/>
        <w:jc w:val="both"/>
        <w:rPr>
          <w:lang w:val="fr-FR"/>
        </w:rPr>
      </w:pPr>
      <w:r w:rsidRPr="00CA3533">
        <w:rPr>
          <w:lang w:val="fr-FR"/>
        </w:rPr>
        <w:t>« </w:t>
      </w:r>
      <w:r w:rsidRPr="00CA3533">
        <w:rPr>
          <w:b/>
          <w:bCs/>
          <w:i/>
          <w:iCs/>
          <w:lang w:val="fr-FR"/>
        </w:rPr>
        <w:t>NOTA</w:t>
      </w:r>
      <w:r w:rsidRPr="002154F7">
        <w:rPr>
          <w:b/>
          <w:i/>
          <w:iCs/>
          <w:lang w:val="fr-FR"/>
        </w:rPr>
        <w:t> :</w:t>
      </w:r>
      <w:r w:rsidRPr="00CA3533">
        <w:rPr>
          <w:i/>
          <w:iCs/>
          <w:lang w:val="fr-FR"/>
        </w:rPr>
        <w:t xml:space="preserve"> </w:t>
      </w:r>
      <w:bookmarkStart w:id="17" w:name="_Hlk69227795"/>
      <w:r w:rsidR="002154F7">
        <w:rPr>
          <w:i/>
          <w:iCs/>
          <w:lang w:val="fr-FR"/>
        </w:rPr>
        <w:tab/>
      </w:r>
      <w:r w:rsidRPr="00CA3533">
        <w:rPr>
          <w:i/>
          <w:iCs/>
          <w:lang w:val="fr-FR"/>
        </w:rPr>
        <w:t>Pour les bouteilles d’acétylène, la marque de la norme ISO 3807 doit également être apposée.</w:t>
      </w:r>
      <w:bookmarkEnd w:id="17"/>
      <w:r w:rsidRPr="00CA3533">
        <w:rPr>
          <w:lang w:val="fr-FR"/>
        </w:rPr>
        <w:t xml:space="preserve"> ». </w:t>
      </w:r>
    </w:p>
    <w:bookmarkEnd w:id="16"/>
    <w:p w14:paraId="2FBA9885" w14:textId="07C02DD1" w:rsidR="002154F7" w:rsidRDefault="00CA3533" w:rsidP="002154F7">
      <w:pPr>
        <w:spacing w:before="120" w:after="120"/>
        <w:ind w:left="2268" w:right="1134" w:hanging="1134"/>
        <w:jc w:val="both"/>
        <w:rPr>
          <w:lang w:val="fr-FR"/>
        </w:rPr>
      </w:pPr>
      <w:r w:rsidRPr="00CA3533">
        <w:rPr>
          <w:lang w:val="fr-FR"/>
        </w:rPr>
        <w:t>6.2.2.7.2</w:t>
      </w:r>
      <w:r w:rsidR="00D812EF">
        <w:rPr>
          <w:lang w:val="fr-FR"/>
        </w:rPr>
        <w:tab/>
        <w:t>A</w:t>
      </w:r>
      <w:r w:rsidRPr="00CA3533">
        <w:rPr>
          <w:lang w:val="fr-FR"/>
        </w:rPr>
        <w:t>près e)</w:t>
      </w:r>
      <w:r w:rsidR="00D812EF">
        <w:rPr>
          <w:lang w:val="fr-FR"/>
        </w:rPr>
        <w:t>, a</w:t>
      </w:r>
      <w:r w:rsidRPr="00CA3533">
        <w:rPr>
          <w:lang w:val="fr-FR"/>
        </w:rPr>
        <w:t xml:space="preserve">jouter le nouveau </w:t>
      </w:r>
      <w:r w:rsidR="00D812EF" w:rsidRPr="00D812EF">
        <w:rPr>
          <w:lang w:val="fr-FR"/>
        </w:rPr>
        <w:t>Nota</w:t>
      </w:r>
      <w:r w:rsidR="00D812EF" w:rsidRPr="00CA3533">
        <w:rPr>
          <w:b/>
          <w:bCs/>
          <w:i/>
          <w:iCs/>
          <w:lang w:val="fr-FR"/>
        </w:rPr>
        <w:t xml:space="preserve"> </w:t>
      </w:r>
      <w:r w:rsidRPr="00CA3533">
        <w:rPr>
          <w:lang w:val="fr-FR"/>
        </w:rPr>
        <w:t>suivant :</w:t>
      </w:r>
      <w:bookmarkStart w:id="18" w:name="_Hlk8281117"/>
    </w:p>
    <w:p w14:paraId="3A7FC989" w14:textId="1D1BE0E2" w:rsidR="00CA3533" w:rsidRPr="002154F7" w:rsidRDefault="00CA3533" w:rsidP="002154F7">
      <w:pPr>
        <w:spacing w:before="120" w:after="120"/>
        <w:ind w:left="2268" w:right="1134" w:hanging="1134"/>
        <w:jc w:val="both"/>
        <w:rPr>
          <w:lang w:val="fr-FR"/>
        </w:rPr>
      </w:pPr>
      <w:r w:rsidRPr="00CA3533">
        <w:rPr>
          <w:spacing w:val="-3"/>
          <w:lang w:val="fr-FR"/>
        </w:rPr>
        <w:t>« </w:t>
      </w:r>
      <w:r w:rsidRPr="00CA3533">
        <w:rPr>
          <w:b/>
          <w:bCs/>
          <w:i/>
          <w:iCs/>
          <w:spacing w:val="-3"/>
          <w:lang w:val="fr-FR"/>
        </w:rPr>
        <w:t>NOTA</w:t>
      </w:r>
      <w:r w:rsidRPr="002154F7">
        <w:rPr>
          <w:b/>
          <w:i/>
          <w:iCs/>
          <w:spacing w:val="-3"/>
          <w:lang w:val="fr-FR"/>
        </w:rPr>
        <w:t xml:space="preserve"> : </w:t>
      </w:r>
      <w:r w:rsidR="002154F7">
        <w:rPr>
          <w:i/>
          <w:iCs/>
          <w:spacing w:val="-3"/>
          <w:lang w:val="fr-FR"/>
        </w:rPr>
        <w:tab/>
      </w:r>
      <w:r w:rsidRPr="00CA3533">
        <w:rPr>
          <w:i/>
          <w:iCs/>
          <w:spacing w:val="-3"/>
          <w:lang w:val="fr-FR"/>
        </w:rPr>
        <w:t>Lorsque la conformité d’une bouteille d’acétylène est évaluée en application du 6.2.1.4.4 b) et lorsque l’enveloppe de la bouteille et la bouteille proprement dite ne sont pas évalués par les mêmes organismes de contrôle, leurs deux signes distinctifs respectifs (alinéa d)) doivent être apposés.</w:t>
      </w:r>
      <w:r w:rsidRPr="00CA3533">
        <w:rPr>
          <w:spacing w:val="-3"/>
          <w:lang w:val="fr-FR"/>
        </w:rPr>
        <w:t xml:space="preserve"> </w:t>
      </w:r>
      <w:r w:rsidRPr="00CA3533">
        <w:rPr>
          <w:i/>
          <w:iCs/>
          <w:spacing w:val="-3"/>
          <w:lang w:val="fr-FR"/>
        </w:rPr>
        <w:t>Ne doit être indiquée que la date du contrôle initial (alinéa e)) de la bouteille d’acétylène complète.</w:t>
      </w:r>
      <w:r w:rsidRPr="00CA3533">
        <w:rPr>
          <w:spacing w:val="-3"/>
          <w:lang w:val="fr-FR"/>
        </w:rPr>
        <w:t xml:space="preserve"> </w:t>
      </w:r>
      <w:r w:rsidRPr="00CA3533">
        <w:rPr>
          <w:i/>
          <w:iCs/>
          <w:spacing w:val="-3"/>
          <w:lang w:val="fr-FR"/>
        </w:rPr>
        <w:t>Si toutefois le pays d’agrément de l’organisme chargé des contrôles initiaux est différent du pays de l’organisme chargé des épreuves initiales, un deuxième signe distinctif (alinéa c)) doit être apposé.</w:t>
      </w:r>
      <w:r w:rsidRPr="00CA3533">
        <w:rPr>
          <w:spacing w:val="-3"/>
          <w:lang w:val="fr-FR"/>
        </w:rPr>
        <w:t> »</w:t>
      </w:r>
      <w:bookmarkEnd w:id="18"/>
    </w:p>
    <w:p w14:paraId="53635081" w14:textId="75C6B01C" w:rsidR="00CA3533" w:rsidRPr="00CA3533" w:rsidRDefault="00CA3533" w:rsidP="00CA3533">
      <w:pPr>
        <w:spacing w:before="120" w:after="120"/>
        <w:ind w:left="2268" w:right="1134" w:hanging="1134"/>
        <w:jc w:val="both"/>
        <w:rPr>
          <w:lang w:val="fr-FR"/>
        </w:rPr>
      </w:pPr>
      <w:r w:rsidRPr="00CA3533">
        <w:rPr>
          <w:lang w:val="fr-FR"/>
        </w:rPr>
        <w:t>6.2.2.7.3</w:t>
      </w:r>
      <w:r w:rsidRPr="00CA3533">
        <w:rPr>
          <w:lang w:val="fr-FR"/>
        </w:rPr>
        <w:tab/>
        <w:t>Dans la deuxième phrase</w:t>
      </w:r>
      <w:r w:rsidR="00717F98">
        <w:rPr>
          <w:lang w:val="fr-FR"/>
        </w:rPr>
        <w:t xml:space="preserve"> de l’alinéa g)</w:t>
      </w:r>
      <w:r w:rsidRPr="00CA3533">
        <w:rPr>
          <w:lang w:val="fr-FR"/>
        </w:rPr>
        <w:t>, remplacer « masse des robinets, des chapeaux de protection des robinets » par « masse de la ou des fermetures, des chapeaux de protection des robinets ».</w:t>
      </w:r>
    </w:p>
    <w:p w14:paraId="1BC0811A" w14:textId="7F76F8DB" w:rsidR="00E37637" w:rsidRDefault="00CA3533" w:rsidP="00E37637">
      <w:pPr>
        <w:spacing w:before="120" w:after="120"/>
        <w:ind w:left="2268" w:right="1134" w:hanging="1134"/>
        <w:jc w:val="both"/>
        <w:rPr>
          <w:i/>
          <w:lang w:val="fr-FR"/>
        </w:rPr>
      </w:pPr>
      <w:r w:rsidRPr="00CA3533">
        <w:rPr>
          <w:lang w:val="fr-FR"/>
        </w:rPr>
        <w:t>6.2.2.7.3</w:t>
      </w:r>
      <w:r w:rsidRPr="00CA3533">
        <w:rPr>
          <w:lang w:val="fr-FR"/>
        </w:rPr>
        <w:tab/>
      </w:r>
      <w:r w:rsidR="00717F98">
        <w:rPr>
          <w:lang w:val="fr-FR"/>
        </w:rPr>
        <w:t xml:space="preserve">Dans </w:t>
      </w:r>
      <w:r w:rsidR="00152740">
        <w:rPr>
          <w:lang w:val="fr-FR"/>
        </w:rPr>
        <w:t>l’alinéa i), à</w:t>
      </w:r>
      <w:r w:rsidRPr="00CA3533">
        <w:rPr>
          <w:lang w:val="fr-FR"/>
        </w:rPr>
        <w:t xml:space="preserve"> la fin, ajouter le </w:t>
      </w:r>
      <w:r w:rsidRPr="00152740">
        <w:rPr>
          <w:lang w:val="fr-FR"/>
        </w:rPr>
        <w:t>Nota</w:t>
      </w:r>
      <w:r w:rsidRPr="00CA3533">
        <w:rPr>
          <w:i/>
          <w:iCs/>
          <w:lang w:val="fr-FR"/>
        </w:rPr>
        <w:t xml:space="preserve"> </w:t>
      </w:r>
      <w:r w:rsidRPr="00CA3533">
        <w:rPr>
          <w:lang w:val="fr-FR"/>
        </w:rPr>
        <w:t>suivant :</w:t>
      </w:r>
    </w:p>
    <w:p w14:paraId="38E1439D" w14:textId="75FC7564" w:rsidR="00CA3533" w:rsidRPr="00E37637" w:rsidRDefault="00CA3533" w:rsidP="00E37637">
      <w:pPr>
        <w:spacing w:before="120" w:after="120"/>
        <w:ind w:left="2268" w:right="1134" w:hanging="1134"/>
        <w:jc w:val="both"/>
        <w:rPr>
          <w:i/>
          <w:lang w:val="fr-FR"/>
        </w:rPr>
      </w:pPr>
      <w:r w:rsidRPr="00CA3533">
        <w:rPr>
          <w:lang w:val="fr-FR"/>
        </w:rPr>
        <w:t>« </w:t>
      </w:r>
      <w:bookmarkStart w:id="19" w:name="_Hlk69227888"/>
      <w:r w:rsidRPr="00CA3533">
        <w:rPr>
          <w:b/>
          <w:bCs/>
          <w:i/>
          <w:iCs/>
          <w:lang w:val="fr-FR"/>
        </w:rPr>
        <w:t>NOTA</w:t>
      </w:r>
      <w:r w:rsidRPr="00E37637">
        <w:rPr>
          <w:b/>
          <w:i/>
          <w:iCs/>
          <w:lang w:val="fr-FR"/>
        </w:rPr>
        <w:t xml:space="preserve"> : </w:t>
      </w:r>
      <w:r w:rsidR="00E37637">
        <w:rPr>
          <w:i/>
          <w:iCs/>
          <w:lang w:val="fr-FR"/>
        </w:rPr>
        <w:tab/>
      </w:r>
      <w:r w:rsidRPr="00CA3533">
        <w:rPr>
          <w:i/>
          <w:iCs/>
          <w:lang w:val="fr-FR"/>
        </w:rPr>
        <w:t xml:space="preserve">Lorsqu’une enveloppe de bouteille est destinée à être utilisée en tant que bouteille d’acétylène (y compris la matière poreuse), il n’est pas obligatoire </w:t>
      </w:r>
      <w:r w:rsidRPr="00CA3533">
        <w:rPr>
          <w:i/>
          <w:iCs/>
          <w:lang w:val="fr-FR"/>
        </w:rPr>
        <w:lastRenderedPageBreak/>
        <w:t>d’y apposer la marque relative à la pression de service jusqu’à ce que la bouteille soit complète.</w:t>
      </w:r>
      <w:bookmarkEnd w:id="19"/>
      <w:r w:rsidRPr="00CA3533">
        <w:rPr>
          <w:lang w:val="fr-FR"/>
        </w:rPr>
        <w:t> »</w:t>
      </w:r>
    </w:p>
    <w:p w14:paraId="34EBB0D5" w14:textId="17908B7E" w:rsidR="00CA3533" w:rsidRPr="00CA3533" w:rsidRDefault="00CA3533" w:rsidP="00CA3533">
      <w:pPr>
        <w:spacing w:before="120" w:after="120"/>
        <w:ind w:left="2268" w:right="1134" w:hanging="1134"/>
        <w:jc w:val="both"/>
        <w:rPr>
          <w:lang w:val="fr-FR"/>
        </w:rPr>
      </w:pPr>
      <w:r w:rsidRPr="00CA3533">
        <w:rPr>
          <w:lang w:val="fr-FR"/>
        </w:rPr>
        <w:tab/>
        <w:t>Dans la première phrase</w:t>
      </w:r>
      <w:r w:rsidR="00152740">
        <w:rPr>
          <w:lang w:val="fr-FR"/>
        </w:rPr>
        <w:t xml:space="preserve"> de l’alinéa j)</w:t>
      </w:r>
      <w:r w:rsidRPr="00CA3533">
        <w:rPr>
          <w:lang w:val="fr-FR"/>
        </w:rPr>
        <w:t xml:space="preserve">, remplacer « des gaz liquéfiés et des gaz liquides réfrigérés » par « des gaz liquéfiés, des gaz liquides réfrigérés et des gaz dissous ». </w:t>
      </w:r>
    </w:p>
    <w:p w14:paraId="50EBAA34" w14:textId="0672251B" w:rsidR="00CA3533" w:rsidRPr="00CA3533" w:rsidRDefault="00CA3533" w:rsidP="00CA3533">
      <w:pPr>
        <w:spacing w:before="120" w:after="120"/>
        <w:ind w:left="2268" w:right="1134" w:hanging="1134"/>
        <w:jc w:val="both"/>
        <w:rPr>
          <w:lang w:val="fr-FR"/>
        </w:rPr>
      </w:pPr>
      <w:r w:rsidRPr="00CA3533">
        <w:rPr>
          <w:lang w:val="fr-FR"/>
        </w:rPr>
        <w:tab/>
        <w:t xml:space="preserve">Remplacer les alinéas k) et </w:t>
      </w:r>
      <w:r w:rsidRPr="00431475">
        <w:rPr>
          <w:i/>
          <w:iCs/>
          <w:lang w:val="fr-FR"/>
        </w:rPr>
        <w:t>l</w:t>
      </w:r>
      <w:r w:rsidRPr="00CA3533">
        <w:rPr>
          <w:lang w:val="fr-FR"/>
        </w:rPr>
        <w:t>) par ce qui suit :</w:t>
      </w:r>
    </w:p>
    <w:p w14:paraId="7BED6A06" w14:textId="77777777" w:rsidR="00CA3533" w:rsidRPr="00CA3533" w:rsidRDefault="00CA3533" w:rsidP="00CA3533">
      <w:pPr>
        <w:spacing w:after="120"/>
        <w:ind w:left="2268" w:right="1134"/>
        <w:jc w:val="both"/>
        <w:rPr>
          <w:lang w:val="fr-FR"/>
        </w:rPr>
      </w:pPr>
      <w:r w:rsidRPr="00CA3533">
        <w:rPr>
          <w:lang w:val="fr-FR"/>
        </w:rPr>
        <w:t>« </w:t>
      </w:r>
      <w:bookmarkStart w:id="20" w:name="_Hlk69227953"/>
      <w:r w:rsidRPr="00CA3533">
        <w:rPr>
          <w:lang w:val="fr-FR"/>
        </w:rPr>
        <w:t>k)</w:t>
      </w:r>
      <w:r w:rsidRPr="00CA3533">
        <w:rPr>
          <w:lang w:val="fr-FR"/>
        </w:rPr>
        <w:tab/>
        <w:t>Dans le cas des bouteilles pour le No ONU 1001, acétylène dissous :</w:t>
      </w:r>
    </w:p>
    <w:p w14:paraId="5E095FEA" w14:textId="77777777" w:rsidR="00CA3533" w:rsidRPr="00CA3533" w:rsidRDefault="00CA3533" w:rsidP="00CA3533">
      <w:pPr>
        <w:spacing w:after="120"/>
        <w:ind w:left="3402" w:right="1134" w:hanging="567"/>
        <w:jc w:val="both"/>
        <w:rPr>
          <w:lang w:val="fr-FR"/>
        </w:rPr>
      </w:pPr>
      <w:r w:rsidRPr="00CA3533">
        <w:rPr>
          <w:lang w:val="fr-FR"/>
        </w:rPr>
        <w:t>i)</w:t>
      </w:r>
      <w:r w:rsidRPr="00CA3533">
        <w:rPr>
          <w:lang w:val="fr-FR"/>
        </w:rPr>
        <w:tab/>
        <w:t xml:space="preserve">La masse à vide (en kg) égale à la somme des masses de l’enveloppe vide, de l’équipement de service (y compris la matière poreuse) non enlevé pendant le remplissage, de tout revêtement, du solvant et du gaz de saturation, exprimée par un nombre à trois chiffres significatifs arrondi au dernier chiffre inférieur, suivi des lettres </w:t>
      </w:r>
      <w:r w:rsidRPr="00CA3533">
        <w:rPr>
          <w:bCs/>
          <w:lang w:val="fr-FR"/>
        </w:rPr>
        <w:t>“</w:t>
      </w:r>
      <w:r w:rsidRPr="00CA3533">
        <w:rPr>
          <w:lang w:val="fr-FR"/>
        </w:rPr>
        <w:t>KG</w:t>
      </w:r>
      <w:r w:rsidRPr="00CA3533">
        <w:rPr>
          <w:bCs/>
          <w:lang w:val="fr-FR"/>
        </w:rPr>
        <w:t>”</w:t>
      </w:r>
      <w:r w:rsidRPr="00CA3533">
        <w:rPr>
          <w:lang w:val="fr-FR"/>
        </w:rPr>
        <w:t>. Au moins une décimale doit être indiquée après la virgule. Pour les récipients à pression de moins de 1 kg, la masse doit être exprimée par un nombre à deux chiffres significatifs arrondi au dernier chiffre inférieur ;</w:t>
      </w:r>
    </w:p>
    <w:p w14:paraId="28B1780A" w14:textId="77777777" w:rsidR="00CA3533" w:rsidRPr="00CA3533" w:rsidRDefault="00CA3533" w:rsidP="00CA3533">
      <w:pPr>
        <w:spacing w:after="120"/>
        <w:ind w:left="3402" w:right="1134" w:hanging="567"/>
        <w:jc w:val="both"/>
        <w:rPr>
          <w:lang w:val="fr-FR"/>
        </w:rPr>
      </w:pPr>
      <w:r w:rsidRPr="00CA3533">
        <w:rPr>
          <w:lang w:val="fr-FR"/>
        </w:rPr>
        <w:t>ii)</w:t>
      </w:r>
      <w:r w:rsidRPr="00CA3533">
        <w:rPr>
          <w:lang w:val="fr-FR"/>
        </w:rPr>
        <w:tab/>
        <w:t xml:space="preserve">La désignation de la matière poreuse employée (par exemple, le nom ou la marque) ; </w:t>
      </w:r>
    </w:p>
    <w:p w14:paraId="3B56DDEB" w14:textId="77777777" w:rsidR="00CA3533" w:rsidRPr="00CA3533" w:rsidRDefault="00CA3533" w:rsidP="00CA3533">
      <w:pPr>
        <w:spacing w:after="120"/>
        <w:ind w:left="3402" w:right="1134" w:hanging="567"/>
        <w:jc w:val="both"/>
        <w:rPr>
          <w:lang w:val="fr-FR"/>
        </w:rPr>
      </w:pPr>
      <w:r w:rsidRPr="00CA3533">
        <w:rPr>
          <w:lang w:val="fr-FR"/>
        </w:rPr>
        <w:t>iii)</w:t>
      </w:r>
      <w:r w:rsidRPr="00CA3533">
        <w:rPr>
          <w:lang w:val="fr-FR"/>
        </w:rPr>
        <w:tab/>
        <w:t xml:space="preserve">La masse totale (exprimée en kg) de la bouteille d’acétylène remplie, suivie des lettres </w:t>
      </w:r>
      <w:r w:rsidRPr="00CA3533">
        <w:rPr>
          <w:bCs/>
          <w:lang w:val="fr-FR"/>
        </w:rPr>
        <w:t>“</w:t>
      </w:r>
      <w:r w:rsidRPr="00CA3533">
        <w:rPr>
          <w:lang w:val="fr-FR"/>
        </w:rPr>
        <w:t>KG</w:t>
      </w:r>
      <w:r w:rsidRPr="00CA3533">
        <w:rPr>
          <w:bCs/>
          <w:lang w:val="fr-FR"/>
        </w:rPr>
        <w:t>”</w:t>
      </w:r>
      <w:r w:rsidRPr="00CA3533">
        <w:rPr>
          <w:lang w:val="fr-FR"/>
        </w:rPr>
        <w:t> ;</w:t>
      </w:r>
    </w:p>
    <w:p w14:paraId="0E8C4263" w14:textId="77777777" w:rsidR="00CA3533" w:rsidRPr="00CA3533" w:rsidRDefault="00CA3533" w:rsidP="00CA3533">
      <w:pPr>
        <w:spacing w:after="120"/>
        <w:ind w:left="2835" w:right="1134" w:hanging="567"/>
        <w:jc w:val="both"/>
        <w:rPr>
          <w:lang w:val="fr-FR"/>
        </w:rPr>
      </w:pPr>
      <w:r w:rsidRPr="00CA3533">
        <w:rPr>
          <w:i/>
          <w:iCs/>
          <w:lang w:val="fr-FR"/>
        </w:rPr>
        <w:t>l</w:t>
      </w:r>
      <w:r w:rsidRPr="00CA3533">
        <w:rPr>
          <w:lang w:val="fr-FR"/>
        </w:rPr>
        <w:t>)</w:t>
      </w:r>
      <w:r w:rsidRPr="00CA3533">
        <w:rPr>
          <w:lang w:val="fr-FR"/>
        </w:rPr>
        <w:tab/>
        <w:t>Dans le cas des bouteilles pour le No ONU 3374, acétylène sans solvant :</w:t>
      </w:r>
    </w:p>
    <w:p w14:paraId="35DB846A" w14:textId="77777777" w:rsidR="00CA3533" w:rsidRPr="00CA3533" w:rsidRDefault="00CA3533" w:rsidP="00CA3533">
      <w:pPr>
        <w:spacing w:after="120"/>
        <w:ind w:left="3402" w:right="1134" w:hanging="567"/>
        <w:jc w:val="both"/>
        <w:rPr>
          <w:lang w:val="fr-FR"/>
        </w:rPr>
      </w:pPr>
      <w:r w:rsidRPr="00CA3533">
        <w:rPr>
          <w:lang w:val="fr-FR"/>
        </w:rPr>
        <w:t>i)</w:t>
      </w:r>
      <w:r w:rsidRPr="00CA3533">
        <w:rPr>
          <w:lang w:val="fr-FR"/>
        </w:rPr>
        <w:tab/>
        <w:t xml:space="preserve">La masse à vide (en kg) égale à la somme des masses de l’enveloppe vide, de l’équipement de service (y compris la matière poreuse) non enlevé pendant le remplissage et de tout revêtement, exprimée par un nombre à trois chiffres significatifs arrondi au dernier chiffre inférieur, suivi des lettres </w:t>
      </w:r>
      <w:r w:rsidRPr="00CA3533">
        <w:rPr>
          <w:bCs/>
          <w:lang w:val="fr-FR"/>
        </w:rPr>
        <w:t>“</w:t>
      </w:r>
      <w:r w:rsidRPr="00CA3533">
        <w:rPr>
          <w:lang w:val="fr-FR"/>
        </w:rPr>
        <w:t>KG</w:t>
      </w:r>
      <w:r w:rsidRPr="00CA3533">
        <w:rPr>
          <w:bCs/>
          <w:lang w:val="fr-FR"/>
        </w:rPr>
        <w:t>”</w:t>
      </w:r>
      <w:r w:rsidRPr="00CA3533">
        <w:rPr>
          <w:lang w:val="fr-FR"/>
        </w:rPr>
        <w:t xml:space="preserve">. Au moins une décimale doit être indiquée après la virgule. Pour les récipients à pression de moins de 1 kg, la masse doit être exprimée par un nombre à deux chiffres significatifs arrondi au dernier chiffre inférieur ; </w:t>
      </w:r>
    </w:p>
    <w:p w14:paraId="4173B60B" w14:textId="77777777" w:rsidR="00CA3533" w:rsidRPr="00CA3533" w:rsidRDefault="00CA3533" w:rsidP="00CA3533">
      <w:pPr>
        <w:spacing w:after="120"/>
        <w:ind w:left="3402" w:right="1134" w:hanging="567"/>
        <w:jc w:val="both"/>
        <w:rPr>
          <w:lang w:val="fr-FR"/>
        </w:rPr>
      </w:pPr>
      <w:r w:rsidRPr="00CA3533">
        <w:rPr>
          <w:lang w:val="fr-FR"/>
        </w:rPr>
        <w:t>ii)</w:t>
      </w:r>
      <w:r w:rsidRPr="00CA3533">
        <w:rPr>
          <w:lang w:val="fr-FR"/>
        </w:rPr>
        <w:tab/>
      </w:r>
      <w:bookmarkStart w:id="21" w:name="_Hlk74575252"/>
      <w:r w:rsidRPr="00CA3533">
        <w:rPr>
          <w:lang w:val="fr-FR"/>
        </w:rPr>
        <w:t>La désignation de la matière poreuse employée</w:t>
      </w:r>
      <w:bookmarkEnd w:id="21"/>
      <w:r w:rsidRPr="00CA3533">
        <w:rPr>
          <w:lang w:val="fr-FR"/>
        </w:rPr>
        <w:t xml:space="preserve"> (par exemple, le nom ou la marque) ;</w:t>
      </w:r>
    </w:p>
    <w:p w14:paraId="0F1B8E2E" w14:textId="1B1A534D" w:rsidR="00CA3533" w:rsidRPr="00CA3533" w:rsidRDefault="00CA3533" w:rsidP="00CA3533">
      <w:pPr>
        <w:spacing w:after="120"/>
        <w:ind w:left="3402" w:right="1134" w:hanging="567"/>
        <w:jc w:val="both"/>
        <w:rPr>
          <w:lang w:val="fr-FR"/>
        </w:rPr>
      </w:pPr>
      <w:r w:rsidRPr="00CA3533">
        <w:rPr>
          <w:lang w:val="fr-FR"/>
        </w:rPr>
        <w:t>iii)</w:t>
      </w:r>
      <w:r w:rsidRPr="00CA3533">
        <w:rPr>
          <w:lang w:val="fr-FR"/>
        </w:rPr>
        <w:tab/>
        <w:t xml:space="preserve">La masse totale (exprimée en kg) de la bouteille d’acétylène remplie, suivie des lettres </w:t>
      </w:r>
      <w:r w:rsidRPr="00CA3533">
        <w:rPr>
          <w:bCs/>
          <w:lang w:val="fr-FR"/>
        </w:rPr>
        <w:t>“</w:t>
      </w:r>
      <w:r w:rsidRPr="00CA3533">
        <w:rPr>
          <w:lang w:val="fr-FR"/>
        </w:rPr>
        <w:t>KG</w:t>
      </w:r>
      <w:r w:rsidRPr="00CA3533">
        <w:rPr>
          <w:bCs/>
          <w:lang w:val="fr-FR"/>
        </w:rPr>
        <w:t>”</w:t>
      </w:r>
      <w:r w:rsidRPr="00CA3533">
        <w:rPr>
          <w:lang w:val="fr-FR"/>
        </w:rPr>
        <w:t>.</w:t>
      </w:r>
      <w:bookmarkEnd w:id="20"/>
      <w:r w:rsidRPr="00CA3533">
        <w:rPr>
          <w:lang w:val="fr-FR"/>
        </w:rPr>
        <w:t> »</w:t>
      </w:r>
    </w:p>
    <w:p w14:paraId="2F2A2772" w14:textId="070BA772" w:rsidR="00CA3533" w:rsidRPr="00CA3533" w:rsidRDefault="00CA3533" w:rsidP="00CA3533">
      <w:pPr>
        <w:spacing w:before="120" w:after="120"/>
        <w:ind w:left="2268" w:right="1134" w:hanging="1134"/>
        <w:jc w:val="both"/>
        <w:rPr>
          <w:b/>
          <w:i/>
          <w:lang w:val="fr-FR"/>
        </w:rPr>
      </w:pPr>
      <w:r w:rsidRPr="00CA3533">
        <w:rPr>
          <w:lang w:val="fr-FR"/>
        </w:rPr>
        <w:t>6.2.2.7.4 n)</w:t>
      </w:r>
      <w:r w:rsidRPr="00CA3533">
        <w:rPr>
          <w:lang w:val="fr-FR"/>
        </w:rPr>
        <w:tab/>
        <w:t xml:space="preserve">Après le texte actuel, insérer le nouveau </w:t>
      </w:r>
      <w:r w:rsidR="006A3D16" w:rsidRPr="006A3D16">
        <w:rPr>
          <w:lang w:val="fr-FR"/>
        </w:rPr>
        <w:t>Nota</w:t>
      </w:r>
      <w:r w:rsidR="006A3D16" w:rsidRPr="00CA3533">
        <w:rPr>
          <w:b/>
          <w:bCs/>
          <w:lang w:val="fr-FR"/>
        </w:rPr>
        <w:t xml:space="preserve"> </w:t>
      </w:r>
      <w:r w:rsidRPr="00CA3533">
        <w:rPr>
          <w:lang w:val="fr-FR"/>
        </w:rPr>
        <w:t>suivant :</w:t>
      </w:r>
    </w:p>
    <w:p w14:paraId="7F3804BF" w14:textId="2D6B593B" w:rsidR="00CA3533" w:rsidRPr="00CA3533" w:rsidRDefault="00CA3533" w:rsidP="001E3EAA">
      <w:pPr>
        <w:spacing w:after="120"/>
        <w:ind w:left="2268" w:right="1134" w:hanging="1134"/>
        <w:jc w:val="both"/>
        <w:rPr>
          <w:lang w:val="fr-FR"/>
        </w:rPr>
      </w:pPr>
      <w:r w:rsidRPr="00CA3533">
        <w:rPr>
          <w:lang w:val="fr-FR"/>
        </w:rPr>
        <w:t>« </w:t>
      </w:r>
      <w:r w:rsidRPr="00CA3533">
        <w:rPr>
          <w:b/>
          <w:bCs/>
          <w:i/>
          <w:iCs/>
          <w:lang w:val="fr-FR"/>
        </w:rPr>
        <w:t>NOTA</w:t>
      </w:r>
      <w:r w:rsidRPr="00BF3360">
        <w:rPr>
          <w:b/>
          <w:i/>
          <w:iCs/>
          <w:lang w:val="fr-FR"/>
        </w:rPr>
        <w:t> :</w:t>
      </w:r>
      <w:r w:rsidRPr="00CA3533">
        <w:rPr>
          <w:i/>
          <w:iCs/>
          <w:lang w:val="fr-FR"/>
        </w:rPr>
        <w:t xml:space="preserve"> </w:t>
      </w:r>
      <w:r w:rsidR="001E3EAA">
        <w:rPr>
          <w:i/>
          <w:iCs/>
          <w:lang w:val="fr-FR"/>
        </w:rPr>
        <w:tab/>
      </w:r>
      <w:r w:rsidRPr="00CA3533">
        <w:rPr>
          <w:i/>
          <w:iCs/>
          <w:lang w:val="fr-FR"/>
        </w:rPr>
        <w:t>Pour les bouteilles d’acétylène, si la bouteille d’acétylène et l’enveloppe de la bouteille n’ont pas le même fabricant, seule doit être apposée la marque du fabricant de la bouteille d’acétylène complète.</w:t>
      </w:r>
      <w:r w:rsidRPr="00CA3533">
        <w:rPr>
          <w:lang w:val="fr-FR"/>
        </w:rPr>
        <w:t> »</w:t>
      </w:r>
    </w:p>
    <w:p w14:paraId="231B0667" w14:textId="77777777" w:rsidR="00CA3533" w:rsidRPr="00CA3533" w:rsidRDefault="00CA3533" w:rsidP="00CA3533">
      <w:pPr>
        <w:spacing w:after="120"/>
        <w:ind w:left="1134" w:right="1134"/>
        <w:jc w:val="both"/>
        <w:rPr>
          <w:lang w:val="fr-FR"/>
        </w:rPr>
      </w:pPr>
      <w:r w:rsidRPr="00CA3533">
        <w:rPr>
          <w:lang w:val="fr-FR"/>
        </w:rPr>
        <w:t>6.2.2.7.8</w:t>
      </w:r>
      <w:r w:rsidRPr="00CA3533">
        <w:rPr>
          <w:lang w:val="fr-FR"/>
        </w:rPr>
        <w:tab/>
        <w:t>Modifier pour lire comme suit :</w:t>
      </w:r>
    </w:p>
    <w:p w14:paraId="5ED1705D" w14:textId="77777777" w:rsidR="00CA3533" w:rsidRPr="00CA3533" w:rsidRDefault="00CA3533" w:rsidP="00C200A5">
      <w:pPr>
        <w:spacing w:after="120"/>
        <w:ind w:left="2268" w:right="1134" w:hanging="1134"/>
        <w:jc w:val="both"/>
        <w:rPr>
          <w:lang w:val="fr-FR"/>
        </w:rPr>
      </w:pPr>
      <w:r w:rsidRPr="00CA3533">
        <w:rPr>
          <w:lang w:val="fr-FR"/>
        </w:rPr>
        <w:t>« 6.2.2.7.8</w:t>
      </w:r>
      <w:r w:rsidRPr="00CA3533">
        <w:rPr>
          <w:lang w:val="fr-FR"/>
        </w:rPr>
        <w:tab/>
        <w:t>Les marques conformément au 6.2.2.7.7 peuvent être gravées sur un anneau métallique fixé à la bouteille ou au fût à pression au moment de l’installation du robinet, de telle sorte qu’il ne puisse être enlevé que par démontage du robinet. »</w:t>
      </w:r>
    </w:p>
    <w:p w14:paraId="23D07C8C" w14:textId="77777777" w:rsidR="00CA3533" w:rsidRPr="00CA3533" w:rsidRDefault="00CA3533" w:rsidP="00CA3533">
      <w:pPr>
        <w:spacing w:before="120" w:after="120"/>
        <w:ind w:left="2268" w:right="1134" w:hanging="1134"/>
        <w:jc w:val="both"/>
        <w:rPr>
          <w:lang w:val="fr-FR"/>
        </w:rPr>
      </w:pPr>
      <w:r w:rsidRPr="00CA3533">
        <w:rPr>
          <w:lang w:val="fr-FR"/>
        </w:rPr>
        <w:t>6.2.2.8</w:t>
      </w:r>
      <w:r w:rsidRPr="00CA3533">
        <w:rPr>
          <w:lang w:val="fr-FR"/>
        </w:rPr>
        <w:tab/>
      </w:r>
      <w:r w:rsidRPr="00CA3533">
        <w:rPr>
          <w:lang w:val="fr-FR"/>
        </w:rPr>
        <w:tab/>
        <w:t>Dans le titre, remplacer « récipients à pression » par « bouteilles ».</w:t>
      </w:r>
    </w:p>
    <w:p w14:paraId="1046DBC2" w14:textId="77777777" w:rsidR="00CA3533" w:rsidRPr="00CA3533" w:rsidRDefault="00CA3533" w:rsidP="00CA3533">
      <w:pPr>
        <w:spacing w:before="120" w:after="120"/>
        <w:ind w:left="2268" w:right="1134" w:hanging="1134"/>
        <w:jc w:val="both"/>
        <w:rPr>
          <w:lang w:val="fr-FR"/>
        </w:rPr>
      </w:pPr>
      <w:r w:rsidRPr="00CA3533">
        <w:rPr>
          <w:lang w:val="fr-FR"/>
        </w:rPr>
        <w:t>6.2.2.8.1</w:t>
      </w:r>
      <w:r w:rsidRPr="00CA3533">
        <w:rPr>
          <w:lang w:val="fr-FR"/>
        </w:rPr>
        <w:tab/>
        <w:t>Dans la première phrase, remplacer « récipients à pression » par « </w:t>
      </w:r>
      <w:bookmarkStart w:id="22" w:name="_Hlk69228140"/>
      <w:r w:rsidRPr="00CA3533">
        <w:rPr>
          <w:lang w:val="fr-FR"/>
        </w:rPr>
        <w:t>bouteilles</w:t>
      </w:r>
      <w:bookmarkEnd w:id="22"/>
      <w:r w:rsidRPr="00CA3533">
        <w:rPr>
          <w:lang w:val="fr-FR"/>
        </w:rPr>
        <w:t xml:space="preserve"> » (deux fois). </w:t>
      </w:r>
    </w:p>
    <w:p w14:paraId="09694D3D" w14:textId="77777777" w:rsidR="00CA3533" w:rsidRPr="00CA3533" w:rsidRDefault="00CA3533" w:rsidP="00CA3533">
      <w:pPr>
        <w:spacing w:before="120" w:after="120"/>
        <w:ind w:left="2268" w:right="1134" w:hanging="1134"/>
        <w:jc w:val="both"/>
        <w:rPr>
          <w:lang w:val="fr-FR"/>
        </w:rPr>
      </w:pPr>
      <w:r w:rsidRPr="00CA3533">
        <w:rPr>
          <w:lang w:val="fr-FR"/>
        </w:rPr>
        <w:tab/>
      </w:r>
      <w:r w:rsidRPr="00CA3533">
        <w:rPr>
          <w:lang w:val="fr-FR"/>
        </w:rPr>
        <w:tab/>
        <w:t xml:space="preserve">Dans la deuxième phrase, remplacer « récipient à pression » par « bouteille ». </w:t>
      </w:r>
    </w:p>
    <w:p w14:paraId="27C4D3A3" w14:textId="77777777" w:rsidR="00CA3533" w:rsidRPr="00CA3533" w:rsidRDefault="00CA3533" w:rsidP="00CA3533">
      <w:pPr>
        <w:spacing w:before="120" w:after="120"/>
        <w:ind w:left="2268" w:right="1134" w:hanging="1134"/>
        <w:jc w:val="both"/>
        <w:rPr>
          <w:lang w:val="fr-FR"/>
        </w:rPr>
      </w:pPr>
      <w:r w:rsidRPr="00CA3533">
        <w:rPr>
          <w:lang w:val="fr-FR"/>
        </w:rPr>
        <w:tab/>
      </w:r>
      <w:r w:rsidRPr="00CA3533">
        <w:rPr>
          <w:lang w:val="fr-FR"/>
        </w:rPr>
        <w:tab/>
        <w:t xml:space="preserve">Dans la troisième phrase, remplacer « du récipient à pression » par « de l’enveloppe de la bouteille » et « un de ses éléments indémontables (collerette </w:t>
      </w:r>
      <w:r w:rsidRPr="00CA3533">
        <w:rPr>
          <w:lang w:val="fr-FR"/>
        </w:rPr>
        <w:lastRenderedPageBreak/>
        <w:t xml:space="preserve">soudée par exemple) » par « un des éléments indémontables (collerette soudée par exemple) de la bouteille ». </w:t>
      </w:r>
    </w:p>
    <w:p w14:paraId="44F7C9B7" w14:textId="77777777" w:rsidR="00CA3533" w:rsidRPr="00CA3533" w:rsidRDefault="00CA3533" w:rsidP="00CA3533">
      <w:pPr>
        <w:spacing w:before="120" w:after="120"/>
        <w:ind w:left="2268" w:right="1134" w:hanging="1134"/>
        <w:jc w:val="both"/>
        <w:rPr>
          <w:lang w:val="fr-FR"/>
        </w:rPr>
      </w:pPr>
      <w:r w:rsidRPr="00CA3533">
        <w:rPr>
          <w:lang w:val="fr-FR"/>
        </w:rPr>
        <w:tab/>
        <w:t>Dans la quatrième phrase, remplacer « récipients à pression » par « bouteilles » (deux fois).</w:t>
      </w:r>
    </w:p>
    <w:p w14:paraId="71023F7A" w14:textId="77777777" w:rsidR="00CA3533" w:rsidRPr="00CA3533" w:rsidRDefault="00CA3533" w:rsidP="00CA3533">
      <w:pPr>
        <w:spacing w:before="120" w:after="120"/>
        <w:ind w:left="2268" w:right="1134" w:hanging="1134"/>
        <w:jc w:val="both"/>
        <w:rPr>
          <w:lang w:val="fr-FR"/>
        </w:rPr>
      </w:pPr>
      <w:r w:rsidRPr="00CA3533">
        <w:rPr>
          <w:lang w:val="fr-FR"/>
        </w:rPr>
        <w:tab/>
      </w:r>
      <w:r w:rsidRPr="00CA3533">
        <w:rPr>
          <w:lang w:val="fr-FR"/>
        </w:rPr>
        <w:tab/>
        <w:t>Dans la cinquième (avant-dernière) phrase, remplacer « récipients à pression » par « bouteilles » (deux fois).</w:t>
      </w:r>
    </w:p>
    <w:p w14:paraId="7E4A2EE4" w14:textId="77777777" w:rsidR="00CA3533" w:rsidRPr="00CA3533" w:rsidRDefault="00CA3533" w:rsidP="00CA3533">
      <w:pPr>
        <w:spacing w:before="120" w:after="120"/>
        <w:ind w:left="2268" w:right="1134" w:hanging="1134"/>
        <w:jc w:val="both"/>
        <w:rPr>
          <w:lang w:val="fr-FR"/>
        </w:rPr>
      </w:pPr>
      <w:r w:rsidRPr="00CA3533">
        <w:rPr>
          <w:lang w:val="fr-FR"/>
        </w:rPr>
        <w:t>6.2.2.8.3</w:t>
      </w:r>
      <w:r w:rsidRPr="00CA3533">
        <w:rPr>
          <w:lang w:val="fr-FR"/>
        </w:rPr>
        <w:tab/>
        <w:t>Dans le NOTA, remplacer « récipients à pression » par « </w:t>
      </w:r>
      <w:bookmarkStart w:id="23" w:name="_Hlk69228275"/>
      <w:r w:rsidRPr="00CA3533">
        <w:rPr>
          <w:lang w:val="fr-FR"/>
        </w:rPr>
        <w:t>bouteilles</w:t>
      </w:r>
      <w:bookmarkEnd w:id="23"/>
      <w:r w:rsidRPr="00CA3533">
        <w:rPr>
          <w:lang w:val="fr-FR"/>
        </w:rPr>
        <w:t> ».</w:t>
      </w:r>
    </w:p>
    <w:p w14:paraId="7EF5DF87" w14:textId="77777777" w:rsidR="00CA3533" w:rsidRPr="00CA3533" w:rsidRDefault="00CA3533" w:rsidP="00CA3533">
      <w:pPr>
        <w:spacing w:before="120" w:after="120"/>
        <w:ind w:left="2268" w:right="1134" w:hanging="1134"/>
        <w:jc w:val="both"/>
        <w:rPr>
          <w:lang w:val="fr-FR"/>
        </w:rPr>
      </w:pPr>
      <w:r w:rsidRPr="00CA3533">
        <w:rPr>
          <w:lang w:val="fr-FR"/>
        </w:rPr>
        <w:t>6.2.2.10.1</w:t>
      </w:r>
      <w:r w:rsidRPr="00CA3533">
        <w:rPr>
          <w:lang w:val="fr-FR"/>
        </w:rPr>
        <w:tab/>
        <w:t>Remplacer « bouteille » par « </w:t>
      </w:r>
      <w:bookmarkStart w:id="24" w:name="_Hlk69228295"/>
      <w:r w:rsidRPr="00CA3533">
        <w:rPr>
          <w:lang w:val="fr-FR"/>
        </w:rPr>
        <w:t>enveloppe de bouteille</w:t>
      </w:r>
      <w:bookmarkEnd w:id="24"/>
      <w:r w:rsidRPr="00CA3533">
        <w:rPr>
          <w:lang w:val="fr-FR"/>
        </w:rPr>
        <w:t xml:space="preserve"> ». </w:t>
      </w:r>
    </w:p>
    <w:p w14:paraId="398D443E" w14:textId="77777777" w:rsidR="00CA3533" w:rsidRPr="00CA3533" w:rsidRDefault="00CA3533" w:rsidP="00CA3533">
      <w:pPr>
        <w:spacing w:before="120" w:after="120"/>
        <w:ind w:left="2268" w:right="1134" w:hanging="1134"/>
        <w:jc w:val="both"/>
        <w:rPr>
          <w:lang w:val="fr-FR"/>
        </w:rPr>
      </w:pPr>
      <w:r w:rsidRPr="00CA3533">
        <w:rPr>
          <w:lang w:val="fr-FR"/>
        </w:rPr>
        <w:tab/>
        <w:t>Insérer la nouvelle deuxième phrase suivante : « Dans un cadre de bouteilles, toutes les fermetures doivent être marquées conformément au 6.2.2.11. ».</w:t>
      </w:r>
    </w:p>
    <w:p w14:paraId="7B7FBE49" w14:textId="77777777" w:rsidR="00CA3533" w:rsidRPr="00CA3533" w:rsidRDefault="00CA3533" w:rsidP="00CA3533">
      <w:pPr>
        <w:spacing w:before="120" w:after="120"/>
        <w:ind w:left="2268" w:right="1134" w:hanging="1134"/>
        <w:jc w:val="both"/>
        <w:rPr>
          <w:lang w:val="fr-FR"/>
        </w:rPr>
      </w:pPr>
      <w:r w:rsidRPr="00CA3533">
        <w:rPr>
          <w:lang w:val="fr-FR"/>
        </w:rPr>
        <w:t>6.2.2.10.3 b)</w:t>
      </w:r>
      <w:r w:rsidRPr="00CA3533">
        <w:rPr>
          <w:lang w:val="fr-FR"/>
        </w:rPr>
        <w:tab/>
        <w:t>Dans la première phrase, remplacer la mention entre parenthèses par : « </w:t>
      </w:r>
      <w:bookmarkStart w:id="25" w:name="_Hlk69228333"/>
      <w:r w:rsidRPr="00CA3533">
        <w:rPr>
          <w:lang w:val="fr-FR"/>
        </w:rPr>
        <w:t>enveloppes de bouteilles et équipement de service</w:t>
      </w:r>
      <w:bookmarkEnd w:id="25"/>
      <w:r w:rsidRPr="00CA3533">
        <w:rPr>
          <w:lang w:val="fr-FR"/>
        </w:rPr>
        <w:t xml:space="preserve"> ». </w:t>
      </w:r>
    </w:p>
    <w:p w14:paraId="6EB3E676" w14:textId="77777777" w:rsidR="00CA3533" w:rsidRPr="00CA3533" w:rsidRDefault="00CA3533" w:rsidP="00CA3533">
      <w:pPr>
        <w:spacing w:before="120" w:after="120"/>
        <w:ind w:left="2268" w:right="1134" w:hanging="1134"/>
        <w:jc w:val="both"/>
        <w:rPr>
          <w:lang w:val="fr-FR"/>
        </w:rPr>
      </w:pPr>
      <w:r w:rsidRPr="00CA3533">
        <w:rPr>
          <w:lang w:val="fr-FR"/>
        </w:rPr>
        <w:tab/>
        <w:t xml:space="preserve">La modification à la deuxième phrase est sans objet en français. </w:t>
      </w:r>
    </w:p>
    <w:p w14:paraId="165ADBFD" w14:textId="35DD423D" w:rsidR="000E02AE" w:rsidRDefault="00CA3533" w:rsidP="000E02AE">
      <w:pPr>
        <w:spacing w:before="120" w:after="120"/>
        <w:ind w:left="2268" w:right="1134" w:hanging="1134"/>
        <w:jc w:val="both"/>
        <w:rPr>
          <w:lang w:val="fr-FR"/>
        </w:rPr>
      </w:pPr>
      <w:r w:rsidRPr="00CA3533">
        <w:rPr>
          <w:lang w:val="fr-FR"/>
        </w:rPr>
        <w:t xml:space="preserve">Ajouter un nouveau 6.2.2.11, libellé comme suit : </w:t>
      </w:r>
    </w:p>
    <w:p w14:paraId="55A4D6AB" w14:textId="352638B9" w:rsidR="00CA3533" w:rsidRPr="000E02AE" w:rsidRDefault="00CA3533" w:rsidP="000E02AE">
      <w:pPr>
        <w:spacing w:before="120" w:after="120"/>
        <w:ind w:left="2268" w:right="1134" w:hanging="1134"/>
        <w:jc w:val="both"/>
        <w:rPr>
          <w:lang w:val="fr-FR"/>
        </w:rPr>
      </w:pPr>
      <w:r w:rsidRPr="00CA3533">
        <w:rPr>
          <w:lang w:val="fr-FR"/>
        </w:rPr>
        <w:t>« </w:t>
      </w:r>
      <w:r w:rsidRPr="00CA3533">
        <w:rPr>
          <w:b/>
          <w:lang w:val="fr-FR"/>
        </w:rPr>
        <w:t>6.2.2.11</w:t>
      </w:r>
      <w:r w:rsidRPr="00CA3533">
        <w:rPr>
          <w:lang w:val="fr-FR"/>
        </w:rPr>
        <w:tab/>
      </w:r>
      <w:r w:rsidRPr="00CA3533">
        <w:rPr>
          <w:b/>
          <w:bCs/>
          <w:i/>
          <w:iCs/>
          <w:lang w:val="fr-FR"/>
        </w:rPr>
        <w:t xml:space="preserve">Marquage des fermetures des récipients à pression </w:t>
      </w:r>
      <w:bookmarkStart w:id="26" w:name="_Hlk8229758"/>
      <w:r w:rsidRPr="00CA3533">
        <w:rPr>
          <w:b/>
          <w:bCs/>
          <w:i/>
          <w:iCs/>
          <w:lang w:val="fr-FR"/>
        </w:rPr>
        <w:t>“UN”</w:t>
      </w:r>
      <w:bookmarkEnd w:id="26"/>
      <w:r w:rsidRPr="00CA3533">
        <w:rPr>
          <w:b/>
          <w:bCs/>
          <w:i/>
          <w:iCs/>
          <w:lang w:val="fr-FR"/>
        </w:rPr>
        <w:t xml:space="preserve"> rechargeables</w:t>
      </w:r>
    </w:p>
    <w:p w14:paraId="2FCC4CDE" w14:textId="77777777" w:rsidR="00CA3533" w:rsidRPr="00CA3533" w:rsidRDefault="00CA3533" w:rsidP="000E02AE">
      <w:pPr>
        <w:spacing w:after="120"/>
        <w:ind w:left="2268" w:right="1134" w:hanging="1134"/>
        <w:jc w:val="both"/>
        <w:rPr>
          <w:lang w:val="fr-FR"/>
        </w:rPr>
      </w:pPr>
      <w:r w:rsidRPr="00CA3533">
        <w:rPr>
          <w:lang w:val="fr-FR"/>
        </w:rPr>
        <w:tab/>
      </w:r>
      <w:r w:rsidRPr="00CA3533">
        <w:rPr>
          <w:lang w:val="fr-FR"/>
        </w:rPr>
        <w:tab/>
        <w:t>Pour les fermetures, les marques permanentes ci-après doivent être apposées de manière à être claires et lisibles (par exemple poinçonnées ou gravées) :</w:t>
      </w:r>
    </w:p>
    <w:p w14:paraId="4BADA5F5" w14:textId="77777777" w:rsidR="00CA3533" w:rsidRPr="00CA3533" w:rsidRDefault="00CA3533" w:rsidP="000E02AE">
      <w:pPr>
        <w:spacing w:after="120"/>
        <w:ind w:left="2835" w:right="1134" w:hanging="567"/>
        <w:jc w:val="both"/>
        <w:rPr>
          <w:lang w:val="fr-FR"/>
        </w:rPr>
      </w:pPr>
      <w:r w:rsidRPr="00CA3533">
        <w:rPr>
          <w:lang w:val="fr-FR"/>
        </w:rPr>
        <w:t>a)</w:t>
      </w:r>
      <w:r w:rsidRPr="00CA3533">
        <w:rPr>
          <w:lang w:val="fr-FR"/>
        </w:rPr>
        <w:tab/>
        <w:t>Marque d’identification du fabricant ;</w:t>
      </w:r>
    </w:p>
    <w:p w14:paraId="5FC48284" w14:textId="77777777" w:rsidR="00CA3533" w:rsidRPr="00CA3533" w:rsidRDefault="00CA3533" w:rsidP="000E02AE">
      <w:pPr>
        <w:spacing w:after="120"/>
        <w:ind w:left="2835" w:right="1134" w:hanging="567"/>
        <w:jc w:val="both"/>
        <w:rPr>
          <w:lang w:val="fr-FR"/>
        </w:rPr>
      </w:pPr>
      <w:r w:rsidRPr="00CA3533">
        <w:rPr>
          <w:lang w:val="fr-FR"/>
        </w:rPr>
        <w:t>b)</w:t>
      </w:r>
      <w:r w:rsidRPr="00CA3533">
        <w:rPr>
          <w:lang w:val="fr-FR"/>
        </w:rPr>
        <w:tab/>
        <w:t>Norme relative à la conception ou désignation de cette norme ;</w:t>
      </w:r>
    </w:p>
    <w:p w14:paraId="10CFEBFB" w14:textId="77777777" w:rsidR="00CA3533" w:rsidRPr="00CA3533" w:rsidRDefault="00CA3533" w:rsidP="000E02AE">
      <w:pPr>
        <w:spacing w:after="120"/>
        <w:ind w:left="2835" w:right="1134" w:hanging="567"/>
        <w:jc w:val="both"/>
        <w:rPr>
          <w:lang w:val="fr-FR"/>
        </w:rPr>
      </w:pPr>
      <w:r w:rsidRPr="00CA3533">
        <w:rPr>
          <w:lang w:val="fr-FR"/>
        </w:rPr>
        <w:t>c)</w:t>
      </w:r>
      <w:r w:rsidRPr="00CA3533">
        <w:rPr>
          <w:lang w:val="fr-FR"/>
        </w:rPr>
        <w:tab/>
        <w:t>Date de fabrication (année et mois ou année et semaine) ; et</w:t>
      </w:r>
    </w:p>
    <w:p w14:paraId="139CB07D" w14:textId="77777777" w:rsidR="00CA3533" w:rsidRPr="00CA3533" w:rsidRDefault="00CA3533" w:rsidP="000E02AE">
      <w:pPr>
        <w:spacing w:after="120"/>
        <w:ind w:left="2835" w:right="1134" w:hanging="567"/>
        <w:jc w:val="both"/>
        <w:rPr>
          <w:lang w:val="fr-FR"/>
        </w:rPr>
      </w:pPr>
      <w:r w:rsidRPr="00CA3533">
        <w:rPr>
          <w:lang w:val="fr-FR"/>
        </w:rPr>
        <w:t>d)</w:t>
      </w:r>
      <w:r w:rsidRPr="00CA3533">
        <w:rPr>
          <w:lang w:val="fr-FR"/>
        </w:rPr>
        <w:tab/>
        <w:t>Signe distinctif de l’organisme responsable des contrôles et épreuves initiaux, le cas échéant.</w:t>
      </w:r>
    </w:p>
    <w:p w14:paraId="7D2B56A4" w14:textId="2E65F7FC" w:rsidR="00CA3533" w:rsidRPr="00CA3533" w:rsidRDefault="00CA3533" w:rsidP="000E02AE">
      <w:pPr>
        <w:spacing w:after="120"/>
        <w:ind w:left="2268" w:right="1134" w:hanging="1134"/>
        <w:jc w:val="both"/>
        <w:rPr>
          <w:lang w:val="fr-FR"/>
        </w:rPr>
      </w:pPr>
      <w:r w:rsidRPr="00CA3533">
        <w:rPr>
          <w:lang w:val="fr-FR"/>
        </w:rPr>
        <w:tab/>
      </w:r>
      <w:r w:rsidRPr="00CA3533">
        <w:rPr>
          <w:lang w:val="fr-FR"/>
        </w:rPr>
        <w:tab/>
        <w:t>La pression d’épreuve du robinet doit être marquée lorsque sa valeur est inférieure à la pression d’épreuve indiquée en raison de la pression nominale de l’orifice de remplissage du robinet. »</w:t>
      </w:r>
    </w:p>
    <w:p w14:paraId="7A0B2421" w14:textId="42535B20" w:rsidR="00CA3533" w:rsidRPr="00CA3533" w:rsidRDefault="008578F3" w:rsidP="00CA3533">
      <w:pPr>
        <w:spacing w:after="120"/>
        <w:ind w:left="1134" w:right="1134"/>
        <w:jc w:val="both"/>
        <w:rPr>
          <w:rFonts w:eastAsiaTheme="minorHAnsi"/>
          <w:lang w:val="fr-FR" w:eastAsia="en-US"/>
        </w:rPr>
      </w:pPr>
      <w:r>
        <w:rPr>
          <w:rFonts w:eastAsiaTheme="minorHAnsi"/>
          <w:lang w:val="fr-FR" w:eastAsia="en-US"/>
        </w:rPr>
        <w:t>Renuméroter</w:t>
      </w:r>
      <w:r w:rsidRPr="00CA3533">
        <w:rPr>
          <w:rFonts w:eastAsiaTheme="minorHAnsi"/>
          <w:lang w:val="fr-FR" w:eastAsia="en-US"/>
        </w:rPr>
        <w:t xml:space="preserve"> </w:t>
      </w:r>
      <w:r w:rsidR="00CA3533" w:rsidRPr="00CA3533">
        <w:rPr>
          <w:rFonts w:eastAsiaTheme="minorHAnsi"/>
          <w:lang w:val="fr-FR" w:eastAsia="en-US"/>
        </w:rPr>
        <w:t xml:space="preserve">le 6.2.2.11 </w:t>
      </w:r>
      <w:r>
        <w:rPr>
          <w:rFonts w:eastAsiaTheme="minorHAnsi"/>
          <w:lang w:val="fr-FR" w:eastAsia="en-US"/>
        </w:rPr>
        <w:t>en tant que</w:t>
      </w:r>
      <w:r w:rsidRPr="00CA3533">
        <w:rPr>
          <w:rFonts w:eastAsiaTheme="minorHAnsi"/>
          <w:lang w:val="fr-FR" w:eastAsia="en-US"/>
        </w:rPr>
        <w:t xml:space="preserve"> </w:t>
      </w:r>
      <w:r w:rsidR="00CA3533" w:rsidRPr="00CA3533">
        <w:rPr>
          <w:rFonts w:eastAsiaTheme="minorHAnsi"/>
          <w:lang w:val="fr-FR" w:eastAsia="en-US"/>
        </w:rPr>
        <w:t xml:space="preserve">6.2.2.12 </w:t>
      </w:r>
      <w:r>
        <w:rPr>
          <w:rFonts w:eastAsiaTheme="minorHAnsi"/>
          <w:lang w:val="fr-FR" w:eastAsia="en-US"/>
        </w:rPr>
        <w:t xml:space="preserve">et le modifier </w:t>
      </w:r>
      <w:r w:rsidR="00172921">
        <w:rPr>
          <w:rFonts w:eastAsiaTheme="minorHAnsi"/>
          <w:lang w:val="fr-FR" w:eastAsia="en-US"/>
        </w:rPr>
        <w:t>pour lire comme suit</w:t>
      </w:r>
      <w:r w:rsidR="00CA3533" w:rsidRPr="00CA3533">
        <w:rPr>
          <w:rFonts w:eastAsiaTheme="minorHAnsi"/>
          <w:lang w:val="fr-FR" w:eastAsia="en-US"/>
        </w:rPr>
        <w:t xml:space="preserve"> : </w:t>
      </w:r>
    </w:p>
    <w:p w14:paraId="1875F7BC" w14:textId="77777777" w:rsidR="00CA3533" w:rsidRPr="00CA3533" w:rsidRDefault="00CA3533" w:rsidP="00CA3533">
      <w:pPr>
        <w:spacing w:after="120"/>
        <w:ind w:left="2268" w:right="1134" w:hanging="1134"/>
        <w:jc w:val="both"/>
        <w:rPr>
          <w:rFonts w:eastAsiaTheme="minorHAnsi"/>
          <w:b/>
          <w:bCs/>
          <w:i/>
          <w:iCs/>
          <w:lang w:val="fr-FR" w:eastAsia="en-US"/>
        </w:rPr>
      </w:pPr>
      <w:r w:rsidRPr="00CA3533">
        <w:rPr>
          <w:rFonts w:eastAsiaTheme="minorHAnsi"/>
          <w:lang w:val="fr-FR" w:eastAsia="en-US"/>
        </w:rPr>
        <w:t>« </w:t>
      </w:r>
      <w:r w:rsidRPr="00CA3533">
        <w:rPr>
          <w:rFonts w:eastAsiaTheme="minorHAnsi"/>
          <w:b/>
          <w:bCs/>
          <w:lang w:val="fr-FR" w:eastAsia="en-US"/>
        </w:rPr>
        <w:t>6.2.2.12</w:t>
      </w:r>
      <w:r w:rsidRPr="00CA3533">
        <w:rPr>
          <w:rFonts w:eastAsiaTheme="minorHAnsi"/>
          <w:b/>
          <w:bCs/>
          <w:i/>
          <w:iCs/>
          <w:lang w:val="fr-FR" w:eastAsia="en-US"/>
        </w:rPr>
        <w:tab/>
      </w:r>
      <w:r w:rsidRPr="00CA3533">
        <w:rPr>
          <w:rFonts w:eastAsiaTheme="minorHAnsi"/>
          <w:b/>
          <w:i/>
          <w:lang w:val="fr-FR" w:eastAsia="en-US"/>
        </w:rPr>
        <w:t>Procédures équivalentes d’évaluation de la conformité et de contrôles et d’épreuves périodiques</w:t>
      </w:r>
      <w:r w:rsidRPr="00CA3533">
        <w:rPr>
          <w:rFonts w:eastAsiaTheme="minorHAnsi"/>
          <w:b/>
          <w:bCs/>
          <w:i/>
          <w:iCs/>
          <w:lang w:val="fr-FR" w:eastAsia="en-US"/>
        </w:rPr>
        <w:t xml:space="preserve"> </w:t>
      </w:r>
    </w:p>
    <w:p w14:paraId="00ADA784"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Dans le cas des récipients à pression « UN », les prescriptions des 6.2.2.5 et 6.2.2.6 sont considérées respectées si les procédures suivantes sont appliquées :</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8" w:type="dxa"/>
          <w:right w:w="68" w:type="dxa"/>
        </w:tblCellMar>
        <w:tblLook w:val="0000" w:firstRow="0" w:lastRow="0" w:firstColumn="0" w:lastColumn="0" w:noHBand="0" w:noVBand="0"/>
      </w:tblPr>
      <w:tblGrid>
        <w:gridCol w:w="4589"/>
        <w:gridCol w:w="2782"/>
      </w:tblGrid>
      <w:tr w:rsidR="00CA3533" w:rsidRPr="00C92AE7" w14:paraId="045B3F71" w14:textId="77777777" w:rsidTr="00D56820">
        <w:trPr>
          <w:cantSplit/>
        </w:trPr>
        <w:tc>
          <w:tcPr>
            <w:tcW w:w="4678" w:type="dxa"/>
          </w:tcPr>
          <w:p w14:paraId="2100199E" w14:textId="77777777" w:rsidR="00CA3533" w:rsidRPr="00C92AE7" w:rsidRDefault="00CA3533" w:rsidP="00CA3533">
            <w:pPr>
              <w:spacing w:before="60" w:after="60"/>
              <w:rPr>
                <w:rFonts w:eastAsiaTheme="minorHAnsi"/>
                <w:b/>
                <w:lang w:val="fr-FR" w:eastAsia="en-US"/>
              </w:rPr>
            </w:pPr>
            <w:r w:rsidRPr="00C92AE7">
              <w:rPr>
                <w:rFonts w:eastAsiaTheme="minorHAnsi"/>
                <w:b/>
                <w:lang w:val="fr-FR" w:eastAsia="en-US"/>
              </w:rPr>
              <w:t>Procédure</w:t>
            </w:r>
          </w:p>
        </w:tc>
        <w:tc>
          <w:tcPr>
            <w:tcW w:w="2835" w:type="dxa"/>
          </w:tcPr>
          <w:p w14:paraId="1BE391C0" w14:textId="77777777" w:rsidR="00CA3533" w:rsidRPr="00C92AE7" w:rsidRDefault="00CA3533" w:rsidP="00CA3533">
            <w:pPr>
              <w:spacing w:before="60" w:after="60"/>
              <w:rPr>
                <w:rFonts w:eastAsiaTheme="minorHAnsi"/>
                <w:b/>
                <w:lang w:val="fr-FR" w:eastAsia="en-US"/>
              </w:rPr>
            </w:pPr>
            <w:r w:rsidRPr="00C92AE7">
              <w:rPr>
                <w:rFonts w:eastAsiaTheme="minorHAnsi"/>
                <w:b/>
                <w:lang w:val="fr-FR" w:eastAsia="en-US"/>
              </w:rPr>
              <w:t xml:space="preserve">Organisme compétent </w:t>
            </w:r>
          </w:p>
        </w:tc>
      </w:tr>
      <w:tr w:rsidR="00CA3533" w:rsidRPr="00CA3533" w14:paraId="716FB6EC" w14:textId="77777777" w:rsidTr="00D56820">
        <w:trPr>
          <w:cantSplit/>
        </w:trPr>
        <w:tc>
          <w:tcPr>
            <w:tcW w:w="4678" w:type="dxa"/>
          </w:tcPr>
          <w:p w14:paraId="3B9D9539" w14:textId="7D07D98B"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Examen de type et délivrance du certificat d’agrément de type (1.8.7.2)</w:t>
            </w:r>
            <w:r w:rsidRPr="00CA3533">
              <w:rPr>
                <w:rFonts w:eastAsiaTheme="minorHAnsi"/>
                <w:b/>
                <w:vertAlign w:val="superscript"/>
                <w:lang w:val="fr-FR" w:eastAsia="en-US"/>
              </w:rPr>
              <w:t xml:space="preserve"> a</w:t>
            </w:r>
          </w:p>
        </w:tc>
        <w:tc>
          <w:tcPr>
            <w:tcW w:w="2835" w:type="dxa"/>
          </w:tcPr>
          <w:p w14:paraId="2772929F" w14:textId="77777777"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Xa</w:t>
            </w:r>
          </w:p>
        </w:tc>
      </w:tr>
      <w:tr w:rsidR="00CA3533" w:rsidRPr="00CA3533" w14:paraId="430E2FA7" w14:textId="77777777" w:rsidTr="00D56820">
        <w:trPr>
          <w:cantSplit/>
          <w:trHeight w:val="495"/>
        </w:trPr>
        <w:tc>
          <w:tcPr>
            <w:tcW w:w="4678" w:type="dxa"/>
          </w:tcPr>
          <w:p w14:paraId="65C981C7" w14:textId="77777777"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Suivi de fabrication (1.8.7.3) et contrôles et épreuves initiaux (1.8.7.4)</w:t>
            </w:r>
          </w:p>
        </w:tc>
        <w:tc>
          <w:tcPr>
            <w:tcW w:w="2835" w:type="dxa"/>
          </w:tcPr>
          <w:p w14:paraId="7E84ADD8" w14:textId="77777777"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Xa ou IS</w:t>
            </w:r>
          </w:p>
        </w:tc>
      </w:tr>
      <w:tr w:rsidR="00CA3533" w:rsidRPr="00CA3533" w14:paraId="52D12C43" w14:textId="77777777" w:rsidTr="00C92AE7">
        <w:trPr>
          <w:cantSplit/>
        </w:trPr>
        <w:tc>
          <w:tcPr>
            <w:tcW w:w="4678" w:type="dxa"/>
            <w:tcBorders>
              <w:bottom w:val="single" w:sz="2" w:space="0" w:color="auto"/>
            </w:tcBorders>
          </w:tcPr>
          <w:p w14:paraId="124700FF" w14:textId="77777777"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Contrôle périodique (1.8.7.5)</w:t>
            </w:r>
          </w:p>
        </w:tc>
        <w:tc>
          <w:tcPr>
            <w:tcW w:w="2835" w:type="dxa"/>
            <w:tcBorders>
              <w:bottom w:val="single" w:sz="2" w:space="0" w:color="auto"/>
            </w:tcBorders>
          </w:tcPr>
          <w:p w14:paraId="48FDFC9F" w14:textId="77777777"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 xml:space="preserve">Xa ou </w:t>
            </w:r>
            <w:proofErr w:type="spellStart"/>
            <w:r w:rsidRPr="00CA3533">
              <w:rPr>
                <w:rFonts w:eastAsiaTheme="minorHAnsi"/>
                <w:bCs/>
                <w:lang w:val="fr-FR" w:eastAsia="en-US"/>
              </w:rPr>
              <w:t>Xb</w:t>
            </w:r>
            <w:proofErr w:type="spellEnd"/>
            <w:r w:rsidRPr="00CA3533">
              <w:rPr>
                <w:rFonts w:eastAsiaTheme="minorHAnsi"/>
                <w:bCs/>
                <w:lang w:val="fr-FR" w:eastAsia="en-US"/>
              </w:rPr>
              <w:t xml:space="preserve"> ou IS</w:t>
            </w:r>
          </w:p>
        </w:tc>
      </w:tr>
      <w:tr w:rsidR="00CA3533" w:rsidRPr="00CA3533" w14:paraId="2291D841" w14:textId="77777777" w:rsidTr="00C92AE7">
        <w:trPr>
          <w:cantSplit/>
        </w:trPr>
        <w:tc>
          <w:tcPr>
            <w:tcW w:w="7513" w:type="dxa"/>
            <w:gridSpan w:val="2"/>
            <w:tcBorders>
              <w:left w:val="nil"/>
              <w:bottom w:val="nil"/>
              <w:right w:val="nil"/>
            </w:tcBorders>
          </w:tcPr>
          <w:p w14:paraId="3D9BF1A3" w14:textId="3131A461" w:rsidR="00CA3533" w:rsidRPr="00CA3533" w:rsidRDefault="00CA3533" w:rsidP="00CA3533">
            <w:pPr>
              <w:spacing w:before="60" w:after="60"/>
              <w:rPr>
                <w:rFonts w:eastAsiaTheme="minorHAnsi"/>
                <w:bCs/>
                <w:lang w:val="fr-FR" w:eastAsia="en-US"/>
              </w:rPr>
            </w:pPr>
            <w:r w:rsidRPr="00CA3533">
              <w:rPr>
                <w:rFonts w:eastAsiaTheme="minorHAnsi"/>
                <w:b/>
                <w:vertAlign w:val="superscript"/>
                <w:lang w:val="fr-FR" w:eastAsia="en-US"/>
              </w:rPr>
              <w:t>a</w:t>
            </w:r>
            <w:r w:rsidRPr="00CA3533">
              <w:rPr>
                <w:rFonts w:eastAsiaTheme="minorHAnsi"/>
                <w:bCs/>
                <w:lang w:val="fr-FR" w:eastAsia="en-US"/>
              </w:rPr>
              <w:t xml:space="preserve"> </w:t>
            </w:r>
            <w:r w:rsidRPr="00CA3533">
              <w:rPr>
                <w:rFonts w:eastAsiaTheme="minorHAnsi"/>
                <w:bCs/>
                <w:i/>
                <w:iCs/>
                <w:lang w:val="fr-FR" w:eastAsia="en-US"/>
              </w:rPr>
              <w:t>Lorsqu’un organisme de contrôle est désigné par l’autorité compétente pour délivrer le certificat d’agrément de type, l’examen de type doit être effectué par cet organisme de contrôle</w:t>
            </w:r>
            <w:r w:rsidRPr="00CA3533">
              <w:rPr>
                <w:rFonts w:eastAsiaTheme="minorHAnsi"/>
                <w:bCs/>
                <w:lang w:val="fr-FR" w:eastAsia="en-US"/>
              </w:rPr>
              <w:t>.</w:t>
            </w:r>
          </w:p>
        </w:tc>
      </w:tr>
    </w:tbl>
    <w:p w14:paraId="5021E784" w14:textId="77777777" w:rsidR="00CA3533" w:rsidRPr="00CA3533" w:rsidRDefault="00CA3533" w:rsidP="00CA3533">
      <w:pPr>
        <w:spacing w:before="120" w:after="120"/>
        <w:ind w:left="2268" w:right="1134" w:hanging="1134"/>
        <w:jc w:val="both"/>
        <w:rPr>
          <w:rFonts w:eastAsiaTheme="minorHAnsi"/>
          <w:lang w:val="fr-FR" w:eastAsia="en-US"/>
        </w:rPr>
      </w:pPr>
      <w:r w:rsidRPr="00CA3533">
        <w:rPr>
          <w:rFonts w:eastAsiaTheme="minorHAnsi"/>
          <w:lang w:val="fr-FR" w:eastAsia="en-US"/>
        </w:rPr>
        <w:tab/>
        <w:t>Chaque procédure définie dans le tableau doit être effectuée par un organisme compétent unique comme indiqué dans le tableau.</w:t>
      </w:r>
    </w:p>
    <w:p w14:paraId="3FBB8BBE"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Pour les récipients à pression rechargeables, l’évaluation de la conformité des robinets et autres accessoires démontables ayant une fonction directe de sécurité peut être effectuée séparément de celle des récipients à pression.</w:t>
      </w:r>
    </w:p>
    <w:p w14:paraId="18ECDB3B"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lastRenderedPageBreak/>
        <w:tab/>
        <w:t xml:space="preserve">Xa désigne l’autorité compétente ou l’organisme de contrôle conforme </w:t>
      </w:r>
      <w:r w:rsidRPr="00CA3533">
        <w:rPr>
          <w:rFonts w:eastAsiaTheme="minorHAnsi"/>
          <w:bCs/>
          <w:iCs/>
          <w:lang w:val="fr-FR" w:eastAsia="en-US"/>
        </w:rPr>
        <w:t>au 1.8.6.3 et</w:t>
      </w:r>
      <w:r w:rsidRPr="00CA3533">
        <w:rPr>
          <w:rFonts w:eastAsiaTheme="minorHAnsi"/>
          <w:lang w:val="fr-FR" w:eastAsia="en-US"/>
        </w:rPr>
        <w:t xml:space="preserve"> accrédité selon la norme EN ISO/CEI 17020:2012 (sauf article 8.1.3), type A.</w:t>
      </w:r>
    </w:p>
    <w:p w14:paraId="51A32CCA"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r>
      <w:proofErr w:type="spellStart"/>
      <w:r w:rsidRPr="00CA3533">
        <w:rPr>
          <w:rFonts w:eastAsiaTheme="minorHAnsi"/>
          <w:lang w:val="fr-FR" w:eastAsia="en-US"/>
        </w:rPr>
        <w:t>Xb</w:t>
      </w:r>
      <w:proofErr w:type="spellEnd"/>
      <w:r w:rsidRPr="00CA3533">
        <w:rPr>
          <w:rFonts w:eastAsiaTheme="minorHAnsi"/>
          <w:lang w:val="fr-FR" w:eastAsia="en-US"/>
        </w:rPr>
        <w:t xml:space="preserve"> désigne l’organisme de contrôle conforme au 1.8.6.3 et accrédité selon la norme EN ISO/CEI 17020:2012 (sauf article 8.1.3), type B, travaillant exclusivement pour le propriétaire ou le détenteur responsable des récipients à pression.</w:t>
      </w:r>
    </w:p>
    <w:p w14:paraId="7BFA30B9"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IS désigne un service interne d’inspection du fabricant ou d’un centre d’épreuves sous la supervision d’un organisme de contrôle conforme au 1.8.6.3 et accrédité selon la norme EN ISO/CEI 17020:2012 (sauf article 8.1.3), type A. Le service interne d’inspection doit être indépendant du processus de conception, des opérations de fabrication, de la réparation et de la maintenance.</w:t>
      </w:r>
    </w:p>
    <w:p w14:paraId="482C2643"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Si un service interne d’inspection a été utilisé pour les contrôles et épreuves initiaux, la marque spécifiée au 6.2.2.7.2 d) doit être accompagnée de la marque du service interne d’inspection.</w:t>
      </w:r>
    </w:p>
    <w:p w14:paraId="60C4B852" w14:textId="77777777" w:rsidR="00CA3533" w:rsidRPr="00CA3533" w:rsidRDefault="00CA3533" w:rsidP="00CA3533">
      <w:pPr>
        <w:spacing w:after="120"/>
        <w:ind w:left="2268" w:right="1134" w:hanging="1134"/>
        <w:jc w:val="both"/>
        <w:rPr>
          <w:i/>
          <w:iCs/>
          <w:lang w:val="fr-FR" w:eastAsia="en-GB"/>
        </w:rPr>
      </w:pPr>
      <w:r w:rsidRPr="00CA3533">
        <w:rPr>
          <w:rFonts w:eastAsiaTheme="minorHAnsi"/>
          <w:lang w:val="fr-FR" w:eastAsia="en-US"/>
        </w:rPr>
        <w:tab/>
        <w:t>Si un service interne d’inspection a effectué le contrôle périodique, la marque spécifiée au 6.2.2.7.7 b) doit être accompagnée de la marque du service interne d’inspection. »</w:t>
      </w:r>
      <w:r w:rsidRPr="00CA3533">
        <w:rPr>
          <w:i/>
          <w:iCs/>
          <w:lang w:val="fr-FR" w:eastAsia="en-GB"/>
        </w:rPr>
        <w:t xml:space="preserve"> </w:t>
      </w:r>
    </w:p>
    <w:p w14:paraId="30B05407"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6.2.3.1.2</w:t>
      </w:r>
      <w:r w:rsidRPr="00CA3533">
        <w:rPr>
          <w:rFonts w:eastAsiaTheme="minorHAnsi"/>
          <w:lang w:val="fr-FR" w:eastAsia="en-US"/>
        </w:rPr>
        <w:tab/>
        <w:t>Dans le deuxième paragraphe, remplacer « de l’enveloppe et des composants d’appui » par « des récipients à pression ou des enveloppes de récipient à pression comprenant tous les éléments (tels que la collerette ou la frette de pied, par exemple) ».</w:t>
      </w:r>
    </w:p>
    <w:p w14:paraId="10E22462" w14:textId="77777777" w:rsidR="00CA3533" w:rsidRPr="00CA3533" w:rsidRDefault="00CA3533" w:rsidP="00CA3533">
      <w:pPr>
        <w:spacing w:after="120"/>
        <w:ind w:left="2268" w:right="1134" w:hanging="1134"/>
        <w:jc w:val="both"/>
        <w:rPr>
          <w:lang w:val="fr-FR"/>
        </w:rPr>
      </w:pPr>
      <w:r w:rsidRPr="00CA3533">
        <w:rPr>
          <w:lang w:val="fr-FR"/>
        </w:rPr>
        <w:t>6.2.3.1.5</w:t>
      </w:r>
      <w:r w:rsidRPr="00CA3533">
        <w:rPr>
          <w:lang w:val="fr-FR"/>
        </w:rPr>
        <w:tab/>
        <w:t>Modifier pour lire comme suit :</w:t>
      </w:r>
    </w:p>
    <w:p w14:paraId="4E9A89F5" w14:textId="3F51C729" w:rsidR="00CA3533" w:rsidRPr="00CA3533" w:rsidRDefault="00CA3533" w:rsidP="00CA3533">
      <w:pPr>
        <w:spacing w:after="120"/>
        <w:ind w:left="2268" w:right="1134" w:hanging="1134"/>
        <w:jc w:val="both"/>
        <w:rPr>
          <w:lang w:val="fr-FR"/>
        </w:rPr>
      </w:pPr>
      <w:r w:rsidRPr="00CA3533">
        <w:rPr>
          <w:lang w:val="fr-FR"/>
        </w:rPr>
        <w:t>« 6.2.3.1.5</w:t>
      </w:r>
      <w:r w:rsidRPr="00CA3533">
        <w:rPr>
          <w:lang w:val="fr-FR"/>
        </w:rPr>
        <w:tab/>
        <w:t>Les bouteilles d’acétylène ne peuvent être munies de bouchons fusibles ou d’autres dispositifs de décompression. »</w:t>
      </w:r>
    </w:p>
    <w:p w14:paraId="60420C06" w14:textId="77777777" w:rsidR="00CA3533" w:rsidRPr="006C6321" w:rsidRDefault="00CA3533" w:rsidP="00CA3533">
      <w:pPr>
        <w:keepNext/>
        <w:spacing w:after="120"/>
        <w:ind w:left="1134" w:right="1134"/>
        <w:jc w:val="both"/>
        <w:rPr>
          <w:rFonts w:eastAsiaTheme="minorHAnsi"/>
          <w:lang w:val="fr-FR" w:eastAsia="en-US"/>
        </w:rPr>
      </w:pPr>
      <w:r w:rsidRPr="006C6321">
        <w:rPr>
          <w:rFonts w:eastAsiaTheme="minorHAnsi"/>
          <w:lang w:val="fr-FR" w:eastAsia="en-US"/>
        </w:rPr>
        <w:t>6.2.3.3.2</w:t>
      </w:r>
      <w:r w:rsidRPr="006C6321">
        <w:rPr>
          <w:rFonts w:eastAsiaTheme="minorHAnsi"/>
          <w:lang w:val="fr-FR" w:eastAsia="en-US"/>
        </w:rPr>
        <w:tab/>
        <w:t>Supprimer le titre « Ouvertures ».</w:t>
      </w:r>
    </w:p>
    <w:p w14:paraId="60D42216" w14:textId="518FBA99" w:rsidR="00CA3533" w:rsidRPr="006C6321" w:rsidRDefault="00CA3533" w:rsidP="006A2D22">
      <w:pPr>
        <w:spacing w:after="120"/>
        <w:ind w:left="2268" w:right="1134" w:hanging="1134"/>
        <w:jc w:val="both"/>
        <w:rPr>
          <w:rFonts w:eastAsiaTheme="minorHAnsi"/>
          <w:lang w:val="fr-FR" w:eastAsia="en-US"/>
        </w:rPr>
      </w:pPr>
      <w:r w:rsidRPr="006C6321">
        <w:rPr>
          <w:rFonts w:eastAsiaTheme="minorHAnsi"/>
          <w:lang w:val="fr-FR" w:eastAsia="en-US"/>
        </w:rPr>
        <w:t>6.2.3.3.3</w:t>
      </w:r>
      <w:r w:rsidRPr="006C6321">
        <w:rPr>
          <w:rFonts w:eastAsiaTheme="minorHAnsi"/>
          <w:lang w:val="fr-FR" w:eastAsia="en-US"/>
        </w:rPr>
        <w:tab/>
        <w:t>Supprimer le titre « Organes ».</w:t>
      </w:r>
      <w:r w:rsidR="00B94885" w:rsidRPr="006C6321">
        <w:rPr>
          <w:rFonts w:eastAsiaTheme="minorHAnsi"/>
          <w:lang w:val="fr-FR" w:eastAsia="en-US"/>
        </w:rPr>
        <w:t xml:space="preserve"> </w:t>
      </w:r>
      <w:r w:rsidR="00CF63A3" w:rsidRPr="006C6321">
        <w:rPr>
          <w:rFonts w:eastAsiaTheme="minorHAnsi"/>
          <w:lang w:val="fr-FR" w:eastAsia="en-US"/>
        </w:rPr>
        <w:t xml:space="preserve">Les alinéas a) à d) deviennent les paragraphes </w:t>
      </w:r>
      <w:r w:rsidR="001E430D" w:rsidRPr="006C6321">
        <w:rPr>
          <w:rFonts w:eastAsiaTheme="minorHAnsi"/>
          <w:lang w:val="fr-FR" w:eastAsia="en-US"/>
        </w:rPr>
        <w:t>6.2.3.3.3 à 6.2.3.3.6</w:t>
      </w:r>
      <w:r w:rsidR="00051C0A" w:rsidRPr="006C6321">
        <w:rPr>
          <w:rFonts w:eastAsiaTheme="minorHAnsi"/>
          <w:lang w:val="fr-FR" w:eastAsia="en-US"/>
        </w:rPr>
        <w:t>.</w:t>
      </w:r>
    </w:p>
    <w:p w14:paraId="452C9303" w14:textId="77777777" w:rsidR="00CA3533" w:rsidRPr="006C6321" w:rsidRDefault="00CA3533" w:rsidP="00CA3533">
      <w:pPr>
        <w:spacing w:after="120"/>
        <w:ind w:left="2268" w:right="1134" w:hanging="1134"/>
        <w:jc w:val="both"/>
        <w:rPr>
          <w:rFonts w:eastAsiaTheme="minorHAnsi"/>
          <w:lang w:val="fr-FR" w:eastAsia="en-US"/>
        </w:rPr>
      </w:pPr>
      <w:r w:rsidRPr="006C6321">
        <w:rPr>
          <w:rFonts w:eastAsiaTheme="minorHAnsi"/>
          <w:lang w:val="fr-FR" w:eastAsia="en-US"/>
        </w:rPr>
        <w:t>6.2.3.4.2</w:t>
      </w:r>
      <w:r w:rsidRPr="006C6321">
        <w:rPr>
          <w:rFonts w:eastAsiaTheme="minorHAnsi"/>
          <w:lang w:val="fr-FR" w:eastAsia="en-US"/>
        </w:rPr>
        <w:tab/>
        <w:t>Remplacer « récipients » par « enveloppes de récipients » dans le titre et « du récipient à pression » par « de l’enveloppe de récipient à pression » dans le texte de l’alinéa a).</w:t>
      </w:r>
    </w:p>
    <w:p w14:paraId="4F7A101F" w14:textId="782643F5" w:rsidR="00CA3533" w:rsidRPr="006C6321" w:rsidRDefault="00CA3533" w:rsidP="00CA3533">
      <w:pPr>
        <w:spacing w:after="120"/>
        <w:ind w:left="1134" w:right="1134"/>
        <w:jc w:val="both"/>
        <w:rPr>
          <w:rFonts w:eastAsiaTheme="minorHAnsi"/>
          <w:lang w:val="fr-FR" w:eastAsia="en-US"/>
        </w:rPr>
      </w:pPr>
      <w:r w:rsidRPr="006C6321">
        <w:rPr>
          <w:rFonts w:eastAsiaTheme="minorHAnsi"/>
          <w:lang w:val="fr-FR" w:eastAsia="en-US"/>
        </w:rPr>
        <w:t>6.2.3.5.1</w:t>
      </w:r>
      <w:r w:rsidRPr="006C6321">
        <w:rPr>
          <w:rFonts w:eastAsiaTheme="minorHAnsi"/>
          <w:lang w:val="fr-FR" w:eastAsia="en-US"/>
        </w:rPr>
        <w:tab/>
        <w:t xml:space="preserve">Dans le </w:t>
      </w:r>
      <w:r w:rsidR="006C6321" w:rsidRPr="006C6321">
        <w:rPr>
          <w:rFonts w:eastAsiaTheme="minorHAnsi"/>
          <w:lang w:val="fr-FR" w:eastAsia="en-US"/>
        </w:rPr>
        <w:t>Nota </w:t>
      </w:r>
      <w:r w:rsidRPr="006C6321">
        <w:rPr>
          <w:rFonts w:eastAsiaTheme="minorHAnsi"/>
          <w:lang w:val="fr-FR" w:eastAsia="en-US"/>
        </w:rPr>
        <w:t>1, ajouter «</w:t>
      </w:r>
      <w:r w:rsidR="00C0673F" w:rsidRPr="006C6321">
        <w:rPr>
          <w:rFonts w:eastAsiaTheme="minorHAnsi"/>
          <w:lang w:val="fr-FR" w:eastAsia="en-US"/>
        </w:rPr>
        <w:t> </w:t>
      </w:r>
      <w:r w:rsidRPr="006C6321">
        <w:rPr>
          <w:rFonts w:eastAsiaTheme="minorHAnsi"/>
          <w:lang w:val="fr-FR" w:eastAsia="en-US"/>
        </w:rPr>
        <w:t>enveloppe de » avant « bouteille en acier ».</w:t>
      </w:r>
    </w:p>
    <w:p w14:paraId="7377A13E" w14:textId="7CE213ED" w:rsidR="00CA3533" w:rsidRPr="006C6321" w:rsidRDefault="00CA3533" w:rsidP="006C6321">
      <w:pPr>
        <w:spacing w:after="120"/>
        <w:ind w:left="2268" w:right="1134"/>
        <w:jc w:val="both"/>
        <w:rPr>
          <w:lang w:val="fr-FR"/>
        </w:rPr>
      </w:pPr>
      <w:r w:rsidRPr="006C6321">
        <w:rPr>
          <w:rFonts w:eastAsiaTheme="minorHAnsi"/>
          <w:lang w:val="fr-FR" w:eastAsia="en-US"/>
        </w:rPr>
        <w:t xml:space="preserve">Dans le </w:t>
      </w:r>
      <w:r w:rsidR="006C6321" w:rsidRPr="006C6321">
        <w:rPr>
          <w:rFonts w:eastAsiaTheme="minorHAnsi"/>
          <w:lang w:val="fr-FR" w:eastAsia="en-US"/>
        </w:rPr>
        <w:t>Nota </w:t>
      </w:r>
      <w:r w:rsidRPr="006C6321">
        <w:rPr>
          <w:rFonts w:eastAsiaTheme="minorHAnsi"/>
          <w:lang w:val="fr-FR" w:eastAsia="en-US"/>
        </w:rPr>
        <w:t>2, remplacer « bouteilles et tubes » par « enveloppes de bouteilles et de tubes </w:t>
      </w:r>
      <w:r w:rsidR="00792077" w:rsidRPr="006C6321">
        <w:rPr>
          <w:rFonts w:eastAsiaTheme="minorHAnsi"/>
          <w:lang w:val="fr-FR" w:eastAsia="en-US"/>
        </w:rPr>
        <w:t xml:space="preserve">» et </w:t>
      </w:r>
      <w:r w:rsidRPr="006C6321">
        <w:rPr>
          <w:lang w:val="fr-FR"/>
        </w:rPr>
        <w:t>remplacer « EN ISO 16148:2016 » par « EN ISO 16148:2016 + A1:2020 ».</w:t>
      </w:r>
    </w:p>
    <w:p w14:paraId="593C1102" w14:textId="62E23295" w:rsidR="00CA3533" w:rsidRPr="006C6321" w:rsidRDefault="00CA3533" w:rsidP="00CA3533">
      <w:pPr>
        <w:spacing w:after="120"/>
        <w:ind w:left="2268" w:right="1134"/>
        <w:jc w:val="both"/>
        <w:rPr>
          <w:rFonts w:eastAsiaTheme="minorHAnsi"/>
          <w:lang w:val="fr-FR" w:eastAsia="en-US"/>
        </w:rPr>
      </w:pPr>
      <w:r w:rsidRPr="006C6321">
        <w:rPr>
          <w:rFonts w:eastAsiaTheme="minorHAnsi"/>
          <w:lang w:val="fr-FR" w:eastAsia="en-US"/>
        </w:rPr>
        <w:t xml:space="preserve">Dans le </w:t>
      </w:r>
      <w:r w:rsidR="00327616" w:rsidRPr="006C6321">
        <w:rPr>
          <w:rFonts w:eastAsiaTheme="minorHAnsi"/>
          <w:lang w:val="fr-FR" w:eastAsia="en-US"/>
        </w:rPr>
        <w:t>Nota </w:t>
      </w:r>
      <w:r w:rsidRPr="006C6321">
        <w:rPr>
          <w:rFonts w:eastAsiaTheme="minorHAnsi"/>
          <w:lang w:val="fr-FR" w:eastAsia="en-US"/>
        </w:rPr>
        <w:t>3, remplacer « les bouteilles et (les) tubes » par « les enveloppes de bouteilles et de tubes » (deux occurrences).</w:t>
      </w:r>
    </w:p>
    <w:p w14:paraId="7C51BBAD"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6.2.3.5.2</w:t>
      </w:r>
      <w:r w:rsidRPr="00CA3533">
        <w:rPr>
          <w:rFonts w:eastAsiaTheme="minorHAnsi"/>
          <w:lang w:val="fr-FR" w:eastAsia="en-US"/>
        </w:rPr>
        <w:tab/>
        <w:t>Dans l’alinéa a), ajouter « à pression » après « récipient » et « de service » après « de l’équipement ».</w:t>
      </w:r>
    </w:p>
    <w:p w14:paraId="39845A7C" w14:textId="77777777" w:rsidR="00CA3533" w:rsidRPr="00CA3533" w:rsidRDefault="00CA3533" w:rsidP="00CA3533">
      <w:pPr>
        <w:keepNext/>
        <w:spacing w:after="120"/>
        <w:ind w:left="1134" w:right="1134"/>
        <w:jc w:val="both"/>
        <w:rPr>
          <w:rFonts w:eastAsiaTheme="minorHAnsi"/>
          <w:lang w:val="fr-FR" w:eastAsia="en-US"/>
        </w:rPr>
      </w:pPr>
      <w:r w:rsidRPr="00CA3533">
        <w:rPr>
          <w:rFonts w:eastAsiaTheme="minorHAnsi"/>
          <w:lang w:val="fr-FR" w:eastAsia="en-US"/>
        </w:rPr>
        <w:t>Modifier le 6.2.3.6.1 de sorte qu’il se lise comme suit :</w:t>
      </w:r>
    </w:p>
    <w:p w14:paraId="25901D5E"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 6.2.3.6.1</w:t>
      </w:r>
      <w:r w:rsidRPr="00CA3533">
        <w:rPr>
          <w:rFonts w:eastAsiaTheme="minorHAnsi"/>
          <w:lang w:val="fr-FR" w:eastAsia="en-US"/>
        </w:rPr>
        <w:tab/>
        <w:t>Les procédures pour l’évaluation de la conformité et les contrôles périodiques visés à la section 1.8.7 doivent être effectués par l’organisme compétent conformément au tableau ci</w:t>
      </w:r>
      <w:r w:rsidRPr="00CA3533">
        <w:rPr>
          <w:rFonts w:eastAsiaTheme="minorHAnsi"/>
          <w:lang w:val="fr-FR" w:eastAsia="en-US"/>
        </w:rPr>
        <w:noBreakHyphen/>
        <w:t>après.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8" w:type="dxa"/>
          <w:right w:w="68" w:type="dxa"/>
        </w:tblCellMar>
        <w:tblLook w:val="0000" w:firstRow="0" w:lastRow="0" w:firstColumn="0" w:lastColumn="0" w:noHBand="0" w:noVBand="0"/>
      </w:tblPr>
      <w:tblGrid>
        <w:gridCol w:w="4589"/>
        <w:gridCol w:w="2782"/>
      </w:tblGrid>
      <w:tr w:rsidR="00CA3533" w:rsidRPr="00CA3533" w14:paraId="4FC57E81" w14:textId="77777777" w:rsidTr="00D56820">
        <w:trPr>
          <w:cantSplit/>
        </w:trPr>
        <w:tc>
          <w:tcPr>
            <w:tcW w:w="4678" w:type="dxa"/>
          </w:tcPr>
          <w:p w14:paraId="24C35C38" w14:textId="77777777"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Procédure</w:t>
            </w:r>
          </w:p>
        </w:tc>
        <w:tc>
          <w:tcPr>
            <w:tcW w:w="2835" w:type="dxa"/>
          </w:tcPr>
          <w:p w14:paraId="75B5853D" w14:textId="77777777"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 xml:space="preserve">Organisme compétent </w:t>
            </w:r>
          </w:p>
        </w:tc>
      </w:tr>
      <w:tr w:rsidR="00CA3533" w:rsidRPr="00CA3533" w14:paraId="4104D10C" w14:textId="77777777" w:rsidTr="00D56820">
        <w:trPr>
          <w:cantSplit/>
        </w:trPr>
        <w:tc>
          <w:tcPr>
            <w:tcW w:w="4678" w:type="dxa"/>
          </w:tcPr>
          <w:p w14:paraId="6692F2C1" w14:textId="66F8C131"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Examen de type et délivrance du certificat d’agrément de type (1.8.7.2)</w:t>
            </w:r>
            <w:r w:rsidRPr="00CA3533">
              <w:rPr>
                <w:rFonts w:eastAsiaTheme="minorHAnsi"/>
                <w:b/>
                <w:vertAlign w:val="superscript"/>
                <w:lang w:val="fr-FR" w:eastAsia="en-US"/>
              </w:rPr>
              <w:t xml:space="preserve"> a</w:t>
            </w:r>
          </w:p>
        </w:tc>
        <w:tc>
          <w:tcPr>
            <w:tcW w:w="2835" w:type="dxa"/>
          </w:tcPr>
          <w:p w14:paraId="2E77B26D" w14:textId="77777777"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Xa</w:t>
            </w:r>
          </w:p>
        </w:tc>
      </w:tr>
      <w:tr w:rsidR="00CA3533" w:rsidRPr="00CA3533" w14:paraId="6B11E427" w14:textId="77777777" w:rsidTr="00D56820">
        <w:trPr>
          <w:cantSplit/>
          <w:trHeight w:val="495"/>
        </w:trPr>
        <w:tc>
          <w:tcPr>
            <w:tcW w:w="4678" w:type="dxa"/>
          </w:tcPr>
          <w:p w14:paraId="70D47DD7" w14:textId="77777777"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Suivi de fabrication (1.8.7.3) et contrôles et épreuves initiaux (1.8.7.4)</w:t>
            </w:r>
          </w:p>
        </w:tc>
        <w:tc>
          <w:tcPr>
            <w:tcW w:w="2835" w:type="dxa"/>
          </w:tcPr>
          <w:p w14:paraId="22ECA20F" w14:textId="77777777"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Xa ou IS</w:t>
            </w:r>
          </w:p>
        </w:tc>
      </w:tr>
      <w:tr w:rsidR="00CA3533" w:rsidRPr="00CA3533" w14:paraId="575F8316" w14:textId="77777777" w:rsidTr="001D3FD7">
        <w:trPr>
          <w:cantSplit/>
        </w:trPr>
        <w:tc>
          <w:tcPr>
            <w:tcW w:w="4678" w:type="dxa"/>
            <w:tcBorders>
              <w:bottom w:val="single" w:sz="2" w:space="0" w:color="auto"/>
            </w:tcBorders>
          </w:tcPr>
          <w:p w14:paraId="286A89AE" w14:textId="77777777"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lastRenderedPageBreak/>
              <w:t>Contrôle périodique (1.8.7.5)</w:t>
            </w:r>
          </w:p>
        </w:tc>
        <w:tc>
          <w:tcPr>
            <w:tcW w:w="2835" w:type="dxa"/>
            <w:tcBorders>
              <w:bottom w:val="single" w:sz="2" w:space="0" w:color="auto"/>
            </w:tcBorders>
          </w:tcPr>
          <w:p w14:paraId="1A30A610" w14:textId="77777777" w:rsidR="00CA3533" w:rsidRPr="00CA3533" w:rsidRDefault="00CA3533" w:rsidP="00CA3533">
            <w:pPr>
              <w:spacing w:before="60" w:after="60"/>
              <w:rPr>
                <w:rFonts w:eastAsiaTheme="minorHAnsi"/>
                <w:bCs/>
                <w:lang w:val="fr-FR" w:eastAsia="en-US"/>
              </w:rPr>
            </w:pPr>
            <w:r w:rsidRPr="00CA3533">
              <w:rPr>
                <w:rFonts w:eastAsiaTheme="minorHAnsi"/>
                <w:bCs/>
                <w:lang w:val="fr-FR" w:eastAsia="en-US"/>
              </w:rPr>
              <w:t xml:space="preserve">Xa ou </w:t>
            </w:r>
            <w:proofErr w:type="spellStart"/>
            <w:r w:rsidRPr="00CA3533">
              <w:rPr>
                <w:rFonts w:eastAsiaTheme="minorHAnsi"/>
                <w:bCs/>
                <w:lang w:val="fr-FR" w:eastAsia="en-US"/>
              </w:rPr>
              <w:t>Xb</w:t>
            </w:r>
            <w:proofErr w:type="spellEnd"/>
            <w:r w:rsidRPr="00CA3533">
              <w:rPr>
                <w:rFonts w:eastAsiaTheme="minorHAnsi"/>
                <w:bCs/>
                <w:lang w:val="fr-FR" w:eastAsia="en-US"/>
              </w:rPr>
              <w:t xml:space="preserve"> ou IS</w:t>
            </w:r>
          </w:p>
        </w:tc>
      </w:tr>
      <w:tr w:rsidR="00CA3533" w:rsidRPr="00CA3533" w14:paraId="313FBD6A" w14:textId="77777777" w:rsidTr="001D3FD7">
        <w:trPr>
          <w:cantSplit/>
        </w:trPr>
        <w:tc>
          <w:tcPr>
            <w:tcW w:w="7513" w:type="dxa"/>
            <w:gridSpan w:val="2"/>
            <w:tcBorders>
              <w:left w:val="nil"/>
              <w:bottom w:val="nil"/>
              <w:right w:val="nil"/>
            </w:tcBorders>
          </w:tcPr>
          <w:p w14:paraId="0634C394" w14:textId="7018711B" w:rsidR="00CA3533" w:rsidRPr="00CA3533" w:rsidRDefault="00CA3533" w:rsidP="00CA3533">
            <w:pPr>
              <w:spacing w:before="60" w:after="60"/>
              <w:rPr>
                <w:rFonts w:eastAsiaTheme="minorHAnsi"/>
                <w:bCs/>
                <w:lang w:val="fr-FR" w:eastAsia="en-US"/>
              </w:rPr>
            </w:pPr>
            <w:r w:rsidRPr="00CA3533">
              <w:rPr>
                <w:rFonts w:eastAsiaTheme="minorHAnsi"/>
                <w:b/>
                <w:vertAlign w:val="superscript"/>
                <w:lang w:val="fr-FR" w:eastAsia="en-US"/>
              </w:rPr>
              <w:t>a</w:t>
            </w:r>
            <w:r w:rsidRPr="00CA3533">
              <w:rPr>
                <w:rFonts w:eastAsiaTheme="minorHAnsi"/>
                <w:bCs/>
                <w:lang w:val="fr-FR" w:eastAsia="en-US"/>
              </w:rPr>
              <w:t xml:space="preserve"> </w:t>
            </w:r>
            <w:r w:rsidRPr="00CA3533">
              <w:rPr>
                <w:rFonts w:eastAsiaTheme="minorHAnsi"/>
                <w:bCs/>
                <w:i/>
                <w:iCs/>
                <w:sz w:val="18"/>
                <w:szCs w:val="18"/>
                <w:lang w:val="fr-FR" w:eastAsia="en-US"/>
              </w:rPr>
              <w:t>Le certificat d’agrément de type doit être délivré par l’organisme de contrôle qui a effectué l’examen de type</w:t>
            </w:r>
            <w:r w:rsidRPr="00CA3533">
              <w:rPr>
                <w:rFonts w:eastAsiaTheme="minorHAnsi"/>
                <w:bCs/>
                <w:lang w:val="fr-FR" w:eastAsia="en-US"/>
              </w:rPr>
              <w:t>.</w:t>
            </w:r>
          </w:p>
        </w:tc>
      </w:tr>
    </w:tbl>
    <w:p w14:paraId="75524B45" w14:textId="77777777" w:rsidR="00CA3533" w:rsidRPr="00CA3533" w:rsidRDefault="00CA3533" w:rsidP="00CA3533">
      <w:pPr>
        <w:spacing w:before="120" w:after="120"/>
        <w:ind w:left="2268" w:right="1134" w:hanging="1134"/>
        <w:jc w:val="both"/>
        <w:rPr>
          <w:rFonts w:eastAsiaTheme="minorHAnsi"/>
          <w:lang w:val="fr-FR" w:eastAsia="en-US"/>
        </w:rPr>
      </w:pPr>
      <w:r w:rsidRPr="00CA3533">
        <w:rPr>
          <w:rFonts w:eastAsiaTheme="minorHAnsi"/>
          <w:lang w:val="fr-FR" w:eastAsia="en-US"/>
        </w:rPr>
        <w:tab/>
        <w:t>Chaque procédure définie dans le tableau doit être effectuée par un organisme compétent unique comme indiqué dans le tableau.</w:t>
      </w:r>
    </w:p>
    <w:p w14:paraId="711E8602" w14:textId="3EF9D75B"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r>
      <w:r w:rsidRPr="00CA3533">
        <w:rPr>
          <w:lang w:val="fr-FR" w:eastAsia="fr-FR"/>
        </w:rPr>
        <w:t>Pour les évaluations de la conformité séparées (par exemple, enveloppe de bouteille et fermeture) voir 6.2.1.4.4. Pour les récipients à pression non-rechargeables, des certificats d’agrément de type séparé pour l’enveloppe de bouteille ou la fermeture ne doivent pas être délivrés.</w:t>
      </w:r>
    </w:p>
    <w:p w14:paraId="3B07E2F4"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 xml:space="preserve">Xa désigne l’autorité compétente ou l’organisme de contrôle conforme </w:t>
      </w:r>
      <w:r w:rsidRPr="00CA3533">
        <w:rPr>
          <w:rFonts w:eastAsiaTheme="minorHAnsi"/>
          <w:bCs/>
          <w:iCs/>
          <w:lang w:val="fr-FR" w:eastAsia="en-US"/>
        </w:rPr>
        <w:t>au 1.8.6.3 et</w:t>
      </w:r>
      <w:r w:rsidRPr="00CA3533">
        <w:rPr>
          <w:rFonts w:eastAsiaTheme="minorHAnsi"/>
          <w:lang w:val="fr-FR" w:eastAsia="en-US"/>
        </w:rPr>
        <w:t xml:space="preserve"> accrédité selon la norme EN ISO/CEI 17020:2012 (sauf article 8.1.3), type A.</w:t>
      </w:r>
    </w:p>
    <w:p w14:paraId="389A7798"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r>
      <w:proofErr w:type="spellStart"/>
      <w:r w:rsidRPr="00CA3533">
        <w:rPr>
          <w:rFonts w:eastAsiaTheme="minorHAnsi"/>
          <w:lang w:val="fr-FR" w:eastAsia="en-US"/>
        </w:rPr>
        <w:t>Xb</w:t>
      </w:r>
      <w:proofErr w:type="spellEnd"/>
      <w:r w:rsidRPr="00CA3533">
        <w:rPr>
          <w:rFonts w:eastAsiaTheme="minorHAnsi"/>
          <w:lang w:val="fr-FR" w:eastAsia="en-US"/>
        </w:rPr>
        <w:t xml:space="preserve"> désigne l’organisme de contrôle conforme au 1.8.6.3 et accrédité selon la norme EN ISO/CEI 17020:2012 (sauf article 8.1.3), type B, travaillant exclusivement pour le propriétaire ou le détenteur responsable des récipients à pression</w:t>
      </w:r>
    </w:p>
    <w:p w14:paraId="18EACA9A"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IS désigne un service interne d’inspection du fabricant ou d’un centre d’épreuves sous la supervision d’un organisme de contrôle conforme au 1.8.6.3 et accrédité selon la norme EN ISO/CEI 17020:2012 (sauf article 8.1.3), type A. Le service interne d’inspection doit être indépendant du processus de conception, des opérations de fabrication, de la réparation et de la maintenance.</w:t>
      </w:r>
    </w:p>
    <w:p w14:paraId="026B3B42"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Si un service interne d’inspection a été utilisé pour les contrôles et épreuves initiaux, la marque spécifiée au 6.2.2.7.2 d) doit être accompagnée de la marque du service interne d’inspection.</w:t>
      </w:r>
    </w:p>
    <w:p w14:paraId="66CD0720"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Si un service interne d’inspection a effectué le contrôle périodique, la marque spécifiée au 6.2.2.7.7 b) doit être accompagnée de la marque du service interne d’inspection. »</w:t>
      </w:r>
    </w:p>
    <w:p w14:paraId="5F9811F8"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6.2.3.8</w:t>
      </w:r>
      <w:r w:rsidRPr="00CA3533">
        <w:rPr>
          <w:rFonts w:eastAsiaTheme="minorHAnsi"/>
          <w:lang w:val="fr-FR" w:eastAsia="en-US"/>
        </w:rPr>
        <w:tab/>
        <w:t xml:space="preserve">Remplacer « 1.8.6 » par « 1.8.6.3 ». </w:t>
      </w:r>
    </w:p>
    <w:p w14:paraId="6DE7CE27"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6.2.3.9.3</w:t>
      </w:r>
      <w:r w:rsidRPr="00CA3533">
        <w:rPr>
          <w:rFonts w:eastAsiaTheme="minorHAnsi"/>
          <w:lang w:val="fr-FR" w:eastAsia="en-US"/>
        </w:rPr>
        <w:tab/>
        <w:t>Ajouter le paragraphe suivant à la fin (y compris un renvoi à la note de bas de page</w:t>
      </w:r>
      <w:r w:rsidRPr="004F3DD7">
        <w:rPr>
          <w:rFonts w:eastAsiaTheme="minorHAnsi"/>
          <w:lang w:val="fr-FR" w:eastAsia="en-US"/>
        </w:rPr>
        <w:t xml:space="preserve"> 2</w:t>
      </w:r>
      <w:r w:rsidRPr="00CA3533">
        <w:rPr>
          <w:rFonts w:eastAsiaTheme="minorHAnsi"/>
          <w:vertAlign w:val="superscript"/>
          <w:lang w:val="fr-FR" w:eastAsia="en-US"/>
        </w:rPr>
        <w:t xml:space="preserve"> </w:t>
      </w:r>
      <w:r w:rsidRPr="00CA3533">
        <w:rPr>
          <w:rFonts w:eastAsiaTheme="minorHAnsi"/>
          <w:lang w:val="fr-FR" w:eastAsia="en-US"/>
        </w:rPr>
        <w:t>existante) :</w:t>
      </w:r>
    </w:p>
    <w:p w14:paraId="70DCA6CD" w14:textId="77777777" w:rsidR="00CA3533" w:rsidRPr="00CA3533" w:rsidRDefault="00CA3533" w:rsidP="00CA3533">
      <w:pPr>
        <w:keepNext/>
        <w:spacing w:after="120"/>
        <w:ind w:left="2268" w:right="1134"/>
        <w:jc w:val="both"/>
        <w:rPr>
          <w:rFonts w:eastAsiaTheme="minorHAnsi"/>
          <w:lang w:val="fr-FR"/>
        </w:rPr>
      </w:pPr>
      <w:r w:rsidRPr="00CA3533">
        <w:rPr>
          <w:rFonts w:eastAsiaTheme="minorHAnsi"/>
          <w:lang w:val="fr-FR"/>
        </w:rPr>
        <w:t xml:space="preserve">« Les </w:t>
      </w:r>
      <w:r w:rsidRPr="00CA3533">
        <w:rPr>
          <w:rFonts w:eastAsiaTheme="minorHAnsi"/>
          <w:lang w:val="fr-FR" w:eastAsia="en-US"/>
        </w:rPr>
        <w:t>prescriptions</w:t>
      </w:r>
      <w:r w:rsidRPr="00CA3533">
        <w:rPr>
          <w:rFonts w:eastAsiaTheme="minorHAnsi"/>
          <w:lang w:val="fr-FR"/>
        </w:rPr>
        <w:t xml:space="preserve"> du 6.2.2.7.4 n) doivent être remplacées par les suivantes : </w:t>
      </w:r>
    </w:p>
    <w:p w14:paraId="5BF7F165" w14:textId="43A6A14D"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n)</w:t>
      </w:r>
      <w:r w:rsidRPr="00CA3533">
        <w:rPr>
          <w:rFonts w:eastAsiaTheme="minorHAnsi"/>
          <w:lang w:val="fr-FR" w:eastAsia="en-US"/>
        </w:rPr>
        <w:tab/>
      </w:r>
      <w:r w:rsidRPr="00CA3533">
        <w:rPr>
          <w:rFonts w:eastAsiaTheme="minorHAnsi"/>
          <w:lang w:val="fr-FR"/>
        </w:rPr>
        <w:t>La marque du fabricant. Dans le cas où le pays de fabrication n’est pas le même que le pays d’agrément, la marque du fabricant doit être précédée de la ou des lettre(s) identifiant le pays de fabrication conformément au signe distinctif utilisé sur les véhicules en circulation routière internationale</w:t>
      </w:r>
      <w:r w:rsidRPr="00CA3533">
        <w:rPr>
          <w:rFonts w:eastAsiaTheme="minorHAnsi"/>
          <w:sz w:val="18"/>
          <w:szCs w:val="18"/>
          <w:vertAlign w:val="superscript"/>
          <w:lang w:val="fr-FR"/>
        </w:rPr>
        <w:t>2</w:t>
      </w:r>
      <w:r w:rsidRPr="00CA3533">
        <w:rPr>
          <w:rFonts w:eastAsiaTheme="minorHAnsi"/>
          <w:lang w:val="fr-FR"/>
        </w:rPr>
        <w:t>. Les marques du pays et du fabricant doivent être séparées par un espace ou une barre oblique</w:t>
      </w:r>
      <w:r w:rsidR="00E87454">
        <w:rPr>
          <w:rFonts w:eastAsiaTheme="minorHAnsi"/>
          <w:lang w:val="fr-FR"/>
        </w:rPr>
        <w:t>.</w:t>
      </w:r>
      <w:r w:rsidRPr="00CA3533">
        <w:rPr>
          <w:rFonts w:eastAsiaTheme="minorHAnsi"/>
          <w:lang w:val="fr-FR"/>
        </w:rPr>
        <w:t xml:space="preserve"> ». </w:t>
      </w:r>
    </w:p>
    <w:p w14:paraId="2E77EAA1" w14:textId="5361F58E" w:rsidR="00CA3533" w:rsidRPr="00CA3533" w:rsidRDefault="00CA3533" w:rsidP="00DC24C1">
      <w:pPr>
        <w:spacing w:after="120"/>
        <w:ind w:left="2268" w:right="1134" w:hanging="1134"/>
        <w:jc w:val="both"/>
        <w:rPr>
          <w:rFonts w:eastAsiaTheme="minorHAnsi"/>
          <w:lang w:val="fr-FR" w:eastAsia="en-US"/>
        </w:rPr>
      </w:pPr>
      <w:r w:rsidRPr="00CA3533">
        <w:rPr>
          <w:rFonts w:eastAsiaTheme="minorHAnsi"/>
          <w:lang w:val="fr-FR" w:eastAsia="en-US"/>
        </w:rPr>
        <w:t>Ajouter le nouveau 6.2.3.9.8 suivant :</w:t>
      </w:r>
    </w:p>
    <w:p w14:paraId="4970F549" w14:textId="77777777" w:rsidR="00CA3533" w:rsidRPr="00CA3533" w:rsidRDefault="00CA3533" w:rsidP="00CA3533">
      <w:pPr>
        <w:spacing w:after="120"/>
        <w:ind w:left="2268" w:right="1134" w:hanging="1134"/>
        <w:jc w:val="both"/>
        <w:rPr>
          <w:rFonts w:eastAsiaTheme="minorHAnsi"/>
          <w:i/>
          <w:iCs/>
          <w:lang w:val="fr-FR" w:eastAsia="en-US"/>
        </w:rPr>
      </w:pPr>
      <w:r w:rsidRPr="00CA3533">
        <w:rPr>
          <w:rFonts w:eastAsiaTheme="minorHAnsi"/>
          <w:lang w:val="fr-FR" w:eastAsia="en-US"/>
        </w:rPr>
        <w:t>« 6.2.3.9.8</w:t>
      </w:r>
      <w:r w:rsidRPr="00CA3533">
        <w:rPr>
          <w:rFonts w:eastAsiaTheme="minorHAnsi"/>
          <w:lang w:val="fr-FR" w:eastAsia="en-US"/>
        </w:rPr>
        <w:tab/>
      </w:r>
      <w:r w:rsidRPr="00CA3533">
        <w:rPr>
          <w:rFonts w:eastAsiaTheme="minorHAnsi"/>
          <w:i/>
          <w:iCs/>
          <w:lang w:val="fr-FR" w:eastAsia="en-US"/>
        </w:rPr>
        <w:t>Marquage des fermetures des récipients à pression rechargeables</w:t>
      </w:r>
    </w:p>
    <w:p w14:paraId="0D7EC059"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6.2.3.9.8.1</w:t>
      </w:r>
      <w:r w:rsidRPr="00CA3533">
        <w:rPr>
          <w:rFonts w:eastAsiaTheme="minorHAnsi"/>
          <w:lang w:val="fr-FR" w:eastAsia="en-US"/>
        </w:rPr>
        <w:tab/>
      </w:r>
      <w:r w:rsidRPr="00CA3533">
        <w:rPr>
          <w:noProof/>
          <w:lang w:val="fr-FR" w:eastAsia="fr-FR"/>
        </w:rPr>
        <w:t>Le marquage doit être conforme au 6.2.2.11. »</w:t>
      </w:r>
    </w:p>
    <w:p w14:paraId="3DBA562E" w14:textId="77777777" w:rsidR="00CA3533" w:rsidRPr="00CA3533" w:rsidRDefault="00CA3533" w:rsidP="00CA3533">
      <w:pPr>
        <w:spacing w:after="120"/>
        <w:ind w:left="1134" w:right="1134"/>
        <w:jc w:val="both"/>
        <w:rPr>
          <w:rFonts w:eastAsiaTheme="minorHAnsi"/>
          <w:bCs/>
          <w:lang w:val="fr-FR" w:eastAsia="en-US"/>
        </w:rPr>
      </w:pPr>
      <w:r w:rsidRPr="00CA3533">
        <w:rPr>
          <w:rFonts w:eastAsiaTheme="minorHAnsi"/>
          <w:lang w:val="fr-FR" w:eastAsia="en-US"/>
        </w:rPr>
        <w:t>6.2.3.10</w:t>
      </w:r>
      <w:r w:rsidRPr="00CA3533">
        <w:rPr>
          <w:rFonts w:eastAsiaTheme="minorHAnsi"/>
          <w:lang w:val="fr-FR" w:eastAsia="en-US"/>
        </w:rPr>
        <w:tab/>
        <w:t>Remplacer « récipients à pression » par « bouteilles ».</w:t>
      </w:r>
    </w:p>
    <w:p w14:paraId="3AE3A0B5" w14:textId="53360ABC" w:rsidR="006C3370" w:rsidRDefault="006C3370" w:rsidP="006C3370">
      <w:pPr>
        <w:pStyle w:val="SingleTxtG"/>
        <w:ind w:left="2268" w:hanging="1134"/>
        <w:rPr>
          <w:lang w:val="fr-FR"/>
        </w:rPr>
      </w:pPr>
      <w:r w:rsidRPr="00476248">
        <w:rPr>
          <w:lang w:val="fr-FR"/>
        </w:rPr>
        <w:t>6.</w:t>
      </w:r>
      <w:r>
        <w:rPr>
          <w:lang w:val="fr-FR"/>
        </w:rPr>
        <w:t>2.4.1</w:t>
      </w:r>
      <w:r w:rsidRPr="00476248">
        <w:rPr>
          <w:lang w:val="fr-FR"/>
        </w:rPr>
        <w:tab/>
      </w:r>
      <w:r>
        <w:rPr>
          <w:lang w:val="fr-FR"/>
        </w:rPr>
        <w:t>Modifier les paragraphes avant le tableau pour lire comme suit (le titre reste inchangé) :</w:t>
      </w:r>
    </w:p>
    <w:p w14:paraId="49991433" w14:textId="77777777" w:rsidR="006C3370" w:rsidRPr="00511A9C" w:rsidRDefault="006C3370" w:rsidP="006C3370">
      <w:pPr>
        <w:pStyle w:val="SingleTxtG"/>
        <w:ind w:left="2268" w:hanging="1134"/>
        <w:rPr>
          <w:lang w:val="fr-FR"/>
        </w:rPr>
      </w:pPr>
      <w:r>
        <w:rPr>
          <w:lang w:val="fr-FR"/>
        </w:rPr>
        <w:tab/>
        <w:t>« </w:t>
      </w:r>
      <w:r w:rsidRPr="00511A9C">
        <w:rPr>
          <w:lang w:val="fr-FR"/>
        </w:rPr>
        <w:t>Depuis le 1er janvier 2009, l’application des normes citées en référence est devenue obligatoire. Les exceptions sont traitées au 6.2.5.</w:t>
      </w:r>
    </w:p>
    <w:p w14:paraId="10A8B735" w14:textId="60400B9D" w:rsidR="006C3370" w:rsidRPr="00511A9C" w:rsidRDefault="006C3370" w:rsidP="006C3370">
      <w:pPr>
        <w:pStyle w:val="SingleTxtG"/>
        <w:ind w:left="2268" w:hanging="1134"/>
        <w:rPr>
          <w:lang w:val="fr-FR"/>
        </w:rPr>
      </w:pPr>
      <w:r>
        <w:rPr>
          <w:lang w:val="fr-FR"/>
        </w:rPr>
        <w:tab/>
      </w:r>
      <w:r w:rsidRPr="00511A9C">
        <w:rPr>
          <w:lang w:val="fr-FR"/>
        </w:rPr>
        <w:t xml:space="preserve">Les certificats d’agrément de type doivent être délivrés conformément au 1.8.7. Pour la délivrance du certificat d’agrément de type, une norme applicable selon l’indication dans la colonne 4) doit être choisie dans le tableau ci-dessous. Si plus d’une norme peut être appliquée, seule l’une d’entre elles doit être choisie. </w:t>
      </w:r>
    </w:p>
    <w:p w14:paraId="33891517" w14:textId="140A7E00" w:rsidR="006C3370" w:rsidRPr="00511A9C" w:rsidRDefault="006C3370" w:rsidP="006C3370">
      <w:pPr>
        <w:pStyle w:val="SingleTxtG"/>
        <w:ind w:left="2268" w:hanging="1134"/>
        <w:rPr>
          <w:lang w:val="fr-FR"/>
        </w:rPr>
      </w:pPr>
      <w:r>
        <w:rPr>
          <w:lang w:val="fr-FR"/>
        </w:rPr>
        <w:lastRenderedPageBreak/>
        <w:tab/>
      </w:r>
      <w:r w:rsidRPr="00511A9C">
        <w:rPr>
          <w:lang w:val="fr-FR"/>
        </w:rPr>
        <w:t>La colonne 3) indique les paragraphes du chapitre 6.2 auxquels la norme est conforme.</w:t>
      </w:r>
    </w:p>
    <w:p w14:paraId="2CFAECF9" w14:textId="7190720E" w:rsidR="006C3370" w:rsidRPr="00511A9C" w:rsidRDefault="006C3370" w:rsidP="006C3370">
      <w:pPr>
        <w:pStyle w:val="SingleTxtG"/>
        <w:ind w:left="2268" w:hanging="1134"/>
        <w:rPr>
          <w:lang w:val="fr-FR"/>
        </w:rPr>
      </w:pPr>
      <w:r>
        <w:rPr>
          <w:lang w:val="fr-FR"/>
        </w:rPr>
        <w:tab/>
      </w:r>
      <w:r w:rsidRPr="00511A9C">
        <w:rPr>
          <w:lang w:val="fr-FR"/>
        </w:rPr>
        <w:t>La colonne 5) indique la date ultime à laquelle les agréments de type existants doivent être retirés conformément au 1.8.7.2.2.2 ; si aucune date n’est indiquée, l’agrément de type demeure valide jusqu’à sa date d’expiration.</w:t>
      </w:r>
    </w:p>
    <w:p w14:paraId="3161C93A" w14:textId="77777777" w:rsidR="006C3370" w:rsidRPr="00511A9C" w:rsidRDefault="006C3370" w:rsidP="006C3370">
      <w:pPr>
        <w:pStyle w:val="SingleTxtG"/>
        <w:ind w:left="2268" w:hanging="1134"/>
        <w:rPr>
          <w:lang w:val="fr-FR"/>
        </w:rPr>
      </w:pPr>
      <w:r>
        <w:rPr>
          <w:lang w:val="fr-FR"/>
        </w:rPr>
        <w:tab/>
      </w:r>
      <w:r w:rsidRPr="00511A9C">
        <w:rPr>
          <w:lang w:val="fr-FR"/>
        </w:rPr>
        <w:t xml:space="preserve">Les normes doivent être appliquées conformément au 1.1.5. Elles doivent être appliquées en totalité à moins qu’il n’en soit spécifié autrement dans le tableau ci-dessous. </w:t>
      </w:r>
    </w:p>
    <w:p w14:paraId="0F717577" w14:textId="7406B59D" w:rsidR="006C3370" w:rsidRDefault="006C3370" w:rsidP="006C3370">
      <w:pPr>
        <w:pStyle w:val="SingleTxtG"/>
        <w:ind w:left="2268" w:hanging="1134"/>
        <w:rPr>
          <w:lang w:val="fr-FR"/>
        </w:rPr>
      </w:pPr>
      <w:r>
        <w:rPr>
          <w:lang w:val="fr-FR"/>
        </w:rPr>
        <w:tab/>
      </w:r>
      <w:r w:rsidRPr="00511A9C">
        <w:rPr>
          <w:lang w:val="fr-FR"/>
        </w:rPr>
        <w:t>Le champ d’application de chaque norme est défini dans l’article de champ d’application de la norme à moins qu’il n’en soit spécifié autrement dans le tableau ci-dessous.</w:t>
      </w:r>
    </w:p>
    <w:p w14:paraId="6617F468" w14:textId="79EE843C" w:rsidR="00CA3533" w:rsidRPr="00CA3533" w:rsidRDefault="00CA3533" w:rsidP="00CA3533">
      <w:pPr>
        <w:spacing w:after="120"/>
        <w:ind w:left="2268" w:right="1134"/>
        <w:jc w:val="both"/>
        <w:rPr>
          <w:rFonts w:eastAsiaTheme="minorHAnsi"/>
          <w:lang w:val="fr-FR" w:eastAsia="en-US"/>
        </w:rPr>
      </w:pPr>
      <w:r w:rsidRPr="00CA3533">
        <w:rPr>
          <w:rFonts w:eastAsiaTheme="minorHAnsi"/>
          <w:b/>
          <w:bCs/>
          <w:i/>
          <w:iCs/>
          <w:lang w:val="fr-FR" w:eastAsia="en-US"/>
        </w:rPr>
        <w:t>NOTA :</w:t>
      </w:r>
      <w:r w:rsidRPr="00CA3533">
        <w:rPr>
          <w:rFonts w:eastAsiaTheme="minorHAnsi"/>
          <w:i/>
          <w:iCs/>
          <w:lang w:val="fr-FR" w:eastAsia="en-US"/>
        </w:rPr>
        <w:t xml:space="preserve"> Lorsqu’ils sont employés dans ces normes, les termes “bouteille”, “tube” et “fût à pression” doivent être considérés sans leurs fermetures, sauf dans le cas des bouteilles non rechargeables. </w:t>
      </w:r>
      <w:r w:rsidRPr="00CA3533">
        <w:rPr>
          <w:rFonts w:eastAsiaTheme="minorHAnsi"/>
          <w:lang w:val="fr-FR" w:eastAsia="en-US"/>
        </w:rPr>
        <w:t>»</w:t>
      </w:r>
    </w:p>
    <w:p w14:paraId="6E8C70A9" w14:textId="494631F8" w:rsidR="006C3370" w:rsidRPr="00476248" w:rsidRDefault="006C3370" w:rsidP="006C3370">
      <w:pPr>
        <w:pStyle w:val="SingleTxtG"/>
        <w:ind w:left="2268" w:hanging="1134"/>
        <w:rPr>
          <w:lang w:val="fr-FR"/>
        </w:rPr>
      </w:pPr>
      <w:r>
        <w:rPr>
          <w:lang w:val="fr-FR"/>
        </w:rPr>
        <w:tab/>
        <w:t xml:space="preserve">Dans le tableau, remplacer le titre de la colonne 3) par </w:t>
      </w:r>
      <w:r w:rsidRPr="00E622BC">
        <w:rPr>
          <w:lang w:val="fr-FR"/>
        </w:rPr>
        <w:t>«</w:t>
      </w:r>
      <w:r w:rsidR="0059266D">
        <w:rPr>
          <w:lang w:val="fr-FR"/>
        </w:rPr>
        <w:t> </w:t>
      </w:r>
      <w:r w:rsidRPr="00E622BC">
        <w:rPr>
          <w:lang w:val="fr-FR"/>
        </w:rPr>
        <w:t>Prescriptions auxquelles la norme est conforme</w:t>
      </w:r>
      <w:r w:rsidR="0059266D">
        <w:rPr>
          <w:lang w:val="fr-FR"/>
        </w:rPr>
        <w:t> </w:t>
      </w:r>
      <w:r w:rsidRPr="00E622BC">
        <w:rPr>
          <w:lang w:val="fr-FR"/>
        </w:rPr>
        <w:t>».</w:t>
      </w:r>
    </w:p>
    <w:p w14:paraId="0EBAF35F" w14:textId="77777777" w:rsidR="009700D6" w:rsidRPr="009700D6" w:rsidRDefault="00CA3533" w:rsidP="009700D6">
      <w:pPr>
        <w:spacing w:before="120" w:after="120"/>
        <w:ind w:left="2268" w:right="1134"/>
        <w:jc w:val="both"/>
        <w:rPr>
          <w:rFonts w:eastAsiaTheme="minorHAnsi"/>
          <w:b/>
          <w:u w:val="single"/>
          <w:lang w:val="fr-FR" w:eastAsia="en-US"/>
        </w:rPr>
      </w:pPr>
      <w:r w:rsidRPr="00CA3533">
        <w:rPr>
          <w:lang w:val="fr-FR"/>
        </w:rPr>
        <w:tab/>
      </w:r>
      <w:r w:rsidR="009700D6" w:rsidRPr="009700D6">
        <w:rPr>
          <w:rFonts w:eastAsiaTheme="minorHAnsi"/>
          <w:lang w:val="fr-FR" w:eastAsia="en-US"/>
        </w:rPr>
        <w:t>Sur la troisième ligne du tableau (après les deux lignes d’en-tête), ajouter « des récipients à pression ou des enveloppes de récipients à pression » après « Pour la conception et la fabrication ».</w:t>
      </w:r>
    </w:p>
    <w:p w14:paraId="372F88BF" w14:textId="7F3B91AE" w:rsidR="00CA3533" w:rsidRPr="00CA3533" w:rsidRDefault="009700D6" w:rsidP="00CA3533">
      <w:pPr>
        <w:spacing w:after="120"/>
        <w:ind w:left="2268" w:right="1134" w:hanging="1134"/>
        <w:jc w:val="both"/>
        <w:rPr>
          <w:lang w:val="fr-FR"/>
        </w:rPr>
      </w:pPr>
      <w:r>
        <w:rPr>
          <w:lang w:val="fr-FR"/>
        </w:rPr>
        <w:tab/>
      </w:r>
      <w:r w:rsidR="00CA3533" w:rsidRPr="00CA3533">
        <w:rPr>
          <w:lang w:val="fr-FR"/>
        </w:rPr>
        <w:t>Dans le tableau, sous « Pour la conception et la fabrication des récipients à pression ou des enveloppes de récipients à pression</w:t>
      </w:r>
      <w:r w:rsidR="0088769B">
        <w:rPr>
          <w:lang w:val="fr-FR"/>
        </w:rPr>
        <w:t> </w:t>
      </w:r>
      <w:r w:rsidR="00CA3533" w:rsidRPr="00CA3533">
        <w:rPr>
          <w:lang w:val="fr-FR"/>
        </w:rPr>
        <w:t>» :</w:t>
      </w:r>
    </w:p>
    <w:p w14:paraId="359DEB0B" w14:textId="5786510B" w:rsidR="00CA3533" w:rsidRPr="00DB081E" w:rsidRDefault="00CA3533" w:rsidP="00157A69">
      <w:pPr>
        <w:pStyle w:val="Bullet1G"/>
        <w:tabs>
          <w:tab w:val="clear" w:pos="1701"/>
        </w:tabs>
        <w:ind w:left="2410"/>
        <w:rPr>
          <w:lang w:val="fr-FR"/>
        </w:rPr>
      </w:pPr>
      <w:r w:rsidRPr="00DB081E">
        <w:rPr>
          <w:lang w:val="fr-FR"/>
        </w:rPr>
        <w:t>Pour la norme « EN ISO 7866:2012 + AC:2014 », dans la colonne 4), remplacer « Jusqu’à nouvel ordre » par « Entre le 1er janvier 2015 et le 31 décembre 2024 ».</w:t>
      </w:r>
    </w:p>
    <w:p w14:paraId="064ECECE" w14:textId="29D735C5" w:rsidR="00CA3533" w:rsidRPr="00DB081E" w:rsidRDefault="00CA3533" w:rsidP="00157A69">
      <w:pPr>
        <w:pStyle w:val="Bullet1G"/>
        <w:tabs>
          <w:tab w:val="clear" w:pos="1701"/>
        </w:tabs>
        <w:ind w:left="2410"/>
        <w:rPr>
          <w:lang w:val="fr-FR"/>
        </w:rPr>
      </w:pPr>
      <w:r w:rsidRPr="00DB081E">
        <w:rPr>
          <w:lang w:val="fr-FR"/>
        </w:rPr>
        <w:t>Après la ligne pour la norme « EN ISO 7866:2012 + AC:2014 »,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403"/>
        <w:gridCol w:w="1152"/>
        <w:gridCol w:w="956"/>
        <w:gridCol w:w="725"/>
      </w:tblGrid>
      <w:tr w:rsidR="00CA3533" w:rsidRPr="00CA3533" w14:paraId="750E4E23" w14:textId="77777777" w:rsidTr="00D56820">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11F16B" w14:textId="77777777" w:rsidR="00CA3533" w:rsidRPr="00CA3533" w:rsidRDefault="00CA3533" w:rsidP="00CA3533">
            <w:pPr>
              <w:widowControl w:val="0"/>
              <w:ind w:left="141" w:right="282"/>
              <w:rPr>
                <w:rFonts w:eastAsia="DengXian"/>
                <w:bCs/>
                <w:lang w:val="fr-FR"/>
              </w:rPr>
            </w:pPr>
            <w:r w:rsidRPr="00CA3533">
              <w:rPr>
                <w:rFonts w:eastAsia="DengXian"/>
                <w:bCs/>
                <w:lang w:val="fr-FR"/>
              </w:rPr>
              <w:t>EN ISO 7866:2012 + A1:2020</w:t>
            </w:r>
          </w:p>
        </w:tc>
        <w:tc>
          <w:tcPr>
            <w:tcW w:w="3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676046" w14:textId="77777777" w:rsidR="00CA3533" w:rsidRPr="00CA3533" w:rsidRDefault="00CA3533" w:rsidP="00CA3533">
            <w:pPr>
              <w:widowControl w:val="0"/>
              <w:ind w:left="142" w:right="282"/>
              <w:rPr>
                <w:rFonts w:eastAsia="DengXian"/>
                <w:bCs/>
                <w:lang w:val="fr-FR"/>
              </w:rPr>
            </w:pPr>
            <w:r w:rsidRPr="00CA3533">
              <w:rPr>
                <w:rFonts w:eastAsia="DengXian"/>
                <w:bCs/>
                <w:lang w:val="fr-FR"/>
              </w:rPr>
              <w:t>Bouteilles à gaz - Bouteilles à gaz sans soudure en alliage d’aluminium destinées à être rechargées - Conception, construction et essais</w:t>
            </w:r>
          </w:p>
        </w:tc>
        <w:tc>
          <w:tcPr>
            <w:tcW w:w="11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E5456D" w14:textId="77777777" w:rsidR="00CA3533" w:rsidRPr="00CA3533" w:rsidRDefault="00CA3533" w:rsidP="00CA3533">
            <w:pPr>
              <w:widowControl w:val="0"/>
              <w:ind w:left="6" w:right="282"/>
              <w:rPr>
                <w:rFonts w:eastAsia="DengXian"/>
                <w:bCs/>
                <w:lang w:val="fr-FR"/>
              </w:rPr>
            </w:pPr>
            <w:r w:rsidRPr="00CA3533">
              <w:rPr>
                <w:rFonts w:eastAsia="DengXian"/>
                <w:bCs/>
                <w:lang w:val="fr-FR"/>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4A56B4B" w14:textId="77777777" w:rsidR="00CA3533" w:rsidRPr="00CA3533" w:rsidRDefault="00CA3533" w:rsidP="00CA3533">
            <w:pPr>
              <w:widowControl w:val="0"/>
              <w:ind w:right="123"/>
              <w:jc w:val="center"/>
              <w:rPr>
                <w:rFonts w:eastAsia="DengXian"/>
                <w:bCs/>
                <w:lang w:val="fr-FR"/>
              </w:rPr>
            </w:pPr>
            <w:r w:rsidRPr="00CA3533">
              <w:rPr>
                <w:rFonts w:eastAsia="DengXian"/>
                <w:bCs/>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121075" w14:textId="77777777" w:rsidR="00CA3533" w:rsidRPr="00CA3533" w:rsidRDefault="00CA3533" w:rsidP="00CA3533">
            <w:pPr>
              <w:widowControl w:val="0"/>
              <w:ind w:right="282"/>
              <w:rPr>
                <w:rFonts w:eastAsia="DengXian"/>
                <w:bCs/>
                <w:lang w:val="fr-FR"/>
              </w:rPr>
            </w:pPr>
          </w:p>
        </w:tc>
      </w:tr>
    </w:tbl>
    <w:p w14:paraId="21294AD0" w14:textId="1A7EDBE9" w:rsidR="009A123B" w:rsidRPr="00106436" w:rsidRDefault="009A123B" w:rsidP="00157A69">
      <w:pPr>
        <w:pStyle w:val="Bullet1G"/>
        <w:tabs>
          <w:tab w:val="clear" w:pos="1701"/>
        </w:tabs>
        <w:spacing w:before="120"/>
        <w:ind w:left="2410"/>
        <w:rPr>
          <w:lang w:val="fr-FR"/>
        </w:rPr>
      </w:pPr>
      <w:r w:rsidRPr="00106436">
        <w:rPr>
          <w:lang w:val="fr-FR"/>
        </w:rPr>
        <w:t>Pour la norme « EN 12245:2002 », dans la colonne 2), insérer le nota suivant :</w:t>
      </w:r>
    </w:p>
    <w:p w14:paraId="4827C456" w14:textId="39BC7793" w:rsidR="009A123B" w:rsidRPr="00106436" w:rsidRDefault="009A123B" w:rsidP="00157A69">
      <w:pPr>
        <w:spacing w:after="120"/>
        <w:ind w:left="2410" w:right="1134" w:hanging="709"/>
        <w:jc w:val="both"/>
        <w:rPr>
          <w:lang w:val="fr-FR"/>
        </w:rPr>
      </w:pPr>
      <w:r w:rsidRPr="00106436">
        <w:rPr>
          <w:lang w:val="fr-FR"/>
        </w:rPr>
        <w:tab/>
        <w:t>« </w:t>
      </w:r>
      <w:r w:rsidRPr="00106436">
        <w:rPr>
          <w:b/>
          <w:bCs/>
          <w:i/>
          <w:iCs/>
          <w:lang w:val="fr-FR"/>
        </w:rPr>
        <w:t>NOTA :</w:t>
      </w:r>
      <w:r w:rsidRPr="00106436">
        <w:rPr>
          <w:i/>
          <w:iCs/>
          <w:lang w:val="fr-FR"/>
        </w:rPr>
        <w:tab/>
        <w:t>Cette norme ne doit pas être utilisée pour les gaz classés comme GPL.</w:t>
      </w:r>
      <w:r w:rsidRPr="00106436">
        <w:rPr>
          <w:lang w:val="fr-FR"/>
        </w:rPr>
        <w:t> »</w:t>
      </w:r>
    </w:p>
    <w:p w14:paraId="38A3E89D" w14:textId="5C37FC53" w:rsidR="009A123B" w:rsidRPr="00D62929" w:rsidRDefault="009A123B" w:rsidP="003F3A96">
      <w:pPr>
        <w:pStyle w:val="Bullet1G"/>
        <w:tabs>
          <w:tab w:val="clear" w:pos="1701"/>
        </w:tabs>
        <w:ind w:left="2410"/>
        <w:rPr>
          <w:lang w:val="fr-FR"/>
        </w:rPr>
      </w:pPr>
      <w:r w:rsidRPr="00D62929">
        <w:rPr>
          <w:lang w:val="fr-FR"/>
        </w:rPr>
        <w:t xml:space="preserve">Pour la norme « EN 12245:2002 », dans la colonne 5), </w:t>
      </w:r>
      <w:r w:rsidR="0028261E">
        <w:rPr>
          <w:lang w:val="fr-FR"/>
        </w:rPr>
        <w:t>ajouter</w:t>
      </w:r>
      <w:r w:rsidRPr="00D62929">
        <w:rPr>
          <w:lang w:val="fr-FR"/>
        </w:rPr>
        <w:t xml:space="preserve"> «</w:t>
      </w:r>
      <w:r w:rsidR="003F3A96">
        <w:rPr>
          <w:lang w:val="fr-FR"/>
        </w:rPr>
        <w:t xml:space="preserve"> ; </w:t>
      </w:r>
      <w:r w:rsidRPr="00D62929">
        <w:rPr>
          <w:lang w:val="fr-FR"/>
        </w:rPr>
        <w:t>31 décembre 2023, pour les bouteilles pour GPL »</w:t>
      </w:r>
      <w:r w:rsidR="0006559A">
        <w:rPr>
          <w:lang w:val="fr-FR"/>
        </w:rPr>
        <w:t xml:space="preserve"> à la fin</w:t>
      </w:r>
      <w:r w:rsidRPr="00D62929">
        <w:rPr>
          <w:lang w:val="fr-FR"/>
        </w:rPr>
        <w:t>.</w:t>
      </w:r>
    </w:p>
    <w:p w14:paraId="031FB2EB" w14:textId="4C9C9A17" w:rsidR="009A123B" w:rsidRPr="00106436" w:rsidRDefault="009A123B" w:rsidP="00157A69">
      <w:pPr>
        <w:pStyle w:val="Bullet1G"/>
        <w:tabs>
          <w:tab w:val="clear" w:pos="1701"/>
        </w:tabs>
        <w:ind w:left="2410"/>
        <w:rPr>
          <w:lang w:val="fr-FR"/>
        </w:rPr>
      </w:pPr>
      <w:r w:rsidRPr="00106436">
        <w:rPr>
          <w:lang w:val="fr-FR"/>
        </w:rPr>
        <w:t>Pour la norme « EN 12245:2009 + A1:2011 », dans la colonne 2), numéroter le nota existant en tant que nota 1 et insérer le nouveau nota 2 suivant :</w:t>
      </w:r>
    </w:p>
    <w:p w14:paraId="721F99B7" w14:textId="183C095D" w:rsidR="009A123B" w:rsidRPr="00106436" w:rsidRDefault="009A123B" w:rsidP="00157A69">
      <w:pPr>
        <w:spacing w:after="120"/>
        <w:ind w:left="2410" w:right="1134" w:hanging="709"/>
        <w:jc w:val="both"/>
        <w:rPr>
          <w:lang w:val="fr-FR"/>
        </w:rPr>
      </w:pPr>
      <w:r w:rsidRPr="00106436">
        <w:rPr>
          <w:lang w:val="fr-FR"/>
        </w:rPr>
        <w:tab/>
        <w:t>« </w:t>
      </w:r>
      <w:r w:rsidRPr="00106436">
        <w:rPr>
          <w:b/>
          <w:bCs/>
          <w:i/>
          <w:iCs/>
          <w:lang w:val="fr-FR"/>
        </w:rPr>
        <w:t>NOTA 2 :</w:t>
      </w:r>
      <w:r w:rsidRPr="00106436">
        <w:rPr>
          <w:i/>
          <w:iCs/>
          <w:lang w:val="fr-FR"/>
        </w:rPr>
        <w:tab/>
        <w:t>Cette norme ne doit pas être utilisée pour les gaz classés comme GPL.</w:t>
      </w:r>
      <w:r w:rsidRPr="00106436">
        <w:rPr>
          <w:lang w:val="fr-FR"/>
        </w:rPr>
        <w:t> »</w:t>
      </w:r>
    </w:p>
    <w:p w14:paraId="4158F21A" w14:textId="667C0AC7" w:rsidR="009A123B" w:rsidRPr="006648D5" w:rsidRDefault="009A123B" w:rsidP="00157A69">
      <w:pPr>
        <w:pStyle w:val="Bullet1G"/>
        <w:tabs>
          <w:tab w:val="clear" w:pos="1701"/>
        </w:tabs>
        <w:ind w:left="2410"/>
        <w:rPr>
          <w:lang w:val="fr-FR"/>
        </w:rPr>
      </w:pPr>
      <w:r w:rsidRPr="006648D5">
        <w:rPr>
          <w:lang w:val="fr-FR"/>
        </w:rPr>
        <w:t xml:space="preserve">Pour la norme « EN 12245:2009 + A1:2011 », dans la colonne 5), </w:t>
      </w:r>
      <w:r w:rsidR="008D57D6">
        <w:rPr>
          <w:lang w:val="fr-FR"/>
        </w:rPr>
        <w:t>ajouter</w:t>
      </w:r>
      <w:r w:rsidRPr="006648D5">
        <w:rPr>
          <w:lang w:val="fr-FR"/>
        </w:rPr>
        <w:t xml:space="preserve"> «</w:t>
      </w:r>
      <w:r w:rsidR="003F3A96">
        <w:rPr>
          <w:lang w:val="fr-FR"/>
        </w:rPr>
        <w:t xml:space="preserve"> ; </w:t>
      </w:r>
      <w:r w:rsidRPr="006648D5">
        <w:rPr>
          <w:lang w:val="fr-FR"/>
        </w:rPr>
        <w:t>31 décembre 2023, pour les bouteilles pour GPL »</w:t>
      </w:r>
      <w:r w:rsidR="008D57D6">
        <w:rPr>
          <w:lang w:val="fr-FR"/>
        </w:rPr>
        <w:t xml:space="preserve"> à la fin</w:t>
      </w:r>
      <w:r w:rsidRPr="006648D5">
        <w:rPr>
          <w:lang w:val="fr-FR"/>
        </w:rPr>
        <w:t>.</w:t>
      </w:r>
    </w:p>
    <w:p w14:paraId="50D8817A" w14:textId="31B69307" w:rsidR="00CA3533" w:rsidRPr="00CA3533" w:rsidRDefault="00CA3533" w:rsidP="00157A69">
      <w:pPr>
        <w:pStyle w:val="Bullet1G"/>
        <w:tabs>
          <w:tab w:val="clear" w:pos="1701"/>
        </w:tabs>
        <w:ind w:left="2410"/>
        <w:rPr>
          <w:lang w:val="fr-FR"/>
        </w:rPr>
      </w:pPr>
      <w:r w:rsidRPr="00CA3533">
        <w:rPr>
          <w:lang w:val="fr-FR"/>
        </w:rPr>
        <w:t>Pour la norme « EN ISO 11118:2015 », dans la colonne 4), remplacer « Jusqu’à nouvel ordre » par « Entre le 1er janvier 2017 et le 31 décembre 2024 ».</w:t>
      </w:r>
    </w:p>
    <w:p w14:paraId="1CEC126B" w14:textId="7D40EC6E" w:rsidR="00CA3533" w:rsidRPr="00CA3533" w:rsidRDefault="00CA3533" w:rsidP="00157A69">
      <w:pPr>
        <w:pStyle w:val="Bullet1G"/>
        <w:tabs>
          <w:tab w:val="clear" w:pos="1701"/>
        </w:tabs>
        <w:ind w:left="2410"/>
        <w:rPr>
          <w:lang w:val="fr-FR"/>
        </w:rPr>
      </w:pPr>
      <w:r w:rsidRPr="00CA3533">
        <w:rPr>
          <w:lang w:val="fr-FR"/>
        </w:rPr>
        <w:t>Après la ligne pour la norme « EN ISO 11118:2015 », ajouter la nouvelle ligne suivante :</w:t>
      </w:r>
    </w:p>
    <w:tbl>
      <w:tblPr>
        <w:tblW w:w="816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4"/>
        <w:gridCol w:w="1012"/>
        <w:gridCol w:w="956"/>
        <w:gridCol w:w="664"/>
      </w:tblGrid>
      <w:tr w:rsidR="00CA3533" w:rsidRPr="00CA3533" w14:paraId="58D5CB3F" w14:textId="77777777" w:rsidTr="00D56820">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D465C29" w14:textId="77777777" w:rsidR="00CA3533" w:rsidRPr="00CA3533" w:rsidRDefault="00CA3533" w:rsidP="00CA3533">
            <w:pPr>
              <w:widowControl w:val="0"/>
              <w:ind w:right="282"/>
              <w:rPr>
                <w:rFonts w:eastAsia="DengXian"/>
                <w:bCs/>
                <w:lang w:val="fr-FR"/>
              </w:rPr>
            </w:pPr>
            <w:r w:rsidRPr="00CA3533">
              <w:rPr>
                <w:rFonts w:eastAsia="DengXian"/>
                <w:bCs/>
                <w:lang w:val="fr-FR"/>
              </w:rPr>
              <w:t>EN ISO 11118:2015 + A1:2020</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4A46FE" w14:textId="77777777" w:rsidR="00CA3533" w:rsidRPr="00CA3533" w:rsidRDefault="00CA3533" w:rsidP="00CA3533">
            <w:pPr>
              <w:widowControl w:val="0"/>
              <w:ind w:right="282"/>
              <w:rPr>
                <w:rFonts w:eastAsia="DengXian"/>
                <w:bCs/>
                <w:lang w:val="fr-FR"/>
              </w:rPr>
            </w:pPr>
            <w:r w:rsidRPr="00CA3533">
              <w:rPr>
                <w:rFonts w:eastAsia="DengXian"/>
                <w:bCs/>
                <w:lang w:val="fr-FR"/>
              </w:rPr>
              <w:t xml:space="preserve">Bouteilles à gaz - Bouteilles à gaz métalliques non rechargeables - </w:t>
            </w:r>
            <w:r w:rsidRPr="00CA3533">
              <w:rPr>
                <w:rFonts w:eastAsia="DengXian"/>
                <w:bCs/>
                <w:lang w:val="fr-FR"/>
              </w:rPr>
              <w:lastRenderedPageBreak/>
              <w:t>Spécifications et méthodes d'essai</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925DA8" w14:textId="77777777" w:rsidR="00CA3533" w:rsidRPr="00CA3533" w:rsidRDefault="00CA3533" w:rsidP="00CA3533">
            <w:pPr>
              <w:widowControl w:val="0"/>
              <w:ind w:right="282"/>
              <w:rPr>
                <w:rFonts w:eastAsia="DengXian"/>
                <w:bCs/>
                <w:lang w:val="fr-FR"/>
              </w:rPr>
            </w:pPr>
            <w:r w:rsidRPr="00CA3533">
              <w:rPr>
                <w:rFonts w:eastAsia="DengXian"/>
                <w:bCs/>
                <w:lang w:val="fr-FR"/>
              </w:rPr>
              <w:lastRenderedPageBreak/>
              <w:t xml:space="preserve">6.2.3.1, 6.2.3.3 </w:t>
            </w:r>
            <w:r w:rsidRPr="00CA3533">
              <w:rPr>
                <w:rFonts w:eastAsia="DengXian"/>
                <w:bCs/>
                <w:lang w:val="fr-FR"/>
              </w:rPr>
              <w:lastRenderedPageBreak/>
              <w:t>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D1FD8A2" w14:textId="77777777" w:rsidR="00CA3533" w:rsidRPr="00CA3533" w:rsidRDefault="00CA3533" w:rsidP="00CA3533">
            <w:pPr>
              <w:widowControl w:val="0"/>
              <w:ind w:right="-19"/>
              <w:jc w:val="center"/>
              <w:rPr>
                <w:rFonts w:eastAsia="DengXian"/>
                <w:bCs/>
                <w:lang w:val="fr-FR"/>
              </w:rPr>
            </w:pPr>
            <w:r w:rsidRPr="00CA3533">
              <w:rPr>
                <w:rFonts w:eastAsia="DengXian"/>
                <w:bCs/>
                <w:lang w:val="fr-FR"/>
              </w:rPr>
              <w:lastRenderedPageBreak/>
              <w:t xml:space="preserve">Jusqu’à nouvel </w:t>
            </w:r>
            <w:r w:rsidRPr="00CA3533">
              <w:rPr>
                <w:rFonts w:eastAsia="DengXian"/>
                <w:bCs/>
                <w:lang w:val="fr-FR"/>
              </w:rPr>
              <w:lastRenderedPageBreak/>
              <w:t>ordre</w:t>
            </w:r>
          </w:p>
        </w:tc>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C6C08D" w14:textId="77777777" w:rsidR="00CA3533" w:rsidRPr="00CA3533" w:rsidRDefault="00CA3533" w:rsidP="00CA3533">
            <w:pPr>
              <w:widowControl w:val="0"/>
              <w:ind w:right="282"/>
              <w:rPr>
                <w:rFonts w:eastAsia="DengXian"/>
                <w:bCs/>
                <w:lang w:val="fr-FR"/>
              </w:rPr>
            </w:pPr>
          </w:p>
        </w:tc>
      </w:tr>
    </w:tbl>
    <w:p w14:paraId="1CE30AA1" w14:textId="5CE8172D" w:rsidR="00CA3533" w:rsidRPr="00CA3533" w:rsidRDefault="00CA3533" w:rsidP="000E6BF6">
      <w:pPr>
        <w:pStyle w:val="Bullet1G"/>
        <w:tabs>
          <w:tab w:val="clear" w:pos="1701"/>
        </w:tabs>
        <w:spacing w:before="120"/>
        <w:ind w:left="2410"/>
        <w:rPr>
          <w:lang w:val="fr-FR"/>
        </w:rPr>
      </w:pPr>
      <w:r w:rsidRPr="00CA3533">
        <w:rPr>
          <w:lang w:val="fr-FR"/>
        </w:rPr>
        <w:t>Pour la norme « EN 14427:2004 + A1 :2005 », dans la colonne 5), insérer « 31 décembre 2023, pour les bouteilles sans liner constituées de deux pièces assemblées ».</w:t>
      </w:r>
    </w:p>
    <w:p w14:paraId="4D1B74B1" w14:textId="4ECE0DA3" w:rsidR="00CA3533" w:rsidRPr="00CA3533" w:rsidRDefault="00CA3533" w:rsidP="000E6BF6">
      <w:pPr>
        <w:pStyle w:val="Bullet1G"/>
        <w:tabs>
          <w:tab w:val="clear" w:pos="1701"/>
        </w:tabs>
        <w:ind w:left="2410"/>
        <w:rPr>
          <w:lang w:val="fr-FR"/>
        </w:rPr>
      </w:pPr>
      <w:r w:rsidRPr="00CA3533">
        <w:rPr>
          <w:lang w:val="fr-FR"/>
        </w:rPr>
        <w:t>Pour la norme « EN 14427:2014 », dans la colonne 2), insérer le nota suivant :</w:t>
      </w:r>
    </w:p>
    <w:p w14:paraId="3158789A" w14:textId="6C42ECAC" w:rsidR="00CA3533" w:rsidRPr="00CA3533" w:rsidRDefault="00CA3533" w:rsidP="000E6BF6">
      <w:pPr>
        <w:spacing w:after="120"/>
        <w:ind w:left="2410" w:right="1134" w:hanging="709"/>
        <w:jc w:val="both"/>
        <w:rPr>
          <w:lang w:val="fr-FR"/>
        </w:rPr>
      </w:pPr>
      <w:r w:rsidRPr="00CA3533">
        <w:rPr>
          <w:lang w:val="fr-FR"/>
        </w:rPr>
        <w:tab/>
        <w:t>« </w:t>
      </w:r>
      <w:r w:rsidRPr="00CA3533">
        <w:rPr>
          <w:b/>
          <w:bCs/>
          <w:i/>
          <w:iCs/>
          <w:lang w:val="fr-FR"/>
        </w:rPr>
        <w:t>NOTA :</w:t>
      </w:r>
      <w:r w:rsidRPr="00CA3533">
        <w:rPr>
          <w:i/>
          <w:iCs/>
          <w:lang w:val="fr-FR"/>
        </w:rPr>
        <w:tab/>
        <w:t>Cette norme ne doit pas être utilisée pour les bouteilles sans liner constituées de deux pièces assemblées.</w:t>
      </w:r>
      <w:r w:rsidRPr="00CA3533">
        <w:rPr>
          <w:lang w:val="fr-FR"/>
        </w:rPr>
        <w:t> »</w:t>
      </w:r>
    </w:p>
    <w:p w14:paraId="2A177EAB" w14:textId="66AD6980" w:rsidR="00CA3533" w:rsidRPr="00CA3533" w:rsidRDefault="00CA3533" w:rsidP="000E6BF6">
      <w:pPr>
        <w:pStyle w:val="Bullet1G"/>
        <w:tabs>
          <w:tab w:val="clear" w:pos="1701"/>
        </w:tabs>
        <w:ind w:left="2410"/>
        <w:rPr>
          <w:lang w:val="fr-FR"/>
        </w:rPr>
      </w:pPr>
      <w:r w:rsidRPr="00CA3533">
        <w:rPr>
          <w:lang w:val="fr-FR"/>
        </w:rPr>
        <w:t>Pour la norme « EN 14427:2014 », dans la colonne 5), insérer « 31 décembre 2023, pour les bouteilles sans liner constituées de deux pièces assemblées ».</w:t>
      </w:r>
    </w:p>
    <w:p w14:paraId="11E7B115" w14:textId="3036D138" w:rsidR="00CA3533" w:rsidRPr="00CA3533" w:rsidRDefault="00CA3533" w:rsidP="00D91EB0">
      <w:pPr>
        <w:pStyle w:val="Bullet1G"/>
        <w:tabs>
          <w:tab w:val="clear" w:pos="1701"/>
        </w:tabs>
        <w:ind w:left="2410"/>
        <w:rPr>
          <w:lang w:val="fr-FR"/>
        </w:rPr>
      </w:pPr>
      <w:r w:rsidRPr="00CA3533">
        <w:rPr>
          <w:lang w:val="fr-FR"/>
        </w:rPr>
        <w:t>Ajouter la nouvelle ligne suivante</w:t>
      </w:r>
      <w:r w:rsidR="001014B0">
        <w:rPr>
          <w:lang w:val="fr-FR"/>
        </w:rPr>
        <w:t xml:space="preserve"> à la fin</w:t>
      </w:r>
      <w:r w:rsidRPr="00CA3533">
        <w:rPr>
          <w:lang w:val="fr-FR"/>
        </w:rPr>
        <w:t>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CA3533" w:rsidRPr="00CA3533" w14:paraId="3B10AE16" w14:textId="77777777" w:rsidTr="00D56820">
        <w:tc>
          <w:tcPr>
            <w:tcW w:w="1701" w:type="dxa"/>
            <w:vAlign w:val="center"/>
          </w:tcPr>
          <w:p w14:paraId="744C7ABD" w14:textId="102F237D" w:rsidR="00CA3533" w:rsidRPr="00CA3533" w:rsidRDefault="00CA3533" w:rsidP="009C7583">
            <w:pPr>
              <w:widowControl w:val="0"/>
              <w:spacing w:before="60" w:after="60"/>
              <w:rPr>
                <w:lang w:val="fr-FR"/>
              </w:rPr>
            </w:pPr>
            <w:r w:rsidRPr="00CA3533">
              <w:rPr>
                <w:lang w:val="fr-FR"/>
              </w:rPr>
              <w:t>EN 17339:2020</w:t>
            </w:r>
          </w:p>
        </w:tc>
        <w:tc>
          <w:tcPr>
            <w:tcW w:w="3686" w:type="dxa"/>
          </w:tcPr>
          <w:p w14:paraId="350D97FA" w14:textId="77777777" w:rsidR="00CA3533" w:rsidRPr="00CA3533" w:rsidRDefault="00CA3533" w:rsidP="00CA3533">
            <w:pPr>
              <w:widowControl w:val="0"/>
              <w:spacing w:before="60" w:after="120"/>
              <w:rPr>
                <w:lang w:val="fr-FR"/>
              </w:rPr>
            </w:pPr>
            <w:r w:rsidRPr="00CA3533">
              <w:rPr>
                <w:lang w:val="fr-FR"/>
              </w:rPr>
              <w:t>Bouteilles à gaz transportables - Bouteilles et tubes entièrement bobinées en matériaux composites carbones pour l'hydrogène</w:t>
            </w:r>
          </w:p>
        </w:tc>
        <w:tc>
          <w:tcPr>
            <w:tcW w:w="1417" w:type="dxa"/>
            <w:vAlign w:val="center"/>
          </w:tcPr>
          <w:p w14:paraId="658C25D0" w14:textId="77777777" w:rsidR="00CA3533" w:rsidRPr="00CA3533" w:rsidRDefault="00CA3533" w:rsidP="00CA3533">
            <w:pPr>
              <w:widowControl w:val="0"/>
              <w:spacing w:before="60" w:after="60"/>
              <w:rPr>
                <w:lang w:val="fr-FR"/>
              </w:rPr>
            </w:pPr>
            <w:r w:rsidRPr="00CA3533">
              <w:rPr>
                <w:lang w:val="fr-FR"/>
              </w:rPr>
              <w:t>6.2.3.1 et 6.2.3.3</w:t>
            </w:r>
          </w:p>
        </w:tc>
        <w:tc>
          <w:tcPr>
            <w:tcW w:w="992" w:type="dxa"/>
            <w:vAlign w:val="center"/>
          </w:tcPr>
          <w:p w14:paraId="4C938E27" w14:textId="77777777" w:rsidR="00CA3533" w:rsidRPr="00CA3533" w:rsidRDefault="00CA3533" w:rsidP="00CA3533">
            <w:pPr>
              <w:widowControl w:val="0"/>
              <w:spacing w:before="60" w:after="60"/>
              <w:rPr>
                <w:lang w:val="fr-FR"/>
              </w:rPr>
            </w:pPr>
            <w:r w:rsidRPr="00CA3533">
              <w:rPr>
                <w:lang w:val="fr-FR"/>
              </w:rPr>
              <w:t>Jusqu’à nouvel ordre</w:t>
            </w:r>
          </w:p>
        </w:tc>
        <w:tc>
          <w:tcPr>
            <w:tcW w:w="851" w:type="dxa"/>
            <w:vAlign w:val="center"/>
          </w:tcPr>
          <w:p w14:paraId="53C15618" w14:textId="77777777" w:rsidR="00CA3533" w:rsidRPr="00CA3533" w:rsidRDefault="00CA3533" w:rsidP="00CA3533">
            <w:pPr>
              <w:widowControl w:val="0"/>
              <w:spacing w:before="60" w:after="60"/>
              <w:rPr>
                <w:lang w:val="fr-FR"/>
              </w:rPr>
            </w:pPr>
          </w:p>
        </w:tc>
      </w:tr>
    </w:tbl>
    <w:p w14:paraId="114DEBAA" w14:textId="5EBD3C17" w:rsidR="00443CBE" w:rsidRPr="00277774" w:rsidRDefault="00897EE6" w:rsidP="00897EE6">
      <w:pPr>
        <w:tabs>
          <w:tab w:val="left" w:pos="2268"/>
        </w:tabs>
        <w:spacing w:before="120" w:after="120"/>
        <w:ind w:left="2268" w:right="1134" w:hanging="1134"/>
        <w:jc w:val="both"/>
        <w:rPr>
          <w:rFonts w:eastAsiaTheme="minorHAnsi"/>
          <w:lang w:val="fr-FR" w:eastAsia="en-US"/>
        </w:rPr>
      </w:pPr>
      <w:r>
        <w:rPr>
          <w:rFonts w:eastAsiaTheme="minorHAnsi"/>
          <w:lang w:val="fr-FR" w:eastAsia="en-US"/>
        </w:rPr>
        <w:tab/>
      </w:r>
      <w:r w:rsidR="00443CBE" w:rsidRPr="00277774">
        <w:rPr>
          <w:rFonts w:eastAsiaTheme="minorHAnsi"/>
          <w:lang w:val="fr-FR" w:eastAsia="en-US"/>
        </w:rPr>
        <w:t>Sur la ligne du tableau qui précède directement la rubrique « EN 849:1996 (sauf annexe A) », remplacer « Pour les fermetures » par « Pour la conception et la fabrication des fermetures ».</w:t>
      </w:r>
    </w:p>
    <w:p w14:paraId="09F353E4" w14:textId="5836F2C6" w:rsidR="00CA3533" w:rsidRPr="00CA3533" w:rsidRDefault="00CA3533" w:rsidP="00CA3533">
      <w:pPr>
        <w:tabs>
          <w:tab w:val="left" w:pos="2268"/>
        </w:tabs>
        <w:spacing w:before="120" w:after="120"/>
        <w:ind w:left="2268" w:right="1134" w:hanging="1134"/>
        <w:jc w:val="both"/>
        <w:rPr>
          <w:lang w:val="fr-FR"/>
        </w:rPr>
      </w:pPr>
      <w:r w:rsidRPr="00CA3533">
        <w:rPr>
          <w:lang w:val="fr-FR"/>
        </w:rPr>
        <w:tab/>
        <w:t>Dans le tableau, sous « Pour la conception et la fabrication des fermetures » :</w:t>
      </w:r>
    </w:p>
    <w:p w14:paraId="53C547B7" w14:textId="44AA7FAB" w:rsidR="0053196A" w:rsidRPr="00CA3533" w:rsidRDefault="0053196A" w:rsidP="0053196A">
      <w:pPr>
        <w:numPr>
          <w:ilvl w:val="0"/>
          <w:numId w:val="1"/>
        </w:numPr>
        <w:tabs>
          <w:tab w:val="clear" w:pos="1701"/>
          <w:tab w:val="num" w:pos="2438"/>
        </w:tabs>
        <w:kinsoku/>
        <w:overflowPunct/>
        <w:autoSpaceDE/>
        <w:autoSpaceDN/>
        <w:adjustRightInd/>
        <w:snapToGrid/>
        <w:spacing w:before="120" w:after="120"/>
        <w:ind w:left="2438" w:right="1134"/>
        <w:jc w:val="both"/>
        <w:rPr>
          <w:lang w:val="fr-FR"/>
        </w:rPr>
      </w:pPr>
      <w:r w:rsidRPr="00CA3533">
        <w:rPr>
          <w:lang w:val="fr-FR"/>
        </w:rPr>
        <w:t>Pour « EN ISO 14245:2019 », dans la colonne 4), remplacer « Jusqu’à nouvel ordre » par « Entre le 1</w:t>
      </w:r>
      <w:r w:rsidRPr="00CA3533">
        <w:rPr>
          <w:vertAlign w:val="superscript"/>
          <w:lang w:val="fr-FR"/>
        </w:rPr>
        <w:t>er</w:t>
      </w:r>
      <w:r w:rsidRPr="00CA3533">
        <w:rPr>
          <w:lang w:val="fr-FR"/>
        </w:rPr>
        <w:t xml:space="preserve"> janvier 2021 et le 31 décembre 2024 ».</w:t>
      </w:r>
    </w:p>
    <w:p w14:paraId="525D148A" w14:textId="77777777" w:rsidR="0053196A" w:rsidRDefault="0053196A" w:rsidP="0053196A">
      <w:pPr>
        <w:numPr>
          <w:ilvl w:val="0"/>
          <w:numId w:val="1"/>
        </w:numPr>
        <w:tabs>
          <w:tab w:val="clear" w:pos="1701"/>
          <w:tab w:val="num" w:pos="2438"/>
        </w:tabs>
        <w:kinsoku/>
        <w:overflowPunct/>
        <w:autoSpaceDE/>
        <w:autoSpaceDN/>
        <w:adjustRightInd/>
        <w:snapToGrid/>
        <w:spacing w:before="120" w:after="120"/>
        <w:ind w:left="2438" w:right="1134"/>
        <w:jc w:val="both"/>
        <w:rPr>
          <w:lang w:val="fr-FR"/>
        </w:rPr>
      </w:pPr>
      <w:r w:rsidRPr="00CA3533">
        <w:rPr>
          <w:lang w:val="fr-FR"/>
        </w:rPr>
        <w:t>Après la rubrique existante pour la norme « EN ISO 14245:2019 », ajouter la nouvelle rubrique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A84CE4" w:rsidRPr="00CA3533" w14:paraId="0968B034" w14:textId="77777777" w:rsidTr="00AA054C">
        <w:tc>
          <w:tcPr>
            <w:tcW w:w="1701" w:type="dxa"/>
            <w:vAlign w:val="center"/>
          </w:tcPr>
          <w:p w14:paraId="6B9F3088" w14:textId="5887BB1E" w:rsidR="00A84CE4" w:rsidRPr="00CA3533" w:rsidRDefault="00A84CE4" w:rsidP="00AA054C">
            <w:pPr>
              <w:widowControl w:val="0"/>
              <w:spacing w:before="60" w:after="60"/>
              <w:rPr>
                <w:lang w:val="fr-FR"/>
              </w:rPr>
            </w:pPr>
            <w:r w:rsidRPr="00CA3533">
              <w:rPr>
                <w:lang w:val="fr-FR"/>
              </w:rPr>
              <w:t>EN ISO 14245:2021</w:t>
            </w:r>
          </w:p>
        </w:tc>
        <w:tc>
          <w:tcPr>
            <w:tcW w:w="3686" w:type="dxa"/>
          </w:tcPr>
          <w:p w14:paraId="5515C1CC" w14:textId="2205D502" w:rsidR="00A84CE4" w:rsidRPr="00CA3533" w:rsidRDefault="00A84CE4" w:rsidP="00AA054C">
            <w:pPr>
              <w:widowControl w:val="0"/>
              <w:spacing w:before="60" w:after="120"/>
              <w:rPr>
                <w:lang w:val="fr-FR"/>
              </w:rPr>
            </w:pPr>
            <w:r w:rsidRPr="00CA3533">
              <w:rPr>
                <w:lang w:val="fr-FR"/>
              </w:rPr>
              <w:t>Bouteilles à gaz - Spécifications et essais pour valves de bouteilles de GPL - Fermeture automatique</w:t>
            </w:r>
          </w:p>
        </w:tc>
        <w:tc>
          <w:tcPr>
            <w:tcW w:w="1417" w:type="dxa"/>
            <w:vAlign w:val="center"/>
          </w:tcPr>
          <w:p w14:paraId="3EB89AA2" w14:textId="4F817B40" w:rsidR="00A84CE4" w:rsidRPr="00CA3533" w:rsidRDefault="00A84CE4" w:rsidP="00AA054C">
            <w:pPr>
              <w:widowControl w:val="0"/>
              <w:spacing w:before="60" w:after="60"/>
              <w:rPr>
                <w:lang w:val="fr-FR"/>
              </w:rPr>
            </w:pPr>
            <w:r w:rsidRPr="00CA3533">
              <w:rPr>
                <w:lang w:val="fr-FR"/>
              </w:rPr>
              <w:t>6.2.3.1 et 6.2.3.3</w:t>
            </w:r>
          </w:p>
        </w:tc>
        <w:tc>
          <w:tcPr>
            <w:tcW w:w="992" w:type="dxa"/>
            <w:vAlign w:val="center"/>
          </w:tcPr>
          <w:p w14:paraId="4B11056E" w14:textId="4A5A0DEA" w:rsidR="00A84CE4" w:rsidRPr="00CA3533" w:rsidRDefault="00A84CE4" w:rsidP="00AA054C">
            <w:pPr>
              <w:widowControl w:val="0"/>
              <w:spacing w:before="60" w:after="60"/>
              <w:rPr>
                <w:lang w:val="fr-FR"/>
              </w:rPr>
            </w:pPr>
            <w:r w:rsidRPr="00CA3533">
              <w:rPr>
                <w:lang w:val="fr-FR"/>
              </w:rPr>
              <w:t>Jusqu’à nouvel ordre</w:t>
            </w:r>
          </w:p>
        </w:tc>
        <w:tc>
          <w:tcPr>
            <w:tcW w:w="851" w:type="dxa"/>
            <w:vAlign w:val="center"/>
          </w:tcPr>
          <w:p w14:paraId="670A18DC" w14:textId="77777777" w:rsidR="00A84CE4" w:rsidRPr="00CA3533" w:rsidRDefault="00A84CE4" w:rsidP="00AA054C">
            <w:pPr>
              <w:widowControl w:val="0"/>
              <w:spacing w:before="60" w:after="60"/>
              <w:rPr>
                <w:lang w:val="fr-FR"/>
              </w:rPr>
            </w:pPr>
          </w:p>
        </w:tc>
      </w:tr>
    </w:tbl>
    <w:p w14:paraId="5466096F" w14:textId="5BF0A1D4" w:rsidR="001D10B9" w:rsidRPr="00CA3533" w:rsidRDefault="001D10B9" w:rsidP="001D10B9">
      <w:pPr>
        <w:numPr>
          <w:ilvl w:val="0"/>
          <w:numId w:val="1"/>
        </w:numPr>
        <w:tabs>
          <w:tab w:val="clear" w:pos="1701"/>
          <w:tab w:val="num" w:pos="2438"/>
        </w:tabs>
        <w:kinsoku/>
        <w:overflowPunct/>
        <w:autoSpaceDE/>
        <w:autoSpaceDN/>
        <w:adjustRightInd/>
        <w:snapToGrid/>
        <w:spacing w:before="120" w:after="120"/>
        <w:ind w:left="2438" w:right="1134"/>
        <w:jc w:val="both"/>
        <w:rPr>
          <w:lang w:val="fr-FR"/>
        </w:rPr>
      </w:pPr>
      <w:r w:rsidRPr="00CA3533">
        <w:rPr>
          <w:lang w:val="fr-FR"/>
        </w:rPr>
        <w:t>Pour « EN ISO 15995:2019 », dans la colonne 4), remplacer « Jusqu’à nouvel ordre » par « Entre le 1</w:t>
      </w:r>
      <w:r w:rsidRPr="00CA3533">
        <w:rPr>
          <w:vertAlign w:val="superscript"/>
          <w:lang w:val="fr-FR"/>
        </w:rPr>
        <w:t>er</w:t>
      </w:r>
      <w:r w:rsidRPr="00CA3533">
        <w:rPr>
          <w:lang w:val="fr-FR"/>
        </w:rPr>
        <w:t xml:space="preserve"> janvier 2021 et le 31 décembre 2024 ».</w:t>
      </w:r>
    </w:p>
    <w:p w14:paraId="6984BD6A" w14:textId="77777777" w:rsidR="001D10B9" w:rsidRDefault="001D10B9" w:rsidP="001D10B9">
      <w:pPr>
        <w:numPr>
          <w:ilvl w:val="0"/>
          <w:numId w:val="1"/>
        </w:numPr>
        <w:tabs>
          <w:tab w:val="clear" w:pos="1701"/>
          <w:tab w:val="num" w:pos="2438"/>
        </w:tabs>
        <w:kinsoku/>
        <w:overflowPunct/>
        <w:autoSpaceDE/>
        <w:autoSpaceDN/>
        <w:adjustRightInd/>
        <w:snapToGrid/>
        <w:spacing w:before="120" w:after="120"/>
        <w:ind w:left="2438" w:right="1134"/>
        <w:jc w:val="both"/>
        <w:rPr>
          <w:lang w:val="fr-FR"/>
        </w:rPr>
      </w:pPr>
      <w:r w:rsidRPr="00CA3533">
        <w:rPr>
          <w:lang w:val="fr-FR"/>
        </w:rPr>
        <w:t>Après la rubrique existante pour la norme « EN ISO 15995:2019 », ajouter la nouvelle rubrique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F25221" w:rsidRPr="00CA3533" w14:paraId="082512AE" w14:textId="77777777" w:rsidTr="00AA054C">
        <w:tc>
          <w:tcPr>
            <w:tcW w:w="1701" w:type="dxa"/>
            <w:vAlign w:val="center"/>
          </w:tcPr>
          <w:p w14:paraId="00735D1B" w14:textId="2FE15EC1" w:rsidR="00F25221" w:rsidRPr="00CA3533" w:rsidRDefault="00F25221" w:rsidP="00AA054C">
            <w:pPr>
              <w:widowControl w:val="0"/>
              <w:spacing w:before="60" w:after="60"/>
              <w:rPr>
                <w:lang w:val="fr-FR"/>
              </w:rPr>
            </w:pPr>
            <w:r w:rsidRPr="00F25221">
              <w:rPr>
                <w:lang w:val="fr-FR"/>
              </w:rPr>
              <w:t>EN ISO 15995:2021</w:t>
            </w:r>
          </w:p>
        </w:tc>
        <w:tc>
          <w:tcPr>
            <w:tcW w:w="3686" w:type="dxa"/>
          </w:tcPr>
          <w:p w14:paraId="64C79685" w14:textId="5AFFE657" w:rsidR="00F25221" w:rsidRPr="00CA3533" w:rsidRDefault="00F25221" w:rsidP="00AA054C">
            <w:pPr>
              <w:widowControl w:val="0"/>
              <w:spacing w:before="60" w:after="120"/>
              <w:rPr>
                <w:lang w:val="fr-FR"/>
              </w:rPr>
            </w:pPr>
            <w:r w:rsidRPr="00CA3533">
              <w:rPr>
                <w:lang w:val="fr-FR"/>
              </w:rPr>
              <w:t>Bouteilles à gaz - Spécifications et essais pour valves de bouteilles de GPL - Fermeture manuelle</w:t>
            </w:r>
          </w:p>
        </w:tc>
        <w:tc>
          <w:tcPr>
            <w:tcW w:w="1417" w:type="dxa"/>
            <w:vAlign w:val="center"/>
          </w:tcPr>
          <w:p w14:paraId="57E6519F" w14:textId="33180C3C" w:rsidR="00F25221" w:rsidRPr="00CA3533" w:rsidRDefault="00F25221" w:rsidP="00AA054C">
            <w:pPr>
              <w:widowControl w:val="0"/>
              <w:spacing w:before="60" w:after="60"/>
              <w:rPr>
                <w:lang w:val="fr-FR"/>
              </w:rPr>
            </w:pPr>
            <w:r w:rsidRPr="00CA3533">
              <w:rPr>
                <w:lang w:val="fr-FR"/>
              </w:rPr>
              <w:t>6.2.3.1 et 6.2.3.3</w:t>
            </w:r>
          </w:p>
        </w:tc>
        <w:tc>
          <w:tcPr>
            <w:tcW w:w="992" w:type="dxa"/>
            <w:vAlign w:val="center"/>
          </w:tcPr>
          <w:p w14:paraId="39D615E2" w14:textId="7715890F" w:rsidR="00F25221" w:rsidRPr="00CA3533" w:rsidRDefault="00F25221" w:rsidP="00AA054C">
            <w:pPr>
              <w:widowControl w:val="0"/>
              <w:spacing w:before="60" w:after="60"/>
              <w:rPr>
                <w:lang w:val="fr-FR"/>
              </w:rPr>
            </w:pPr>
            <w:r w:rsidRPr="00CA3533">
              <w:rPr>
                <w:lang w:val="fr-FR"/>
              </w:rPr>
              <w:t>Jusqu’à nouvel ordre</w:t>
            </w:r>
          </w:p>
        </w:tc>
        <w:tc>
          <w:tcPr>
            <w:tcW w:w="851" w:type="dxa"/>
            <w:vAlign w:val="center"/>
          </w:tcPr>
          <w:p w14:paraId="65123FC3" w14:textId="77777777" w:rsidR="00F25221" w:rsidRPr="00CA3533" w:rsidRDefault="00F25221" w:rsidP="00AA054C">
            <w:pPr>
              <w:widowControl w:val="0"/>
              <w:spacing w:before="60" w:after="60"/>
              <w:rPr>
                <w:lang w:val="fr-FR"/>
              </w:rPr>
            </w:pPr>
          </w:p>
        </w:tc>
      </w:tr>
    </w:tbl>
    <w:p w14:paraId="56E619C2" w14:textId="77777777" w:rsidR="00CA3533" w:rsidRPr="00CA3533" w:rsidRDefault="00CA3533" w:rsidP="004A4865">
      <w:pPr>
        <w:numPr>
          <w:ilvl w:val="0"/>
          <w:numId w:val="9"/>
        </w:numPr>
        <w:kinsoku/>
        <w:overflowPunct/>
        <w:autoSpaceDE/>
        <w:autoSpaceDN/>
        <w:adjustRightInd/>
        <w:snapToGrid/>
        <w:spacing w:before="120" w:after="120"/>
        <w:ind w:left="2410" w:right="1134" w:hanging="142"/>
        <w:jc w:val="both"/>
        <w:rPr>
          <w:lang w:val="fr-FR"/>
        </w:rPr>
      </w:pPr>
      <w:r w:rsidRPr="00CA3533">
        <w:rPr>
          <w:lang w:val="fr-FR"/>
        </w:rPr>
        <w:t xml:space="preserve">Pour « EN 13175:2019 (sauf article 6.1.6) », dans la colonne 4), </w:t>
      </w:r>
      <w:r w:rsidRPr="00CA3533">
        <w:rPr>
          <w:bCs/>
          <w:lang w:val="fr-FR"/>
        </w:rPr>
        <w:t>remplacer</w:t>
      </w:r>
      <w:r w:rsidRPr="00CA3533">
        <w:rPr>
          <w:lang w:val="fr-FR"/>
        </w:rPr>
        <w:t xml:space="preserve"> « Jusqu’à nouvel ordre » par « Entre le 1er janvier 2021 et le 31 décembre 2024 ». Après la ligne pour « EN 13175:2019 (sauf article 6.1.6) », ajouter la ligne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CA3533" w:rsidRPr="00CA3533" w14:paraId="258640EC" w14:textId="77777777" w:rsidTr="00D56820">
        <w:tc>
          <w:tcPr>
            <w:tcW w:w="1701" w:type="dxa"/>
            <w:vAlign w:val="center"/>
          </w:tcPr>
          <w:p w14:paraId="54770FB3" w14:textId="77777777" w:rsidR="00CA3533" w:rsidRPr="00CA3533" w:rsidRDefault="00CA3533" w:rsidP="00CA3533">
            <w:pPr>
              <w:widowControl w:val="0"/>
              <w:spacing w:before="60" w:after="60"/>
              <w:rPr>
                <w:lang w:val="fr-FR"/>
              </w:rPr>
            </w:pPr>
            <w:r w:rsidRPr="00CA3533">
              <w:rPr>
                <w:lang w:val="fr-FR"/>
              </w:rPr>
              <w:t>EN 13175:2019 + A1:2020</w:t>
            </w:r>
          </w:p>
        </w:tc>
        <w:tc>
          <w:tcPr>
            <w:tcW w:w="3686" w:type="dxa"/>
          </w:tcPr>
          <w:p w14:paraId="76A23944" w14:textId="77777777" w:rsidR="00CA3533" w:rsidRPr="00CA3533" w:rsidRDefault="00CA3533" w:rsidP="00CA3533">
            <w:pPr>
              <w:widowControl w:val="0"/>
              <w:spacing w:before="60" w:after="120"/>
              <w:rPr>
                <w:lang w:val="fr-FR"/>
              </w:rPr>
            </w:pPr>
            <w:r w:rsidRPr="00CA3533">
              <w:rPr>
                <w:lang w:val="fr-FR"/>
              </w:rPr>
              <w:t>Équipements pour GPL et leurs accessoires - Spécifications et essais des équipements et accessoires des réservoirs pour gaz de pétrole liquéfié</w:t>
            </w:r>
          </w:p>
        </w:tc>
        <w:tc>
          <w:tcPr>
            <w:tcW w:w="1417" w:type="dxa"/>
            <w:vAlign w:val="center"/>
          </w:tcPr>
          <w:p w14:paraId="487BCD7B" w14:textId="77777777" w:rsidR="00CA3533" w:rsidRPr="00CA3533" w:rsidRDefault="00CA3533" w:rsidP="00CA3533">
            <w:pPr>
              <w:widowControl w:val="0"/>
              <w:spacing w:before="60" w:after="60"/>
              <w:rPr>
                <w:lang w:val="fr-FR"/>
              </w:rPr>
            </w:pPr>
            <w:r w:rsidRPr="00CA3533">
              <w:rPr>
                <w:lang w:val="fr-FR"/>
              </w:rPr>
              <w:t>6.2.3.1 et 6.2.3.3</w:t>
            </w:r>
          </w:p>
        </w:tc>
        <w:tc>
          <w:tcPr>
            <w:tcW w:w="992" w:type="dxa"/>
            <w:vAlign w:val="center"/>
          </w:tcPr>
          <w:p w14:paraId="5086B130" w14:textId="77777777" w:rsidR="00CA3533" w:rsidRPr="00CA3533" w:rsidRDefault="00CA3533" w:rsidP="00CA3533">
            <w:pPr>
              <w:widowControl w:val="0"/>
              <w:spacing w:before="60" w:after="60"/>
              <w:rPr>
                <w:lang w:val="fr-FR"/>
              </w:rPr>
            </w:pPr>
            <w:r w:rsidRPr="00CA3533">
              <w:rPr>
                <w:lang w:val="fr-FR"/>
              </w:rPr>
              <w:t>Jusqu’à nouvel ordre</w:t>
            </w:r>
          </w:p>
        </w:tc>
        <w:tc>
          <w:tcPr>
            <w:tcW w:w="851" w:type="dxa"/>
            <w:vAlign w:val="center"/>
          </w:tcPr>
          <w:p w14:paraId="5A485F8B" w14:textId="77777777" w:rsidR="00CA3533" w:rsidRPr="00CA3533" w:rsidRDefault="00CA3533" w:rsidP="00CA3533">
            <w:pPr>
              <w:widowControl w:val="0"/>
              <w:spacing w:before="60" w:after="60"/>
              <w:rPr>
                <w:lang w:val="fr-FR"/>
              </w:rPr>
            </w:pPr>
          </w:p>
        </w:tc>
      </w:tr>
    </w:tbl>
    <w:p w14:paraId="2A756704" w14:textId="77777777" w:rsidR="00CA3533" w:rsidRPr="00CA3533" w:rsidRDefault="00CA3533" w:rsidP="004A4865">
      <w:pPr>
        <w:numPr>
          <w:ilvl w:val="0"/>
          <w:numId w:val="9"/>
        </w:numPr>
        <w:kinsoku/>
        <w:overflowPunct/>
        <w:autoSpaceDE/>
        <w:autoSpaceDN/>
        <w:adjustRightInd/>
        <w:snapToGrid/>
        <w:spacing w:before="120" w:after="120"/>
        <w:ind w:left="2410" w:right="1134" w:hanging="142"/>
        <w:jc w:val="both"/>
        <w:rPr>
          <w:lang w:val="fr-FR"/>
        </w:rPr>
      </w:pPr>
      <w:r w:rsidRPr="00CA3533">
        <w:rPr>
          <w:lang w:val="fr-FR"/>
        </w:rPr>
        <w:t xml:space="preserve">Pour « EN 13953:2015 », dans la colonne 4), </w:t>
      </w:r>
      <w:r w:rsidRPr="00CA3533">
        <w:rPr>
          <w:bCs/>
          <w:lang w:val="fr-FR"/>
        </w:rPr>
        <w:t>remplacer</w:t>
      </w:r>
      <w:r w:rsidRPr="00CA3533">
        <w:rPr>
          <w:lang w:val="fr-FR"/>
        </w:rPr>
        <w:t xml:space="preserve"> « Jusqu’à nouvel ordre » par « Entre le 1er janvier 2017 et le 31 décembre 2024 ». Après la ligne pour « EN 13953:2015 », ajouter la ligne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CA3533" w:rsidRPr="00CA3533" w14:paraId="44E84377" w14:textId="77777777" w:rsidTr="00F25221">
        <w:trPr>
          <w:cantSplit/>
        </w:trPr>
        <w:tc>
          <w:tcPr>
            <w:tcW w:w="1701" w:type="dxa"/>
            <w:vAlign w:val="center"/>
          </w:tcPr>
          <w:p w14:paraId="74FDD0A7" w14:textId="77777777" w:rsidR="00CA3533" w:rsidRPr="00CA3533" w:rsidRDefault="00CA3533" w:rsidP="00CA3533">
            <w:pPr>
              <w:widowControl w:val="0"/>
              <w:spacing w:before="60" w:after="60"/>
              <w:rPr>
                <w:lang w:val="fr-FR"/>
              </w:rPr>
            </w:pPr>
            <w:r w:rsidRPr="00CA3533">
              <w:rPr>
                <w:lang w:val="fr-FR"/>
              </w:rPr>
              <w:lastRenderedPageBreak/>
              <w:t>EN 13953:2020</w:t>
            </w:r>
          </w:p>
        </w:tc>
        <w:tc>
          <w:tcPr>
            <w:tcW w:w="3686" w:type="dxa"/>
          </w:tcPr>
          <w:p w14:paraId="483A8C74" w14:textId="77777777" w:rsidR="00CA3533" w:rsidRPr="00CA3533" w:rsidRDefault="00CA3533" w:rsidP="00CA3533">
            <w:pPr>
              <w:widowControl w:val="0"/>
              <w:spacing w:before="60" w:after="120"/>
              <w:rPr>
                <w:lang w:val="fr-FR"/>
              </w:rPr>
            </w:pPr>
            <w:r w:rsidRPr="00CA3533">
              <w:rPr>
                <w:lang w:val="fr-FR"/>
              </w:rPr>
              <w:t>Équipements et accessoires GPL - Soupapes de sécurité des bouteilles transportables et rechargeables pour gaz de pétrole liquéfiés (GPL)</w:t>
            </w:r>
          </w:p>
        </w:tc>
        <w:tc>
          <w:tcPr>
            <w:tcW w:w="1417" w:type="dxa"/>
            <w:vAlign w:val="center"/>
          </w:tcPr>
          <w:p w14:paraId="092B2CAA" w14:textId="77777777" w:rsidR="00CA3533" w:rsidRPr="00CA3533" w:rsidRDefault="00CA3533" w:rsidP="00CA3533">
            <w:pPr>
              <w:widowControl w:val="0"/>
              <w:spacing w:before="60" w:after="60"/>
              <w:rPr>
                <w:lang w:val="fr-FR"/>
              </w:rPr>
            </w:pPr>
            <w:r w:rsidRPr="00CA3533">
              <w:rPr>
                <w:lang w:val="fr-FR"/>
              </w:rPr>
              <w:t>6.2.3.1, 6.2.3.3 et 6.2.3.4</w:t>
            </w:r>
          </w:p>
        </w:tc>
        <w:tc>
          <w:tcPr>
            <w:tcW w:w="992" w:type="dxa"/>
            <w:vAlign w:val="center"/>
          </w:tcPr>
          <w:p w14:paraId="585D2629" w14:textId="77777777" w:rsidR="00CA3533" w:rsidRPr="00CA3533" w:rsidRDefault="00CA3533" w:rsidP="00CA3533">
            <w:pPr>
              <w:widowControl w:val="0"/>
              <w:spacing w:before="60" w:after="60"/>
              <w:rPr>
                <w:lang w:val="fr-FR"/>
              </w:rPr>
            </w:pPr>
            <w:r w:rsidRPr="00CA3533">
              <w:rPr>
                <w:lang w:val="fr-FR"/>
              </w:rPr>
              <w:t>Jusqu’à nouvel ordre</w:t>
            </w:r>
          </w:p>
        </w:tc>
        <w:tc>
          <w:tcPr>
            <w:tcW w:w="851" w:type="dxa"/>
            <w:vAlign w:val="center"/>
          </w:tcPr>
          <w:p w14:paraId="088DD9C6" w14:textId="77777777" w:rsidR="00CA3533" w:rsidRPr="00CA3533" w:rsidRDefault="00CA3533" w:rsidP="00CA3533">
            <w:pPr>
              <w:widowControl w:val="0"/>
              <w:spacing w:before="60" w:after="60"/>
              <w:rPr>
                <w:lang w:val="fr-FR"/>
              </w:rPr>
            </w:pPr>
          </w:p>
        </w:tc>
      </w:tr>
    </w:tbl>
    <w:p w14:paraId="46A7B1FA" w14:textId="36BE002A" w:rsidR="00B34CE9" w:rsidRDefault="00B34CE9" w:rsidP="000E47A3">
      <w:pPr>
        <w:pStyle w:val="SingleTxtG"/>
        <w:spacing w:before="120"/>
        <w:ind w:left="2268" w:hanging="1134"/>
        <w:rPr>
          <w:lang w:val="fr-FR"/>
        </w:rPr>
      </w:pPr>
      <w:r w:rsidRPr="00476248">
        <w:rPr>
          <w:lang w:val="fr-FR"/>
        </w:rPr>
        <w:t>6.</w:t>
      </w:r>
      <w:r>
        <w:rPr>
          <w:lang w:val="fr-FR"/>
        </w:rPr>
        <w:t>2.4.2</w:t>
      </w:r>
      <w:r w:rsidRPr="00476248">
        <w:rPr>
          <w:lang w:val="fr-FR"/>
        </w:rPr>
        <w:tab/>
      </w:r>
      <w:r>
        <w:rPr>
          <w:lang w:val="fr-FR"/>
        </w:rPr>
        <w:t>Dans le quatrième paragraphe</w:t>
      </w:r>
      <w:r w:rsidR="00E02E9D">
        <w:rPr>
          <w:lang w:val="fr-FR"/>
        </w:rPr>
        <w:t xml:space="preserve"> sous le titre</w:t>
      </w:r>
      <w:r>
        <w:rPr>
          <w:lang w:val="fr-FR"/>
        </w:rPr>
        <w:t>, au début, ajouter « </w:t>
      </w:r>
      <w:r w:rsidRPr="00282239">
        <w:rPr>
          <w:lang w:val="fr-FR"/>
        </w:rPr>
        <w:t>Les normes doivent être appliquées en totalité à moins qu’il n’en soit spécifié autrement dans le tableau ci-dessous.</w:t>
      </w:r>
      <w:r>
        <w:rPr>
          <w:lang w:val="fr-FR"/>
        </w:rPr>
        <w:t> ». Dans la phrase existante, supprimer « </w:t>
      </w:r>
      <w:r w:rsidRPr="00FE57D6">
        <w:rPr>
          <w:lang w:val="fr-FR"/>
        </w:rPr>
        <w:t>, mais dans sa totalité à moins qu’il n’en soit spécifié autrement dans le tableau ci-dessous</w:t>
      </w:r>
      <w:r>
        <w:rPr>
          <w:lang w:val="fr-FR"/>
        </w:rPr>
        <w:t> ».</w:t>
      </w:r>
    </w:p>
    <w:p w14:paraId="5DE35460" w14:textId="5C737D52" w:rsidR="00CA3533" w:rsidRPr="00CE0A76" w:rsidRDefault="00CA3533" w:rsidP="00CA3533">
      <w:pPr>
        <w:spacing w:before="120" w:after="120"/>
        <w:ind w:left="2268" w:right="1134" w:hanging="1134"/>
        <w:jc w:val="both"/>
        <w:rPr>
          <w:rFonts w:eastAsiaTheme="minorHAnsi"/>
          <w:lang w:val="fr-FR" w:eastAsia="en-US"/>
        </w:rPr>
      </w:pPr>
      <w:r w:rsidRPr="00CA3533">
        <w:rPr>
          <w:rFonts w:eastAsiaTheme="minorHAnsi"/>
          <w:lang w:val="fr-FR" w:eastAsia="en-US"/>
        </w:rPr>
        <w:tab/>
      </w:r>
      <w:r w:rsidRPr="00CE0A76">
        <w:rPr>
          <w:rFonts w:eastAsiaTheme="minorHAnsi"/>
          <w:lang w:val="fr-FR" w:eastAsia="en-US"/>
        </w:rPr>
        <w:tab/>
        <w:t>Supprimer la troisième ligne du tableau (qui suit les deux lignes d’en-tête), y compris la mention « Pour les contrôles et épreuves périodiques ».</w:t>
      </w:r>
    </w:p>
    <w:p w14:paraId="37817DA3" w14:textId="1A22C776" w:rsidR="00CA3533" w:rsidRPr="00CA3533" w:rsidRDefault="00CA3533" w:rsidP="00CA3533">
      <w:pPr>
        <w:tabs>
          <w:tab w:val="left" w:pos="2268"/>
        </w:tabs>
        <w:spacing w:before="120" w:after="120"/>
        <w:ind w:left="1134" w:right="1134"/>
        <w:jc w:val="both"/>
        <w:rPr>
          <w:lang w:val="fr-FR"/>
        </w:rPr>
      </w:pPr>
      <w:r w:rsidRPr="00CA3533">
        <w:rPr>
          <w:lang w:val="fr-FR"/>
        </w:rPr>
        <w:tab/>
        <w:t>Dans le tableau :</w:t>
      </w:r>
    </w:p>
    <w:p w14:paraId="7DBD9F44" w14:textId="03F84DE0" w:rsidR="00CA3533" w:rsidRPr="00CA3533" w:rsidRDefault="00CA3533" w:rsidP="00CA3533">
      <w:pPr>
        <w:numPr>
          <w:ilvl w:val="0"/>
          <w:numId w:val="1"/>
        </w:numPr>
        <w:tabs>
          <w:tab w:val="clear" w:pos="1701"/>
          <w:tab w:val="num" w:pos="2438"/>
        </w:tabs>
        <w:kinsoku/>
        <w:overflowPunct/>
        <w:autoSpaceDE/>
        <w:autoSpaceDN/>
        <w:adjustRightInd/>
        <w:snapToGrid/>
        <w:spacing w:before="120" w:after="120"/>
        <w:ind w:left="2438" w:right="1134"/>
        <w:jc w:val="both"/>
        <w:rPr>
          <w:lang w:val="fr-FR"/>
        </w:rPr>
      </w:pPr>
      <w:r w:rsidRPr="00CA3533">
        <w:rPr>
          <w:lang w:val="fr-FR"/>
        </w:rPr>
        <w:t>Pour « EN 14876:2007 », dans la colonne 3), remplacer « Jusqu’à nouvel ordre » par « Jusqu’au 31 décembre 2024 ».</w:t>
      </w:r>
    </w:p>
    <w:p w14:paraId="6E93F7B9" w14:textId="77777777" w:rsidR="00CA3533" w:rsidRPr="00CA3533" w:rsidRDefault="00CA3533" w:rsidP="00CA3533">
      <w:pPr>
        <w:numPr>
          <w:ilvl w:val="0"/>
          <w:numId w:val="1"/>
        </w:numPr>
        <w:tabs>
          <w:tab w:val="clear" w:pos="1701"/>
          <w:tab w:val="num" w:pos="2438"/>
        </w:tabs>
        <w:kinsoku/>
        <w:overflowPunct/>
        <w:autoSpaceDE/>
        <w:autoSpaceDN/>
        <w:adjustRightInd/>
        <w:snapToGrid/>
        <w:spacing w:before="120" w:after="120"/>
        <w:ind w:left="2438" w:right="1134"/>
        <w:jc w:val="both"/>
        <w:rPr>
          <w:lang w:val="fr-FR"/>
        </w:rPr>
      </w:pPr>
      <w:r w:rsidRPr="00CA3533">
        <w:rPr>
          <w:lang w:val="fr-FR"/>
        </w:rPr>
        <w:t>Après la rubrique existante pour la norme « EN 14876:2007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5429"/>
        <w:gridCol w:w="1719"/>
      </w:tblGrid>
      <w:tr w:rsidR="00CA3533" w:rsidRPr="00CA3533" w14:paraId="662AB938" w14:textId="77777777" w:rsidTr="00D56820">
        <w:trPr>
          <w:cantSplit/>
        </w:trPr>
        <w:tc>
          <w:tcPr>
            <w:tcW w:w="1357" w:type="dxa"/>
          </w:tcPr>
          <w:p w14:paraId="3D937682" w14:textId="77777777" w:rsidR="00CA3533" w:rsidRPr="00CA3533" w:rsidRDefault="00CA3533" w:rsidP="00CA3533">
            <w:pPr>
              <w:widowControl w:val="0"/>
              <w:spacing w:before="40" w:after="40"/>
              <w:ind w:left="57" w:right="57"/>
              <w:rPr>
                <w:lang w:val="fr-FR"/>
              </w:rPr>
            </w:pPr>
            <w:r w:rsidRPr="00CA3533">
              <w:rPr>
                <w:lang w:val="fr-FR"/>
              </w:rPr>
              <w:t>EN ISO 23088:2020</w:t>
            </w:r>
          </w:p>
        </w:tc>
        <w:tc>
          <w:tcPr>
            <w:tcW w:w="5429" w:type="dxa"/>
          </w:tcPr>
          <w:p w14:paraId="5D362E45" w14:textId="77777777" w:rsidR="00CA3533" w:rsidRPr="00CA3533" w:rsidRDefault="00CA3533" w:rsidP="00CA3533">
            <w:pPr>
              <w:widowControl w:val="0"/>
              <w:spacing w:before="40" w:after="40"/>
              <w:ind w:left="57" w:right="57"/>
              <w:rPr>
                <w:lang w:val="fr-FR"/>
              </w:rPr>
            </w:pPr>
            <w:r w:rsidRPr="00CA3533">
              <w:rPr>
                <w:lang w:val="fr-FR"/>
              </w:rPr>
              <w:t>Bouteilles à gaz - Contrôles et essais périodiques des fûts à pression soudés en acier - Capacité inférieure ou égale à 1 000 </w:t>
            </w:r>
            <w:r w:rsidRPr="00CA3533">
              <w:rPr>
                <w:i/>
                <w:iCs/>
                <w:lang w:val="fr-FR"/>
              </w:rPr>
              <w:t>l</w:t>
            </w:r>
          </w:p>
        </w:tc>
        <w:tc>
          <w:tcPr>
            <w:tcW w:w="1719" w:type="dxa"/>
          </w:tcPr>
          <w:p w14:paraId="0299ED21" w14:textId="77777777" w:rsidR="00CA3533" w:rsidRPr="00CA3533" w:rsidRDefault="00CA3533" w:rsidP="00CA3533">
            <w:pPr>
              <w:widowControl w:val="0"/>
              <w:spacing w:before="40" w:after="40"/>
              <w:ind w:left="57" w:right="57"/>
              <w:rPr>
                <w:lang w:val="fr-FR"/>
              </w:rPr>
            </w:pPr>
            <w:r w:rsidRPr="00CA3533">
              <w:rPr>
                <w:lang w:val="fr-FR"/>
              </w:rPr>
              <w:t>Obligatoirement à partir du 1er janvier 2025</w:t>
            </w:r>
          </w:p>
        </w:tc>
      </w:tr>
    </w:tbl>
    <w:p w14:paraId="101075F6" w14:textId="67D036A8" w:rsidR="00CA3533" w:rsidRPr="00CA3533" w:rsidRDefault="00CA3533" w:rsidP="00CA3533">
      <w:pPr>
        <w:numPr>
          <w:ilvl w:val="0"/>
          <w:numId w:val="1"/>
        </w:numPr>
        <w:tabs>
          <w:tab w:val="clear" w:pos="1701"/>
          <w:tab w:val="num" w:pos="2438"/>
        </w:tabs>
        <w:kinsoku/>
        <w:overflowPunct/>
        <w:autoSpaceDE/>
        <w:autoSpaceDN/>
        <w:adjustRightInd/>
        <w:snapToGrid/>
        <w:spacing w:before="120" w:after="120"/>
        <w:ind w:left="2438" w:right="1134"/>
        <w:jc w:val="both"/>
        <w:rPr>
          <w:lang w:val="fr-FR"/>
        </w:rPr>
      </w:pPr>
      <w:r w:rsidRPr="00CA3533">
        <w:rPr>
          <w:lang w:val="fr-FR"/>
        </w:rPr>
        <w:t>Pour « EN 15888:2014 », dans la colonne 3), remplacer « Jusqu’à nouvel ordre » par « Jusqu’au 31 décembre 2024 ».</w:t>
      </w:r>
    </w:p>
    <w:p w14:paraId="628A15F6" w14:textId="77777777" w:rsidR="00CA3533" w:rsidRPr="00CA3533" w:rsidRDefault="00CA3533" w:rsidP="00CA3533">
      <w:pPr>
        <w:numPr>
          <w:ilvl w:val="0"/>
          <w:numId w:val="1"/>
        </w:numPr>
        <w:tabs>
          <w:tab w:val="clear" w:pos="1701"/>
          <w:tab w:val="num" w:pos="2438"/>
        </w:tabs>
        <w:kinsoku/>
        <w:overflowPunct/>
        <w:autoSpaceDE/>
        <w:autoSpaceDN/>
        <w:adjustRightInd/>
        <w:snapToGrid/>
        <w:spacing w:before="120" w:after="120"/>
        <w:ind w:left="2438" w:right="1134"/>
        <w:jc w:val="both"/>
        <w:rPr>
          <w:lang w:val="fr-FR"/>
        </w:rPr>
      </w:pPr>
      <w:r w:rsidRPr="00CA3533">
        <w:rPr>
          <w:lang w:val="fr-FR"/>
        </w:rPr>
        <w:t>Après la rubrique existante pour la norme « </w:t>
      </w:r>
      <w:r w:rsidRPr="00CA3533">
        <w:rPr>
          <w:bCs/>
          <w:lang w:val="fr-FR"/>
        </w:rPr>
        <w:t>EN 15888:2014</w:t>
      </w:r>
      <w:r w:rsidRPr="00CA3533">
        <w:rPr>
          <w:lang w:val="fr-FR"/>
        </w:rPr>
        <w:t>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5429"/>
        <w:gridCol w:w="1719"/>
      </w:tblGrid>
      <w:tr w:rsidR="00CA3533" w:rsidRPr="00CA3533" w14:paraId="73C90D55" w14:textId="77777777" w:rsidTr="00D56820">
        <w:trPr>
          <w:cantSplit/>
        </w:trPr>
        <w:tc>
          <w:tcPr>
            <w:tcW w:w="1357" w:type="dxa"/>
          </w:tcPr>
          <w:p w14:paraId="66797607" w14:textId="77777777" w:rsidR="00CA3533" w:rsidRPr="00CA3533" w:rsidRDefault="00CA3533" w:rsidP="00CA3533">
            <w:pPr>
              <w:widowControl w:val="0"/>
              <w:spacing w:before="40" w:after="40"/>
              <w:ind w:left="57" w:right="57"/>
              <w:rPr>
                <w:lang w:val="fr-FR"/>
              </w:rPr>
            </w:pPr>
            <w:r w:rsidRPr="00CA3533">
              <w:rPr>
                <w:bCs/>
                <w:lang w:val="fr-FR"/>
              </w:rPr>
              <w:t>EN ISO 20475:2020</w:t>
            </w:r>
          </w:p>
        </w:tc>
        <w:tc>
          <w:tcPr>
            <w:tcW w:w="5429" w:type="dxa"/>
          </w:tcPr>
          <w:p w14:paraId="5CB1C774" w14:textId="77777777" w:rsidR="00CA3533" w:rsidRPr="00CA3533" w:rsidRDefault="00CA3533" w:rsidP="00CA3533">
            <w:pPr>
              <w:widowControl w:val="0"/>
              <w:spacing w:before="40" w:after="40"/>
              <w:ind w:left="57" w:right="57"/>
              <w:rPr>
                <w:lang w:val="fr-FR"/>
              </w:rPr>
            </w:pPr>
            <w:r w:rsidRPr="00CA3533">
              <w:rPr>
                <w:lang w:val="fr-FR"/>
              </w:rPr>
              <w:t>Bouteilles à gaz - Cadres de bouteilles - Contrôle périodique et essais</w:t>
            </w:r>
          </w:p>
        </w:tc>
        <w:tc>
          <w:tcPr>
            <w:tcW w:w="1719" w:type="dxa"/>
          </w:tcPr>
          <w:p w14:paraId="2B3D8FF9" w14:textId="77777777" w:rsidR="00CA3533" w:rsidRPr="00CA3533" w:rsidRDefault="00CA3533" w:rsidP="00CA3533">
            <w:pPr>
              <w:widowControl w:val="0"/>
              <w:spacing w:before="40" w:after="40"/>
              <w:ind w:left="57" w:right="57"/>
              <w:rPr>
                <w:lang w:val="fr-FR"/>
              </w:rPr>
            </w:pPr>
            <w:r w:rsidRPr="00CA3533">
              <w:rPr>
                <w:lang w:val="fr-FR"/>
              </w:rPr>
              <w:t>Obligatoirement à partir du 1er janvier 2025</w:t>
            </w:r>
          </w:p>
        </w:tc>
      </w:tr>
    </w:tbl>
    <w:p w14:paraId="031179D5" w14:textId="77777777" w:rsidR="00CA3533" w:rsidRPr="00CA3533" w:rsidRDefault="00CA3533" w:rsidP="00CA3533">
      <w:pPr>
        <w:numPr>
          <w:ilvl w:val="0"/>
          <w:numId w:val="1"/>
        </w:numPr>
        <w:tabs>
          <w:tab w:val="clear" w:pos="1701"/>
          <w:tab w:val="num" w:pos="2438"/>
        </w:tabs>
        <w:kinsoku/>
        <w:overflowPunct/>
        <w:autoSpaceDE/>
        <w:autoSpaceDN/>
        <w:adjustRightInd/>
        <w:snapToGrid/>
        <w:spacing w:before="120" w:after="120"/>
        <w:ind w:left="2438" w:right="1134"/>
        <w:jc w:val="both"/>
        <w:rPr>
          <w:lang w:val="fr-FR"/>
        </w:rPr>
      </w:pPr>
      <w:r w:rsidRPr="00CA3533">
        <w:rPr>
          <w:lang w:val="fr-FR"/>
        </w:rPr>
        <w:t>Supprimer les lignes pour EN 1968:2002 + A1:2005 (sauf annexe B), EN 1802:2002 (sauf annexe B), EN ISO 10462:2013, EN 1803:2002 (sauf annexe B), EN 1440:2016  (sauf annexe C) et EN 16728:2016 (sauf article 3.5, annexe F et annexe G).</w:t>
      </w:r>
    </w:p>
    <w:p w14:paraId="507B8EE9" w14:textId="77777777" w:rsidR="00CA3533" w:rsidRPr="00CA3533" w:rsidRDefault="00CA3533" w:rsidP="00CA3533">
      <w:pPr>
        <w:numPr>
          <w:ilvl w:val="0"/>
          <w:numId w:val="1"/>
        </w:numPr>
        <w:tabs>
          <w:tab w:val="clear" w:pos="1701"/>
          <w:tab w:val="num" w:pos="2438"/>
        </w:tabs>
        <w:kinsoku/>
        <w:overflowPunct/>
        <w:autoSpaceDE/>
        <w:autoSpaceDN/>
        <w:adjustRightInd/>
        <w:snapToGrid/>
        <w:spacing w:before="120" w:after="120"/>
        <w:ind w:left="2438" w:right="1134"/>
        <w:jc w:val="both"/>
        <w:rPr>
          <w:lang w:val="fr-FR"/>
        </w:rPr>
      </w:pPr>
      <w:r w:rsidRPr="00CA3533">
        <w:rPr>
          <w:lang w:val="fr-FR"/>
        </w:rPr>
        <w:t>Dans les lignes pour EN ISO 11623:2015 et EN 14912:2015, dans la dernière colonne, remplacer « Obligatoirement à partir du 1er janvier 2019 » par « Jusqu’à nouvel ordre ».</w:t>
      </w:r>
    </w:p>
    <w:p w14:paraId="2F2652C5" w14:textId="77777777" w:rsidR="00CA3533" w:rsidRPr="00CA3533" w:rsidRDefault="00CA3533" w:rsidP="00CA3533">
      <w:pPr>
        <w:numPr>
          <w:ilvl w:val="0"/>
          <w:numId w:val="1"/>
        </w:numPr>
        <w:tabs>
          <w:tab w:val="clear" w:pos="1701"/>
          <w:tab w:val="num" w:pos="2438"/>
        </w:tabs>
        <w:kinsoku/>
        <w:overflowPunct/>
        <w:autoSpaceDE/>
        <w:autoSpaceDN/>
        <w:adjustRightInd/>
        <w:snapToGrid/>
        <w:spacing w:before="120" w:after="120"/>
        <w:ind w:left="2438" w:right="1134"/>
        <w:jc w:val="both"/>
        <w:rPr>
          <w:lang w:val="fr-FR"/>
        </w:rPr>
      </w:pPr>
      <w:r w:rsidRPr="00CA3533">
        <w:rPr>
          <w:lang w:val="fr-FR"/>
        </w:rPr>
        <w:t>Dans les lignes pour EN 1440:2016 + A1:2018 + A2:2020 (sauf annexe C) et EN 16728:2016 + A1:2018 + A2:2020 dans la dernière colonne, remplacer « Obligatoirement à partir du 1er janvier 2022 » par « Jusqu’à nouvel ordre ».</w:t>
      </w:r>
    </w:p>
    <w:p w14:paraId="6C421D0A" w14:textId="77777777" w:rsidR="00CA3533" w:rsidRPr="00CA3533" w:rsidRDefault="00CA3533" w:rsidP="00CA3533">
      <w:pPr>
        <w:numPr>
          <w:ilvl w:val="0"/>
          <w:numId w:val="1"/>
        </w:numPr>
        <w:tabs>
          <w:tab w:val="clear" w:pos="1701"/>
          <w:tab w:val="num" w:pos="2438"/>
        </w:tabs>
        <w:kinsoku/>
        <w:overflowPunct/>
        <w:autoSpaceDE/>
        <w:autoSpaceDN/>
        <w:adjustRightInd/>
        <w:snapToGrid/>
        <w:spacing w:before="120" w:after="120"/>
        <w:ind w:left="2438" w:right="1134"/>
        <w:jc w:val="both"/>
        <w:rPr>
          <w:lang w:val="fr-FR" w:eastAsia="fr-FR"/>
        </w:rPr>
      </w:pPr>
      <w:r w:rsidRPr="00CA3533">
        <w:rPr>
          <w:lang w:val="fr-FR" w:eastAsia="fr-FR"/>
        </w:rPr>
        <w:t>Dans les lignes pour</w:t>
      </w:r>
      <w:r w:rsidRPr="00CA3533">
        <w:rPr>
          <w:i/>
          <w:iCs/>
          <w:lang w:val="fr-FR" w:eastAsia="fr-FR"/>
        </w:rPr>
        <w:t xml:space="preserve"> </w:t>
      </w:r>
      <w:r w:rsidRPr="00CA3533">
        <w:rPr>
          <w:lang w:val="fr-FR" w:eastAsia="fr-FR"/>
        </w:rPr>
        <w:t>EN ISO 18119:2018, EN ISO 10462:2013 + A1:2019 et EN ISO 10460:2018 dans la dernière colonne, remplacer « </w:t>
      </w:r>
      <w:r w:rsidRPr="00CA3533">
        <w:rPr>
          <w:lang w:val="fr-FR"/>
        </w:rPr>
        <w:t>Obligatoirement à partir du 1er janvier 2023 » par « Jusqu’à nouvel ordre ».</w:t>
      </w:r>
    </w:p>
    <w:p w14:paraId="078E97A6"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6.2.5.3</w:t>
      </w:r>
      <w:r w:rsidRPr="00CA3533">
        <w:rPr>
          <w:rFonts w:eastAsiaTheme="minorHAnsi"/>
          <w:lang w:val="fr-FR" w:eastAsia="en-US"/>
        </w:rPr>
        <w:tab/>
      </w:r>
      <w:r w:rsidRPr="00CA3533">
        <w:rPr>
          <w:rFonts w:eastAsiaTheme="minorHAnsi"/>
          <w:lang w:val="fr-FR" w:eastAsia="en-US"/>
        </w:rPr>
        <w:tab/>
        <w:t>Dans la première phrase qui suit le titre, ajouter « de l’enveloppe » avant « du récipient à pression ».</w:t>
      </w:r>
    </w:p>
    <w:p w14:paraId="045C790D" w14:textId="6E6D822E"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 xml:space="preserve">Dans la phrase qui suit directement le texte du </w:t>
      </w:r>
      <w:r w:rsidR="00CD1F11" w:rsidRPr="00CA3533">
        <w:rPr>
          <w:rFonts w:eastAsiaTheme="minorHAnsi"/>
          <w:lang w:val="fr-FR" w:eastAsia="en-US"/>
        </w:rPr>
        <w:t>Nota</w:t>
      </w:r>
      <w:r w:rsidRPr="00CA3533">
        <w:rPr>
          <w:rFonts w:eastAsiaTheme="minorHAnsi"/>
          <w:lang w:val="fr-FR" w:eastAsia="en-US"/>
        </w:rPr>
        <w:t>, supprimer « et leurs fermetures ».</w:t>
      </w:r>
    </w:p>
    <w:p w14:paraId="6A9C8E9C"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6.2.5.4.1</w:t>
      </w:r>
      <w:r w:rsidRPr="00CA3533">
        <w:rPr>
          <w:rFonts w:eastAsiaTheme="minorHAnsi"/>
          <w:lang w:val="fr-FR" w:eastAsia="en-US"/>
        </w:rPr>
        <w:tab/>
        <w:t>Dans la première phrase, remplacer « récipients à pression » par « enveloppes de récipients à pression ».</w:t>
      </w:r>
    </w:p>
    <w:p w14:paraId="1317DAEE"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Dans la phrase qui précède les formules algébriques, ajouter « de l’enveloppe » avant « du récipient à pression » (deux occurrences).</w:t>
      </w:r>
    </w:p>
    <w:p w14:paraId="69707987" w14:textId="6B4EA158" w:rsidR="00CA3533" w:rsidRPr="00CA3533" w:rsidRDefault="00CA3533" w:rsidP="00CA3533">
      <w:pPr>
        <w:spacing w:after="120"/>
        <w:ind w:left="2268" w:right="1134" w:hanging="1134"/>
        <w:jc w:val="both"/>
        <w:rPr>
          <w:lang w:val="fr-FR"/>
        </w:rPr>
      </w:pPr>
      <w:r w:rsidRPr="00CA3533">
        <w:rPr>
          <w:lang w:val="fr-FR"/>
        </w:rPr>
        <w:lastRenderedPageBreak/>
        <w:t>6.2.5.4.2</w:t>
      </w:r>
      <w:r w:rsidRPr="00CA3533">
        <w:rPr>
          <w:lang w:val="fr-FR"/>
        </w:rPr>
        <w:tab/>
        <w:t>À la fin de la phrase, remplacer « EN 1975:1999 + A1:2003 » par « EN ISO 7866:2012 + A1:2020 ».</w:t>
      </w:r>
    </w:p>
    <w:p w14:paraId="53188647" w14:textId="10FC5AA1" w:rsidR="00CA3533" w:rsidRPr="00CA3533" w:rsidRDefault="00CA3533" w:rsidP="00936FAF">
      <w:pPr>
        <w:spacing w:after="120"/>
        <w:ind w:left="2268" w:right="1134" w:hanging="1134"/>
        <w:jc w:val="both"/>
        <w:rPr>
          <w:rFonts w:eastAsiaTheme="minorHAnsi"/>
          <w:lang w:val="fr-FR" w:eastAsia="en-US"/>
        </w:rPr>
      </w:pPr>
      <w:r w:rsidRPr="00CA3533">
        <w:rPr>
          <w:rFonts w:eastAsiaTheme="minorHAnsi"/>
          <w:lang w:val="fr-FR" w:eastAsia="en-US"/>
        </w:rPr>
        <w:t>6.2.6.1.5</w:t>
      </w:r>
      <w:r w:rsidRPr="00CA3533">
        <w:rPr>
          <w:rFonts w:eastAsiaTheme="minorHAnsi"/>
          <w:lang w:val="fr-FR" w:eastAsia="en-US"/>
        </w:rPr>
        <w:tab/>
        <w:t>Modifier la première phrase pour lire :</w:t>
      </w:r>
      <w:r w:rsidR="00936FAF">
        <w:rPr>
          <w:rFonts w:eastAsiaTheme="minorHAnsi"/>
          <w:lang w:val="fr-FR" w:eastAsia="en-US"/>
        </w:rPr>
        <w:t xml:space="preserve"> </w:t>
      </w:r>
      <w:r w:rsidRPr="00CA3533">
        <w:rPr>
          <w:rFonts w:eastAsiaTheme="minorHAnsi"/>
          <w:lang w:val="fr-FR" w:eastAsia="en-US"/>
        </w:rPr>
        <w:t>« La pression intérieure des générateurs d’aérosols à 50 °C ne doit pas dépasser 1,2 MPa (12 bar) en cas d’utilisation de gaz liquéfié inflammable, 1,32 MPa (13,2 bar) en cas d’utilisation de gaz liquéfié non inflammable et 1,5 MPa (15 bar) en cas d’utilisation de gaz comprimé ou dissous non inflammable. Pour les mélanges de gaz, la limite la plus stricte s’applique. »</w:t>
      </w:r>
      <w:r w:rsidR="00936FAF">
        <w:rPr>
          <w:rFonts w:eastAsiaTheme="minorHAnsi"/>
          <w:lang w:val="fr-FR" w:eastAsia="en-US"/>
        </w:rPr>
        <w:t>.</w:t>
      </w:r>
    </w:p>
    <w:p w14:paraId="42427956" w14:textId="77777777" w:rsidR="00CA3533" w:rsidRPr="00CA3533" w:rsidRDefault="00CA3533" w:rsidP="00CA3533">
      <w:pPr>
        <w:keepNext/>
        <w:keepLines/>
        <w:tabs>
          <w:tab w:val="right" w:pos="851"/>
        </w:tabs>
        <w:spacing w:before="360" w:after="240" w:line="270" w:lineRule="exact"/>
        <w:ind w:left="1134" w:right="1134" w:hanging="1134"/>
        <w:rPr>
          <w:b/>
          <w:sz w:val="24"/>
          <w:lang w:val="fr-FR" w:eastAsia="en-US"/>
        </w:rPr>
      </w:pPr>
      <w:r w:rsidRPr="00CA3533">
        <w:rPr>
          <w:b/>
          <w:sz w:val="24"/>
          <w:lang w:val="fr-FR" w:eastAsia="en-US"/>
        </w:rPr>
        <w:tab/>
      </w:r>
      <w:r w:rsidRPr="00CA3533">
        <w:rPr>
          <w:b/>
          <w:sz w:val="24"/>
          <w:lang w:val="fr-FR" w:eastAsia="en-US"/>
        </w:rPr>
        <w:tab/>
        <w:t>Chapitre 6.3</w:t>
      </w:r>
    </w:p>
    <w:p w14:paraId="0B359E9A"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rFonts w:eastAsiaTheme="minorHAnsi"/>
          <w:lang w:val="fr-FR" w:eastAsia="en-US"/>
        </w:rPr>
      </w:pPr>
      <w:r w:rsidRPr="00CA3533">
        <w:rPr>
          <w:lang w:val="fr-FR" w:eastAsia="en-US"/>
        </w:rPr>
        <w:t>6.3.2.1</w:t>
      </w:r>
      <w:r w:rsidRPr="00CA3533">
        <w:rPr>
          <w:lang w:val="fr-FR" w:eastAsia="en-US"/>
        </w:rPr>
        <w:tab/>
      </w:r>
      <w:r w:rsidRPr="00CA3533">
        <w:rPr>
          <w:lang w:val="fr-FR" w:eastAsia="en-US"/>
        </w:rPr>
        <w:tab/>
      </w:r>
      <w:r w:rsidRPr="00CA3533">
        <w:rPr>
          <w:rFonts w:eastAsiaTheme="minorHAnsi"/>
          <w:lang w:val="fr-FR" w:eastAsia="en-US"/>
        </w:rPr>
        <w:t>Dans la deuxième phrase, remplacer « aux épreuves décrites » par « aux prescriptions décrites. ».</w:t>
      </w:r>
    </w:p>
    <w:p w14:paraId="231242ED"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6.3.2.2</w:t>
      </w:r>
      <w:r w:rsidRPr="00CA3533">
        <w:rPr>
          <w:lang w:val="fr-FR" w:eastAsia="en-US"/>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l'ISO 9001 ».</w:t>
      </w:r>
    </w:p>
    <w:p w14:paraId="0E9E54CB"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6.3.5.4.2</w:t>
      </w:r>
      <w:r w:rsidRPr="00CA3533">
        <w:rPr>
          <w:lang w:val="fr-FR" w:eastAsia="en-US"/>
        </w:rPr>
        <w:tab/>
        <w:t>La modification ne s’applique pas au texte français.</w:t>
      </w:r>
    </w:p>
    <w:p w14:paraId="6B9668E7" w14:textId="77777777" w:rsidR="00CA3533" w:rsidRPr="00CA3533" w:rsidRDefault="00CA3533" w:rsidP="00CA3533">
      <w:pPr>
        <w:keepNext/>
        <w:keepLines/>
        <w:tabs>
          <w:tab w:val="right" w:pos="851"/>
        </w:tabs>
        <w:spacing w:before="360" w:after="240" w:line="270" w:lineRule="exact"/>
        <w:ind w:left="1134" w:right="1134" w:hanging="1134"/>
        <w:rPr>
          <w:b/>
          <w:sz w:val="24"/>
          <w:lang w:val="fr-FR" w:eastAsia="en-US"/>
        </w:rPr>
      </w:pPr>
      <w:r w:rsidRPr="00CA3533">
        <w:rPr>
          <w:b/>
          <w:sz w:val="24"/>
          <w:lang w:val="fr-FR" w:eastAsia="en-US"/>
        </w:rPr>
        <w:tab/>
      </w:r>
      <w:r w:rsidRPr="00CA3533">
        <w:rPr>
          <w:b/>
          <w:sz w:val="24"/>
          <w:lang w:val="fr-FR" w:eastAsia="en-US"/>
        </w:rPr>
        <w:tab/>
        <w:t>Chapitre 6.4</w:t>
      </w:r>
    </w:p>
    <w:p w14:paraId="04434ADA" w14:textId="77777777" w:rsidR="00CA3533" w:rsidRPr="00CA3533" w:rsidRDefault="00CA3533" w:rsidP="00CA3533">
      <w:pPr>
        <w:tabs>
          <w:tab w:val="left" w:pos="2268"/>
        </w:tabs>
        <w:spacing w:after="120"/>
        <w:ind w:left="2268" w:right="1134" w:hanging="1134"/>
        <w:jc w:val="both"/>
        <w:rPr>
          <w:rFonts w:eastAsiaTheme="minorHAnsi"/>
          <w:lang w:val="fr-FR" w:eastAsia="en-US"/>
        </w:rPr>
      </w:pPr>
      <w:r w:rsidRPr="00CA3533">
        <w:rPr>
          <w:rFonts w:eastAsiaTheme="minorHAnsi"/>
          <w:lang w:val="fr-FR" w:eastAsia="en-US"/>
        </w:rPr>
        <w:t>6.4.12.1</w:t>
      </w:r>
      <w:r w:rsidRPr="00CA3533">
        <w:rPr>
          <w:rFonts w:eastAsiaTheme="minorHAnsi"/>
          <w:lang w:val="fr-FR" w:eastAsia="en-US"/>
        </w:rPr>
        <w:tab/>
        <w:t>Dans la première phrase, supprimer « 2.2.7.2.3.1.3, 2.2.7.2.3.1.4, » et, après « 2.2.7.2.3.4.2 », ajouter « , 2.2.7.2.3.4.3 ».</w:t>
      </w:r>
    </w:p>
    <w:p w14:paraId="249B3416" w14:textId="77777777" w:rsidR="00CA3533" w:rsidRPr="00CA3533" w:rsidRDefault="00CA3533" w:rsidP="00CA3533">
      <w:pPr>
        <w:tabs>
          <w:tab w:val="left" w:pos="2268"/>
        </w:tabs>
        <w:spacing w:after="120"/>
        <w:ind w:left="2268" w:right="1134" w:hanging="1134"/>
        <w:jc w:val="both"/>
        <w:rPr>
          <w:rFonts w:eastAsiaTheme="minorHAnsi"/>
          <w:lang w:val="fr-FR" w:eastAsia="en-US"/>
        </w:rPr>
      </w:pPr>
      <w:r w:rsidRPr="00CA3533">
        <w:rPr>
          <w:rFonts w:eastAsiaTheme="minorHAnsi"/>
          <w:lang w:val="fr-FR" w:eastAsia="en-US"/>
        </w:rPr>
        <w:t>6.4.12.2</w:t>
      </w:r>
      <w:r w:rsidRPr="00CA3533">
        <w:rPr>
          <w:rFonts w:eastAsiaTheme="minorHAnsi"/>
          <w:lang w:val="fr-FR" w:eastAsia="en-US"/>
        </w:rPr>
        <w:tab/>
        <w:t>Supprimer « 2.2.7.2.3.1.3, 2.2.7.2.3.1.4, » et, après « 2.2.7.2.3.4.2 », ajouter « , 2.2.7.2.3.4.3 ».</w:t>
      </w:r>
    </w:p>
    <w:p w14:paraId="7097D249" w14:textId="77777777" w:rsidR="00CA3533" w:rsidRPr="00CA3533" w:rsidRDefault="00CA3533" w:rsidP="00CA3533">
      <w:pPr>
        <w:keepNext/>
        <w:keepLines/>
        <w:tabs>
          <w:tab w:val="right" w:pos="851"/>
        </w:tabs>
        <w:spacing w:before="360" w:after="240" w:line="270" w:lineRule="exact"/>
        <w:ind w:left="1134" w:right="1134" w:hanging="1134"/>
        <w:rPr>
          <w:b/>
          <w:sz w:val="24"/>
          <w:lang w:val="fr-FR"/>
        </w:rPr>
      </w:pPr>
      <w:r w:rsidRPr="00CA3533">
        <w:rPr>
          <w:b/>
          <w:sz w:val="24"/>
          <w:lang w:val="fr-FR"/>
        </w:rPr>
        <w:tab/>
      </w:r>
      <w:r w:rsidRPr="00CA3533">
        <w:rPr>
          <w:b/>
          <w:sz w:val="24"/>
          <w:lang w:val="fr-FR"/>
        </w:rPr>
        <w:tab/>
        <w:t>Chapitre 6.5</w:t>
      </w:r>
    </w:p>
    <w:p w14:paraId="2FA461CF" w14:textId="77777777" w:rsidR="00DB2183" w:rsidRDefault="00CA3533" w:rsidP="00DB2183">
      <w:pPr>
        <w:spacing w:before="120" w:after="120"/>
        <w:ind w:left="2268" w:right="1134" w:hanging="1134"/>
        <w:jc w:val="both"/>
        <w:rPr>
          <w:lang w:val="fr-FR"/>
        </w:rPr>
      </w:pPr>
      <w:r w:rsidRPr="00CA3533">
        <w:rPr>
          <w:lang w:val="fr-FR"/>
        </w:rPr>
        <w:t>6.5.1.1.2</w:t>
      </w:r>
      <w:r w:rsidRPr="00CA3533">
        <w:rPr>
          <w:lang w:val="fr-FR"/>
        </w:rPr>
        <w:tab/>
        <w:t>Modifier pour lire comme suit :</w:t>
      </w:r>
    </w:p>
    <w:p w14:paraId="2C0ED913" w14:textId="23E6408C" w:rsidR="00CA3533" w:rsidRPr="00CA3533" w:rsidRDefault="00CA3533" w:rsidP="00DB2183">
      <w:pPr>
        <w:spacing w:before="120" w:after="120"/>
        <w:ind w:left="2268" w:right="1134" w:hanging="1134"/>
        <w:jc w:val="both"/>
        <w:rPr>
          <w:lang w:val="fr-FR"/>
        </w:rPr>
      </w:pPr>
      <w:r w:rsidRPr="00CA3533">
        <w:rPr>
          <w:lang w:val="fr-FR"/>
        </w:rPr>
        <w:t>« 6.5.1.1.2</w:t>
      </w:r>
      <w:r w:rsidRPr="00CA3533">
        <w:rPr>
          <w:lang w:val="fr-FR"/>
        </w:rPr>
        <w:tab/>
        <w:t>Les prescriptions relatives aux GRV énoncées au 6.5.3 sont basées sur les GRV qui sont utilisés actuellement. Pour tenir compte du progrès scientifique et technique, il est admis que l’on utilise des GRV dont les spécifications diffèrent de celles définies au 6.5.3 et au 6.5.5, à condition qu’ils aient une efficacité égale, qu’ils soient acceptables pour l’autorité compétente et qu’ils satisfassent aux prescriptions décrites aux 6.5.4 et 6.5.6. Des méthodes d’inspection et d’épreuve autres que celles décrites dans l’ADR sont admises pour autant qu’elles soient équivalentes et reconnues par l'autorité compétente. »</w:t>
      </w:r>
    </w:p>
    <w:p w14:paraId="50AA85B8" w14:textId="534880D2" w:rsidR="00CA3533" w:rsidRPr="00CA3533" w:rsidRDefault="00CA3533" w:rsidP="00CA3533">
      <w:pPr>
        <w:spacing w:after="120"/>
        <w:ind w:left="1134" w:right="1134"/>
        <w:jc w:val="both"/>
        <w:rPr>
          <w:rFonts w:eastAsiaTheme="minorHAnsi"/>
          <w:lang w:val="fr-FR" w:eastAsia="en-US"/>
        </w:rPr>
      </w:pPr>
      <w:r w:rsidRPr="00CA3533">
        <w:rPr>
          <w:rFonts w:eastAsiaTheme="minorHAnsi"/>
          <w:lang w:val="fr-FR" w:eastAsia="en-US"/>
        </w:rPr>
        <w:t>Ajouter un nouveau 6.5.2.1.2 libellé comme suit :</w:t>
      </w:r>
    </w:p>
    <w:p w14:paraId="38D8B930"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 6.5.2.1.2</w:t>
      </w:r>
      <w:r w:rsidRPr="00CA3533">
        <w:rPr>
          <w:rFonts w:eastAsiaTheme="minorHAnsi"/>
          <w:lang w:val="fr-FR" w:eastAsia="en-US"/>
        </w:rPr>
        <w:tab/>
        <w:t>Les GRV fabriqués avec des matières plastiques recyclée telles que définies au 1.2.1 doivent porter la marque "REC". Pour les GRV rigides, cette marque doit être placée à proximité des marques prescrites au 6.5.2.1.1. Pour le récipient intérieur des GRV composites, cette marque doit être placée à proximité des marques prescrites au 6.5.2.2.4. »</w:t>
      </w:r>
    </w:p>
    <w:p w14:paraId="6D453C01" w14:textId="77777777" w:rsidR="00CA3533" w:rsidRPr="00CA3533" w:rsidRDefault="00CA3533" w:rsidP="00CA3533">
      <w:pPr>
        <w:spacing w:after="120"/>
        <w:ind w:left="2268" w:right="1134"/>
        <w:jc w:val="both"/>
        <w:rPr>
          <w:lang w:val="fr-FR"/>
        </w:rPr>
      </w:pPr>
      <w:r w:rsidRPr="00CA3533">
        <w:rPr>
          <w:lang w:val="fr-FR"/>
        </w:rPr>
        <w:t>Renuméroter les 6.5.2.1.2 et 6.5.2.1.3 actuels en 6.5.2.1.3 et 6.5.2.1.4 respectivement.</w:t>
      </w:r>
    </w:p>
    <w:p w14:paraId="141BDCD7" w14:textId="72452E83"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6.5.4.1</w:t>
      </w:r>
      <w:r w:rsidRPr="00CA3533">
        <w:rPr>
          <w:lang w:val="fr-FR" w:eastAsia="en-US"/>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l'ISO 9001 ».</w:t>
      </w:r>
    </w:p>
    <w:p w14:paraId="7597A8E8" w14:textId="359ED80F" w:rsidR="00960048" w:rsidRPr="00476248" w:rsidRDefault="00960048" w:rsidP="009343A0">
      <w:pPr>
        <w:pStyle w:val="SingleTxtG"/>
        <w:ind w:left="2268" w:hanging="1134"/>
        <w:rPr>
          <w:lang w:val="fr-FR"/>
        </w:rPr>
      </w:pPr>
      <w:r w:rsidRPr="00476248">
        <w:rPr>
          <w:lang w:val="fr-FR"/>
        </w:rPr>
        <w:lastRenderedPageBreak/>
        <w:t>6.5.5.1.6 a)</w:t>
      </w:r>
      <w:r w:rsidRPr="00476248">
        <w:rPr>
          <w:lang w:val="fr-FR"/>
        </w:rPr>
        <w:tab/>
        <w:t>À la fin, ajouter</w:t>
      </w:r>
      <w:r w:rsidR="009343A0">
        <w:rPr>
          <w:lang w:val="fr-FR"/>
        </w:rPr>
        <w:t xml:space="preserve"> </w:t>
      </w:r>
      <w:r>
        <w:rPr>
          <w:lang w:val="fr-FR"/>
        </w:rPr>
        <w:t>« C = contenance en litres ; »</w:t>
      </w:r>
    </w:p>
    <w:p w14:paraId="0BF3DBEE" w14:textId="77777777" w:rsidR="00CA3533" w:rsidRPr="00CA3533" w:rsidRDefault="00CA3533" w:rsidP="00CA3533">
      <w:pPr>
        <w:spacing w:before="120" w:after="120"/>
        <w:ind w:left="2268" w:right="1134" w:hanging="1134"/>
        <w:jc w:val="both"/>
        <w:rPr>
          <w:lang w:val="fr-FR"/>
        </w:rPr>
      </w:pPr>
      <w:r w:rsidRPr="00CA3533">
        <w:rPr>
          <w:lang w:val="fr-FR"/>
        </w:rPr>
        <w:t>6.5.5.3.2</w:t>
      </w:r>
      <w:r w:rsidRPr="00CA3533">
        <w:rPr>
          <w:lang w:val="fr-FR"/>
        </w:rPr>
        <w:tab/>
        <w:t>Après la première phrase, ajouter la nouvelle phrase suivante : « Sauf pour les matières plastiques recyclées définies au 1.2.1, aucun matériau déjà utilisé, autre que les déchets, chutes ou matériaux rebroyés provenant du même procédé de fabrication, ne peut être employé. ».</w:t>
      </w:r>
    </w:p>
    <w:p w14:paraId="2548F94D" w14:textId="77777777" w:rsidR="00CA3533" w:rsidRPr="00CA3533" w:rsidRDefault="00CA3533" w:rsidP="00CA3533">
      <w:pPr>
        <w:spacing w:before="120" w:after="120"/>
        <w:ind w:left="2268" w:right="1134" w:hanging="1134"/>
        <w:jc w:val="both"/>
        <w:rPr>
          <w:lang w:val="fr-FR"/>
        </w:rPr>
      </w:pPr>
      <w:r w:rsidRPr="00CA3533">
        <w:rPr>
          <w:lang w:val="fr-FR"/>
        </w:rPr>
        <w:t>6.5.5.3.5</w:t>
      </w:r>
      <w:r w:rsidRPr="00CA3533">
        <w:rPr>
          <w:lang w:val="fr-FR"/>
        </w:rPr>
        <w:tab/>
        <w:t>Supprimer.</w:t>
      </w:r>
    </w:p>
    <w:p w14:paraId="7B90CF84" w14:textId="77777777" w:rsidR="00CA3533" w:rsidRPr="00CA3533" w:rsidRDefault="00CA3533" w:rsidP="00CA3533">
      <w:pPr>
        <w:spacing w:before="120" w:after="120"/>
        <w:ind w:left="2268" w:right="1134" w:hanging="1134"/>
        <w:jc w:val="both"/>
        <w:rPr>
          <w:iCs/>
          <w:lang w:val="fr-FR"/>
        </w:rPr>
      </w:pPr>
      <w:r w:rsidRPr="00CA3533">
        <w:rPr>
          <w:iCs/>
          <w:lang w:val="fr-FR"/>
        </w:rPr>
        <w:t>6.5.5.4.6</w:t>
      </w:r>
      <w:r w:rsidRPr="00CA3533">
        <w:rPr>
          <w:iCs/>
          <w:lang w:val="fr-FR"/>
        </w:rPr>
        <w:tab/>
      </w:r>
      <w:r w:rsidRPr="00CA3533">
        <w:rPr>
          <w:lang w:val="fr-FR"/>
        </w:rPr>
        <w:t>Après la première phrase, ajouter la nouvelle phrase suivante : « Sauf pour les matières plastiques recyclées définies au 1.2.1, aucun matériau déjà utilisé, autre que les déchets, chutes ou matériaux rebroyés provenant du même procédé de fabrication, ne peut être employé. ».</w:t>
      </w:r>
    </w:p>
    <w:p w14:paraId="7D760544" w14:textId="77777777" w:rsidR="00CA3533" w:rsidRPr="00CA3533" w:rsidRDefault="00CA3533" w:rsidP="00CA3533">
      <w:pPr>
        <w:spacing w:before="120" w:after="120"/>
        <w:ind w:left="2268" w:right="1134" w:hanging="1134"/>
        <w:jc w:val="both"/>
        <w:rPr>
          <w:lang w:val="fr-FR"/>
        </w:rPr>
      </w:pPr>
      <w:r w:rsidRPr="00CA3533">
        <w:rPr>
          <w:lang w:val="fr-FR"/>
        </w:rPr>
        <w:t>6.5.5.4.9</w:t>
      </w:r>
      <w:r w:rsidRPr="00CA3533">
        <w:rPr>
          <w:lang w:val="fr-FR"/>
        </w:rPr>
        <w:tab/>
        <w:t>Supprimer.</w:t>
      </w:r>
    </w:p>
    <w:p w14:paraId="33B50DE5" w14:textId="77777777" w:rsidR="00CA3533" w:rsidRPr="00CA3533" w:rsidRDefault="00CA3533" w:rsidP="00CA3533">
      <w:pPr>
        <w:spacing w:before="120" w:after="120"/>
        <w:ind w:left="2268" w:right="1134" w:hanging="1134"/>
        <w:jc w:val="both"/>
        <w:rPr>
          <w:rFonts w:ascii="Segoe UI" w:hAnsi="Segoe UI" w:cs="Segoe UI"/>
          <w:sz w:val="21"/>
          <w:szCs w:val="21"/>
          <w:lang w:val="fr-FR"/>
        </w:rPr>
      </w:pPr>
      <w:r w:rsidRPr="00CA3533">
        <w:rPr>
          <w:lang w:val="fr-FR"/>
        </w:rPr>
        <w:tab/>
        <w:t>Renuméroter les 6.5.5.4.10 à 6.5.5.4.26 actuels en tant que 6.5.5.4.9 à 6.5.5.4.25.</w:t>
      </w:r>
    </w:p>
    <w:p w14:paraId="43E2DE56" w14:textId="77777777" w:rsidR="00CA3533" w:rsidRPr="00CA3533" w:rsidRDefault="00CA3533" w:rsidP="00CA3533">
      <w:pPr>
        <w:spacing w:before="120" w:after="120"/>
        <w:ind w:left="2268" w:right="1134" w:hanging="1134"/>
        <w:jc w:val="both"/>
        <w:rPr>
          <w:lang w:val="fr-FR"/>
        </w:rPr>
      </w:pPr>
      <w:r w:rsidRPr="00CA3533">
        <w:rPr>
          <w:lang w:val="fr-FR"/>
        </w:rPr>
        <w:tab/>
        <w:t>Dans le paragraphe renuméroté 6.5.5.4.19, remplacer « 6.5.5.4.9 » par « 6.5.5.4.8 ».</w:t>
      </w:r>
    </w:p>
    <w:p w14:paraId="71786267" w14:textId="77777777" w:rsidR="00CA3533" w:rsidRPr="00CA3533" w:rsidRDefault="00CA3533" w:rsidP="00CA3533">
      <w:pPr>
        <w:spacing w:before="120" w:after="120"/>
        <w:ind w:left="2268" w:right="1134" w:hanging="1134"/>
        <w:jc w:val="both"/>
        <w:rPr>
          <w:lang w:val="fr-FR"/>
        </w:rPr>
      </w:pPr>
      <w:r w:rsidRPr="00CA3533">
        <w:rPr>
          <w:lang w:val="fr-FR"/>
        </w:rPr>
        <w:t>6.5.6.3.2</w:t>
      </w:r>
      <w:r w:rsidRPr="00CA3533">
        <w:rPr>
          <w:lang w:val="fr-FR"/>
        </w:rPr>
        <w:tab/>
        <w:t>Remplacer « 6.5.5.4.9 » par « 6.5.5.4.8 ».</w:t>
      </w:r>
    </w:p>
    <w:p w14:paraId="43B2206C" w14:textId="77777777" w:rsidR="00CA3533" w:rsidRPr="00CA3533" w:rsidRDefault="00CA3533" w:rsidP="00CA3533">
      <w:pPr>
        <w:keepNext/>
        <w:keepLines/>
        <w:tabs>
          <w:tab w:val="right" w:pos="851"/>
        </w:tabs>
        <w:spacing w:before="360" w:after="240" w:line="270" w:lineRule="exact"/>
        <w:ind w:left="1134" w:right="1134" w:hanging="1134"/>
        <w:rPr>
          <w:b/>
          <w:sz w:val="24"/>
          <w:lang w:val="fr-FR" w:eastAsia="en-US"/>
        </w:rPr>
      </w:pPr>
      <w:r w:rsidRPr="00CA3533">
        <w:rPr>
          <w:b/>
          <w:sz w:val="24"/>
          <w:lang w:val="fr-FR" w:eastAsia="en-US"/>
        </w:rPr>
        <w:tab/>
      </w:r>
      <w:r w:rsidRPr="00CA3533">
        <w:rPr>
          <w:b/>
          <w:sz w:val="24"/>
          <w:lang w:val="fr-FR" w:eastAsia="en-US"/>
        </w:rPr>
        <w:tab/>
        <w:t>Chapitre 6.6</w:t>
      </w:r>
    </w:p>
    <w:p w14:paraId="2392A10F" w14:textId="77777777" w:rsidR="00CA3533" w:rsidRPr="00CA3533" w:rsidRDefault="00CA3533" w:rsidP="00CA3533">
      <w:pPr>
        <w:tabs>
          <w:tab w:val="left" w:pos="2268"/>
        </w:tabs>
        <w:spacing w:after="120"/>
        <w:ind w:left="1134" w:right="1134"/>
        <w:jc w:val="both"/>
        <w:rPr>
          <w:lang w:val="fr-FR"/>
        </w:rPr>
      </w:pPr>
      <w:r w:rsidRPr="00CA3533">
        <w:rPr>
          <w:lang w:val="fr-FR" w:eastAsia="en-US"/>
        </w:rPr>
        <w:t>6.6.1.1</w:t>
      </w:r>
      <w:r w:rsidRPr="00CA3533">
        <w:rPr>
          <w:lang w:val="fr-FR" w:eastAsia="en-US"/>
        </w:rPr>
        <w:tab/>
      </w:r>
      <w:r w:rsidRPr="00CA3533">
        <w:rPr>
          <w:lang w:val="fr-FR"/>
        </w:rPr>
        <w:t>Numéroter les tirets en tant qu’alinéas a) à c).</w:t>
      </w:r>
    </w:p>
    <w:p w14:paraId="4B397D69" w14:textId="28E0FCB0"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lang w:val="fr-FR" w:eastAsia="en-US"/>
        </w:rPr>
        <w:t>6.6.1.2</w:t>
      </w:r>
      <w:r w:rsidRPr="00CA3533">
        <w:rPr>
          <w:lang w:val="fr-FR" w:eastAsia="en-US"/>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l'ISO 9001 ».</w:t>
      </w:r>
    </w:p>
    <w:p w14:paraId="778D117D" w14:textId="77777777" w:rsidR="00CA3533" w:rsidRPr="00CA3533" w:rsidRDefault="00CA3533" w:rsidP="00CA3533">
      <w:pPr>
        <w:spacing w:after="120"/>
        <w:ind w:left="2268" w:right="1134" w:hanging="1134"/>
        <w:jc w:val="both"/>
        <w:rPr>
          <w:rFonts w:eastAsiaTheme="minorHAnsi"/>
          <w:lang w:val="fr-FR" w:eastAsia="en-US"/>
        </w:rPr>
      </w:pPr>
      <w:r w:rsidRPr="00CA3533">
        <w:rPr>
          <w:lang w:val="fr-FR" w:eastAsia="en-US"/>
        </w:rPr>
        <w:t>6.6.1.3</w:t>
      </w:r>
      <w:r w:rsidRPr="00CA3533">
        <w:rPr>
          <w:lang w:val="fr-FR" w:eastAsia="en-US"/>
        </w:rPr>
        <w:tab/>
      </w:r>
      <w:r w:rsidRPr="00CA3533">
        <w:rPr>
          <w:lang w:val="fr-FR" w:eastAsia="en-US"/>
        </w:rPr>
        <w:tab/>
      </w:r>
      <w:r w:rsidRPr="00CA3533">
        <w:rPr>
          <w:rFonts w:eastAsiaTheme="minorHAnsi"/>
          <w:lang w:val="fr-FR" w:eastAsia="en-US"/>
        </w:rPr>
        <w:t>Dans la deuxième phrase, remplacer « aux épreuves décrites » par « aux prescriptions décrites. ».</w:t>
      </w:r>
    </w:p>
    <w:p w14:paraId="5BBCF7CD" w14:textId="77777777" w:rsidR="00CA3533" w:rsidRPr="00CA3533" w:rsidRDefault="00CA3533" w:rsidP="00CA3533">
      <w:pPr>
        <w:keepNext/>
        <w:keepLines/>
        <w:tabs>
          <w:tab w:val="right" w:pos="851"/>
        </w:tabs>
        <w:spacing w:before="360" w:after="240" w:line="270" w:lineRule="exact"/>
        <w:ind w:left="1134" w:right="1134" w:hanging="1134"/>
        <w:rPr>
          <w:b/>
          <w:sz w:val="24"/>
          <w:lang w:val="fr-FR"/>
        </w:rPr>
      </w:pPr>
      <w:r w:rsidRPr="00CA3533">
        <w:rPr>
          <w:b/>
          <w:sz w:val="24"/>
          <w:lang w:val="fr-FR"/>
        </w:rPr>
        <w:tab/>
      </w:r>
      <w:r w:rsidRPr="00CA3533">
        <w:rPr>
          <w:b/>
          <w:sz w:val="24"/>
          <w:lang w:val="fr-FR"/>
        </w:rPr>
        <w:tab/>
        <w:t>Chapitre 6.7</w:t>
      </w:r>
    </w:p>
    <w:p w14:paraId="62D260EC" w14:textId="77777777" w:rsidR="00E27B0E" w:rsidRDefault="00CA3533" w:rsidP="00E27B0E">
      <w:pPr>
        <w:spacing w:after="120"/>
        <w:ind w:left="2268" w:right="1134" w:hanging="1134"/>
        <w:jc w:val="both"/>
        <w:rPr>
          <w:lang w:val="fr-FR"/>
        </w:rPr>
      </w:pPr>
      <w:r w:rsidRPr="00CA3533">
        <w:rPr>
          <w:lang w:val="fr-FR"/>
        </w:rPr>
        <w:t>6.7</w:t>
      </w:r>
      <w:r w:rsidRPr="00CA3533">
        <w:rPr>
          <w:lang w:val="fr-FR"/>
        </w:rPr>
        <w:tab/>
        <w:t>Au début du chapitre 6.7, numéroter le Nota en tant que Nota 1 et ajouter un nouveau Nota 2 libellé comme suit :</w:t>
      </w:r>
    </w:p>
    <w:p w14:paraId="4600F456" w14:textId="23A45AB4" w:rsidR="00CA3533" w:rsidRPr="00CA3533" w:rsidRDefault="00CA3533" w:rsidP="00E27B0E">
      <w:pPr>
        <w:spacing w:after="120"/>
        <w:ind w:left="2268" w:right="1134" w:hanging="1134"/>
        <w:jc w:val="both"/>
        <w:rPr>
          <w:lang w:val="fr-FR"/>
        </w:rPr>
      </w:pPr>
      <w:r w:rsidRPr="00CA3533">
        <w:rPr>
          <w:lang w:val="fr-FR"/>
        </w:rPr>
        <w:t>« </w:t>
      </w:r>
      <w:r w:rsidRPr="00CA3533">
        <w:rPr>
          <w:b/>
          <w:bCs/>
          <w:i/>
          <w:iCs/>
          <w:lang w:val="fr-FR"/>
        </w:rPr>
        <w:t>2 :</w:t>
      </w:r>
      <w:r w:rsidRPr="00CA3533">
        <w:rPr>
          <w:i/>
          <w:iCs/>
          <w:lang w:val="fr-FR"/>
        </w:rPr>
        <w:t xml:space="preserve"> </w:t>
      </w:r>
      <w:r w:rsidR="002F110B">
        <w:rPr>
          <w:i/>
          <w:iCs/>
          <w:lang w:val="fr-FR"/>
        </w:rPr>
        <w:tab/>
      </w:r>
      <w:r w:rsidRPr="00CA3533">
        <w:rPr>
          <w:i/>
          <w:iCs/>
          <w:lang w:val="fr-FR"/>
        </w:rPr>
        <w:t>Les prescriptions du présent chapitre s’appliquent également aux citernes mobiles en matière plastique renforcée de fibres (PRF) dans les conditions indiquées au chapitre 6.9.</w:t>
      </w:r>
      <w:r w:rsidRPr="00CA3533">
        <w:rPr>
          <w:lang w:val="fr-FR"/>
        </w:rPr>
        <w:t> »</w:t>
      </w:r>
    </w:p>
    <w:p w14:paraId="7BA33C93" w14:textId="7A201D5B" w:rsidR="00CA3533" w:rsidRPr="00CA3533" w:rsidRDefault="00CA3533" w:rsidP="00CA3533">
      <w:pPr>
        <w:tabs>
          <w:tab w:val="left" w:pos="2268"/>
        </w:tabs>
        <w:spacing w:after="120"/>
        <w:ind w:left="2268" w:right="1134" w:hanging="1134"/>
        <w:jc w:val="both"/>
        <w:rPr>
          <w:i/>
          <w:iCs/>
          <w:lang w:val="fr-FR" w:eastAsia="en-US"/>
        </w:rPr>
      </w:pPr>
      <w:r w:rsidRPr="00CA3533">
        <w:rPr>
          <w:lang w:val="fr-FR" w:eastAsia="en-US"/>
        </w:rPr>
        <w:tab/>
        <w:t>Dans le Nota 1, remplacer « pour les citernes en matière plastique renforcée de fibres voir chapitre 6.9 » par «</w:t>
      </w:r>
      <w:r w:rsidR="004150DC">
        <w:rPr>
          <w:lang w:val="fr-FR" w:eastAsia="en-US"/>
        </w:rPr>
        <w:t> </w:t>
      </w:r>
      <w:r w:rsidRPr="00CA3533">
        <w:rPr>
          <w:lang w:val="fr-FR" w:eastAsia="en-US"/>
        </w:rPr>
        <w:t>pour les citernes fixes (véhicules-citernes), citernes démontables, conteneurs-citernes et caisses mobiles citernes dont les réservoirs sont constitués de matière plastique renforcée de fibres, voir chapitre 6.13</w:t>
      </w:r>
      <w:r w:rsidR="004150DC">
        <w:rPr>
          <w:lang w:val="fr-FR" w:eastAsia="en-US"/>
        </w:rPr>
        <w:t> </w:t>
      </w:r>
      <w:r w:rsidRPr="00CA3533">
        <w:rPr>
          <w:lang w:val="fr-FR" w:eastAsia="en-US"/>
        </w:rPr>
        <w:t>»</w:t>
      </w:r>
      <w:r w:rsidR="006E12BB">
        <w:rPr>
          <w:lang w:val="fr-FR" w:eastAsia="en-US"/>
        </w:rPr>
        <w:t xml:space="preserve"> et déplacer ce membre de phrase à la fin de </w:t>
      </w:r>
      <w:r w:rsidR="00F06D42">
        <w:rPr>
          <w:lang w:val="fr-FR" w:eastAsia="en-US"/>
        </w:rPr>
        <w:t>la phrase</w:t>
      </w:r>
      <w:r w:rsidRPr="00CA3533">
        <w:rPr>
          <w:lang w:val="fr-FR" w:eastAsia="en-US"/>
        </w:rPr>
        <w:t>.</w:t>
      </w:r>
      <w:r w:rsidRPr="00CA3533">
        <w:rPr>
          <w:i/>
          <w:iCs/>
          <w:lang w:val="fr-FR" w:eastAsia="en-US"/>
        </w:rPr>
        <w:t xml:space="preserve"> </w:t>
      </w:r>
    </w:p>
    <w:p w14:paraId="40C859CE" w14:textId="77777777" w:rsidR="00E27B0E" w:rsidRDefault="00CA3533" w:rsidP="00E27B0E">
      <w:pPr>
        <w:spacing w:after="120"/>
        <w:ind w:left="2268" w:right="1134" w:hanging="1134"/>
        <w:jc w:val="both"/>
        <w:rPr>
          <w:lang w:val="fr-FR"/>
        </w:rPr>
      </w:pPr>
      <w:r w:rsidRPr="00CA3533">
        <w:rPr>
          <w:lang w:val="fr-FR"/>
        </w:rPr>
        <w:t>6.7.3.8.1.1</w:t>
      </w:r>
      <w:r w:rsidRPr="00CA3533">
        <w:rPr>
          <w:lang w:val="fr-FR"/>
        </w:rPr>
        <w:tab/>
        <w:t>Supprimer la note de bas de page 5 et renuméroter les notes de bas de page du chapitre 6.7 en conséquence. Ajouter un nouveau Nota à la fin de 6.7.3.8.1.1 avec le texte de cette note comme suit :</w:t>
      </w:r>
    </w:p>
    <w:p w14:paraId="726A0C18" w14:textId="4B2BEE59" w:rsidR="00CA3533" w:rsidRPr="00CA3533" w:rsidRDefault="00CA3533" w:rsidP="00E27B0E">
      <w:pPr>
        <w:spacing w:after="120"/>
        <w:ind w:left="2268" w:right="1134" w:hanging="1134"/>
        <w:jc w:val="both"/>
        <w:rPr>
          <w:lang w:val="fr-FR"/>
        </w:rPr>
      </w:pPr>
      <w:r w:rsidRPr="00CA3533">
        <w:rPr>
          <w:lang w:val="fr-FR" w:eastAsia="en-US"/>
        </w:rPr>
        <w:t>« </w:t>
      </w:r>
      <w:r w:rsidRPr="00CA3533">
        <w:rPr>
          <w:b/>
          <w:bCs/>
          <w:i/>
          <w:iCs/>
          <w:lang w:val="fr-FR" w:eastAsia="en-US"/>
        </w:rPr>
        <w:t>NOTA :</w:t>
      </w:r>
      <w:r w:rsidRPr="00CA3533">
        <w:rPr>
          <w:i/>
          <w:iCs/>
          <w:lang w:val="fr-FR" w:eastAsia="en-US"/>
        </w:rPr>
        <w:t xml:space="preserve"> </w:t>
      </w:r>
      <w:r w:rsidR="00E27B0E">
        <w:rPr>
          <w:i/>
          <w:iCs/>
          <w:lang w:val="fr-FR" w:eastAsia="en-US"/>
        </w:rPr>
        <w:tab/>
      </w:r>
      <w:r w:rsidRPr="00CA3533">
        <w:rPr>
          <w:i/>
          <w:iCs/>
          <w:lang w:val="fr-FR" w:eastAsia="en-US"/>
        </w:rPr>
        <w:t xml:space="preserve">Cette formule ne s’applique qu’aux gaz liquéfiés non réfrigérés dont la température critique est bien supérieure à la température à la condition d’accumulation. Pour les gaz qui ont des températures critiques proches de la température à la condition d’accumulation ou inférieure à celle-ci, le calcul du débit combiné des dispositifs de décompression doit tenir compte des autres propriétés thermodynamiques du gaz (voir par exemple CGA S-1.2-2003 “Pressure Relief </w:t>
      </w:r>
      <w:proofErr w:type="spellStart"/>
      <w:r w:rsidRPr="00CA3533">
        <w:rPr>
          <w:i/>
          <w:iCs/>
          <w:lang w:val="fr-FR" w:eastAsia="en-US"/>
        </w:rPr>
        <w:t>Device</w:t>
      </w:r>
      <w:proofErr w:type="spellEnd"/>
      <w:r w:rsidRPr="00CA3533">
        <w:rPr>
          <w:i/>
          <w:iCs/>
          <w:lang w:val="fr-FR" w:eastAsia="en-US"/>
        </w:rPr>
        <w:t xml:space="preserve"> Standards − Part 2 − Cargo and Portable Tanks for Compressed </w:t>
      </w:r>
      <w:proofErr w:type="spellStart"/>
      <w:r w:rsidRPr="00CA3533">
        <w:rPr>
          <w:i/>
          <w:iCs/>
          <w:lang w:val="fr-FR" w:eastAsia="en-US"/>
        </w:rPr>
        <w:t>Gases</w:t>
      </w:r>
      <w:proofErr w:type="spellEnd"/>
      <w:r w:rsidRPr="00CA3533">
        <w:rPr>
          <w:i/>
          <w:iCs/>
          <w:lang w:val="fr-FR" w:eastAsia="en-US"/>
        </w:rPr>
        <w:t>”).</w:t>
      </w:r>
      <w:r w:rsidRPr="00CA3533">
        <w:rPr>
          <w:lang w:val="fr-FR" w:eastAsia="en-US"/>
        </w:rPr>
        <w:t> »</w:t>
      </w:r>
    </w:p>
    <w:p w14:paraId="7A5CD9B0" w14:textId="77777777" w:rsidR="00CA3533" w:rsidRPr="00CA3533" w:rsidRDefault="00CA3533" w:rsidP="00CA3533">
      <w:pPr>
        <w:keepNext/>
        <w:keepLines/>
        <w:tabs>
          <w:tab w:val="right" w:pos="851"/>
        </w:tabs>
        <w:spacing w:before="360" w:after="240" w:line="270" w:lineRule="exact"/>
        <w:ind w:left="1134" w:right="1134" w:hanging="1134"/>
        <w:rPr>
          <w:rFonts w:asciiTheme="majorBidi" w:hAnsiTheme="majorBidi" w:cstheme="majorBidi"/>
          <w:b/>
          <w:sz w:val="24"/>
          <w:lang w:val="fr-FR"/>
        </w:rPr>
      </w:pPr>
      <w:r w:rsidRPr="00CA3533">
        <w:rPr>
          <w:rFonts w:asciiTheme="majorBidi" w:hAnsiTheme="majorBidi" w:cstheme="majorBidi"/>
          <w:b/>
          <w:sz w:val="24"/>
          <w:lang w:val="fr-FR"/>
        </w:rPr>
        <w:lastRenderedPageBreak/>
        <w:tab/>
      </w:r>
      <w:r w:rsidRPr="00CA3533">
        <w:rPr>
          <w:rFonts w:asciiTheme="majorBidi" w:hAnsiTheme="majorBidi" w:cstheme="majorBidi"/>
          <w:b/>
          <w:sz w:val="24"/>
          <w:lang w:val="fr-FR"/>
        </w:rPr>
        <w:tab/>
      </w:r>
      <w:r w:rsidRPr="00CA3533">
        <w:rPr>
          <w:b/>
          <w:sz w:val="24"/>
          <w:lang w:val="fr-FR"/>
        </w:rPr>
        <w:t>Chapitre</w:t>
      </w:r>
      <w:r w:rsidRPr="00CA3533">
        <w:rPr>
          <w:rFonts w:asciiTheme="majorBidi" w:hAnsiTheme="majorBidi" w:cstheme="majorBidi"/>
          <w:b/>
          <w:sz w:val="24"/>
          <w:lang w:val="fr-FR"/>
        </w:rPr>
        <w:t xml:space="preserve"> 6.8</w:t>
      </w:r>
      <w:r w:rsidRPr="00CA3533">
        <w:rPr>
          <w:rFonts w:asciiTheme="majorBidi" w:hAnsiTheme="majorBidi" w:cstheme="majorBidi"/>
          <w:b/>
          <w:sz w:val="24"/>
          <w:lang w:val="fr-FR"/>
        </w:rPr>
        <w:tab/>
      </w:r>
      <w:r w:rsidRPr="00CA3533">
        <w:rPr>
          <w:rFonts w:asciiTheme="majorBidi" w:hAnsiTheme="majorBidi" w:cstheme="majorBidi"/>
          <w:b/>
          <w:sz w:val="24"/>
          <w:lang w:val="fr-FR"/>
        </w:rPr>
        <w:tab/>
      </w:r>
      <w:r w:rsidRPr="00CA3533">
        <w:rPr>
          <w:rFonts w:asciiTheme="majorBidi" w:hAnsiTheme="majorBidi" w:cstheme="majorBidi"/>
          <w:b/>
          <w:sz w:val="24"/>
          <w:lang w:val="fr-FR"/>
        </w:rPr>
        <w:tab/>
      </w:r>
      <w:r w:rsidRPr="00CA3533">
        <w:rPr>
          <w:rFonts w:asciiTheme="majorBidi" w:hAnsiTheme="majorBidi" w:cstheme="majorBidi"/>
          <w:b/>
          <w:sz w:val="24"/>
          <w:lang w:val="fr-FR"/>
        </w:rPr>
        <w:tab/>
      </w:r>
      <w:r w:rsidRPr="00CA3533">
        <w:rPr>
          <w:rFonts w:asciiTheme="majorBidi" w:hAnsiTheme="majorBidi" w:cstheme="majorBidi"/>
          <w:b/>
          <w:sz w:val="24"/>
          <w:lang w:val="fr-FR"/>
        </w:rPr>
        <w:tab/>
      </w:r>
      <w:r w:rsidRPr="00CA3533">
        <w:rPr>
          <w:rFonts w:asciiTheme="majorBidi" w:hAnsiTheme="majorBidi" w:cstheme="majorBidi"/>
          <w:b/>
          <w:sz w:val="24"/>
          <w:lang w:val="fr-FR"/>
        </w:rPr>
        <w:tab/>
      </w:r>
      <w:r w:rsidRPr="00CA3533">
        <w:rPr>
          <w:rFonts w:asciiTheme="majorBidi" w:hAnsiTheme="majorBidi" w:cstheme="majorBidi"/>
          <w:b/>
          <w:sz w:val="24"/>
          <w:lang w:val="fr-FR"/>
        </w:rPr>
        <w:tab/>
      </w:r>
    </w:p>
    <w:p w14:paraId="57181B4A" w14:textId="15DE6DC0" w:rsidR="00CA3533" w:rsidRPr="00CA3533" w:rsidRDefault="00CA3533" w:rsidP="00CA3533">
      <w:pPr>
        <w:tabs>
          <w:tab w:val="left" w:pos="2268"/>
        </w:tabs>
        <w:spacing w:after="120"/>
        <w:ind w:left="2268" w:right="1134" w:hanging="1134"/>
        <w:jc w:val="both"/>
        <w:rPr>
          <w:i/>
          <w:iCs/>
          <w:lang w:val="fr-FR" w:eastAsia="en-US"/>
        </w:rPr>
      </w:pPr>
      <w:r w:rsidRPr="00CA3533">
        <w:rPr>
          <w:lang w:val="fr-FR" w:eastAsia="en-US"/>
        </w:rPr>
        <w:t xml:space="preserve">Dans le Nota 1 sous le titre, </w:t>
      </w:r>
      <w:r w:rsidR="00B516E0">
        <w:rPr>
          <w:lang w:val="fr-FR" w:eastAsia="en-US"/>
        </w:rPr>
        <w:t>après</w:t>
      </w:r>
      <w:r w:rsidR="00B516E0" w:rsidRPr="00CA3533">
        <w:rPr>
          <w:lang w:val="fr-FR" w:eastAsia="en-US"/>
        </w:rPr>
        <w:t xml:space="preserve"> </w:t>
      </w:r>
      <w:r w:rsidRPr="00CA3533">
        <w:rPr>
          <w:lang w:val="fr-FR" w:eastAsia="en-US"/>
        </w:rPr>
        <w:t xml:space="preserve">« chapitre 6.9 » </w:t>
      </w:r>
      <w:r w:rsidR="00B516E0">
        <w:rPr>
          <w:lang w:val="fr-FR" w:eastAsia="en-US"/>
        </w:rPr>
        <w:t>ajouter</w:t>
      </w:r>
      <w:r w:rsidR="00B516E0" w:rsidRPr="00CA3533">
        <w:rPr>
          <w:lang w:val="fr-FR" w:eastAsia="en-US"/>
        </w:rPr>
        <w:t xml:space="preserve"> </w:t>
      </w:r>
      <w:r w:rsidRPr="00CA3533">
        <w:rPr>
          <w:lang w:val="fr-FR" w:eastAsia="en-US"/>
        </w:rPr>
        <w:t>« ou chapitre 6.13 selon le cas ».</w:t>
      </w:r>
      <w:r w:rsidRPr="00CA3533">
        <w:rPr>
          <w:i/>
          <w:iCs/>
          <w:lang w:val="fr-FR" w:eastAsia="en-US"/>
        </w:rPr>
        <w:t xml:space="preserve"> </w:t>
      </w:r>
    </w:p>
    <w:p w14:paraId="540EE59A" w14:textId="77777777" w:rsidR="00CA3533" w:rsidRPr="00CA3533" w:rsidRDefault="00CA3533" w:rsidP="00CA3533">
      <w:pPr>
        <w:spacing w:after="120"/>
        <w:ind w:left="1134" w:right="1134"/>
        <w:jc w:val="both"/>
        <w:rPr>
          <w:rFonts w:eastAsiaTheme="minorHAnsi"/>
          <w:lang w:val="fr-FR" w:eastAsia="en-US"/>
        </w:rPr>
      </w:pPr>
      <w:r w:rsidRPr="00CA3533">
        <w:rPr>
          <w:rFonts w:eastAsiaTheme="minorHAnsi"/>
          <w:lang w:val="fr-FR" w:eastAsia="en-US"/>
        </w:rPr>
        <w:t>Sous le titre, ajouter un nouveau Nota 3 comme suit :</w:t>
      </w:r>
    </w:p>
    <w:p w14:paraId="5A8B2321" w14:textId="2F3CD4F4" w:rsidR="00CA3533" w:rsidRPr="00CA3533" w:rsidRDefault="00CA3533" w:rsidP="00CA3533">
      <w:pPr>
        <w:spacing w:after="120"/>
        <w:ind w:left="2268" w:right="1134" w:hanging="1134"/>
        <w:jc w:val="both"/>
        <w:rPr>
          <w:rFonts w:eastAsiaTheme="minorHAnsi"/>
          <w:b/>
          <w:i/>
          <w:lang w:val="fr-FR" w:eastAsia="en-US"/>
        </w:rPr>
      </w:pPr>
      <w:r w:rsidRPr="00CA3533">
        <w:rPr>
          <w:rFonts w:eastAsiaTheme="minorHAnsi"/>
          <w:lang w:val="fr-FR" w:eastAsia="en-US"/>
        </w:rPr>
        <w:t>« </w:t>
      </w:r>
      <w:r w:rsidRPr="00134569">
        <w:rPr>
          <w:rFonts w:eastAsiaTheme="minorHAnsi"/>
          <w:b/>
          <w:bCs/>
          <w:i/>
          <w:iCs/>
          <w:lang w:val="fr-FR" w:eastAsia="en-US"/>
        </w:rPr>
        <w:t xml:space="preserve">3 : </w:t>
      </w:r>
      <w:r w:rsidR="0052695D">
        <w:rPr>
          <w:rFonts w:eastAsiaTheme="minorHAnsi"/>
          <w:i/>
          <w:iCs/>
          <w:lang w:val="fr-FR" w:eastAsia="en-US"/>
        </w:rPr>
        <w:tab/>
      </w:r>
      <w:r w:rsidRPr="00CA3533">
        <w:rPr>
          <w:rFonts w:eastAsiaTheme="minorHAnsi"/>
          <w:i/>
          <w:iCs/>
          <w:lang w:val="fr-FR" w:eastAsia="en-US"/>
        </w:rPr>
        <w:t>Dans le présent chapitre, par “organisme de contrôle” on entend un organisme conforme au 1.8.6. </w:t>
      </w:r>
      <w:r w:rsidRPr="00CA3533">
        <w:rPr>
          <w:rFonts w:eastAsiaTheme="minorHAnsi"/>
          <w:lang w:val="fr-FR" w:eastAsia="en-US"/>
        </w:rPr>
        <w:t>»</w:t>
      </w:r>
    </w:p>
    <w:p w14:paraId="03B51B5A" w14:textId="77777777" w:rsidR="00CA3533" w:rsidRPr="00CA3533" w:rsidRDefault="00CA3533" w:rsidP="00CA3533">
      <w:pPr>
        <w:tabs>
          <w:tab w:val="left" w:pos="2268"/>
        </w:tabs>
        <w:spacing w:after="120"/>
        <w:ind w:left="1134" w:right="1134"/>
        <w:jc w:val="both"/>
        <w:rPr>
          <w:i/>
          <w:iCs/>
          <w:lang w:val="fr-FR" w:eastAsia="en-GB"/>
        </w:rPr>
      </w:pPr>
      <w:r w:rsidRPr="00CA3533">
        <w:rPr>
          <w:lang w:val="fr-FR" w:eastAsia="en-US"/>
        </w:rPr>
        <w:t>6.8.1</w:t>
      </w:r>
      <w:r w:rsidRPr="00CA3533">
        <w:rPr>
          <w:lang w:val="fr-FR" w:eastAsia="en-US"/>
        </w:rPr>
        <w:tab/>
        <w:t>Remplacer le titre par : « Champ d’application et dispositions générales ».</w:t>
      </w:r>
      <w:r w:rsidRPr="00CA3533">
        <w:rPr>
          <w:i/>
          <w:iCs/>
          <w:lang w:val="fr-FR" w:eastAsia="en-GB"/>
        </w:rPr>
        <w:t xml:space="preserve"> </w:t>
      </w:r>
    </w:p>
    <w:p w14:paraId="1B5C1B33" w14:textId="77777777" w:rsidR="00CA3533" w:rsidRPr="00CA3533" w:rsidRDefault="00CA3533" w:rsidP="00CA3533">
      <w:pPr>
        <w:spacing w:after="120"/>
        <w:ind w:left="1134" w:right="1134"/>
        <w:jc w:val="both"/>
        <w:rPr>
          <w:rFonts w:eastAsiaTheme="minorHAnsi"/>
          <w:b/>
          <w:lang w:val="fr-FR" w:eastAsia="en-US"/>
        </w:rPr>
      </w:pPr>
      <w:r w:rsidRPr="00CA3533">
        <w:rPr>
          <w:rFonts w:eastAsiaTheme="minorHAnsi"/>
          <w:lang w:val="fr-FR" w:eastAsia="en-US"/>
        </w:rPr>
        <w:t>Ajouter la nouvelle sous-section 6.8.1.5 suivante :</w:t>
      </w:r>
    </w:p>
    <w:p w14:paraId="378C39A9" w14:textId="77777777" w:rsidR="00CA3533" w:rsidRPr="00CA3533" w:rsidRDefault="00CA3533" w:rsidP="00CA3533">
      <w:pPr>
        <w:spacing w:after="120"/>
        <w:ind w:left="2268" w:right="1134" w:hanging="1134"/>
        <w:jc w:val="both"/>
        <w:rPr>
          <w:rFonts w:eastAsiaTheme="minorHAnsi"/>
          <w:b/>
          <w:lang w:val="fr-FR" w:eastAsia="en-US"/>
        </w:rPr>
      </w:pPr>
      <w:r w:rsidRPr="00CA3533">
        <w:rPr>
          <w:rFonts w:eastAsiaTheme="minorHAnsi"/>
          <w:lang w:val="fr-FR" w:eastAsia="en-US"/>
        </w:rPr>
        <w:t>« </w:t>
      </w:r>
      <w:r w:rsidRPr="00CA3533">
        <w:rPr>
          <w:rFonts w:eastAsiaTheme="minorHAnsi"/>
          <w:b/>
          <w:bCs/>
          <w:lang w:val="fr-FR" w:eastAsia="en-US"/>
        </w:rPr>
        <w:t>6.8.1.5</w:t>
      </w:r>
      <w:r w:rsidRPr="00CA3533">
        <w:rPr>
          <w:rFonts w:eastAsiaTheme="minorHAnsi"/>
          <w:lang w:val="fr-FR" w:eastAsia="en-US"/>
        </w:rPr>
        <w:tab/>
      </w:r>
      <w:r w:rsidRPr="00CA3533">
        <w:rPr>
          <w:rFonts w:eastAsiaTheme="minorHAnsi"/>
          <w:b/>
          <w:bCs/>
          <w:i/>
          <w:iCs/>
          <w:lang w:val="fr-FR" w:eastAsia="en-US"/>
        </w:rPr>
        <w:t>Procédures d’évaluation de la conformité, d’agrément de type et de contrôles</w:t>
      </w:r>
    </w:p>
    <w:p w14:paraId="198CE2D6"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ab/>
        <w:t>Les dispositions suivantes indiquent comment appliquer les procédures du 1.8.7.</w:t>
      </w:r>
    </w:p>
    <w:p w14:paraId="4CE6E86F"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b/>
          <w:bCs/>
          <w:i/>
          <w:iCs/>
          <w:lang w:val="fr-FR" w:eastAsia="fr-FR"/>
        </w:rPr>
        <w:t>NOTA :</w:t>
      </w:r>
      <w:r w:rsidRPr="00CA3533">
        <w:rPr>
          <w:rFonts w:eastAsiaTheme="minorHAnsi"/>
          <w:i/>
          <w:iCs/>
          <w:lang w:val="fr-FR" w:eastAsia="fr-FR"/>
        </w:rPr>
        <w:t> </w:t>
      </w:r>
      <w:r w:rsidRPr="00CA3533">
        <w:rPr>
          <w:rFonts w:eastAsiaTheme="minorHAnsi"/>
          <w:i/>
          <w:iCs/>
          <w:lang w:val="fr-FR" w:eastAsia="fr-FR"/>
        </w:rPr>
        <w:tab/>
        <w:t>Ces dispositions s'appliquent, sous réserve du respect par les organismes de contrôle des dispositions du 1.8.6, et sans préjudice des droits et obligations, notamment de notification et de reconnaissance, fixés pour eux par des accords ou des actes juridiques (par exemple la directive 2010/35/UE) contraignant par ailleurs les Parties contractantes de l'ADR.</w:t>
      </w:r>
    </w:p>
    <w:p w14:paraId="516FC91C"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ab/>
        <w:t>Aux fins de cette sous-section, on entend par “pays d’immatriculation” :</w:t>
      </w:r>
    </w:p>
    <w:tbl>
      <w:tblPr>
        <w:tblStyle w:val="TableGrid20"/>
        <w:tblW w:w="6237" w:type="dxa"/>
        <w:tblInd w:w="22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948"/>
        <w:gridCol w:w="3289"/>
      </w:tblGrid>
      <w:tr w:rsidR="00CA3533" w:rsidRPr="00CA3533" w14:paraId="3EE78DCE" w14:textId="77777777" w:rsidTr="00D56820">
        <w:tc>
          <w:tcPr>
            <w:tcW w:w="2948" w:type="dxa"/>
            <w:shd w:val="clear" w:color="auto" w:fill="auto"/>
          </w:tcPr>
          <w:p w14:paraId="48830865" w14:textId="66DAEA5D" w:rsidR="00CA3533" w:rsidRPr="00CA3533" w:rsidRDefault="00CA3533" w:rsidP="00C00616">
            <w:pPr>
              <w:spacing w:before="40" w:after="120"/>
              <w:ind w:left="141" w:right="113" w:hanging="141"/>
              <w:jc w:val="both"/>
            </w:pPr>
            <w:bookmarkStart w:id="27" w:name="_Hlk79153516"/>
            <w:r w:rsidRPr="00CA3533">
              <w:t>− la Partie contractante à l’ADR d’immatriculation du véhicule sur lequel la citerne est montée ;</w:t>
            </w:r>
          </w:p>
        </w:tc>
        <w:tc>
          <w:tcPr>
            <w:tcW w:w="3289" w:type="dxa"/>
            <w:shd w:val="clear" w:color="auto" w:fill="auto"/>
          </w:tcPr>
          <w:p w14:paraId="65E5E0A2" w14:textId="6C510864" w:rsidR="00CA3533" w:rsidRPr="00CA3533" w:rsidRDefault="00CA3533" w:rsidP="00C00616">
            <w:pPr>
              <w:spacing w:before="40" w:after="120"/>
              <w:ind w:left="168" w:right="113" w:hanging="111"/>
              <w:jc w:val="both"/>
            </w:pPr>
            <w:r w:rsidRPr="00CA3533">
              <w:t>− la Partie contractante à l’ADR où est enregistré le propriétaire ou l’exploitant</w:t>
            </w:r>
            <w:r w:rsidR="00B62A29">
              <w:t> ;</w:t>
            </w:r>
          </w:p>
        </w:tc>
      </w:tr>
      <w:tr w:rsidR="00CA3533" w:rsidRPr="00CA3533" w14:paraId="0C4ADA8B" w14:textId="77777777" w:rsidTr="00D56820">
        <w:tc>
          <w:tcPr>
            <w:tcW w:w="2948" w:type="dxa"/>
            <w:shd w:val="clear" w:color="auto" w:fill="auto"/>
          </w:tcPr>
          <w:p w14:paraId="5437E157" w14:textId="6525A19D" w:rsidR="00CA3533" w:rsidRPr="00CA3533" w:rsidRDefault="00CA3533" w:rsidP="00C00616">
            <w:pPr>
              <w:spacing w:before="40" w:after="120"/>
              <w:ind w:left="141" w:right="113" w:hanging="141"/>
              <w:jc w:val="both"/>
            </w:pPr>
            <w:r w:rsidRPr="00CA3533">
              <w:t>− pour les citernes démontables, la Partie contractante à l’ADR où est enregistrée le propriétaire ou l’exploitant.</w:t>
            </w:r>
          </w:p>
        </w:tc>
        <w:tc>
          <w:tcPr>
            <w:tcW w:w="3289" w:type="dxa"/>
            <w:shd w:val="clear" w:color="auto" w:fill="auto"/>
          </w:tcPr>
          <w:p w14:paraId="7ECCA7B6" w14:textId="312453FE" w:rsidR="00CA3533" w:rsidRPr="00CA3533" w:rsidRDefault="00CA3533" w:rsidP="00C00616">
            <w:pPr>
              <w:spacing w:before="40" w:after="120"/>
              <w:ind w:left="168" w:right="113" w:hanging="111"/>
              <w:jc w:val="both"/>
            </w:pPr>
            <w:r w:rsidRPr="00CA3533">
              <w:t>− si le propriétaire ou l’exploitant n’est pas connu, la Partie contractante à l’ADR de l’autorité compétente qui a agréé l’organisme de contrôle qui a effectué le contrôle initial. Nonobstant le 1.6.4.57, ces organismes de contrôle doivent être accrédités selon la norme EN ISO/CEI 17020:2012 (sauf article 8.1.3) type A.</w:t>
            </w:r>
          </w:p>
        </w:tc>
      </w:tr>
    </w:tbl>
    <w:bookmarkEnd w:id="27"/>
    <w:p w14:paraId="2EAECFDA" w14:textId="7CB7247A"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L’évaluation de la conformité d’une citerne doit permettre de vérifier que tous les éléments qui la composent sont conformes aux prescriptions de l’ADR, où qu’ils aient été fabriqués.</w:t>
      </w:r>
    </w:p>
    <w:p w14:paraId="0368B15F" w14:textId="77777777" w:rsidR="00CA3533" w:rsidRPr="00CA3533" w:rsidRDefault="00CA3533" w:rsidP="00CA3533">
      <w:pPr>
        <w:keepNext/>
        <w:spacing w:after="120"/>
        <w:ind w:left="2268" w:right="1134" w:hanging="1134"/>
        <w:rPr>
          <w:rFonts w:eastAsiaTheme="minorHAnsi"/>
          <w:b/>
          <w:lang w:val="fr-FR" w:eastAsia="en-US"/>
        </w:rPr>
      </w:pPr>
      <w:r w:rsidRPr="00CA3533">
        <w:rPr>
          <w:rFonts w:eastAsiaTheme="minorHAnsi"/>
          <w:lang w:val="fr-FR" w:eastAsia="en-US"/>
        </w:rPr>
        <w:t>6.8.1.5.1</w:t>
      </w:r>
      <w:r w:rsidRPr="00CA3533">
        <w:rPr>
          <w:rFonts w:eastAsiaTheme="minorHAnsi"/>
          <w:lang w:val="fr-FR" w:eastAsia="en-US"/>
        </w:rPr>
        <w:tab/>
      </w:r>
      <w:r w:rsidRPr="00CA3533">
        <w:rPr>
          <w:rFonts w:eastAsiaTheme="minorHAnsi"/>
          <w:i/>
          <w:iCs/>
          <w:lang w:val="fr-FR" w:eastAsia="en-US"/>
        </w:rPr>
        <w:t>Examen de type conformément au 1.8.7.2.1</w:t>
      </w:r>
    </w:p>
    <w:p w14:paraId="62692E73" w14:textId="6A5039EC"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Le constructeur de la citerne doit faire appel à un organisme de contrôle unique agréé ou reconnu par l’autorité compétente du pays de construction ou du premier pays d’immatriculation de la première citerne construite de ce type pour assumer la responsabilité de l’examen de type. Si le pays de construction n’est pas une Partie contractante à l’ADR, le constructeur doit faire appel à un organisme de contrôle unique agréé ou reconnu par l’autorité compétente du pays d’immatriculation de la première citerne construite de ce type pour assumer la responsabilité de l’examen de type.</w:t>
      </w:r>
    </w:p>
    <w:p w14:paraId="7827E0AB"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b/>
          <w:bCs/>
          <w:i/>
          <w:iCs/>
          <w:lang w:val="fr-FR" w:eastAsia="fr-FR"/>
        </w:rPr>
        <w:tab/>
        <w:t>NOTA :</w:t>
      </w:r>
      <w:r w:rsidRPr="00CA3533">
        <w:rPr>
          <w:rFonts w:eastAsiaTheme="minorHAnsi"/>
          <w:i/>
          <w:iCs/>
          <w:lang w:val="fr-FR" w:eastAsia="fr-FR"/>
        </w:rPr>
        <w:t xml:space="preserve"> </w:t>
      </w:r>
      <w:r w:rsidRPr="00CA3533">
        <w:rPr>
          <w:rFonts w:eastAsiaTheme="minorHAnsi"/>
          <w:i/>
          <w:iCs/>
          <w:lang w:val="fr-FR" w:eastAsia="fr-FR"/>
        </w:rPr>
        <w:tab/>
        <w:t>Jusqu’au 31 décembre 2028, l’examen de type doit être effectué par un organisme de contrôle agréé ou reconnu par le pays d’immatriculation.</w:t>
      </w:r>
    </w:p>
    <w:p w14:paraId="2CE2F9BB" w14:textId="6AA8299A"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Si l’examen de type de l’équipement de service est effectué séparément de la citerne conformément au 6.8.2.3.1, le fabricant de l’équipement de service doit faire appel à un organisme de contrôle unique agréé ou reconnu par l’autorité compétente d’une Partie contractante à l’ADR pour assumer la responsabilité de l’examen de type.</w:t>
      </w:r>
    </w:p>
    <w:p w14:paraId="1A934D48" w14:textId="77777777" w:rsidR="00CA3533" w:rsidRPr="00CA3533" w:rsidRDefault="00CA3533" w:rsidP="00CA3533">
      <w:pPr>
        <w:keepNext/>
        <w:spacing w:after="120"/>
        <w:ind w:left="2268" w:right="1134" w:hanging="1134"/>
        <w:rPr>
          <w:rFonts w:eastAsiaTheme="minorHAnsi"/>
          <w:b/>
          <w:lang w:val="fr-FR" w:eastAsia="en-US"/>
        </w:rPr>
      </w:pPr>
      <w:r w:rsidRPr="00CA3533">
        <w:rPr>
          <w:rFonts w:eastAsiaTheme="minorHAnsi"/>
          <w:lang w:val="fr-FR" w:eastAsia="en-US"/>
        </w:rPr>
        <w:lastRenderedPageBreak/>
        <w:t>6.8.1.5.2</w:t>
      </w:r>
      <w:r w:rsidRPr="00CA3533">
        <w:rPr>
          <w:rFonts w:eastAsiaTheme="minorHAnsi"/>
          <w:lang w:val="fr-FR" w:eastAsia="en-US"/>
        </w:rPr>
        <w:tab/>
      </w:r>
      <w:r w:rsidRPr="00CA3533">
        <w:rPr>
          <w:rFonts w:eastAsiaTheme="minorHAnsi"/>
          <w:i/>
          <w:iCs/>
          <w:lang w:val="fr-FR" w:eastAsia="en-US"/>
        </w:rPr>
        <w:t>Délivrance du certificat d’agrément de type conformément au 1.8.7.2.2</w:t>
      </w:r>
    </w:p>
    <w:p w14:paraId="20088E89"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Seule l’autorité compétente ayant agréé ou reconnu l’organisme de contrôle qui a effectué l’examen de type délivre le certificat d’agrément de type.</w:t>
      </w:r>
    </w:p>
    <w:p w14:paraId="0350ED46"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Toutefois, lorsqu’un organisme de contrôle est désigné par l’autorité compétente pour délivrer le certificat d’agrément de type, l’examen de type doit être effectué par cet organisme de contrôle.</w:t>
      </w:r>
    </w:p>
    <w:p w14:paraId="52AB3F31" w14:textId="77777777" w:rsidR="00CA3533" w:rsidRPr="00CA3533" w:rsidRDefault="00CA3533" w:rsidP="00CA3533">
      <w:pPr>
        <w:keepNext/>
        <w:spacing w:after="120"/>
        <w:ind w:left="2268" w:right="1134" w:hanging="1134"/>
        <w:rPr>
          <w:rFonts w:eastAsiaTheme="minorHAnsi"/>
          <w:lang w:val="fr-FR" w:eastAsia="en-US"/>
        </w:rPr>
      </w:pPr>
      <w:r w:rsidRPr="00CA3533">
        <w:rPr>
          <w:rFonts w:eastAsiaTheme="minorHAnsi"/>
          <w:lang w:val="fr-FR" w:eastAsia="en-US"/>
        </w:rPr>
        <w:t>6.8.1.5.3</w:t>
      </w:r>
      <w:r w:rsidRPr="00CA3533">
        <w:rPr>
          <w:rFonts w:eastAsiaTheme="minorHAnsi"/>
          <w:lang w:val="fr-FR" w:eastAsia="en-US"/>
        </w:rPr>
        <w:tab/>
      </w:r>
      <w:r w:rsidRPr="00CA3533">
        <w:rPr>
          <w:rFonts w:eastAsiaTheme="minorHAnsi"/>
          <w:i/>
          <w:iCs/>
          <w:lang w:val="fr-FR" w:eastAsia="en-US"/>
        </w:rPr>
        <w:t>Suivi de fabrication conformément au 1.8.7.3</w:t>
      </w:r>
    </w:p>
    <w:p w14:paraId="0EA40D74" w14:textId="7C27D1D0"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Pour le suivi de fabrication, le constructeur de la citerne doit faire appel à un organisme de contrôle unique agréé ou reconnu par l’autorité compétente du pays d’immatriculation ou du pays de construction. Si le pays de construction n’est pas une Partie contractante à l’ADR, le constructeur doit faire appel à un organisme de contrôle unique agréé ou reconnu par le pays d’immatriculation.</w:t>
      </w:r>
    </w:p>
    <w:p w14:paraId="46A4CCAB" w14:textId="64C840E0"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Si l’examen de type de l’équipement de service est effectué séparément de la citerne, le fabricant de l’équipement de service doit faire appel pour le suivi de fabrication à un organisme de contrôle unique agréé ou reconnu par l’autorité compétente d’une Partie contractante à l’ADR. Le fabricant peut avoir recours à un service interne d’inspection conformément au 1.8.7.7 pour appliquer les procédures du 1.8.7.3.</w:t>
      </w:r>
    </w:p>
    <w:p w14:paraId="3B4C986F" w14:textId="77777777" w:rsidR="00CA3533" w:rsidRPr="00CA3533" w:rsidRDefault="00CA3533" w:rsidP="00CA3533">
      <w:pPr>
        <w:keepNext/>
        <w:spacing w:after="120"/>
        <w:ind w:left="2268" w:right="1134" w:hanging="1134"/>
        <w:rPr>
          <w:rFonts w:eastAsiaTheme="minorHAnsi"/>
          <w:b/>
          <w:lang w:val="fr-FR" w:eastAsia="en-US"/>
        </w:rPr>
      </w:pPr>
      <w:r w:rsidRPr="00CA3533">
        <w:rPr>
          <w:rFonts w:eastAsiaTheme="minorHAnsi"/>
          <w:lang w:val="fr-FR" w:eastAsia="en-US"/>
        </w:rPr>
        <w:t>6.8.1.5.4</w:t>
      </w:r>
      <w:r w:rsidRPr="00CA3533">
        <w:rPr>
          <w:rFonts w:eastAsiaTheme="minorHAnsi"/>
          <w:lang w:val="fr-FR" w:eastAsia="en-US"/>
        </w:rPr>
        <w:tab/>
      </w:r>
      <w:r w:rsidRPr="00CA3533">
        <w:rPr>
          <w:rFonts w:eastAsiaTheme="minorHAnsi"/>
          <w:i/>
          <w:iCs/>
          <w:lang w:val="fr-FR" w:eastAsia="en-US"/>
        </w:rPr>
        <w:t>Contrôles et épreuves initiaux conformément au 1.8.7.4</w:t>
      </w:r>
    </w:p>
    <w:p w14:paraId="0480ABC6" w14:textId="070D9CEC"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Le constructeur de la citerne doit faire appel à un organisme de contrôle unique agréé ou reconnu par l’autorité compétente du pays d’immatriculation ou du pays de construction pour assumer la responsabilité des contrôles et épreuves initiaux. Si le pays de construction n’est pas une Partie contractante à l’ADR, le constructeur doit faire appel à un organisme de contrôle unique agréé ou reconnu par le pays d’immatriculation pour assumer la responsabilité des contrôles et épreuves initiaux.</w:t>
      </w:r>
    </w:p>
    <w:p w14:paraId="574A8F6A" w14:textId="77777777"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b/>
          <w:bCs/>
          <w:i/>
          <w:iCs/>
          <w:lang w:val="fr-FR" w:eastAsia="fr-FR"/>
        </w:rPr>
        <w:tab/>
        <w:t xml:space="preserve">NOTA : </w:t>
      </w:r>
      <w:r w:rsidRPr="00CA3533">
        <w:rPr>
          <w:rFonts w:eastAsiaTheme="minorHAnsi"/>
          <w:i/>
          <w:iCs/>
          <w:lang w:val="fr-FR" w:eastAsia="fr-FR"/>
        </w:rPr>
        <w:tab/>
        <w:t>Jusqu’au 31 décembre 2032, le contrôle initial doit être effectué par un organisme de contrôle agréé ou reconnu par le pays d’immatriculation.</w:t>
      </w:r>
    </w:p>
    <w:p w14:paraId="626CB018" w14:textId="1A7914EF" w:rsidR="00CA3533" w:rsidRPr="00CA3533" w:rsidRDefault="00CA3533" w:rsidP="00CA3533">
      <w:pPr>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Si l’équipement de service est agréé par type séparément de la citerne, le fabricant de l’équipement de service doit faire appel au même organisme de contrôle unique engagé aux fins du 6.8.1.5.3 b) pour assumer la responsabilité des contrôles et épreuves initiaux. Le fabricant peut avoir recours à un service interne d’inspection conformément au 1.8.7.7 pour appliquer les procédures du 1.8.7.4.</w:t>
      </w:r>
    </w:p>
    <w:p w14:paraId="7EAC79B5" w14:textId="77777777" w:rsidR="00CA3533" w:rsidRPr="00CA3533" w:rsidRDefault="00CA3533" w:rsidP="00CA3533">
      <w:pPr>
        <w:keepNext/>
        <w:spacing w:after="120"/>
        <w:ind w:left="2268" w:right="1134" w:hanging="1134"/>
        <w:rPr>
          <w:rFonts w:eastAsiaTheme="minorHAnsi"/>
          <w:b/>
          <w:lang w:val="fr-FR" w:eastAsia="en-US"/>
        </w:rPr>
      </w:pPr>
      <w:r w:rsidRPr="00CA3533">
        <w:rPr>
          <w:rFonts w:eastAsiaTheme="minorHAnsi"/>
          <w:lang w:val="fr-FR" w:eastAsia="en-US"/>
        </w:rPr>
        <w:t>6.8.1.5.5</w:t>
      </w:r>
      <w:r w:rsidRPr="00CA3533">
        <w:rPr>
          <w:rFonts w:eastAsiaTheme="minorHAnsi"/>
          <w:lang w:val="fr-FR" w:eastAsia="en-US"/>
        </w:rPr>
        <w:tab/>
      </w:r>
      <w:r w:rsidRPr="00CA3533">
        <w:rPr>
          <w:rFonts w:eastAsiaTheme="minorHAnsi"/>
          <w:i/>
          <w:iCs/>
          <w:lang w:val="fr-FR" w:eastAsia="en-US"/>
        </w:rPr>
        <w:t>Vérification de mise en service conformément au 1.8.7.5</w:t>
      </w:r>
    </w:p>
    <w:tbl>
      <w:tblPr>
        <w:tblStyle w:val="TableGrid20"/>
        <w:tblW w:w="6237" w:type="dxa"/>
        <w:tblInd w:w="22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954"/>
        <w:gridCol w:w="3283"/>
      </w:tblGrid>
      <w:tr w:rsidR="00CA3533" w:rsidRPr="00CA3533" w14:paraId="5682AD81" w14:textId="77777777" w:rsidTr="008045E4">
        <w:tc>
          <w:tcPr>
            <w:tcW w:w="2954" w:type="dxa"/>
            <w:shd w:val="clear" w:color="auto" w:fill="auto"/>
          </w:tcPr>
          <w:p w14:paraId="7EA05270" w14:textId="65DDF12D" w:rsidR="00CA3533" w:rsidRPr="00CA3533" w:rsidRDefault="00CA3533" w:rsidP="00CA3533">
            <w:pPr>
              <w:spacing w:before="40" w:after="120"/>
              <w:ind w:right="113"/>
              <w:jc w:val="both"/>
            </w:pPr>
            <w:bookmarkStart w:id="28" w:name="_Hlk79153995"/>
            <w:r w:rsidRPr="00CA3533">
              <w:t>L’autorité compétente du pays de première immatriculation peut exiger, de manière occasionnelle, une vérification de mise en service de la citerne pour vérifier la conformité avec les prescriptions applicables.</w:t>
            </w:r>
          </w:p>
        </w:tc>
        <w:tc>
          <w:tcPr>
            <w:tcW w:w="3283" w:type="dxa"/>
            <w:shd w:val="clear" w:color="auto" w:fill="auto"/>
          </w:tcPr>
          <w:p w14:paraId="67878EEB" w14:textId="77777777" w:rsidR="00CA3533" w:rsidRPr="00CA3533" w:rsidRDefault="00CA3533" w:rsidP="00CA3533">
            <w:pPr>
              <w:spacing w:before="40" w:after="120"/>
              <w:ind w:left="113" w:right="113"/>
              <w:jc w:val="both"/>
            </w:pPr>
            <w:r w:rsidRPr="00CA3533">
              <w:t>L’autorité compétente du pays de première immatriculation peut exiger, de manière occasionnelle, une vérification de mise en service de la citerne pour vérifier la conformité avec les prescriptions applicables.</w:t>
            </w:r>
          </w:p>
        </w:tc>
      </w:tr>
      <w:bookmarkEnd w:id="28"/>
      <w:tr w:rsidR="00CA3533" w:rsidRPr="00CA3533" w14:paraId="07E900C4" w14:textId="77777777" w:rsidTr="008045E4">
        <w:tc>
          <w:tcPr>
            <w:tcW w:w="2954" w:type="dxa"/>
            <w:shd w:val="clear" w:color="auto" w:fill="auto"/>
          </w:tcPr>
          <w:p w14:paraId="6E47096C" w14:textId="77777777" w:rsidR="00CA3533" w:rsidRPr="00CA3533" w:rsidRDefault="00CA3533" w:rsidP="00CA3533">
            <w:pPr>
              <w:spacing w:before="40" w:after="120"/>
              <w:ind w:left="1" w:right="113"/>
              <w:jc w:val="both"/>
            </w:pPr>
            <w:r w:rsidRPr="00CA3533">
              <w:rPr>
                <w:spacing w:val="-2"/>
              </w:rPr>
              <w:t>Lorsque le pays d’immatriculation</w:t>
            </w:r>
            <w:r w:rsidRPr="00CA3533">
              <w:t xml:space="preserve"> d’un véhicule-citerne change, l’autorité compétente de la Partie contractante à l’ADR à laquelle le véhicule-citerne est transféré peut exiger, de manière occasionnelle, </w:t>
            </w:r>
            <w:r w:rsidRPr="00CA3533">
              <w:lastRenderedPageBreak/>
              <w:t>une vérification de mise en service de la citerne.</w:t>
            </w:r>
          </w:p>
        </w:tc>
        <w:tc>
          <w:tcPr>
            <w:tcW w:w="3283" w:type="dxa"/>
            <w:shd w:val="clear" w:color="auto" w:fill="auto"/>
          </w:tcPr>
          <w:p w14:paraId="36417317" w14:textId="2F291F3A" w:rsidR="00CA3533" w:rsidRPr="00CA3533" w:rsidRDefault="00CA3533" w:rsidP="00CA3533">
            <w:pPr>
              <w:spacing w:before="40" w:after="120"/>
              <w:ind w:left="113" w:right="113"/>
              <w:jc w:val="both"/>
            </w:pPr>
            <w:r w:rsidRPr="00CA3533">
              <w:lastRenderedPageBreak/>
              <w:t>Lorsque le pays d’immatriculation d’un conteneur-citerne change, l’autorité compétente de la Partie contractante à l’ADR à laquelle le conteneur-citerne est transféré peut exiger, de manière occasionnelle, une vérification de mise en service.</w:t>
            </w:r>
          </w:p>
        </w:tc>
      </w:tr>
    </w:tbl>
    <w:p w14:paraId="6D83A3D4" w14:textId="66284B75"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Pour effectuer la vérification de mise en service, le propriétaire ou l’exploitant de la citerne doit faire appel à un organisme de contrôle unique différent des organismes de contrôle auxquels il a été fait appel pour l’examen de type, le suivi de fabrication et le contrôle initial. L’organisme de contrôle chargé de la vérification de mise en service doit être agréé par l’autorité compétente du pays d’immatriculation ou, si un tel organisme de contrôle n’existe pas, l’organisme de contrôle doit être reconnu par l’autorité compétente du pays d’immatriculation. La vérification de mise en service doit tenir compte de l’état de la citerne et veiller à ce que les prescriptions de l’ADR soient respectées.</w:t>
      </w:r>
    </w:p>
    <w:p w14:paraId="6E30E357" w14:textId="77777777" w:rsidR="00CA3533" w:rsidRPr="00CA3533" w:rsidRDefault="00CA3533" w:rsidP="00CA3533">
      <w:pPr>
        <w:keepNext/>
        <w:spacing w:after="120"/>
        <w:ind w:left="2268" w:right="1134" w:hanging="1134"/>
        <w:jc w:val="both"/>
        <w:rPr>
          <w:rFonts w:eastAsiaTheme="minorHAnsi"/>
          <w:b/>
          <w:lang w:val="fr-FR" w:eastAsia="en-US"/>
        </w:rPr>
      </w:pPr>
      <w:r w:rsidRPr="00CA3533">
        <w:rPr>
          <w:rFonts w:eastAsiaTheme="minorHAnsi"/>
          <w:lang w:val="fr-FR" w:eastAsia="en-US"/>
        </w:rPr>
        <w:t>6.8.1.5.6</w:t>
      </w:r>
      <w:r w:rsidRPr="00CA3533">
        <w:rPr>
          <w:rFonts w:eastAsiaTheme="minorHAnsi"/>
          <w:lang w:val="fr-FR" w:eastAsia="en-US"/>
        </w:rPr>
        <w:tab/>
      </w:r>
      <w:r w:rsidRPr="00CA3533">
        <w:rPr>
          <w:rFonts w:eastAsiaTheme="minorHAnsi"/>
          <w:i/>
          <w:iCs/>
          <w:lang w:val="fr-FR" w:eastAsia="en-US"/>
        </w:rPr>
        <w:t>Contrôles intermédiaires, périodiques ou exceptionnels conformément au 1.8.7.6</w:t>
      </w:r>
    </w:p>
    <w:p w14:paraId="648E6D06" w14:textId="1536C559"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ab/>
        <w:t>Les contrôles intermédiaires, périodiques ou exceptionnels doivent être effectués</w:t>
      </w:r>
      <w:r w:rsidR="009C6FF1">
        <w:rPr>
          <w:rFonts w:eastAsiaTheme="minorHAnsi"/>
          <w:lang w:val="fr-FR" w:eastAsia="en-US"/>
        </w:rPr>
        <w:t> :</w:t>
      </w:r>
    </w:p>
    <w:tbl>
      <w:tblPr>
        <w:tblStyle w:val="TableGrid20"/>
        <w:tblW w:w="6237" w:type="dxa"/>
        <w:tblInd w:w="22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954"/>
        <w:gridCol w:w="3283"/>
      </w:tblGrid>
      <w:tr w:rsidR="005A37BA" w:rsidRPr="00CA3533" w14:paraId="07C82C02" w14:textId="77777777" w:rsidTr="005A37BA">
        <w:trPr>
          <w:trHeight w:val="2745"/>
        </w:trPr>
        <w:tc>
          <w:tcPr>
            <w:tcW w:w="2954" w:type="dxa"/>
            <w:shd w:val="clear" w:color="auto" w:fill="auto"/>
          </w:tcPr>
          <w:p w14:paraId="46F97917" w14:textId="1615FB4D" w:rsidR="005A37BA" w:rsidRPr="00CA3533" w:rsidRDefault="005A37BA" w:rsidP="00CA3533">
            <w:pPr>
              <w:spacing w:before="40" w:after="120"/>
              <w:ind w:right="113"/>
              <w:jc w:val="both"/>
            </w:pPr>
            <w:r w:rsidRPr="00CA3533">
              <w:t xml:space="preserve">dans le pays d’immatriculation par un organisme de contrôle agréé ou reconnu par l’autorité compétente de ce pays. </w:t>
            </w:r>
            <w:r w:rsidRPr="00CA3533">
              <w:rPr>
                <w:lang w:val="fr-FR" w:eastAsia="fr-FR"/>
              </w:rPr>
              <w:t>Les contrôles exceptionnels peuvent alternativement être effectués dans le pays de construction par un organisme de contrôle agréé ou reconnu par l'autorité compétente du pays de construction ou du pays d’immatriculation.</w:t>
            </w:r>
          </w:p>
        </w:tc>
        <w:tc>
          <w:tcPr>
            <w:tcW w:w="3283" w:type="dxa"/>
            <w:shd w:val="clear" w:color="auto" w:fill="auto"/>
          </w:tcPr>
          <w:p w14:paraId="6BA72F22" w14:textId="645665C7" w:rsidR="005A37BA" w:rsidRPr="00CA3533" w:rsidRDefault="005A37BA" w:rsidP="00CA3533">
            <w:pPr>
              <w:spacing w:before="40" w:after="120"/>
              <w:ind w:left="113" w:right="113"/>
              <w:jc w:val="both"/>
            </w:pPr>
            <w:r w:rsidRPr="00CA3533">
              <w:t>par un organisme de contrôle agréé ou reconnu par l’autorité compétente de la Partie contractante à l’ADR où a lieu le contrôle ou par un organisme de contrôle agréé ou reconnu par l’autorité compétente du pays d’immatriculation.</w:t>
            </w:r>
          </w:p>
        </w:tc>
      </w:tr>
    </w:tbl>
    <w:p w14:paraId="38175C0C" w14:textId="1AD95AF4" w:rsidR="00CA3533" w:rsidRPr="00CA3533" w:rsidRDefault="00CA3533" w:rsidP="00CA3533">
      <w:pPr>
        <w:spacing w:after="120"/>
        <w:ind w:left="2268" w:right="1134"/>
        <w:jc w:val="both"/>
        <w:rPr>
          <w:rFonts w:eastAsiaTheme="minorHAnsi"/>
          <w:lang w:val="fr-FR" w:eastAsia="en-US"/>
        </w:rPr>
      </w:pPr>
      <w:bookmarkStart w:id="29" w:name="__DdeLink__5539_771077349"/>
      <w:bookmarkEnd w:id="29"/>
      <w:r w:rsidRPr="00CA3533">
        <w:rPr>
          <w:rFonts w:eastAsiaTheme="minorHAnsi"/>
          <w:lang w:val="fr-FR" w:eastAsia="en-US"/>
        </w:rPr>
        <w:t>Le propriétaire ou l’exploitant de la citerne, ou son représentant autorisé, doit faire appel à un organisme de contrôle unique pour chaque contrôle intermédiaire, périodique ou exceptionnel</w:t>
      </w:r>
      <w:r w:rsidR="009E7ECC">
        <w:rPr>
          <w:rFonts w:eastAsiaTheme="minorHAnsi"/>
          <w:lang w:val="fr-FR" w:eastAsia="en-US"/>
        </w:rPr>
        <w:t>.</w:t>
      </w:r>
      <w:r w:rsidRPr="00CA3533">
        <w:rPr>
          <w:rFonts w:eastAsiaTheme="minorHAnsi"/>
          <w:lang w:val="fr-FR" w:eastAsia="en-US"/>
        </w:rPr>
        <w:t> »</w:t>
      </w:r>
    </w:p>
    <w:p w14:paraId="05712CB1" w14:textId="15456391"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6.8.2.1.16</w:t>
      </w:r>
      <w:r w:rsidRPr="00CA3533">
        <w:rPr>
          <w:rFonts w:eastAsiaTheme="minorHAnsi"/>
          <w:lang w:val="fr-FR" w:eastAsia="en-US"/>
        </w:rPr>
        <w:tab/>
        <w:t>Au second paragraphe, supprimer « ou par un organisme désigné par ladite autorité ».</w:t>
      </w:r>
    </w:p>
    <w:p w14:paraId="57C3EA06" w14:textId="77777777" w:rsidR="00AA3CB1" w:rsidRDefault="00AA3CB1" w:rsidP="00AA3CB1">
      <w:pPr>
        <w:pStyle w:val="SingleTxtG"/>
        <w:ind w:left="2268" w:hanging="1134"/>
        <w:jc w:val="left"/>
      </w:pPr>
      <w:r>
        <w:rPr>
          <w:lang w:val="fr-FR"/>
        </w:rPr>
        <w:t>6.8.2.1.18</w:t>
      </w:r>
      <w:r>
        <w:rPr>
          <w:lang w:val="fr-FR"/>
        </w:rPr>
        <w:tab/>
        <w:t>Dans la note de bas de page 3, remplacer « </w:t>
      </w:r>
      <w:r w:rsidRPr="006C7694">
        <w:rPr>
          <w:i/>
          <w:iCs/>
        </w:rPr>
        <w:t>(http://www.unece.org/trans/danger/danger.htm</w:t>
      </w:r>
      <w:r>
        <w:rPr>
          <w:i/>
          <w:iCs/>
        </w:rPr>
        <w:t>l</w:t>
      </w:r>
      <w:r w:rsidRPr="006C7694">
        <w:rPr>
          <w:i/>
          <w:iCs/>
        </w:rPr>
        <w:t>)</w:t>
      </w:r>
      <w:r>
        <w:rPr>
          <w:lang w:val="fr-FR"/>
        </w:rPr>
        <w:t> » par « </w:t>
      </w:r>
      <w:r w:rsidRPr="009B585A">
        <w:rPr>
          <w:i/>
          <w:iCs/>
        </w:rPr>
        <w:t>(</w:t>
      </w:r>
      <w:r w:rsidRPr="003D76A9">
        <w:rPr>
          <w:i/>
          <w:iCs/>
        </w:rPr>
        <w:t>https://unece.org/guidelines-telematics-application-standards-construction-and-approval-vehicles-calculation-risks)</w:t>
      </w:r>
      <w:r>
        <w:rPr>
          <w:lang w:val="fr-FR"/>
        </w:rPr>
        <w:t> ».</w:t>
      </w:r>
    </w:p>
    <w:p w14:paraId="71E76895" w14:textId="77777777" w:rsidR="00CA3533" w:rsidRPr="00CA3533" w:rsidRDefault="00CA3533" w:rsidP="00CA3533">
      <w:pPr>
        <w:spacing w:after="120"/>
        <w:ind w:left="2268" w:right="1134" w:hanging="1134"/>
        <w:jc w:val="both"/>
        <w:rPr>
          <w:lang w:val="fr-FR"/>
        </w:rPr>
      </w:pPr>
      <w:r w:rsidRPr="00CA3533">
        <w:rPr>
          <w:lang w:val="fr-FR"/>
        </w:rPr>
        <w:t>6.8.2.1.23</w:t>
      </w:r>
      <w:r w:rsidRPr="00CA3533">
        <w:rPr>
          <w:lang w:val="fr-FR"/>
        </w:rPr>
        <w:tab/>
        <w:t>Déplacer la dernière phrase du premier paragraphe à la fin du deuxième paragraphe.</w:t>
      </w:r>
    </w:p>
    <w:p w14:paraId="55A41C2E" w14:textId="77777777" w:rsidR="00CA3533" w:rsidRPr="00CA3533" w:rsidRDefault="00CA3533" w:rsidP="00CA3533">
      <w:pPr>
        <w:spacing w:after="120"/>
        <w:ind w:left="2268" w:right="1134" w:hanging="1134"/>
        <w:jc w:val="both"/>
        <w:rPr>
          <w:lang w:val="fr-FR"/>
        </w:rPr>
      </w:pPr>
      <w:r w:rsidRPr="00CA3533">
        <w:rPr>
          <w:lang w:val="fr-FR"/>
        </w:rPr>
        <w:tab/>
        <w:t>Avant le dernier paragraphe, ajouter le nouveau paragraphe suivant :</w:t>
      </w:r>
    </w:p>
    <w:p w14:paraId="13D9FAE3" w14:textId="77777777" w:rsidR="00CA3533" w:rsidRPr="00CA3533" w:rsidRDefault="00CA3533" w:rsidP="00CA3533">
      <w:pPr>
        <w:spacing w:after="120"/>
        <w:ind w:left="2268" w:right="1134" w:hanging="1134"/>
        <w:jc w:val="both"/>
        <w:rPr>
          <w:lang w:val="fr-FR"/>
        </w:rPr>
      </w:pPr>
      <w:r w:rsidRPr="00CA3533">
        <w:rPr>
          <w:lang w:val="fr-FR"/>
        </w:rPr>
        <w:tab/>
        <w:t>« Les soudures réalisées au cours de réparations ou de modifications sont évaluées comme indiqué ci-dessus et conformément aux contrôles non destructifs spécifiés dans les normes pertinentes telles que référencées au 6.8.2.6.2. ».</w:t>
      </w:r>
    </w:p>
    <w:p w14:paraId="7640FABE" w14:textId="77777777" w:rsidR="00CA3533" w:rsidRPr="00CA3533" w:rsidRDefault="00CA3533" w:rsidP="00CA3533">
      <w:pPr>
        <w:spacing w:after="120"/>
        <w:ind w:left="2259" w:right="1134" w:hanging="1125"/>
        <w:jc w:val="both"/>
        <w:rPr>
          <w:lang w:val="fr-FR"/>
        </w:rPr>
      </w:pPr>
      <w:r w:rsidRPr="00CA3533">
        <w:rPr>
          <w:lang w:val="fr-FR"/>
        </w:rPr>
        <w:t>6.8.2.2.1</w:t>
      </w:r>
      <w:r w:rsidRPr="00CA3533">
        <w:rPr>
          <w:lang w:val="fr-FR"/>
        </w:rPr>
        <w:tab/>
        <w:t>Ajouter la phrase suivante après la première phrase : « Les éléments soudés doivent être fixés au réservoir de manière à éviter la déchirure du réservoir. »</w:t>
      </w:r>
    </w:p>
    <w:p w14:paraId="77B2ED66" w14:textId="6C737917" w:rsidR="00CA3533" w:rsidRPr="00CA3533" w:rsidRDefault="00CA3533" w:rsidP="00CA3533">
      <w:pPr>
        <w:spacing w:after="120"/>
        <w:ind w:left="2268" w:right="1134" w:hanging="1134"/>
        <w:jc w:val="both"/>
        <w:rPr>
          <w:lang w:val="fr-FR"/>
        </w:rPr>
      </w:pPr>
      <w:r w:rsidRPr="00CA3533">
        <w:rPr>
          <w:lang w:val="fr-FR"/>
        </w:rPr>
        <w:t>6.8.2.2.2</w:t>
      </w:r>
      <w:r w:rsidRPr="00CA3533">
        <w:rPr>
          <w:lang w:val="fr-FR"/>
        </w:rPr>
        <w:tab/>
        <w:t>À la fin du septième paragraphe, après « sans ambiguïté », ajouter une référence à la note de bas de page 9 libellée comme suit</w:t>
      </w:r>
      <w:r w:rsidR="000C16AC">
        <w:rPr>
          <w:lang w:val="fr-FR"/>
        </w:rPr>
        <w:t xml:space="preserve"> et renuméroter les notes de bas suivantes du chapitre 6.8 en conséquence</w:t>
      </w:r>
      <w:r w:rsidRPr="00CA3533">
        <w:rPr>
          <w:lang w:val="fr-FR"/>
        </w:rPr>
        <w:t> :</w:t>
      </w:r>
    </w:p>
    <w:p w14:paraId="264A5EE3" w14:textId="478A3A28" w:rsidR="00CA3533" w:rsidRPr="00CA3533" w:rsidRDefault="00CA3533" w:rsidP="00CA3533">
      <w:pPr>
        <w:spacing w:after="120"/>
        <w:ind w:left="2268" w:right="1134" w:hanging="1134"/>
        <w:jc w:val="both"/>
        <w:rPr>
          <w:lang w:val="fr-FR"/>
        </w:rPr>
      </w:pPr>
      <w:r w:rsidRPr="00CA3533">
        <w:rPr>
          <w:lang w:val="fr-FR"/>
        </w:rPr>
        <w:t>« </w:t>
      </w:r>
      <w:r w:rsidRPr="00CA3533">
        <w:rPr>
          <w:b/>
          <w:bCs/>
          <w:vertAlign w:val="superscript"/>
          <w:lang w:val="fr-FR"/>
        </w:rPr>
        <w:t>9</w:t>
      </w:r>
      <w:r w:rsidRPr="00CA3533">
        <w:rPr>
          <w:lang w:val="fr-FR"/>
        </w:rPr>
        <w:tab/>
      </w:r>
      <w:r w:rsidRPr="00CA3533">
        <w:rPr>
          <w:i/>
          <w:iCs/>
          <w:lang w:val="fr-FR"/>
        </w:rPr>
        <w:t>Le mode de fonctionnement des raccords secs est la fermeture automatique. Par conséquent, un indicateur d’ouverture/fermeture n’est pas nécessaire. Ce type de fermeture ne peut être utilisé que comme deuxième ou troisième fermeture.</w:t>
      </w:r>
      <w:r w:rsidRPr="00CA3533">
        <w:rPr>
          <w:lang w:val="fr-FR"/>
        </w:rPr>
        <w:t> ».</w:t>
      </w:r>
    </w:p>
    <w:p w14:paraId="07A98F5C" w14:textId="6E9520B1"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Dans la dernière phrase, supprimer : « ou par un organisme désigné par elle ».</w:t>
      </w:r>
    </w:p>
    <w:p w14:paraId="4629D962" w14:textId="17CEE331" w:rsidR="00CA3533" w:rsidRPr="00CA3533" w:rsidRDefault="00CA3533" w:rsidP="00CA3533">
      <w:pPr>
        <w:spacing w:after="120"/>
        <w:ind w:left="2268" w:right="1134" w:hanging="1134"/>
        <w:jc w:val="both"/>
        <w:rPr>
          <w:lang w:val="fr-FR" w:eastAsia="fr-FR"/>
        </w:rPr>
      </w:pPr>
      <w:r w:rsidRPr="00CA3533">
        <w:rPr>
          <w:lang w:val="fr-FR" w:eastAsia="fr-FR"/>
        </w:rPr>
        <w:lastRenderedPageBreak/>
        <w:t>6.8.2.2.10</w:t>
      </w:r>
      <w:r w:rsidRPr="00CA3533">
        <w:rPr>
          <w:lang w:val="fr-FR" w:eastAsia="fr-FR"/>
        </w:rPr>
        <w:tab/>
        <w:t>Dans le deuxième paragraphe, remplacer « satisfaire l’autorité compétente » par « satisfaire aux prescriptions du 6.8.3.2.9 ».</w:t>
      </w:r>
    </w:p>
    <w:p w14:paraId="6B5CFF8D" w14:textId="12AA0674"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6.8.2.3</w:t>
      </w:r>
      <w:r w:rsidRPr="00CA3533">
        <w:rPr>
          <w:rFonts w:eastAsiaTheme="minorHAnsi"/>
          <w:lang w:val="fr-FR" w:eastAsia="en-US"/>
        </w:rPr>
        <w:tab/>
      </w:r>
      <w:r w:rsidRPr="00CA3533">
        <w:rPr>
          <w:rFonts w:eastAsiaTheme="minorHAnsi"/>
          <w:lang w:val="fr-FR" w:eastAsia="en-US"/>
        </w:rPr>
        <w:tab/>
        <w:t xml:space="preserve">Modifier le titre </w:t>
      </w:r>
      <w:r w:rsidR="006A24E0">
        <w:rPr>
          <w:rFonts w:eastAsiaTheme="minorHAnsi"/>
          <w:lang w:val="fr-FR" w:eastAsia="en-US"/>
        </w:rPr>
        <w:t>pour lire</w:t>
      </w:r>
      <w:r w:rsidRPr="00CA3533">
        <w:rPr>
          <w:rFonts w:eastAsiaTheme="minorHAnsi"/>
          <w:lang w:val="fr-FR" w:eastAsia="en-US"/>
        </w:rPr>
        <w:t xml:space="preserve"> « Examen de type et agrément de type ».</w:t>
      </w:r>
    </w:p>
    <w:p w14:paraId="69C4B596" w14:textId="3C46237E" w:rsidR="00CA3533" w:rsidRPr="00CA3533" w:rsidRDefault="00CA3533" w:rsidP="00CA3533">
      <w:pPr>
        <w:keepNext/>
        <w:spacing w:after="120"/>
        <w:ind w:left="1134" w:right="1134"/>
        <w:jc w:val="both"/>
        <w:rPr>
          <w:rFonts w:eastAsiaTheme="minorHAnsi"/>
          <w:lang w:val="fr-FR" w:eastAsia="en-US"/>
        </w:rPr>
      </w:pPr>
      <w:r w:rsidRPr="00CA3533">
        <w:rPr>
          <w:rFonts w:eastAsiaTheme="minorHAnsi"/>
          <w:lang w:val="fr-FR" w:eastAsia="en-US"/>
        </w:rPr>
        <w:t>Ajouter le nouveau 6.8.2.3.1 suivant :</w:t>
      </w:r>
    </w:p>
    <w:p w14:paraId="3A7734F4"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 6.8.2.3.1</w:t>
      </w:r>
      <w:r w:rsidRPr="00CA3533">
        <w:rPr>
          <w:rFonts w:eastAsiaTheme="minorHAnsi"/>
          <w:lang w:val="fr-FR" w:eastAsia="en-US"/>
        </w:rPr>
        <w:tab/>
      </w:r>
      <w:r w:rsidRPr="00CA3533">
        <w:rPr>
          <w:rFonts w:eastAsiaTheme="minorHAnsi"/>
          <w:i/>
          <w:iCs/>
          <w:lang w:val="fr-FR" w:eastAsia="en-US"/>
        </w:rPr>
        <w:t>Examen de type</w:t>
      </w:r>
    </w:p>
    <w:p w14:paraId="0A3738FB"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Les dispositions du 1.8.7.2.1 s’appliquent.</w:t>
      </w:r>
    </w:p>
    <w:p w14:paraId="03919B7A" w14:textId="25FB2ECF"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Un fabricant d’équipements de service pour lesquels une norme est citée en référence au tableau du 6.8.2.6.1 ou du 6.8.3.6, peut demander un examen de type séparé. Cet examen de type séparé doit être pris en compte lors de l’examen de type de la citerne. »</w:t>
      </w:r>
    </w:p>
    <w:p w14:paraId="7F64F1CE" w14:textId="56C6DEDE" w:rsidR="00CA3533" w:rsidRPr="00CA3533" w:rsidRDefault="0050153C" w:rsidP="00CA3533">
      <w:pPr>
        <w:spacing w:after="120"/>
        <w:ind w:left="1134" w:right="1134"/>
        <w:jc w:val="both"/>
        <w:rPr>
          <w:rFonts w:eastAsiaTheme="minorHAnsi"/>
          <w:lang w:val="fr-FR" w:eastAsia="en-US"/>
        </w:rPr>
      </w:pPr>
      <w:r>
        <w:rPr>
          <w:rFonts w:eastAsiaTheme="minorHAnsi"/>
          <w:lang w:val="fr-FR" w:eastAsia="en-US"/>
        </w:rPr>
        <w:t>Le 6.8.2.3.1 actuel devient 6.8.2.3.2 avec les modifications suivantes :</w:t>
      </w:r>
    </w:p>
    <w:p w14:paraId="5E9D6B36" w14:textId="26E0E9E2"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Ajouter le titre suivant : « </w:t>
      </w:r>
      <w:r w:rsidRPr="00CA3533">
        <w:rPr>
          <w:rFonts w:eastAsiaTheme="minorHAnsi"/>
          <w:i/>
          <w:lang w:val="fr-FR" w:eastAsia="en-US"/>
        </w:rPr>
        <w:t>Agrément de type</w:t>
      </w:r>
      <w:r w:rsidRPr="00CA3533">
        <w:rPr>
          <w:rFonts w:eastAsiaTheme="minorHAnsi"/>
          <w:lang w:val="fr-FR" w:eastAsia="en-US"/>
        </w:rPr>
        <w:t> ».</w:t>
      </w:r>
    </w:p>
    <w:p w14:paraId="5826EEBA"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ab/>
      </w:r>
      <w:r w:rsidRPr="00024D6F">
        <w:rPr>
          <w:rFonts w:eastAsiaTheme="minorHAnsi"/>
          <w:lang w:val="fr-FR" w:eastAsia="en-US"/>
        </w:rPr>
        <w:t>Au premier paragraphe, supprimer « , ou un organisme désigné par elle, ».</w:t>
      </w:r>
    </w:p>
    <w:p w14:paraId="68A135ED" w14:textId="3CC39B35"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Après « Ce certificat doit indiquer » ajouter « </w:t>
      </w:r>
      <w:r w:rsidR="009438E7">
        <w:rPr>
          <w:rFonts w:eastAsiaTheme="minorHAnsi"/>
          <w:lang w:val="fr-FR" w:eastAsia="en-US"/>
        </w:rPr>
        <w:t xml:space="preserve">, </w:t>
      </w:r>
      <w:r w:rsidRPr="00CA3533">
        <w:rPr>
          <w:rFonts w:eastAsiaTheme="minorHAnsi"/>
          <w:lang w:val="fr-FR" w:eastAsia="en-US"/>
        </w:rPr>
        <w:t>outre ce qui figure au 1.8.7.2.2.1 ».</w:t>
      </w:r>
    </w:p>
    <w:p w14:paraId="0B9EB592"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Supprimer le premier tiret : « - les résultats de l’expertise ; ».</w:t>
      </w:r>
    </w:p>
    <w:p w14:paraId="62A847CD"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Après le dernier tiret, ajouter le nota suivant :</w:t>
      </w:r>
    </w:p>
    <w:p w14:paraId="6CD7724A" w14:textId="1C254F63" w:rsidR="00CA3533" w:rsidRPr="00CA3533" w:rsidRDefault="00CA3533" w:rsidP="00256AFC">
      <w:pPr>
        <w:spacing w:after="120"/>
        <w:ind w:left="2268" w:right="1134" w:hanging="1134"/>
        <w:jc w:val="both"/>
        <w:rPr>
          <w:rFonts w:eastAsiaTheme="minorHAnsi"/>
          <w:lang w:val="fr-FR" w:eastAsia="en-US"/>
        </w:rPr>
      </w:pPr>
      <w:r w:rsidRPr="00CA3533">
        <w:rPr>
          <w:rFonts w:eastAsiaTheme="minorHAnsi"/>
          <w:lang w:val="fr-FR" w:eastAsia="en-US"/>
        </w:rPr>
        <w:t>« </w:t>
      </w:r>
      <w:r w:rsidRPr="00CA3533">
        <w:rPr>
          <w:rFonts w:eastAsiaTheme="minorHAnsi"/>
          <w:b/>
          <w:bCs/>
          <w:i/>
          <w:iCs/>
          <w:lang w:val="fr-FR" w:eastAsia="en-US"/>
        </w:rPr>
        <w:t>NOTA :</w:t>
      </w:r>
      <w:r w:rsidRPr="00CA3533">
        <w:rPr>
          <w:rFonts w:eastAsiaTheme="minorHAnsi"/>
          <w:i/>
          <w:iCs/>
          <w:lang w:val="fr-FR" w:eastAsia="en-US"/>
        </w:rPr>
        <w:t xml:space="preserve"> </w:t>
      </w:r>
      <w:r w:rsidR="00256AFC">
        <w:rPr>
          <w:rFonts w:eastAsiaTheme="minorHAnsi"/>
          <w:i/>
          <w:iCs/>
          <w:lang w:val="fr-FR" w:eastAsia="en-US"/>
        </w:rPr>
        <w:tab/>
      </w:r>
      <w:r w:rsidRPr="00CA3533">
        <w:rPr>
          <w:rFonts w:eastAsiaTheme="minorHAnsi"/>
          <w:i/>
          <w:iCs/>
          <w:lang w:val="fr-FR" w:eastAsia="en-US"/>
        </w:rPr>
        <w:t>L’annexe B de la norme EN 12972:2018 décrivant le type ainsi que la liste des équipements de service autorisés pour le type de citerne, ou des documents équivalents, doivent être joints ou inclus dans le certificat.</w:t>
      </w:r>
      <w:r w:rsidRPr="00CA3533">
        <w:rPr>
          <w:rFonts w:eastAsiaTheme="minorHAnsi"/>
          <w:lang w:val="fr-FR" w:eastAsia="en-US"/>
        </w:rPr>
        <w:t> »</w:t>
      </w:r>
    </w:p>
    <w:p w14:paraId="20487386"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Modifier le dernier paragraphe de sorte qu’il se lise comme suit :</w:t>
      </w:r>
    </w:p>
    <w:p w14:paraId="1684B23A" w14:textId="07473974"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 Lorsque le fabricant d’équipements de service a fait procéder à un examen de type séparé et lorsqu’il le demande, l’autorité compétente doit délivrer un certificat attestant que le type qui a été examiné satisfait à la norme citée en référence au tableau du 6.8.2.6.1 ou du 6.8.3.6. »</w:t>
      </w:r>
    </w:p>
    <w:p w14:paraId="112B101D" w14:textId="57850CE0" w:rsidR="00CA3533" w:rsidRPr="00CA3533" w:rsidRDefault="00CA3533" w:rsidP="00CA3533">
      <w:pPr>
        <w:keepNext/>
        <w:spacing w:after="120"/>
        <w:ind w:left="1134" w:right="1134"/>
        <w:jc w:val="both"/>
        <w:rPr>
          <w:rFonts w:eastAsiaTheme="minorHAnsi"/>
          <w:lang w:val="fr-FR" w:eastAsia="en-US"/>
        </w:rPr>
      </w:pPr>
      <w:r w:rsidRPr="00CA3533">
        <w:rPr>
          <w:rFonts w:eastAsiaTheme="minorHAnsi"/>
          <w:lang w:val="fr-FR" w:eastAsia="en-US"/>
        </w:rPr>
        <w:t>Le 6.8.2.3.2 actuel prend la place du 6.8.2.3.3 actuel qui est supprimé.</w:t>
      </w:r>
    </w:p>
    <w:p w14:paraId="2F32DEEB" w14:textId="77777777" w:rsidR="00CA3533" w:rsidRPr="00CA3533" w:rsidRDefault="00CA3533" w:rsidP="00CA3533">
      <w:pPr>
        <w:keepNext/>
        <w:spacing w:after="120"/>
        <w:ind w:left="1134" w:right="1134"/>
        <w:jc w:val="both"/>
        <w:rPr>
          <w:rFonts w:eastAsiaTheme="minorHAnsi"/>
          <w:lang w:val="fr-FR" w:eastAsia="en-US"/>
        </w:rPr>
      </w:pPr>
      <w:r w:rsidRPr="00CA3533">
        <w:rPr>
          <w:rFonts w:eastAsiaTheme="minorHAnsi"/>
          <w:lang w:val="fr-FR" w:eastAsia="en-US"/>
        </w:rPr>
        <w:t>6.8.2.3.4</w:t>
      </w:r>
      <w:r w:rsidRPr="00CA3533">
        <w:rPr>
          <w:rFonts w:eastAsiaTheme="minorHAnsi"/>
          <w:lang w:val="fr-FR" w:eastAsia="en-US"/>
        </w:rPr>
        <w:tab/>
        <w:t>Modifier le texte de sorte qu’il se lise comme suit :</w:t>
      </w:r>
    </w:p>
    <w:p w14:paraId="4D9E9724" w14:textId="5383EDD0"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 Conformément au 1.8.7.2.2.3, l’autorité compétente doit délivrer un certificat d’agrément complémentaire pour la transformation, en cas de transformation d’une citerne, d’un véhicule-batterie ou d’un CGEM avec un agrément de type en cours de validité, ayant expiré ou ayant été retiré. »</w:t>
      </w:r>
    </w:p>
    <w:p w14:paraId="77680DF8" w14:textId="77777777" w:rsidR="00F36656" w:rsidRDefault="00CA3533" w:rsidP="0057273F">
      <w:pPr>
        <w:keepNext/>
        <w:spacing w:after="120"/>
        <w:ind w:left="1134" w:right="1134"/>
        <w:jc w:val="both"/>
        <w:rPr>
          <w:rFonts w:eastAsiaTheme="minorHAnsi"/>
          <w:lang w:val="fr-FR" w:eastAsia="en-US"/>
        </w:rPr>
      </w:pPr>
      <w:r w:rsidRPr="00CA3533">
        <w:rPr>
          <w:rFonts w:eastAsiaTheme="minorHAnsi"/>
          <w:lang w:val="fr-FR" w:eastAsia="en-US"/>
        </w:rPr>
        <w:t>6.8.2.4.1</w:t>
      </w:r>
      <w:r w:rsidR="00C76898">
        <w:rPr>
          <w:rFonts w:eastAsiaTheme="minorHAnsi"/>
          <w:lang w:val="fr-FR" w:eastAsia="en-US"/>
        </w:rPr>
        <w:t xml:space="preserve">, </w:t>
      </w:r>
      <w:r w:rsidRPr="00CA3533">
        <w:rPr>
          <w:rFonts w:eastAsiaTheme="minorHAnsi"/>
          <w:lang w:val="fr-FR" w:eastAsia="en-US"/>
        </w:rPr>
        <w:t>6.8.2.4.2</w:t>
      </w:r>
      <w:r w:rsidR="00512959">
        <w:rPr>
          <w:rFonts w:eastAsiaTheme="minorHAnsi"/>
          <w:lang w:val="fr-FR" w:eastAsia="en-US"/>
        </w:rPr>
        <w:t xml:space="preserve"> et 6.8.3.4.13</w:t>
      </w:r>
    </w:p>
    <w:p w14:paraId="7F4191B8" w14:textId="63776B9B" w:rsidR="0057273F" w:rsidRDefault="00CA3533" w:rsidP="00F36656">
      <w:pPr>
        <w:keepNext/>
        <w:spacing w:after="120"/>
        <w:ind w:left="2268" w:right="1134"/>
        <w:jc w:val="both"/>
        <w:rPr>
          <w:rFonts w:eastAsiaTheme="minorHAnsi"/>
          <w:lang w:val="fr-FR" w:eastAsia="en-US"/>
        </w:rPr>
      </w:pPr>
      <w:r w:rsidRPr="00CA3533">
        <w:rPr>
          <w:rFonts w:eastAsiaTheme="minorHAnsi"/>
          <w:lang w:val="fr-FR" w:eastAsia="en-US"/>
        </w:rPr>
        <w:tab/>
        <w:t xml:space="preserve">Modifier la note de bas de page </w:t>
      </w:r>
      <w:r w:rsidR="00FC4040" w:rsidRPr="004F3DD7">
        <w:rPr>
          <w:rFonts w:eastAsiaTheme="minorHAnsi"/>
          <w:lang w:val="fr-FR" w:eastAsia="en-US"/>
        </w:rPr>
        <w:t xml:space="preserve">13 </w:t>
      </w:r>
      <w:r w:rsidR="00FC4040">
        <w:rPr>
          <w:rFonts w:eastAsiaTheme="minorHAnsi"/>
          <w:lang w:val="fr-FR" w:eastAsia="en-US"/>
        </w:rPr>
        <w:t>(</w:t>
      </w:r>
      <w:r w:rsidR="004D15C9">
        <w:rPr>
          <w:rFonts w:eastAsiaTheme="minorHAnsi"/>
          <w:lang w:val="fr-FR" w:eastAsia="en-US"/>
        </w:rPr>
        <w:t xml:space="preserve">note de bas de page </w:t>
      </w:r>
      <w:r w:rsidR="004D15C9" w:rsidRPr="004F3DD7">
        <w:rPr>
          <w:rFonts w:eastAsiaTheme="minorHAnsi"/>
          <w:lang w:val="fr-FR" w:eastAsia="en-US"/>
        </w:rPr>
        <w:t xml:space="preserve">12 </w:t>
      </w:r>
      <w:r w:rsidR="004D15C9">
        <w:rPr>
          <w:rFonts w:eastAsiaTheme="minorHAnsi"/>
          <w:lang w:val="fr-FR" w:eastAsia="en-US"/>
        </w:rPr>
        <w:t>actuelle</w:t>
      </w:r>
      <w:r w:rsidR="00FC4040">
        <w:rPr>
          <w:rFonts w:eastAsiaTheme="minorHAnsi"/>
          <w:lang w:val="fr-FR" w:eastAsia="en-US"/>
        </w:rPr>
        <w:t xml:space="preserve">) </w:t>
      </w:r>
      <w:r w:rsidRPr="00CA3533">
        <w:rPr>
          <w:rFonts w:eastAsiaTheme="minorHAnsi"/>
          <w:lang w:val="fr-FR" w:eastAsia="en-US"/>
        </w:rPr>
        <w:t>de sorte qu’elle se lise comme suit :</w:t>
      </w:r>
    </w:p>
    <w:p w14:paraId="5F54E8DF" w14:textId="2E0D690D" w:rsidR="00CA3533" w:rsidRPr="00CA3533" w:rsidRDefault="00CA3533" w:rsidP="0057273F">
      <w:pPr>
        <w:keepNext/>
        <w:spacing w:after="120"/>
        <w:ind w:left="2268" w:right="1134" w:hanging="1134"/>
        <w:jc w:val="both"/>
        <w:rPr>
          <w:rFonts w:eastAsiaTheme="minorHAnsi"/>
          <w:lang w:val="fr-FR" w:eastAsia="en-US"/>
        </w:rPr>
      </w:pPr>
      <w:r w:rsidRPr="00CA3533">
        <w:rPr>
          <w:rFonts w:eastAsiaTheme="minorHAnsi"/>
          <w:lang w:val="fr-FR" w:eastAsia="en-US"/>
        </w:rPr>
        <w:t>«</w:t>
      </w:r>
      <w:r w:rsidR="00F36B0E">
        <w:rPr>
          <w:rFonts w:eastAsiaTheme="minorHAnsi"/>
          <w:b/>
          <w:bCs/>
          <w:iCs/>
          <w:sz w:val="18"/>
          <w:vertAlign w:val="superscript"/>
          <w:lang w:eastAsia="en-US"/>
        </w:rPr>
        <w:t>13</w:t>
      </w:r>
      <w:r w:rsidRPr="00CA3533">
        <w:rPr>
          <w:rFonts w:eastAsiaTheme="minorHAnsi"/>
          <w:lang w:eastAsia="en-US"/>
        </w:rPr>
        <w:tab/>
        <w:t xml:space="preserve">Dans des cas particuliers, avec l’accord de l’autorité compétente, l’épreuve de pression hydraulique peut être remplacée par une épreuve au moyen d’un gaz, ou avec l’accord de l’organisme de contrôle, au moyen d’un autre </w:t>
      </w:r>
      <w:r w:rsidRPr="00CA3533">
        <w:rPr>
          <w:rFonts w:eastAsiaTheme="minorHAnsi"/>
          <w:lang w:val="fr-FR" w:eastAsia="en-US"/>
        </w:rPr>
        <w:t>liquide</w:t>
      </w:r>
      <w:r w:rsidRPr="00CA3533">
        <w:rPr>
          <w:rFonts w:eastAsiaTheme="minorHAnsi"/>
          <w:lang w:eastAsia="en-US"/>
        </w:rPr>
        <w:t>, lorsque cette opération ne présente pas de danger.</w:t>
      </w:r>
      <w:r w:rsidRPr="00CA3533">
        <w:rPr>
          <w:rFonts w:eastAsiaTheme="minorHAnsi"/>
          <w:lang w:val="fr-FR" w:eastAsia="en-US"/>
        </w:rPr>
        <w:t> »</w:t>
      </w:r>
    </w:p>
    <w:p w14:paraId="577689DA"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6.8.2.4.2</w:t>
      </w:r>
      <w:r w:rsidRPr="00CA3533">
        <w:rPr>
          <w:rFonts w:eastAsiaTheme="minorHAnsi"/>
          <w:lang w:val="fr-FR" w:eastAsia="en-US"/>
        </w:rPr>
        <w:tab/>
        <w:t xml:space="preserve">Dans l’avant-dernier paragraphe, remplacer « l’expert agréé par l’autorité </w:t>
      </w:r>
      <w:r w:rsidRPr="00CA3533">
        <w:rPr>
          <w:rFonts w:eastAsiaTheme="minorHAnsi"/>
          <w:lang w:val="fr-FR" w:eastAsia="en-US"/>
        </w:rPr>
        <w:tab/>
        <w:t>compétente » par « l’organisme de contrôle ».</w:t>
      </w:r>
    </w:p>
    <w:p w14:paraId="258B8A6A" w14:textId="77777777" w:rsidR="00CA3533" w:rsidRPr="00CA3533" w:rsidRDefault="00CA3533" w:rsidP="00CA3533">
      <w:pPr>
        <w:spacing w:after="120"/>
        <w:ind w:left="2268" w:right="1134" w:hanging="1134"/>
        <w:jc w:val="both"/>
        <w:rPr>
          <w:lang w:val="fr-FR"/>
        </w:rPr>
      </w:pPr>
      <w:r w:rsidRPr="00CA3533">
        <w:rPr>
          <w:lang w:val="fr-FR"/>
        </w:rPr>
        <w:t>6.8.2.4.3</w:t>
      </w:r>
      <w:r w:rsidRPr="00CA3533">
        <w:rPr>
          <w:lang w:val="fr-FR"/>
        </w:rPr>
        <w:tab/>
        <w:t>Au premier paragraphe, dans la première phrase, remplacer « tous les » par « au plus tard ».</w:t>
      </w:r>
    </w:p>
    <w:p w14:paraId="7549C3D2" w14:textId="77777777" w:rsidR="00CA3533" w:rsidRPr="00CA3533" w:rsidRDefault="00CA3533" w:rsidP="00CA3533">
      <w:pPr>
        <w:kinsoku/>
        <w:overflowPunct/>
        <w:autoSpaceDE/>
        <w:autoSpaceDN/>
        <w:adjustRightInd/>
        <w:snapToGrid/>
        <w:spacing w:after="120"/>
        <w:ind w:left="2268" w:right="1134" w:hanging="1134"/>
        <w:jc w:val="both"/>
        <w:rPr>
          <w:lang w:val="fr-FR" w:eastAsia="fr-FR"/>
        </w:rPr>
      </w:pPr>
      <w:r w:rsidRPr="00CA3533">
        <w:rPr>
          <w:lang w:val="fr-FR"/>
        </w:rPr>
        <w:tab/>
      </w:r>
      <w:r w:rsidRPr="00CA3533">
        <w:rPr>
          <w:lang w:val="fr-FR" w:eastAsia="fr-FR"/>
        </w:rPr>
        <w:tab/>
        <w:t>Dans le premier paragraphe, supprimer la deuxième phrase (« </w:t>
      </w:r>
      <w:r w:rsidRPr="00CA3533">
        <w:rPr>
          <w:lang w:val="fr-FR"/>
        </w:rPr>
        <w:t>Ces contrôles intermédiaires peuvent être effectués dans les trois mois avant ou après la date spécifiée. »</w:t>
      </w:r>
      <w:r w:rsidRPr="00CA3533">
        <w:rPr>
          <w:lang w:val="fr-FR" w:eastAsia="fr-FR"/>
        </w:rPr>
        <w:t>).</w:t>
      </w:r>
    </w:p>
    <w:p w14:paraId="29EA3BC9" w14:textId="77777777" w:rsidR="00CA3533" w:rsidRPr="00CA3533" w:rsidRDefault="00CA3533" w:rsidP="00CA3533">
      <w:pPr>
        <w:spacing w:after="120"/>
        <w:ind w:left="2268" w:right="1134" w:hanging="1134"/>
        <w:jc w:val="both"/>
        <w:rPr>
          <w:lang w:val="fr-FR"/>
        </w:rPr>
      </w:pPr>
      <w:r w:rsidRPr="00CA3533">
        <w:rPr>
          <w:lang w:val="fr-FR"/>
        </w:rPr>
        <w:lastRenderedPageBreak/>
        <w:tab/>
        <w:t xml:space="preserve">Au troisième paragraphe, remplacer « la date prévue » par « la date spécifiée » et remplacer « cette date » par « cette date anticipée </w:t>
      </w:r>
      <w:r w:rsidRPr="00CA3533">
        <w:rPr>
          <w:lang w:val="fr-FR" w:eastAsia="en-US"/>
        </w:rPr>
        <w:t>ou, alternativement, un contrôle périodique peut être effectué conformément au 6.8.2.4.2</w:t>
      </w:r>
      <w:r w:rsidRPr="00CA3533">
        <w:rPr>
          <w:lang w:val="fr-FR"/>
        </w:rPr>
        <w:t> ».</w:t>
      </w:r>
    </w:p>
    <w:p w14:paraId="3628338F"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6.8.2.4.4</w:t>
      </w:r>
      <w:r w:rsidRPr="00CA3533">
        <w:rPr>
          <w:rFonts w:eastAsiaTheme="minorHAnsi"/>
          <w:lang w:val="fr-FR" w:eastAsia="en-US"/>
        </w:rPr>
        <w:tab/>
        <w:t>L’amendement ne s’applique pas au texte français.</w:t>
      </w:r>
    </w:p>
    <w:p w14:paraId="3F4ED3BC" w14:textId="77777777" w:rsidR="00CA3533" w:rsidRPr="00CA3533" w:rsidRDefault="00CA3533" w:rsidP="00CA3533">
      <w:pPr>
        <w:keepNext/>
        <w:spacing w:after="120"/>
        <w:ind w:left="2268" w:right="1134" w:hanging="1134"/>
        <w:jc w:val="both"/>
        <w:rPr>
          <w:rFonts w:eastAsiaTheme="minorHAnsi"/>
          <w:lang w:val="fr-FR" w:eastAsia="en-US"/>
        </w:rPr>
      </w:pPr>
      <w:r w:rsidRPr="00CA3533">
        <w:rPr>
          <w:rFonts w:eastAsiaTheme="minorHAnsi"/>
          <w:lang w:val="fr-FR" w:eastAsia="en-US"/>
        </w:rPr>
        <w:t>6.8.2.4.5</w:t>
      </w:r>
      <w:r w:rsidRPr="00CA3533">
        <w:rPr>
          <w:rFonts w:eastAsiaTheme="minorHAnsi"/>
          <w:lang w:val="fr-FR" w:eastAsia="en-US"/>
        </w:rPr>
        <w:tab/>
        <w:t>Modifier le premier paragraphe de sorte qu’il se lise comme suit :</w:t>
      </w:r>
    </w:p>
    <w:p w14:paraId="4E1DA485" w14:textId="10D60C89"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 Des attestations doivent être délivrées par l’organisme de contrôle cité au 6.8.1.5.4 ou au 6.8.1.5.6 indiquant les résultats des contrôles conformément aux 6.8.2.4.1 à 6.8.2.4.4, même en cas de résultats négatifs. Dans ces attestations doit figurer une référence à la liste des matières autorisées au transport dans cette citerne ou au code-citerne et aux codes alphanumériques des dispositions spéciales, conformément au 6.8.2.3.2. »</w:t>
      </w:r>
    </w:p>
    <w:p w14:paraId="6895EDF7"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6.8.2.5.1</w:t>
      </w:r>
      <w:r w:rsidRPr="00CA3533">
        <w:rPr>
          <w:rFonts w:eastAsiaTheme="minorHAnsi"/>
          <w:lang w:val="fr-FR" w:eastAsia="en-US"/>
        </w:rPr>
        <w:tab/>
        <w:t>Au dixième tiret, remplacer « poinçon de l’expert » par « poinçon de l’organisme de contrôle ».</w:t>
      </w:r>
    </w:p>
    <w:p w14:paraId="4572FA23" w14:textId="398A5BFF" w:rsidR="00FA20F4" w:rsidRDefault="00FA20F4" w:rsidP="00FA20F4">
      <w:pPr>
        <w:pStyle w:val="SingleTxtG"/>
        <w:ind w:left="2268" w:hanging="1134"/>
        <w:rPr>
          <w:lang w:val="fr-FR"/>
        </w:rPr>
      </w:pPr>
      <w:r w:rsidRPr="000A4143">
        <w:rPr>
          <w:lang w:val="fr-FR"/>
        </w:rPr>
        <w:t>6.8.2.6.1</w:t>
      </w:r>
      <w:r w:rsidRPr="00476248">
        <w:rPr>
          <w:lang w:val="fr-FR"/>
        </w:rPr>
        <w:tab/>
      </w:r>
      <w:r>
        <w:rPr>
          <w:lang w:val="fr-FR"/>
        </w:rPr>
        <w:t>Modifier les paragraphes avant le tableau pour lire comme suit (le titre reste inchangé) :</w:t>
      </w:r>
    </w:p>
    <w:p w14:paraId="66F2F8A3" w14:textId="77777777" w:rsidR="00FA20F4" w:rsidRPr="0053507E" w:rsidRDefault="00FA20F4" w:rsidP="00FA20F4">
      <w:pPr>
        <w:pStyle w:val="SingleTxtG"/>
        <w:ind w:left="2268" w:hanging="1134"/>
        <w:rPr>
          <w:lang w:val="fr-FR"/>
        </w:rPr>
      </w:pPr>
      <w:r>
        <w:rPr>
          <w:lang w:val="fr-FR"/>
        </w:rPr>
        <w:tab/>
        <w:t>« </w:t>
      </w:r>
      <w:r w:rsidRPr="0053507E">
        <w:rPr>
          <w:lang w:val="fr-FR"/>
        </w:rPr>
        <w:t>Depuis le 1er janvier 2009, l’application des normes citées en référence est devenue obligatoire. Les exceptions sont traitées aux 6.8.2.7 et 6.8.3.7.</w:t>
      </w:r>
    </w:p>
    <w:p w14:paraId="123982F3" w14:textId="25B53B6D" w:rsidR="00FA20F4" w:rsidRPr="0053507E" w:rsidRDefault="00FA20F4" w:rsidP="00FA20F4">
      <w:pPr>
        <w:pStyle w:val="SingleTxtG"/>
        <w:ind w:left="2268" w:hanging="1134"/>
        <w:rPr>
          <w:lang w:val="fr-FR"/>
        </w:rPr>
      </w:pPr>
      <w:r w:rsidRPr="0053507E">
        <w:rPr>
          <w:lang w:val="fr-FR"/>
        </w:rPr>
        <w:tab/>
        <w:t>Les certificats d’agrément de type doivent être délivrés conformément aux 1.8.7 et 6.8.2.3. Pour la délivrance du certificat d’agrément de type, une norme applicable selon l’indication dans la colonne 4) doit être choisie dans le tableau ci-dessous. Si plus d’une norme peut être appliquée, seule l’une d’entre elles doit être choisie.</w:t>
      </w:r>
    </w:p>
    <w:p w14:paraId="43614FD0" w14:textId="34B59BF7" w:rsidR="00FA20F4" w:rsidRPr="0053507E" w:rsidRDefault="00FA20F4" w:rsidP="00FA20F4">
      <w:pPr>
        <w:pStyle w:val="SingleTxtG"/>
        <w:ind w:left="2268" w:hanging="1134"/>
        <w:rPr>
          <w:lang w:val="fr-FR"/>
        </w:rPr>
      </w:pPr>
      <w:r>
        <w:rPr>
          <w:lang w:val="fr-FR"/>
        </w:rPr>
        <w:tab/>
      </w:r>
      <w:r w:rsidRPr="0053507E">
        <w:rPr>
          <w:lang w:val="fr-FR"/>
        </w:rPr>
        <w:t xml:space="preserve">La colonne 3) indique les paragraphes du chapitre 6.8 auxquels la norme est conforme. </w:t>
      </w:r>
    </w:p>
    <w:p w14:paraId="073FA67F" w14:textId="362D24A1" w:rsidR="00FA20F4" w:rsidRPr="0053507E" w:rsidRDefault="00FA20F4" w:rsidP="00FA20F4">
      <w:pPr>
        <w:pStyle w:val="SingleTxtG"/>
        <w:ind w:left="2268" w:hanging="1134"/>
        <w:rPr>
          <w:lang w:val="fr-FR"/>
        </w:rPr>
      </w:pPr>
      <w:r>
        <w:rPr>
          <w:lang w:val="fr-FR"/>
        </w:rPr>
        <w:tab/>
      </w:r>
      <w:r w:rsidRPr="0053507E">
        <w:rPr>
          <w:lang w:val="fr-FR"/>
        </w:rPr>
        <w:t>La colonne 5) indique la date ultime à laquelle les agréments de type existants doivent être retirés conformément au 1.8.7.2.2.2 ; si aucune date n’est indiquée, l’agrément de type demeure valide jusqu’à sa date d’expiration.</w:t>
      </w:r>
    </w:p>
    <w:p w14:paraId="2FE31800" w14:textId="77777777" w:rsidR="00FA20F4" w:rsidRPr="0053507E" w:rsidRDefault="00FA20F4" w:rsidP="00FA20F4">
      <w:pPr>
        <w:pStyle w:val="SingleTxtG"/>
        <w:ind w:left="2268" w:hanging="1134"/>
        <w:rPr>
          <w:lang w:val="fr-FR"/>
        </w:rPr>
      </w:pPr>
      <w:r w:rsidRPr="0053507E">
        <w:rPr>
          <w:lang w:val="fr-FR"/>
        </w:rPr>
        <w:tab/>
        <w:t xml:space="preserve">Les normes doivent être appliquées conformément au 1.1.5. Elles doivent être appliquées en totalité à moins qu’il n’en soit spécifié autrement dans le tableau ci-dessous. </w:t>
      </w:r>
    </w:p>
    <w:p w14:paraId="361C84E1" w14:textId="77777777" w:rsidR="00FA20F4" w:rsidRDefault="00FA20F4" w:rsidP="00FA20F4">
      <w:pPr>
        <w:pStyle w:val="SingleTxtG"/>
        <w:ind w:left="2268" w:hanging="1134"/>
        <w:rPr>
          <w:lang w:val="fr-FR"/>
        </w:rPr>
      </w:pPr>
      <w:r>
        <w:rPr>
          <w:lang w:val="fr-FR"/>
        </w:rPr>
        <w:tab/>
      </w:r>
      <w:r w:rsidRPr="0053507E">
        <w:rPr>
          <w:lang w:val="fr-FR"/>
        </w:rPr>
        <w:t>Le champ d’application de chaque norme est défini dans l’article de champ d’application de la norme à moins qu’il n’en soit spécifié autrement dans le tableau ci-dessous.</w:t>
      </w:r>
      <w:r w:rsidRPr="00511A9C">
        <w:rPr>
          <w:lang w:val="fr-FR"/>
        </w:rPr>
        <w:t xml:space="preserve"> »</w:t>
      </w:r>
    </w:p>
    <w:p w14:paraId="7F226D26" w14:textId="50BFF79C" w:rsidR="00FA20F4" w:rsidRPr="00476248" w:rsidRDefault="00FA20F4" w:rsidP="00FA20F4">
      <w:pPr>
        <w:pStyle w:val="SingleTxtG"/>
        <w:ind w:left="2268" w:hanging="1134"/>
        <w:rPr>
          <w:lang w:val="fr-FR"/>
        </w:rPr>
      </w:pPr>
      <w:r>
        <w:rPr>
          <w:lang w:val="fr-FR"/>
        </w:rPr>
        <w:tab/>
        <w:t xml:space="preserve">Dans le tableau, remplacer le titre de la colonne 3) par </w:t>
      </w:r>
      <w:r w:rsidRPr="00E622BC">
        <w:rPr>
          <w:lang w:val="fr-FR"/>
        </w:rPr>
        <w:t>« Prescriptions auxquelles la norme est conforme ».</w:t>
      </w:r>
    </w:p>
    <w:p w14:paraId="5F42801E" w14:textId="28D7C0A4" w:rsidR="00CA3533" w:rsidRDefault="00CA3533" w:rsidP="00CA3533">
      <w:pPr>
        <w:tabs>
          <w:tab w:val="left" w:pos="2268"/>
        </w:tabs>
        <w:spacing w:before="120" w:after="120"/>
        <w:ind w:left="2268" w:right="1134" w:hanging="1134"/>
        <w:jc w:val="both"/>
        <w:rPr>
          <w:lang w:val="fr-FR"/>
        </w:rPr>
      </w:pPr>
      <w:r w:rsidRPr="00CA3533">
        <w:rPr>
          <w:lang w:val="fr-FR"/>
        </w:rPr>
        <w:tab/>
        <w:t>Dans le tableau, sous « Pour la conception et la construction des citernes » :</w:t>
      </w:r>
    </w:p>
    <w:p w14:paraId="1BD3440B" w14:textId="6D0B90EF" w:rsidR="0019329E" w:rsidRPr="0019329E" w:rsidRDefault="0019329E" w:rsidP="0019329E">
      <w:pPr>
        <w:pStyle w:val="Bullet1G"/>
        <w:tabs>
          <w:tab w:val="clear" w:pos="1701"/>
        </w:tabs>
        <w:ind w:left="2410"/>
      </w:pPr>
      <w:r w:rsidRPr="0019329E">
        <w:rPr>
          <w:lang w:val="fr-FR"/>
        </w:rPr>
        <w:t>Dans le tableau, pour « EN 13094:2015 » dans la deuxième colonne, remplacer « </w:t>
      </w:r>
      <w:r w:rsidRPr="0019329E">
        <w:rPr>
          <w:i/>
          <w:iCs/>
        </w:rPr>
        <w:t>(http://www.unece.org/trans/danger/danger.html)</w:t>
      </w:r>
      <w:r w:rsidRPr="0019329E">
        <w:rPr>
          <w:lang w:val="fr-FR"/>
        </w:rPr>
        <w:t> » par « </w:t>
      </w:r>
      <w:r w:rsidRPr="0019329E">
        <w:rPr>
          <w:i/>
          <w:iCs/>
        </w:rPr>
        <w:t>(https://unece.org/guidelines-telematics-application-standards-construction-and-approval-vehicles-calculation-risks)</w:t>
      </w:r>
      <w:r w:rsidRPr="0019329E">
        <w:rPr>
          <w:lang w:val="fr-FR"/>
        </w:rPr>
        <w:t> ».</w:t>
      </w:r>
    </w:p>
    <w:p w14:paraId="1539F4C3" w14:textId="7CE2FC6B" w:rsidR="00CA3533" w:rsidRPr="00CA3533" w:rsidRDefault="00CA3533" w:rsidP="006F15AA">
      <w:pPr>
        <w:pStyle w:val="Bullet1G"/>
        <w:tabs>
          <w:tab w:val="clear" w:pos="1701"/>
        </w:tabs>
        <w:ind w:left="2410"/>
        <w:rPr>
          <w:lang w:val="fr-FR"/>
        </w:rPr>
      </w:pPr>
      <w:r w:rsidRPr="00CA3533">
        <w:rPr>
          <w:lang w:val="fr-FR"/>
        </w:rPr>
        <w:t>Pour « EN 12493:2008 (sauf annexe C) », « EN 12493:2008 + A1:2012 (sauf annexe C) », « EN 12493:2013 (sauf annexe C) » et « EN 12493:2013 + A1:2014 + AC:2015 (sauf annexe C) », dans la colonne 2), dans le titre et dans le Nota, remplacer « véhicules citernes routiers » et « véhicule citerne routier » par « camions-citernes ».</w:t>
      </w:r>
    </w:p>
    <w:p w14:paraId="6B6FABF6" w14:textId="706C7F8F" w:rsidR="00CA3533" w:rsidRPr="00CA3533" w:rsidRDefault="00CA3533" w:rsidP="00FF6323">
      <w:pPr>
        <w:pStyle w:val="Bullet1G"/>
        <w:tabs>
          <w:tab w:val="clear" w:pos="1701"/>
        </w:tabs>
        <w:ind w:left="2410"/>
        <w:rPr>
          <w:b/>
          <w:bCs/>
          <w:lang w:val="fr-FR"/>
        </w:rPr>
      </w:pPr>
      <w:r w:rsidRPr="00CA3533">
        <w:rPr>
          <w:lang w:val="fr-FR"/>
        </w:rPr>
        <w:t>Pour « EN 12493:2013 + A2:2018 (sauf annexe C) », dans la colonne 4), remplacer le texte existant par « Entre le 1</w:t>
      </w:r>
      <w:r w:rsidRPr="00CA3533">
        <w:rPr>
          <w:vertAlign w:val="superscript"/>
          <w:lang w:val="fr-FR"/>
        </w:rPr>
        <w:t>er</w:t>
      </w:r>
      <w:r w:rsidRPr="00CA3533">
        <w:rPr>
          <w:lang w:val="fr-FR"/>
        </w:rPr>
        <w:t xml:space="preserve"> janvier 2021 et le 31 décembre 2024 ». Dans la colonne 2), dans le Nota, remplacer « véhicule citerne routier » par « camions-citernes ».</w:t>
      </w:r>
    </w:p>
    <w:p w14:paraId="3624F561" w14:textId="1537DEE6" w:rsidR="00CA3533" w:rsidRPr="00CA3533" w:rsidRDefault="00CA3533" w:rsidP="007E0765">
      <w:pPr>
        <w:pStyle w:val="Bullet1G"/>
        <w:tabs>
          <w:tab w:val="clear" w:pos="1701"/>
        </w:tabs>
        <w:ind w:left="2410"/>
        <w:rPr>
          <w:lang w:val="fr-FR"/>
        </w:rPr>
      </w:pPr>
      <w:r w:rsidRPr="00CA3533">
        <w:rPr>
          <w:lang w:val="fr-FR"/>
        </w:rPr>
        <w:t>Après la rubrique existante pour la norme « EN 12493:2013 + A2:2018</w:t>
      </w:r>
      <w:r w:rsidR="00137200" w:rsidRPr="00CA3533">
        <w:rPr>
          <w:lang w:val="fr-FR"/>
        </w:rPr>
        <w:t xml:space="preserve"> (sauf annexe C)</w:t>
      </w:r>
      <w:r w:rsidRPr="00CA3533">
        <w:rPr>
          <w:lang w:val="fr-FR"/>
        </w:rPr>
        <w:t>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CA3533" w:rsidRPr="00CA3533" w14:paraId="3745C217" w14:textId="77777777" w:rsidTr="00D56820">
        <w:trPr>
          <w:cantSplit/>
        </w:trPr>
        <w:tc>
          <w:tcPr>
            <w:tcW w:w="1357" w:type="dxa"/>
          </w:tcPr>
          <w:p w14:paraId="42E64B34" w14:textId="77777777" w:rsidR="00CA3533" w:rsidRPr="00CA3533" w:rsidRDefault="00CA3533" w:rsidP="00CA3533">
            <w:pPr>
              <w:widowControl w:val="0"/>
              <w:spacing w:before="40" w:after="40"/>
              <w:ind w:left="57" w:right="57"/>
              <w:rPr>
                <w:lang w:val="fr-FR"/>
              </w:rPr>
            </w:pPr>
            <w:r w:rsidRPr="00CA3533">
              <w:rPr>
                <w:bCs/>
              </w:rPr>
              <w:lastRenderedPageBreak/>
              <w:t xml:space="preserve">EN 12493:2020 </w:t>
            </w:r>
            <w:r w:rsidRPr="00CA3533">
              <w:rPr>
                <w:rFonts w:eastAsia="Batang"/>
                <w:lang w:eastAsia="fr-FR"/>
              </w:rPr>
              <w:t>(sauf annexe C)</w:t>
            </w:r>
          </w:p>
        </w:tc>
        <w:tc>
          <w:tcPr>
            <w:tcW w:w="4253" w:type="dxa"/>
          </w:tcPr>
          <w:p w14:paraId="17DFCFE0" w14:textId="77777777" w:rsidR="00CA3533" w:rsidRPr="00CA3533" w:rsidRDefault="00CA3533" w:rsidP="00CA3533">
            <w:pPr>
              <w:widowControl w:val="0"/>
              <w:spacing w:before="40" w:after="40"/>
              <w:ind w:left="57" w:right="57"/>
              <w:rPr>
                <w:lang w:val="fr-FR"/>
              </w:rPr>
            </w:pPr>
            <w:r w:rsidRPr="00CA3533">
              <w:rPr>
                <w:lang w:val="fr-FR"/>
              </w:rPr>
              <w:t>Équipements pour GPL et leurs accessoires - Réservoirs sous pression en acier soudés des camions-citernes - Conception et construction</w:t>
            </w:r>
          </w:p>
          <w:p w14:paraId="003690E2" w14:textId="77777777" w:rsidR="00CA3533" w:rsidRPr="00CA3533" w:rsidRDefault="00CA3533" w:rsidP="00CA3533">
            <w:pPr>
              <w:widowControl w:val="0"/>
              <w:spacing w:before="40" w:after="40"/>
              <w:ind w:left="57" w:right="57"/>
              <w:rPr>
                <w:lang w:val="fr-FR"/>
              </w:rPr>
            </w:pPr>
            <w:r w:rsidRPr="00CA3533">
              <w:rPr>
                <w:b/>
                <w:bCs/>
                <w:i/>
                <w:iCs/>
                <w:lang w:eastAsia="fr-FR"/>
              </w:rPr>
              <w:t>NOTA :</w:t>
            </w:r>
            <w:r w:rsidRPr="00CA3533">
              <w:rPr>
                <w:i/>
                <w:iCs/>
                <w:lang w:eastAsia="fr-FR"/>
              </w:rPr>
              <w:t xml:space="preserve"> On entend par « camions-citernes » les « citernes fixes » et « citernes démontables » au sens de l’ADR.</w:t>
            </w:r>
          </w:p>
        </w:tc>
        <w:tc>
          <w:tcPr>
            <w:tcW w:w="1176" w:type="dxa"/>
          </w:tcPr>
          <w:p w14:paraId="4860CCAC" w14:textId="77777777" w:rsidR="00CA3533" w:rsidRPr="00CA3533" w:rsidRDefault="00CA3533" w:rsidP="00CA3533">
            <w:pPr>
              <w:widowControl w:val="0"/>
              <w:spacing w:before="40" w:after="40"/>
              <w:ind w:left="57" w:right="57"/>
              <w:rPr>
                <w:lang w:val="fr-FR"/>
              </w:rPr>
            </w:pPr>
            <w:r w:rsidRPr="00CA3533">
              <w:t>6.8.2.1, 6.8.2.5, 6.8.3.1, 6.8.3.5, 6.8.5.1 à 6.8.5.3</w:t>
            </w:r>
          </w:p>
        </w:tc>
        <w:tc>
          <w:tcPr>
            <w:tcW w:w="1267" w:type="dxa"/>
          </w:tcPr>
          <w:p w14:paraId="4498C085" w14:textId="77777777" w:rsidR="00CA3533" w:rsidRPr="00CA3533" w:rsidRDefault="00CA3533" w:rsidP="00CA3533">
            <w:pPr>
              <w:widowControl w:val="0"/>
              <w:spacing w:before="40" w:after="40"/>
              <w:ind w:left="57" w:right="57"/>
              <w:rPr>
                <w:lang w:val="fr-FR"/>
              </w:rPr>
            </w:pPr>
            <w:r w:rsidRPr="00CA3533">
              <w:rPr>
                <w:lang w:val="fr-FR"/>
              </w:rPr>
              <w:t>Jusqu’à nouvel ordre</w:t>
            </w:r>
          </w:p>
        </w:tc>
        <w:tc>
          <w:tcPr>
            <w:tcW w:w="452" w:type="dxa"/>
          </w:tcPr>
          <w:p w14:paraId="331E94F8" w14:textId="77777777" w:rsidR="00CA3533" w:rsidRPr="00CA3533" w:rsidRDefault="00CA3533" w:rsidP="00CA3533">
            <w:pPr>
              <w:widowControl w:val="0"/>
              <w:spacing w:before="40" w:after="40"/>
              <w:ind w:left="57" w:right="57"/>
              <w:rPr>
                <w:lang w:val="fr-FR"/>
              </w:rPr>
            </w:pPr>
          </w:p>
        </w:tc>
      </w:tr>
    </w:tbl>
    <w:p w14:paraId="7D16B70D" w14:textId="1AA22131" w:rsidR="00CA3533" w:rsidRPr="00CA3533" w:rsidRDefault="00CA3533" w:rsidP="008C09A4">
      <w:pPr>
        <w:spacing w:before="120" w:after="120"/>
        <w:ind w:left="2268" w:right="1134" w:hanging="1134"/>
        <w:jc w:val="both"/>
        <w:rPr>
          <w:lang w:val="fr-FR"/>
        </w:rPr>
      </w:pPr>
      <w:r w:rsidRPr="00CA3533">
        <w:rPr>
          <w:lang w:val="fr-FR"/>
        </w:rPr>
        <w:tab/>
        <w:t>Dans le tableau, sous « Pour les équipements » :</w:t>
      </w:r>
    </w:p>
    <w:p w14:paraId="39994DD2" w14:textId="77777777" w:rsidR="00433AD3" w:rsidRPr="00CA3533" w:rsidRDefault="00433AD3" w:rsidP="00433AD3">
      <w:pPr>
        <w:pStyle w:val="Bullet1G"/>
        <w:tabs>
          <w:tab w:val="clear" w:pos="1701"/>
        </w:tabs>
        <w:spacing w:before="120"/>
        <w:ind w:left="2410"/>
        <w:rPr>
          <w:rFonts w:eastAsiaTheme="minorHAnsi"/>
          <w:lang w:val="fr-FR" w:eastAsia="en-US"/>
        </w:rPr>
      </w:pPr>
      <w:r w:rsidRPr="00CA3533">
        <w:rPr>
          <w:rFonts w:eastAsiaTheme="minorHAnsi"/>
          <w:lang w:val="fr-FR" w:eastAsia="en-US"/>
        </w:rPr>
        <w:t>Pour les normes « EN 14432:2014 » et « EN 14433:2014 », remplacer « 6.8.2.3.1 » par « 6.8.2.3.2 ».</w:t>
      </w:r>
    </w:p>
    <w:p w14:paraId="6B796B73" w14:textId="77777777" w:rsidR="00CA3533" w:rsidRPr="00CA3533" w:rsidRDefault="00CA3533" w:rsidP="007E0765">
      <w:pPr>
        <w:pStyle w:val="Bullet1G"/>
        <w:tabs>
          <w:tab w:val="clear" w:pos="1701"/>
        </w:tabs>
        <w:ind w:left="2410"/>
        <w:rPr>
          <w:lang w:val="fr-FR"/>
        </w:rPr>
      </w:pPr>
      <w:r w:rsidRPr="00CA3533">
        <w:rPr>
          <w:lang w:val="fr-FR"/>
        </w:rPr>
        <w:t xml:space="preserve">Pour « EN 13175:2019 (sauf article 6.1.6) », dans la colonne 4), </w:t>
      </w:r>
      <w:r w:rsidRPr="00CA3533">
        <w:rPr>
          <w:bCs/>
          <w:lang w:val="fr-FR"/>
        </w:rPr>
        <w:t>remplacer</w:t>
      </w:r>
      <w:r w:rsidRPr="00CA3533">
        <w:rPr>
          <w:lang w:val="fr-FR"/>
        </w:rPr>
        <w:t xml:space="preserve"> « Jusqu’à nouvel ordre » par « Entre le 1er janvier 2021 et le 31 décembre 2024 ». Après la ligne pour « EN 13175:2019 (sauf article 6.1.6) », ajouter la ligne suivante:</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CA3533" w:rsidRPr="00CA3533" w14:paraId="05E3CC59" w14:textId="77777777" w:rsidTr="00D56820">
        <w:tc>
          <w:tcPr>
            <w:tcW w:w="1701" w:type="dxa"/>
            <w:vAlign w:val="center"/>
          </w:tcPr>
          <w:p w14:paraId="2C1C1330" w14:textId="77777777" w:rsidR="00CA3533" w:rsidRPr="00CA3533" w:rsidRDefault="00CA3533" w:rsidP="00CA3533">
            <w:pPr>
              <w:widowControl w:val="0"/>
              <w:spacing w:before="60" w:after="60"/>
              <w:rPr>
                <w:lang w:val="fr-FR"/>
              </w:rPr>
            </w:pPr>
            <w:r w:rsidRPr="00CA3533">
              <w:rPr>
                <w:lang w:val="fr-FR"/>
              </w:rPr>
              <w:t>EN 13175:2019 + A1:2020</w:t>
            </w:r>
          </w:p>
        </w:tc>
        <w:tc>
          <w:tcPr>
            <w:tcW w:w="3686" w:type="dxa"/>
          </w:tcPr>
          <w:p w14:paraId="4C18EE61" w14:textId="77777777" w:rsidR="00CA3533" w:rsidRPr="00CA3533" w:rsidRDefault="00CA3533" w:rsidP="00CA3533">
            <w:pPr>
              <w:widowControl w:val="0"/>
              <w:spacing w:before="60" w:after="120"/>
              <w:rPr>
                <w:lang w:val="fr-FR"/>
              </w:rPr>
            </w:pPr>
            <w:r w:rsidRPr="00CA3533">
              <w:rPr>
                <w:lang w:val="fr-FR"/>
              </w:rPr>
              <w:t xml:space="preserve">Équipements pour GPL et leurs accessoires - Spécifications et essais des équipements et accessoires des réservoirs pour gaz de pétrole liquéfié (GPL) </w:t>
            </w:r>
          </w:p>
        </w:tc>
        <w:tc>
          <w:tcPr>
            <w:tcW w:w="1417" w:type="dxa"/>
            <w:vAlign w:val="center"/>
          </w:tcPr>
          <w:p w14:paraId="737DE630" w14:textId="77777777" w:rsidR="00CA3533" w:rsidRPr="00CA3533" w:rsidRDefault="00CA3533" w:rsidP="00CA3533">
            <w:pPr>
              <w:widowControl w:val="0"/>
              <w:spacing w:before="60" w:after="60"/>
              <w:rPr>
                <w:lang w:val="fr-FR"/>
              </w:rPr>
            </w:pPr>
            <w:r w:rsidRPr="00CA3533">
              <w:rPr>
                <w:lang w:val="fr-FR"/>
              </w:rPr>
              <w:t>6.8.2.1.1, 6.8.2.2, 6.8.2.4.1 et 6.8.3.2.3</w:t>
            </w:r>
          </w:p>
        </w:tc>
        <w:tc>
          <w:tcPr>
            <w:tcW w:w="992" w:type="dxa"/>
            <w:vAlign w:val="center"/>
          </w:tcPr>
          <w:p w14:paraId="3FF4AF4E" w14:textId="77777777" w:rsidR="00CA3533" w:rsidRPr="00CA3533" w:rsidRDefault="00CA3533" w:rsidP="00CA3533">
            <w:pPr>
              <w:widowControl w:val="0"/>
              <w:spacing w:before="60" w:after="60"/>
              <w:rPr>
                <w:lang w:val="fr-FR"/>
              </w:rPr>
            </w:pPr>
            <w:r w:rsidRPr="00CA3533">
              <w:rPr>
                <w:lang w:val="fr-FR"/>
              </w:rPr>
              <w:t>Jusqu’à nouvel ordre</w:t>
            </w:r>
          </w:p>
        </w:tc>
        <w:tc>
          <w:tcPr>
            <w:tcW w:w="851" w:type="dxa"/>
            <w:vAlign w:val="center"/>
          </w:tcPr>
          <w:p w14:paraId="28F62485" w14:textId="77777777" w:rsidR="00CA3533" w:rsidRPr="00CA3533" w:rsidRDefault="00CA3533" w:rsidP="00CA3533">
            <w:pPr>
              <w:widowControl w:val="0"/>
              <w:spacing w:before="60" w:after="60"/>
              <w:rPr>
                <w:lang w:val="fr-FR"/>
              </w:rPr>
            </w:pPr>
          </w:p>
        </w:tc>
      </w:tr>
    </w:tbl>
    <w:p w14:paraId="7F5DA07E" w14:textId="77777777" w:rsidR="00CA3533" w:rsidRPr="00CA3533" w:rsidRDefault="00CA3533" w:rsidP="00433AD3">
      <w:pPr>
        <w:spacing w:before="120" w:after="120"/>
        <w:ind w:left="2268" w:right="1134" w:hanging="1134"/>
        <w:jc w:val="both"/>
        <w:rPr>
          <w:rFonts w:eastAsiaTheme="minorHAnsi"/>
          <w:lang w:val="fr-FR" w:eastAsia="en-US"/>
        </w:rPr>
      </w:pPr>
      <w:r w:rsidRPr="00CA3533">
        <w:rPr>
          <w:rFonts w:eastAsiaTheme="minorHAnsi"/>
          <w:lang w:val="fr-FR" w:eastAsia="en-US"/>
        </w:rPr>
        <w:t>6.8.2.6.2</w:t>
      </w:r>
      <w:r w:rsidRPr="00CA3533">
        <w:rPr>
          <w:rFonts w:eastAsiaTheme="minorHAnsi"/>
          <w:lang w:val="fr-FR" w:eastAsia="en-US"/>
        </w:rPr>
        <w:tab/>
        <w:t>Modifier le titre de sorte qu’il se lise comme suit : « Examen de type, contrôles et épreuves ».</w:t>
      </w:r>
    </w:p>
    <w:p w14:paraId="5B4A6626" w14:textId="744FFCAB" w:rsidR="004062C2" w:rsidRDefault="004062C2" w:rsidP="004062C2">
      <w:pPr>
        <w:pStyle w:val="SingleTxtG"/>
        <w:ind w:left="2268" w:hanging="1134"/>
        <w:rPr>
          <w:lang w:val="fr-FR"/>
        </w:rPr>
      </w:pPr>
      <w:r w:rsidRPr="00476248">
        <w:rPr>
          <w:lang w:val="fr-FR"/>
        </w:rPr>
        <w:tab/>
      </w:r>
      <w:r>
        <w:rPr>
          <w:lang w:val="fr-FR"/>
        </w:rPr>
        <w:t>Supprimer le premier paragraphe.</w:t>
      </w:r>
    </w:p>
    <w:p w14:paraId="503D9DD7" w14:textId="77777777" w:rsidR="004062C2" w:rsidRDefault="004062C2" w:rsidP="004062C2">
      <w:pPr>
        <w:pStyle w:val="SingleTxtG"/>
        <w:ind w:left="2268" w:hanging="1134"/>
        <w:rPr>
          <w:lang w:val="fr-FR"/>
        </w:rPr>
      </w:pPr>
      <w:r>
        <w:rPr>
          <w:lang w:val="fr-FR"/>
        </w:rPr>
        <w:tab/>
        <w:t>Après le nouveau premier paragraphe, ajouter les nouveaux paragraphes suivants :</w:t>
      </w:r>
    </w:p>
    <w:p w14:paraId="66DD195E" w14:textId="3F4E0C14" w:rsidR="004062C2" w:rsidRPr="00A11B21" w:rsidRDefault="004062C2" w:rsidP="004062C2">
      <w:pPr>
        <w:pStyle w:val="SingleTxtG"/>
        <w:ind w:left="2268" w:hanging="1134"/>
        <w:rPr>
          <w:lang w:val="fr-FR"/>
        </w:rPr>
      </w:pPr>
      <w:r>
        <w:rPr>
          <w:lang w:val="fr-FR"/>
        </w:rPr>
        <w:tab/>
        <w:t>« </w:t>
      </w:r>
      <w:r w:rsidRPr="00A11B21">
        <w:rPr>
          <w:lang w:val="fr-FR"/>
        </w:rPr>
        <w:t>Une norme applicable selon l’indication dans la colonne 4) doit être choisie dans le tableau ci-dessous pour l</w:t>
      </w:r>
      <w:r w:rsidR="00DF5681">
        <w:rPr>
          <w:lang w:val="fr-FR"/>
        </w:rPr>
        <w:t>’</w:t>
      </w:r>
      <w:r w:rsidR="00C2393D">
        <w:rPr>
          <w:lang w:val="fr-FR"/>
        </w:rPr>
        <w:t>examen de type</w:t>
      </w:r>
      <w:r w:rsidR="00785F67">
        <w:rPr>
          <w:lang w:val="fr-FR"/>
        </w:rPr>
        <w:t xml:space="preserve"> et les </w:t>
      </w:r>
      <w:r w:rsidRPr="00A11B21">
        <w:rPr>
          <w:lang w:val="fr-FR"/>
        </w:rPr>
        <w:t xml:space="preserve">contrôles et épreuves des citernes. </w:t>
      </w:r>
    </w:p>
    <w:p w14:paraId="4B232A4D" w14:textId="1A3259DD" w:rsidR="004062C2" w:rsidRPr="00A11B21" w:rsidRDefault="004062C2" w:rsidP="004062C2">
      <w:pPr>
        <w:pStyle w:val="SingleTxtG"/>
        <w:ind w:left="2268" w:hanging="1134"/>
        <w:rPr>
          <w:lang w:val="fr-FR"/>
        </w:rPr>
      </w:pPr>
      <w:r>
        <w:rPr>
          <w:lang w:val="fr-FR"/>
        </w:rPr>
        <w:tab/>
      </w:r>
      <w:r w:rsidRPr="00A11B21">
        <w:rPr>
          <w:lang w:val="fr-FR"/>
        </w:rPr>
        <w:t>La colonne 3) indique les paragraphes du chapitre 6.8 auxquels la norme est conforme.</w:t>
      </w:r>
    </w:p>
    <w:p w14:paraId="1F1AAF2E" w14:textId="77777777" w:rsidR="004062C2" w:rsidRDefault="004062C2" w:rsidP="004062C2">
      <w:pPr>
        <w:pStyle w:val="SingleTxtG"/>
        <w:ind w:left="2268" w:hanging="1134"/>
        <w:rPr>
          <w:lang w:val="fr-FR"/>
        </w:rPr>
      </w:pPr>
      <w:r>
        <w:rPr>
          <w:lang w:val="fr-FR"/>
        </w:rPr>
        <w:tab/>
      </w:r>
      <w:r w:rsidRPr="00A11B21">
        <w:rPr>
          <w:lang w:val="fr-FR"/>
        </w:rPr>
        <w:t>Les normes doivent être appliquées conformément au 1.1.5.</w:t>
      </w:r>
      <w:r>
        <w:rPr>
          <w:lang w:val="fr-FR"/>
        </w:rPr>
        <w:t> »</w:t>
      </w:r>
    </w:p>
    <w:p w14:paraId="5EA6FECA" w14:textId="77777777" w:rsidR="0098459B" w:rsidRDefault="004062C2" w:rsidP="004062C2">
      <w:pPr>
        <w:pStyle w:val="SingleTxtG"/>
        <w:ind w:left="2268" w:hanging="1134"/>
        <w:rPr>
          <w:lang w:val="fr-FR"/>
        </w:rPr>
      </w:pPr>
      <w:r>
        <w:rPr>
          <w:lang w:val="fr-FR"/>
        </w:rPr>
        <w:tab/>
        <w:t>Dans le tableau</w:t>
      </w:r>
      <w:r w:rsidR="0098459B">
        <w:rPr>
          <w:lang w:val="fr-FR"/>
        </w:rPr>
        <w:t> :</w:t>
      </w:r>
    </w:p>
    <w:p w14:paraId="5DBF3E11" w14:textId="4AD57756" w:rsidR="004062C2" w:rsidRPr="00476248" w:rsidRDefault="0098459B" w:rsidP="0098459B">
      <w:pPr>
        <w:pStyle w:val="Bullet1G"/>
        <w:tabs>
          <w:tab w:val="clear" w:pos="1701"/>
        </w:tabs>
        <w:ind w:left="2410"/>
        <w:rPr>
          <w:lang w:val="fr-FR"/>
        </w:rPr>
      </w:pPr>
      <w:r>
        <w:rPr>
          <w:lang w:val="fr-FR"/>
        </w:rPr>
        <w:t>R</w:t>
      </w:r>
      <w:r w:rsidR="004062C2">
        <w:rPr>
          <w:lang w:val="fr-FR"/>
        </w:rPr>
        <w:t xml:space="preserve">emplacer le titre de la colonne 3) par </w:t>
      </w:r>
      <w:r w:rsidR="004062C2" w:rsidRPr="00E622BC">
        <w:rPr>
          <w:lang w:val="fr-FR"/>
        </w:rPr>
        <w:t>« Prescriptions auxquelles la norme est conforme ».</w:t>
      </w:r>
    </w:p>
    <w:p w14:paraId="0F3466A6" w14:textId="7A50039E" w:rsidR="001C3E50" w:rsidRDefault="003C10C5" w:rsidP="0098459B">
      <w:pPr>
        <w:pStyle w:val="Bullet1G"/>
        <w:tabs>
          <w:tab w:val="clear" w:pos="1701"/>
        </w:tabs>
        <w:ind w:left="2410"/>
        <w:rPr>
          <w:lang w:val="fr-FR"/>
        </w:rPr>
      </w:pPr>
      <w:r>
        <w:rPr>
          <w:lang w:val="fr-FR"/>
        </w:rPr>
        <w:t>S</w:t>
      </w:r>
      <w:r w:rsidR="001C3E50">
        <w:rPr>
          <w:lang w:val="fr-FR"/>
        </w:rPr>
        <w:t xml:space="preserve">upprimer la ligne pour </w:t>
      </w:r>
      <w:r w:rsidR="001C3E50" w:rsidRPr="00661858">
        <w:rPr>
          <w:lang w:val="fr-FR"/>
        </w:rPr>
        <w:t>EN 12972:2007</w:t>
      </w:r>
      <w:r w:rsidR="001C3E50">
        <w:rPr>
          <w:lang w:val="fr-FR"/>
        </w:rPr>
        <w:t>.</w:t>
      </w:r>
    </w:p>
    <w:p w14:paraId="736B49C7" w14:textId="45D6BE7F" w:rsidR="001C3E50" w:rsidRPr="006E0EF8" w:rsidRDefault="003C10C5">
      <w:pPr>
        <w:pStyle w:val="Bullet1G"/>
        <w:tabs>
          <w:tab w:val="clear" w:pos="1701"/>
        </w:tabs>
        <w:ind w:left="2410"/>
        <w:rPr>
          <w:lang w:val="fr-FR"/>
        </w:rPr>
      </w:pPr>
      <w:r>
        <w:rPr>
          <w:lang w:val="fr-FR"/>
        </w:rPr>
        <w:t>P</w:t>
      </w:r>
      <w:r w:rsidR="00CA3533" w:rsidRPr="00CA3533">
        <w:rPr>
          <w:lang w:val="fr-FR"/>
        </w:rPr>
        <w:t>our la norme « EN 12972:2018 », dans la colonne 3), avant « 6.8.2.4 », ajouter « 6.8.2.1.23 ».</w:t>
      </w:r>
      <w:r>
        <w:rPr>
          <w:lang w:val="fr-FR"/>
        </w:rPr>
        <w:t xml:space="preserve"> D</w:t>
      </w:r>
      <w:r w:rsidR="001C3E50">
        <w:rPr>
          <w:lang w:val="fr-FR"/>
        </w:rPr>
        <w:t>ans la colonne 4), remplacer « </w:t>
      </w:r>
      <w:r w:rsidR="001C3E50" w:rsidRPr="00835C45">
        <w:rPr>
          <w:lang w:val="fr-FR"/>
        </w:rPr>
        <w:t>Obligatoirement à partir du</w:t>
      </w:r>
      <w:r w:rsidR="001C3E50">
        <w:rPr>
          <w:lang w:val="fr-FR"/>
        </w:rPr>
        <w:t xml:space="preserve"> </w:t>
      </w:r>
      <w:r w:rsidR="001C3E50" w:rsidRPr="00835C45">
        <w:rPr>
          <w:lang w:val="fr-FR"/>
        </w:rPr>
        <w:t>1er juillet 2021</w:t>
      </w:r>
      <w:r w:rsidR="001C3E50">
        <w:rPr>
          <w:lang w:val="fr-FR"/>
        </w:rPr>
        <w:t> » par « </w:t>
      </w:r>
      <w:r w:rsidR="001C3E50" w:rsidRPr="008C4AA2">
        <w:rPr>
          <w:lang w:val="fr-FR"/>
        </w:rPr>
        <w:t>Jusqu’à nouvel ordre</w:t>
      </w:r>
      <w:r w:rsidR="001C3E50">
        <w:rPr>
          <w:lang w:val="fr-FR"/>
        </w:rPr>
        <w:t> ».</w:t>
      </w:r>
    </w:p>
    <w:p w14:paraId="49F35C19" w14:textId="26DEFCEB" w:rsidR="00CA3533" w:rsidRPr="00CA3533" w:rsidRDefault="00CA3533" w:rsidP="00CA3533">
      <w:pPr>
        <w:spacing w:after="120"/>
        <w:ind w:left="2268" w:right="1134" w:hanging="1134"/>
        <w:jc w:val="both"/>
        <w:rPr>
          <w:lang w:val="fr-FR" w:eastAsia="fr-FR"/>
        </w:rPr>
      </w:pPr>
      <w:r w:rsidRPr="00CA3533">
        <w:rPr>
          <w:lang w:val="fr-FR" w:eastAsia="fr-FR"/>
        </w:rPr>
        <w:t>6.8.3.2.9</w:t>
      </w:r>
      <w:r w:rsidRPr="00CA3533">
        <w:rPr>
          <w:lang w:val="fr-FR" w:eastAsia="fr-FR"/>
        </w:rPr>
        <w:tab/>
        <w:t>Modifier pour lire comme suit :</w:t>
      </w:r>
    </w:p>
    <w:p w14:paraId="18210A52" w14:textId="77777777" w:rsidR="00CA3533" w:rsidRPr="00CA3533" w:rsidRDefault="00CA3533" w:rsidP="00CA3533">
      <w:pPr>
        <w:spacing w:after="120"/>
        <w:ind w:left="2268" w:right="1134" w:hanging="1134"/>
        <w:jc w:val="both"/>
        <w:rPr>
          <w:lang w:val="fr-FR" w:eastAsia="fr-FR"/>
        </w:rPr>
      </w:pPr>
      <w:r w:rsidRPr="00CA3533">
        <w:rPr>
          <w:lang w:val="fr-FR" w:eastAsia="fr-FR"/>
        </w:rPr>
        <w:t>« 6.8.3.2.9</w:t>
      </w:r>
      <w:r w:rsidRPr="00CA3533">
        <w:rPr>
          <w:lang w:val="fr-FR" w:eastAsia="fr-FR"/>
        </w:rPr>
        <w:tab/>
        <w:t>Les citernes destinées au transport des gaz liquéfiés inflammables doivent être équipées de soupapes de sécurité. Les citernes destinées au transport des gaz comprimés, des gaz liquéfiés non-inflammables ou des gaz dissous peuvent être équipées de soupapes de sécurité. Lorsqu’elles sont installées, les soupapes de sécurité doivent satisfaire aux prescriptions des 6.8.3.2.9.1 à 6.8.3.2.9.5.</w:t>
      </w:r>
    </w:p>
    <w:p w14:paraId="46959A18" w14:textId="77777777" w:rsidR="00CA3533" w:rsidRPr="00CA3533" w:rsidRDefault="00CA3533" w:rsidP="00CA3533">
      <w:pPr>
        <w:spacing w:after="120"/>
        <w:ind w:left="2268" w:right="1134" w:hanging="1134"/>
        <w:jc w:val="both"/>
        <w:rPr>
          <w:rFonts w:eastAsiaTheme="minorHAnsi"/>
          <w:lang w:val="fr-FR" w:eastAsia="en-US"/>
        </w:rPr>
      </w:pPr>
      <w:r w:rsidRPr="00CA3533">
        <w:rPr>
          <w:lang w:val="fr-FR" w:eastAsia="fr-FR"/>
        </w:rPr>
        <w:t>6.8.3.2.9.1</w:t>
      </w:r>
      <w:r w:rsidRPr="00CA3533">
        <w:rPr>
          <w:lang w:val="fr-FR" w:eastAsia="fr-FR"/>
        </w:rPr>
        <w:tab/>
      </w:r>
      <w:r w:rsidRPr="00CA3533">
        <w:rPr>
          <w:rFonts w:eastAsiaTheme="minorHAnsi"/>
          <w:lang w:val="fr-FR" w:eastAsia="en-US"/>
        </w:rPr>
        <w:tab/>
        <w:t xml:space="preserve">Les soupapes de sécurité doivent pouvoir s’ouvrir automatiquement sous une pression comprise entre 0,9 et 1,0 fois la pression d’épreuve de la citerne sur laquelle elles sont montées. Elles doivent être d’un type qui puisse résister à des contraintes dynamiques, y compris le mouvement d’un liquide. L’emploi de soupapes à fonctionnement par gravité ou à masse d’équilibrage est interdit. Le débit requis des soupapes de sécurité doit être calculé conformément à la </w:t>
      </w:r>
      <w:r w:rsidRPr="00CA3533">
        <w:rPr>
          <w:rFonts w:eastAsiaTheme="minorHAnsi"/>
          <w:lang w:val="fr-FR" w:eastAsia="en-US"/>
        </w:rPr>
        <w:lastRenderedPageBreak/>
        <w:t xml:space="preserve">formule du 6.7.3.8.1 </w:t>
      </w:r>
      <w:r w:rsidRPr="00CA3533">
        <w:t>et la soupape de sécurité doit être conforme au moins aux prescriptions du 6.7.3.9</w:t>
      </w:r>
      <w:r w:rsidRPr="00CA3533">
        <w:rPr>
          <w:rFonts w:eastAsiaTheme="minorHAnsi"/>
          <w:lang w:val="fr-FR" w:eastAsia="en-US"/>
        </w:rPr>
        <w:t>.</w:t>
      </w:r>
    </w:p>
    <w:p w14:paraId="74456E4C" w14:textId="77777777" w:rsidR="00CA3533" w:rsidRPr="00CA3533" w:rsidRDefault="00CA3533" w:rsidP="00CA3533">
      <w:pPr>
        <w:spacing w:after="120"/>
        <w:ind w:left="2268" w:right="1134" w:hanging="1134"/>
        <w:jc w:val="both"/>
        <w:rPr>
          <w:i/>
          <w:iCs/>
          <w:lang w:val="fr-FR" w:eastAsia="fr-FR"/>
        </w:rPr>
      </w:pPr>
      <w:r w:rsidRPr="00CA3533">
        <w:rPr>
          <w:lang w:val="fr-FR" w:eastAsia="fr-FR"/>
        </w:rPr>
        <w:tab/>
      </w:r>
      <w:r w:rsidRPr="00CA3533">
        <w:rPr>
          <w:b/>
          <w:bCs/>
          <w:i/>
          <w:iCs/>
          <w:lang w:val="fr-FR" w:eastAsia="fr-FR"/>
        </w:rPr>
        <w:t xml:space="preserve">NOTA : </w:t>
      </w:r>
      <w:r w:rsidRPr="00CA3533">
        <w:rPr>
          <w:i/>
          <w:iCs/>
          <w:lang w:val="fr-FR" w:eastAsia="fr-FR"/>
        </w:rPr>
        <w:t>Pour l'application de ce paragraphe, la valeur de 120 % de la PMSA indiquée au 6.7.3.8.1 doit être remplacée par 0,9 fois la pression d'épreuve de la citerne.</w:t>
      </w:r>
    </w:p>
    <w:p w14:paraId="26A542D0"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ab/>
        <w:t>Les soupapes de sécurité doivent être conçues ou protégées pour empêcher la pénétration d’eau ou d’autre substance étrangère qui pourrait nuire à leur bon fonctionnement. Cette protection ne doit pas affecter leurs performances.</w:t>
      </w:r>
    </w:p>
    <w:p w14:paraId="2D00D9F0" w14:textId="77777777" w:rsidR="00CA3533" w:rsidRPr="00CA3533" w:rsidRDefault="00CA3533" w:rsidP="00CA3533">
      <w:pPr>
        <w:spacing w:after="120"/>
        <w:ind w:left="2268" w:right="1134" w:hanging="1134"/>
        <w:jc w:val="both"/>
        <w:rPr>
          <w:lang w:val="fr-FR" w:eastAsia="fr-FR"/>
        </w:rPr>
      </w:pPr>
      <w:r w:rsidRPr="00CA3533">
        <w:rPr>
          <w:lang w:val="fr-FR" w:eastAsia="fr-FR"/>
        </w:rPr>
        <w:t>6.8.3.2.9.2</w:t>
      </w:r>
      <w:r w:rsidRPr="00CA3533">
        <w:rPr>
          <w:lang w:val="fr-FR" w:eastAsia="fr-FR"/>
        </w:rPr>
        <w:tab/>
        <w:t>Si les citernes devant être fermées hermétiquement sont équipées de soupapes de sécurité, celles-ci doivent être précédées d’un disque de rupture et les conditions ci-après doivent être observées :</w:t>
      </w:r>
    </w:p>
    <w:p w14:paraId="14B5A4C1" w14:textId="77777777" w:rsidR="00CA3533" w:rsidRPr="00CA3533" w:rsidRDefault="00CA3533" w:rsidP="00CA3533">
      <w:pPr>
        <w:spacing w:after="120"/>
        <w:ind w:left="2835" w:right="1134" w:hanging="567"/>
        <w:jc w:val="both"/>
        <w:rPr>
          <w:lang w:val="fr-FR" w:eastAsia="fr-FR"/>
        </w:rPr>
      </w:pPr>
      <w:r w:rsidRPr="00CA3533">
        <w:rPr>
          <w:lang w:val="fr-FR" w:eastAsia="fr-FR"/>
        </w:rPr>
        <w:t xml:space="preserve">a) </w:t>
      </w:r>
      <w:r w:rsidRPr="00CA3533">
        <w:rPr>
          <w:lang w:val="fr-FR" w:eastAsia="fr-FR"/>
        </w:rPr>
        <w:tab/>
        <w:t>La pression minimale d'éclatement à 20 °C, tolérances incluses, doit être supérieure ou égale à 1.0 fois la pression d'épreuve ;</w:t>
      </w:r>
    </w:p>
    <w:p w14:paraId="177E4E6B" w14:textId="77777777" w:rsidR="00CA3533" w:rsidRPr="00CA3533" w:rsidRDefault="00CA3533" w:rsidP="00CA3533">
      <w:pPr>
        <w:spacing w:after="120"/>
        <w:ind w:left="2835" w:right="1134" w:hanging="567"/>
        <w:jc w:val="both"/>
        <w:rPr>
          <w:lang w:val="fr-FR" w:eastAsia="fr-FR"/>
        </w:rPr>
      </w:pPr>
      <w:r w:rsidRPr="00CA3533">
        <w:rPr>
          <w:lang w:val="fr-FR" w:eastAsia="fr-FR"/>
        </w:rPr>
        <w:t xml:space="preserve">b) </w:t>
      </w:r>
      <w:r w:rsidRPr="00CA3533">
        <w:rPr>
          <w:lang w:val="fr-FR" w:eastAsia="fr-FR"/>
        </w:rPr>
        <w:tab/>
        <w:t>La pression maximale d'éclatement à 20 °C, tolérances incluses, doit être inférieure ou égale à 1,1 fois la pression d'épreuve ; et</w:t>
      </w:r>
    </w:p>
    <w:p w14:paraId="63930B3A" w14:textId="77777777" w:rsidR="00CA3533" w:rsidRPr="00CA3533" w:rsidRDefault="00CA3533" w:rsidP="00CA3533">
      <w:pPr>
        <w:spacing w:after="120"/>
        <w:ind w:left="2835" w:right="1134" w:hanging="567"/>
        <w:jc w:val="both"/>
        <w:rPr>
          <w:lang w:val="fr-FR" w:eastAsia="fr-FR"/>
        </w:rPr>
      </w:pPr>
      <w:r w:rsidRPr="00CA3533">
        <w:rPr>
          <w:lang w:val="fr-FR" w:eastAsia="fr-FR"/>
        </w:rPr>
        <w:t xml:space="preserve">c) </w:t>
      </w:r>
      <w:r w:rsidRPr="00CA3533">
        <w:rPr>
          <w:lang w:val="fr-FR" w:eastAsia="fr-FR"/>
        </w:rPr>
        <w:tab/>
        <w:t>Le disque de rupture ne doit pas réduire le débit requis ou le bon fonctionnement de la soupape de sécurité.</w:t>
      </w:r>
    </w:p>
    <w:p w14:paraId="1B229E4B" w14:textId="77777777" w:rsidR="00CA3533" w:rsidRPr="00CA3533" w:rsidRDefault="00CA3533" w:rsidP="00CA3533">
      <w:pPr>
        <w:spacing w:after="120"/>
        <w:ind w:left="2268" w:right="1134" w:hanging="1134"/>
        <w:jc w:val="both"/>
        <w:rPr>
          <w:lang w:val="fr-FR" w:eastAsia="fr-FR"/>
        </w:rPr>
      </w:pPr>
      <w:r w:rsidRPr="00CA3533">
        <w:rPr>
          <w:lang w:val="fr-FR" w:eastAsia="fr-FR"/>
        </w:rPr>
        <w:tab/>
        <w:t>Un manomètre ou un autre indicateur approprié doit être installé dans l’espace entre le disque de rupture et la soupape de sécurité pour permettre de détecter une rupture, une perforation ou une fuite du disque.</w:t>
      </w:r>
    </w:p>
    <w:p w14:paraId="1A1F5E24" w14:textId="77777777" w:rsidR="00CA3533" w:rsidRPr="00CA3533" w:rsidRDefault="00CA3533" w:rsidP="00CA3533">
      <w:pPr>
        <w:spacing w:after="120"/>
        <w:ind w:left="2268" w:right="1134" w:hanging="1134"/>
        <w:jc w:val="both"/>
        <w:rPr>
          <w:lang w:val="fr-FR" w:eastAsia="fr-FR"/>
        </w:rPr>
      </w:pPr>
      <w:r w:rsidRPr="00CA3533">
        <w:rPr>
          <w:lang w:val="fr-FR" w:eastAsia="fr-FR"/>
        </w:rPr>
        <w:t>6.8.3.2.9.3</w:t>
      </w:r>
      <w:r w:rsidRPr="00CA3533">
        <w:rPr>
          <w:lang w:val="fr-FR" w:eastAsia="fr-FR"/>
        </w:rPr>
        <w:tab/>
        <w:t>Les soupapes de sécurité doivent être directement raccordées au réservoir ou directement raccordées à la sortie du disque de rupture.</w:t>
      </w:r>
    </w:p>
    <w:p w14:paraId="406B5C13" w14:textId="77777777" w:rsidR="00CA3533" w:rsidRPr="00CA3533" w:rsidRDefault="00CA3533" w:rsidP="00CA3533">
      <w:pPr>
        <w:spacing w:after="120"/>
        <w:ind w:left="2268" w:right="1134" w:hanging="1134"/>
        <w:jc w:val="both"/>
        <w:rPr>
          <w:lang w:val="fr-FR" w:eastAsia="fr-FR"/>
        </w:rPr>
      </w:pPr>
      <w:r w:rsidRPr="00CA3533">
        <w:rPr>
          <w:lang w:val="fr-FR" w:eastAsia="fr-FR"/>
        </w:rPr>
        <w:t>6.8.3.2.9.4</w:t>
      </w:r>
      <w:r w:rsidRPr="00CA3533">
        <w:rPr>
          <w:lang w:val="fr-FR" w:eastAsia="fr-FR"/>
        </w:rPr>
        <w:tab/>
        <w:t>Chacune des entrées des soupapes de sécurité doit être placée au sommet du réservoir, aussi près que possible du centre transversal du réservoir. Dans des conditions de remplissage maximal, toutes les entrées des soupapes de sécurité doivent être situées dans la phase gazeuse du réservoir et les dispositifs doivent être installés de telle manière que les gaz puissent s’échapper sans rencontrer d’obstacle. Pour les gaz liquéfiés inflammables, les vapeurs évacuées doivent être dirigées loin du réservoir de manière à ne pas pouvoir être rabattues vers lui. Des dispositifs de protection déviant le jet de vapeur peuvent être admis à condition que le débit requis pour les soupapes de sécurité ne soit pas réduit.</w:t>
      </w:r>
    </w:p>
    <w:p w14:paraId="71B82C4D" w14:textId="77777777" w:rsidR="00CA3533" w:rsidRPr="00CA3533" w:rsidRDefault="00CA3533" w:rsidP="00CA3533">
      <w:pPr>
        <w:spacing w:after="120"/>
        <w:ind w:left="2268" w:right="1134" w:hanging="1134"/>
        <w:jc w:val="both"/>
        <w:rPr>
          <w:lang w:val="fr-FR" w:eastAsia="fr-FR"/>
        </w:rPr>
      </w:pPr>
      <w:r w:rsidRPr="00CA3533">
        <w:rPr>
          <w:lang w:val="fr-FR" w:eastAsia="fr-FR"/>
        </w:rPr>
        <w:t>6.8.3.2.9.5</w:t>
      </w:r>
      <w:r w:rsidRPr="00CA3533">
        <w:rPr>
          <w:lang w:val="fr-FR" w:eastAsia="fr-FR"/>
        </w:rPr>
        <w:tab/>
        <w:t>Des dispositions doivent être prises pour protéger les soupapes de sécurité contre les dommages causés par le renversement de la citerne ou les chocs d’obstacles en partie supérieure. Dans la mesure du possible, les soupapes de sécurité ne doivent pas dépasser du profil du réservoir. »</w:t>
      </w:r>
    </w:p>
    <w:p w14:paraId="2BA1D457"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6.8.3.3</w:t>
      </w:r>
      <w:r w:rsidRPr="00CA3533">
        <w:rPr>
          <w:rFonts w:eastAsiaTheme="minorHAnsi"/>
          <w:lang w:val="fr-FR" w:eastAsia="en-US"/>
        </w:rPr>
        <w:tab/>
      </w:r>
      <w:r w:rsidRPr="00CA3533">
        <w:rPr>
          <w:rFonts w:eastAsiaTheme="minorHAnsi"/>
          <w:lang w:val="fr-FR" w:eastAsia="en-US"/>
        </w:rPr>
        <w:tab/>
        <w:t>Modifier le titre de sorte qu’il se lise comme suit : « Examen de type et agrément de type ».</w:t>
      </w:r>
    </w:p>
    <w:p w14:paraId="7A5BD9E1"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6.8.3.4.4</w:t>
      </w:r>
      <w:r w:rsidRPr="00CA3533">
        <w:rPr>
          <w:rFonts w:eastAsiaTheme="minorHAnsi"/>
          <w:lang w:val="fr-FR" w:eastAsia="en-US"/>
        </w:rPr>
        <w:tab/>
        <w:t>Remplacer « expert agréé par l’autorité compétente » et « expert agréé » par « organisme de contrôle ».</w:t>
      </w:r>
    </w:p>
    <w:p w14:paraId="3221913F" w14:textId="77777777" w:rsidR="00CA3533" w:rsidRPr="00CA3533" w:rsidRDefault="00CA3533" w:rsidP="00CA3533">
      <w:pPr>
        <w:spacing w:after="120"/>
        <w:ind w:left="2268" w:right="1134" w:hanging="1134"/>
        <w:jc w:val="both"/>
        <w:rPr>
          <w:lang w:val="fr-FR"/>
        </w:rPr>
      </w:pPr>
      <w:r w:rsidRPr="00CA3533">
        <w:rPr>
          <w:lang w:val="fr-FR"/>
        </w:rPr>
        <w:t>6.8.3.4.6</w:t>
      </w:r>
      <w:r w:rsidRPr="00CA3533">
        <w:rPr>
          <w:lang w:val="fr-FR"/>
        </w:rPr>
        <w:tab/>
        <w:t>Modifier comme suit :</w:t>
      </w:r>
    </w:p>
    <w:p w14:paraId="4CCDFBFF" w14:textId="76EB8301" w:rsidR="00CA3533" w:rsidRPr="00CA3533" w:rsidRDefault="00CA3533" w:rsidP="00B91648">
      <w:pPr>
        <w:spacing w:after="120"/>
        <w:ind w:left="2268" w:right="1134" w:hanging="1134"/>
        <w:jc w:val="both"/>
        <w:rPr>
          <w:lang w:val="fr-FR"/>
        </w:rPr>
      </w:pPr>
      <w:r w:rsidRPr="00CA3533">
        <w:rPr>
          <w:lang w:val="fr-FR"/>
        </w:rPr>
        <w:t>« 6.8.3.4.6</w:t>
      </w:r>
      <w:r w:rsidRPr="00CA3533">
        <w:rPr>
          <w:lang w:val="fr-FR"/>
        </w:rPr>
        <w:tab/>
        <w:t>Pour les citernes destinées au transport des gaz liquéfiés réfrigérés :</w:t>
      </w:r>
    </w:p>
    <w:p w14:paraId="154944E0" w14:textId="77777777" w:rsidR="00CA3533" w:rsidRPr="00CA3533" w:rsidRDefault="00CA3533" w:rsidP="00CA3533">
      <w:pPr>
        <w:spacing w:after="120"/>
        <w:ind w:left="2835" w:right="1134" w:hanging="567"/>
        <w:jc w:val="both"/>
        <w:rPr>
          <w:lang w:val="fr-FR"/>
        </w:rPr>
      </w:pPr>
      <w:r w:rsidRPr="00CA3533">
        <w:rPr>
          <w:lang w:val="fr-FR"/>
        </w:rPr>
        <w:t>a)</w:t>
      </w:r>
      <w:r w:rsidRPr="00CA3533">
        <w:rPr>
          <w:lang w:val="fr-FR"/>
        </w:rPr>
        <w:tab/>
        <w:t>Par dérogation aux prescriptions du 6.8.2.4.2, les contrôles périodiques doivent être effectués</w:t>
      </w:r>
    </w:p>
    <w:tbl>
      <w:tblPr>
        <w:tblStyle w:val="TableGrid111"/>
        <w:tblW w:w="4819" w:type="dxa"/>
        <w:tblInd w:w="2694" w:type="dxa"/>
        <w:tblLook w:val="04A0" w:firstRow="1" w:lastRow="0" w:firstColumn="1" w:lastColumn="0" w:noHBand="0" w:noVBand="1"/>
      </w:tblPr>
      <w:tblGrid>
        <w:gridCol w:w="2268"/>
        <w:gridCol w:w="2551"/>
      </w:tblGrid>
      <w:tr w:rsidR="00CA3533" w:rsidRPr="00CA3533" w14:paraId="71375794" w14:textId="77777777" w:rsidTr="00D56820">
        <w:tc>
          <w:tcPr>
            <w:tcW w:w="2268" w:type="dxa"/>
            <w:tcBorders>
              <w:top w:val="nil"/>
              <w:left w:val="nil"/>
              <w:bottom w:val="nil"/>
            </w:tcBorders>
          </w:tcPr>
          <w:p w14:paraId="36E3F3AE" w14:textId="77777777" w:rsidR="00CA3533" w:rsidRPr="00CA3533" w:rsidRDefault="00CA3533" w:rsidP="00CA3533">
            <w:pPr>
              <w:spacing w:after="120"/>
              <w:ind w:left="133" w:right="282"/>
              <w:jc w:val="both"/>
              <w:rPr>
                <w:bCs/>
                <w:iCs/>
                <w:lang w:val="fr-FR"/>
              </w:rPr>
            </w:pPr>
            <w:r w:rsidRPr="00CA3533">
              <w:rPr>
                <w:bCs/>
                <w:iCs/>
                <w:lang w:val="fr-FR"/>
              </w:rPr>
              <w:t>au plus tard six ans</w:t>
            </w:r>
          </w:p>
        </w:tc>
        <w:tc>
          <w:tcPr>
            <w:tcW w:w="2551" w:type="dxa"/>
            <w:tcBorders>
              <w:top w:val="nil"/>
              <w:bottom w:val="nil"/>
              <w:right w:val="nil"/>
            </w:tcBorders>
          </w:tcPr>
          <w:p w14:paraId="62083DCA" w14:textId="77777777" w:rsidR="00CA3533" w:rsidRPr="00CA3533" w:rsidRDefault="00CA3533" w:rsidP="00CA3533">
            <w:pPr>
              <w:spacing w:after="120"/>
              <w:ind w:left="194" w:right="282"/>
              <w:jc w:val="both"/>
              <w:rPr>
                <w:bCs/>
                <w:iCs/>
                <w:lang w:val="fr-FR"/>
              </w:rPr>
            </w:pPr>
            <w:r w:rsidRPr="00CA3533">
              <w:rPr>
                <w:bCs/>
                <w:iCs/>
                <w:lang w:val="fr-FR"/>
              </w:rPr>
              <w:t>au plus tard huit ans</w:t>
            </w:r>
          </w:p>
        </w:tc>
      </w:tr>
    </w:tbl>
    <w:p w14:paraId="7327C9DD" w14:textId="77777777" w:rsidR="00CA3533" w:rsidRPr="00CA3533" w:rsidRDefault="00CA3533" w:rsidP="00CA3533">
      <w:pPr>
        <w:spacing w:after="120"/>
        <w:ind w:left="2835" w:right="1134" w:hanging="369"/>
        <w:jc w:val="both"/>
        <w:rPr>
          <w:lang w:val="fr-FR"/>
        </w:rPr>
      </w:pPr>
      <w:r w:rsidRPr="00CA3533">
        <w:rPr>
          <w:lang w:val="fr-FR"/>
        </w:rPr>
        <w:tab/>
        <w:t>après le contrôle initial et ensuite, au plus tard tous les douze ans.</w:t>
      </w:r>
    </w:p>
    <w:p w14:paraId="5878224A" w14:textId="77777777" w:rsidR="00CA3533" w:rsidRPr="00CA3533" w:rsidRDefault="00CA3533" w:rsidP="00CA3533">
      <w:pPr>
        <w:spacing w:after="120"/>
        <w:ind w:left="2835" w:right="1134" w:hanging="567"/>
        <w:jc w:val="both"/>
        <w:rPr>
          <w:lang w:val="fr-FR"/>
        </w:rPr>
      </w:pPr>
      <w:r w:rsidRPr="00CA3533">
        <w:rPr>
          <w:lang w:val="fr-FR"/>
        </w:rPr>
        <w:t>b)</w:t>
      </w:r>
      <w:r w:rsidRPr="00CA3533">
        <w:rPr>
          <w:lang w:val="fr-FR"/>
        </w:rPr>
        <w:tab/>
        <w:t>Par dérogation aux prescriptions du 6.8.2.4.3, les contrôles intermédiaires doivent être effectués au plus tard six ans après chaque contrôle périodique. »</w:t>
      </w:r>
    </w:p>
    <w:p w14:paraId="053AF4A4" w14:textId="77777777" w:rsidR="00CA3533" w:rsidRPr="00CA3533" w:rsidRDefault="00CA3533" w:rsidP="00CA3533">
      <w:pPr>
        <w:spacing w:after="120"/>
        <w:ind w:left="1148" w:right="1134" w:hanging="14"/>
        <w:jc w:val="both"/>
        <w:rPr>
          <w:rFonts w:eastAsiaTheme="minorHAnsi"/>
          <w:lang w:val="fr-FR" w:eastAsia="en-US"/>
        </w:rPr>
      </w:pPr>
      <w:r w:rsidRPr="00CA3533">
        <w:rPr>
          <w:rFonts w:eastAsiaTheme="minorHAnsi"/>
          <w:lang w:val="fr-FR" w:eastAsia="en-US"/>
        </w:rPr>
        <w:t>6.8.3.4.7</w:t>
      </w:r>
      <w:r w:rsidRPr="00CA3533">
        <w:rPr>
          <w:rFonts w:eastAsiaTheme="minorHAnsi"/>
          <w:lang w:val="fr-FR" w:eastAsia="en-US"/>
        </w:rPr>
        <w:br/>
        <w:t>et 6.8.3.4.8</w:t>
      </w:r>
      <w:r w:rsidRPr="00CA3533">
        <w:rPr>
          <w:rFonts w:eastAsiaTheme="minorHAnsi"/>
          <w:lang w:val="fr-FR" w:eastAsia="en-US"/>
        </w:rPr>
        <w:tab/>
        <w:t>Remplacer « l’expert agréé » par « l’organisme de contrôle ».</w:t>
      </w:r>
    </w:p>
    <w:p w14:paraId="300F6D0C" w14:textId="616D1D16"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lastRenderedPageBreak/>
        <w:t>6.8.3.4.14</w:t>
      </w:r>
      <w:r w:rsidRPr="00CA3533">
        <w:rPr>
          <w:rFonts w:eastAsiaTheme="minorHAnsi"/>
          <w:lang w:val="fr-FR" w:eastAsia="en-US"/>
        </w:rPr>
        <w:tab/>
      </w:r>
      <w:r w:rsidR="008D0230">
        <w:rPr>
          <w:rFonts w:eastAsiaTheme="minorHAnsi"/>
          <w:lang w:val="fr-FR" w:eastAsia="en-US"/>
        </w:rPr>
        <w:t>Au</w:t>
      </w:r>
      <w:r w:rsidR="00E57292">
        <w:rPr>
          <w:rFonts w:eastAsiaTheme="minorHAnsi"/>
          <w:lang w:val="fr-FR" w:eastAsia="en-US"/>
        </w:rPr>
        <w:t xml:space="preserve"> deuxième paragraphe, dans la deuxième phrase, supprimer </w:t>
      </w:r>
      <w:r w:rsidRPr="00CA3533">
        <w:rPr>
          <w:rFonts w:eastAsiaTheme="minorHAnsi"/>
          <w:lang w:val="fr-FR" w:eastAsia="en-US"/>
        </w:rPr>
        <w:t>« ou de son organisme agréé ».</w:t>
      </w:r>
    </w:p>
    <w:p w14:paraId="5AD74498" w14:textId="7A0EDF65"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6.8.3.4.18</w:t>
      </w:r>
      <w:r w:rsidRPr="00CA3533">
        <w:rPr>
          <w:rFonts w:eastAsiaTheme="minorHAnsi"/>
          <w:lang w:val="fr-FR" w:eastAsia="en-US"/>
        </w:rPr>
        <w:tab/>
        <w:t xml:space="preserve">Au premier paragraphe, </w:t>
      </w:r>
      <w:r w:rsidR="008D0230">
        <w:rPr>
          <w:rFonts w:eastAsiaTheme="minorHAnsi"/>
          <w:lang w:val="fr-FR" w:eastAsia="en-US"/>
        </w:rPr>
        <w:t xml:space="preserve">dans la première phrase, </w:t>
      </w:r>
      <w:r w:rsidRPr="00CA3533">
        <w:rPr>
          <w:rFonts w:eastAsiaTheme="minorHAnsi"/>
          <w:lang w:val="fr-FR" w:eastAsia="en-US"/>
        </w:rPr>
        <w:t>remplacer « l’expert agréé par l’autorité compétente » par « l’organisme de contrôle ».</w:t>
      </w:r>
    </w:p>
    <w:p w14:paraId="0F6F4FE4" w14:textId="77777777"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ab/>
        <w:t>Au deuxième paragraphe, remplacer « 6.8.2.3.1 » par « 6.8.2.3.2 ».</w:t>
      </w:r>
    </w:p>
    <w:p w14:paraId="10C07F36" w14:textId="77777777" w:rsidR="00B91648" w:rsidRDefault="00CA3533" w:rsidP="00CA3533">
      <w:pPr>
        <w:spacing w:after="120"/>
        <w:ind w:left="2268" w:right="1134" w:hanging="1134"/>
        <w:jc w:val="both"/>
        <w:rPr>
          <w:lang w:val="fr-FR"/>
        </w:rPr>
      </w:pPr>
      <w:r w:rsidRPr="00CA3533">
        <w:rPr>
          <w:lang w:val="fr-FR"/>
        </w:rPr>
        <w:t>6.8.3.5.2, 6.8.3.5.3, 6.8.3.5.6, 6.8.3.5.11 et 6.8.3.5.12</w:t>
      </w:r>
    </w:p>
    <w:p w14:paraId="2E40DE32" w14:textId="4BCD5911" w:rsidR="00CA3533" w:rsidRPr="00CA3533" w:rsidRDefault="00CA3533" w:rsidP="00CA3533">
      <w:pPr>
        <w:spacing w:after="120"/>
        <w:ind w:left="2268" w:right="1134" w:hanging="1134"/>
        <w:jc w:val="both"/>
        <w:rPr>
          <w:lang w:val="fr-FR"/>
        </w:rPr>
      </w:pPr>
      <w:r w:rsidRPr="00CA3533">
        <w:rPr>
          <w:lang w:val="fr-FR"/>
        </w:rPr>
        <w:tab/>
        <w:t xml:space="preserve">À la fin de la note de bas de page </w:t>
      </w:r>
      <w:r w:rsidR="00A42E44" w:rsidRPr="004F3DD7">
        <w:rPr>
          <w:lang w:val="fr-FR"/>
        </w:rPr>
        <w:t xml:space="preserve">19 </w:t>
      </w:r>
      <w:r w:rsidR="00A42E44">
        <w:rPr>
          <w:lang w:val="fr-FR"/>
        </w:rPr>
        <w:t xml:space="preserve">(note de bas de page </w:t>
      </w:r>
      <w:r w:rsidR="00A42E44" w:rsidRPr="004F3DD7">
        <w:rPr>
          <w:lang w:val="fr-FR"/>
        </w:rPr>
        <w:t xml:space="preserve">18 </w:t>
      </w:r>
      <w:r w:rsidR="00A42E44">
        <w:rPr>
          <w:lang w:val="fr-FR"/>
        </w:rPr>
        <w:t>actuelle)</w:t>
      </w:r>
      <w:r w:rsidRPr="00CA3533">
        <w:rPr>
          <w:lang w:val="fr-FR"/>
        </w:rPr>
        <w:t>, ajouter le nouveau tiret suivant :</w:t>
      </w:r>
    </w:p>
    <w:p w14:paraId="0998FEE8" w14:textId="1FDECF8C" w:rsidR="00CA3533" w:rsidRPr="00CA3533" w:rsidRDefault="00CA3533" w:rsidP="00CA3533">
      <w:pPr>
        <w:spacing w:after="120"/>
        <w:ind w:left="2268" w:right="1134" w:hanging="1134"/>
        <w:jc w:val="both"/>
        <w:rPr>
          <w:lang w:val="fr-FR"/>
        </w:rPr>
      </w:pPr>
      <w:r w:rsidRPr="00CA3533">
        <w:rPr>
          <w:lang w:val="fr-FR"/>
        </w:rPr>
        <w:tab/>
        <w:t>“-</w:t>
      </w:r>
      <w:r w:rsidRPr="00CA3533">
        <w:rPr>
          <w:lang w:val="fr-FR"/>
        </w:rPr>
        <w:tab/>
      </w:r>
      <w:r w:rsidR="00106A1A">
        <w:rPr>
          <w:i/>
          <w:iCs/>
          <w:lang w:val="fr-FR"/>
        </w:rPr>
        <w:t>p</w:t>
      </w:r>
      <w:r w:rsidR="00106A1A" w:rsidRPr="00CA3533">
        <w:rPr>
          <w:i/>
          <w:iCs/>
          <w:lang w:val="fr-FR"/>
        </w:rPr>
        <w:t xml:space="preserve">our </w:t>
      </w:r>
      <w:r w:rsidRPr="00CA3533">
        <w:rPr>
          <w:i/>
          <w:iCs/>
          <w:lang w:val="fr-FR"/>
        </w:rPr>
        <w:t>le No ONU 1012 Butylène :</w:t>
      </w:r>
      <w:r w:rsidRPr="00CA3533">
        <w:rPr>
          <w:lang w:val="fr-FR"/>
        </w:rPr>
        <w:t xml:space="preserve"> </w:t>
      </w:r>
      <w:r w:rsidRPr="00CA3533">
        <w:rPr>
          <w:rFonts w:ascii="TimesNewRomanPS-ItalicMT" w:hAnsi="TimesNewRomanPS-ItalicMT" w:cs="TimesNewRomanPS-ItalicMT"/>
          <w:i/>
          <w:iCs/>
          <w:lang w:val="fr-FR"/>
        </w:rPr>
        <w:t>1-butylène, cis-2-butylène, trans-2-butylène, butylènes en mélange.</w:t>
      </w:r>
      <w:r w:rsidRPr="00CA3533">
        <w:rPr>
          <w:lang w:val="fr-FR"/>
        </w:rPr>
        <w:t>”</w:t>
      </w:r>
    </w:p>
    <w:p w14:paraId="0586AF5A"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6.8.3.5.6 a)</w:t>
      </w:r>
      <w:r w:rsidRPr="00CA3533">
        <w:rPr>
          <w:rFonts w:eastAsiaTheme="minorHAnsi"/>
          <w:lang w:val="fr-FR" w:eastAsia="en-US"/>
        </w:rPr>
        <w:tab/>
        <w:t>Remplacer « (voir 6.8.2.3.1) » par « (voir 6.8.2.3.2) ».</w:t>
      </w:r>
    </w:p>
    <w:p w14:paraId="1B01BC0E" w14:textId="77777777"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6.8.3.5.10</w:t>
      </w:r>
      <w:r w:rsidRPr="00CA3533">
        <w:rPr>
          <w:rFonts w:eastAsiaTheme="minorHAnsi"/>
          <w:lang w:val="fr-FR" w:eastAsia="en-US"/>
        </w:rPr>
        <w:tab/>
        <w:t>Au dernier tiret, remplacer « poinçon de l’expert » par « poinçon de l’organisme de contrôle ».</w:t>
      </w:r>
    </w:p>
    <w:p w14:paraId="6500FACE" w14:textId="6E8469E3"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6.8.3.5.11</w:t>
      </w:r>
      <w:r w:rsidRPr="00CA3533">
        <w:rPr>
          <w:rFonts w:eastAsiaTheme="minorHAnsi"/>
          <w:lang w:val="fr-FR" w:eastAsia="en-US"/>
        </w:rPr>
        <w:tab/>
        <w:t>Dans la colonne de droite, remplacer « (voir 6.8.2.3.1) » par « (voir 6.8.2.3.2) ».</w:t>
      </w:r>
    </w:p>
    <w:p w14:paraId="70F63469" w14:textId="46140E8F" w:rsidR="000D608D" w:rsidRDefault="000D608D" w:rsidP="000D608D">
      <w:pPr>
        <w:pStyle w:val="SingleTxtG"/>
        <w:ind w:left="2268" w:hanging="1134"/>
        <w:rPr>
          <w:lang w:val="fr-FR"/>
        </w:rPr>
      </w:pPr>
      <w:r w:rsidRPr="00476248">
        <w:rPr>
          <w:lang w:val="fr-FR"/>
        </w:rPr>
        <w:t>6.</w:t>
      </w:r>
      <w:r>
        <w:rPr>
          <w:lang w:val="fr-FR"/>
        </w:rPr>
        <w:t>8.3.6</w:t>
      </w:r>
      <w:r w:rsidRPr="00476248">
        <w:rPr>
          <w:lang w:val="fr-FR"/>
        </w:rPr>
        <w:tab/>
      </w:r>
      <w:r>
        <w:rPr>
          <w:lang w:val="fr-FR"/>
        </w:rPr>
        <w:t>Modifier les paragraphes après le nota (avant le tableau) pour lire comme suit :</w:t>
      </w:r>
    </w:p>
    <w:p w14:paraId="30459D6D" w14:textId="77777777" w:rsidR="000D608D" w:rsidRPr="0034227A" w:rsidRDefault="000D608D" w:rsidP="000D608D">
      <w:pPr>
        <w:pStyle w:val="SingleTxtG"/>
        <w:ind w:left="2268" w:hanging="1134"/>
        <w:rPr>
          <w:lang w:val="fr-FR"/>
        </w:rPr>
      </w:pPr>
      <w:r>
        <w:rPr>
          <w:lang w:val="fr-FR"/>
        </w:rPr>
        <w:tab/>
        <w:t>« </w:t>
      </w:r>
      <w:r w:rsidRPr="0034227A">
        <w:rPr>
          <w:lang w:val="fr-FR"/>
        </w:rPr>
        <w:t>Depuis le 1er janvier 2009, l’application des normes citées en référence est devenue obligatoire. Les exceptions sont traitées au 6.8.3.7.</w:t>
      </w:r>
    </w:p>
    <w:p w14:paraId="79B52D0B" w14:textId="0A7F70AC" w:rsidR="000D608D" w:rsidRPr="0034227A" w:rsidRDefault="000D608D" w:rsidP="000D608D">
      <w:pPr>
        <w:pStyle w:val="SingleTxtG"/>
        <w:ind w:left="2268" w:hanging="1134"/>
        <w:rPr>
          <w:lang w:val="fr-FR"/>
        </w:rPr>
      </w:pPr>
      <w:r>
        <w:rPr>
          <w:lang w:val="fr-FR"/>
        </w:rPr>
        <w:tab/>
      </w:r>
      <w:r w:rsidRPr="0034227A">
        <w:rPr>
          <w:lang w:val="fr-FR"/>
        </w:rPr>
        <w:t xml:space="preserve">Les certificats d’agrément de type doivent être délivrés conformément aux 1.8.7 et 6.8.2.3. Pour la délivrance du certificat d’agrément de type, une norme applicable selon l’indication dans la colonne 4) doit être choisie dans le tableau ci-dessous. Si plus d’une norme peut être appliquée, seule l’une d’entre elles doit être choisie. </w:t>
      </w:r>
    </w:p>
    <w:p w14:paraId="368E0605" w14:textId="56123F77" w:rsidR="000D608D" w:rsidRPr="0034227A" w:rsidRDefault="000D608D" w:rsidP="000D608D">
      <w:pPr>
        <w:pStyle w:val="SingleTxtG"/>
        <w:ind w:left="2268" w:hanging="1134"/>
        <w:rPr>
          <w:lang w:val="fr-FR"/>
        </w:rPr>
      </w:pPr>
      <w:r>
        <w:rPr>
          <w:lang w:val="fr-FR"/>
        </w:rPr>
        <w:tab/>
      </w:r>
      <w:r w:rsidRPr="0034227A">
        <w:rPr>
          <w:lang w:val="fr-FR"/>
        </w:rPr>
        <w:t xml:space="preserve">La colonne 3) indique les paragraphes du chapitre 6.8 auxquels la norme est conforme. </w:t>
      </w:r>
    </w:p>
    <w:p w14:paraId="0189AD96" w14:textId="15198EED" w:rsidR="000D608D" w:rsidRPr="0034227A" w:rsidRDefault="000D608D" w:rsidP="000D608D">
      <w:pPr>
        <w:pStyle w:val="SingleTxtG"/>
        <w:ind w:left="2268" w:hanging="1134"/>
        <w:rPr>
          <w:lang w:val="fr-FR"/>
        </w:rPr>
      </w:pPr>
      <w:r>
        <w:rPr>
          <w:lang w:val="fr-FR"/>
        </w:rPr>
        <w:tab/>
      </w:r>
      <w:r w:rsidRPr="0034227A">
        <w:rPr>
          <w:lang w:val="fr-FR"/>
        </w:rPr>
        <w:t>La colonne 5) indique la date ultime à laquelle les agréments de type existants doivent être retirés conformément au 1.8.7.2.2.2 ; si aucune date n’est indiquée, l’agrément de type demeure valide jusqu’à sa date d’expiration.</w:t>
      </w:r>
    </w:p>
    <w:p w14:paraId="19D4F6B6" w14:textId="77777777" w:rsidR="000D608D" w:rsidRPr="0034227A" w:rsidRDefault="000D608D" w:rsidP="000D608D">
      <w:pPr>
        <w:pStyle w:val="SingleTxtG"/>
        <w:ind w:left="2268" w:hanging="1134"/>
        <w:rPr>
          <w:lang w:val="fr-FR"/>
        </w:rPr>
      </w:pPr>
      <w:r>
        <w:rPr>
          <w:lang w:val="fr-FR"/>
        </w:rPr>
        <w:tab/>
      </w:r>
      <w:r w:rsidRPr="0034227A">
        <w:rPr>
          <w:lang w:val="fr-FR"/>
        </w:rPr>
        <w:t xml:space="preserve">Les normes doivent être appliquées conformément au 1.1.5. Elles doivent être appliquées en totalité à moins qu’il n’en soit spécifié autrement dans le tableau ci-dessous. </w:t>
      </w:r>
    </w:p>
    <w:p w14:paraId="1A0965D5" w14:textId="77777777" w:rsidR="000D608D" w:rsidRDefault="000D608D" w:rsidP="000D608D">
      <w:pPr>
        <w:pStyle w:val="SingleTxtG"/>
        <w:ind w:left="2268" w:hanging="1134"/>
        <w:rPr>
          <w:lang w:val="fr-FR"/>
        </w:rPr>
      </w:pPr>
      <w:r>
        <w:rPr>
          <w:lang w:val="fr-FR"/>
        </w:rPr>
        <w:tab/>
      </w:r>
      <w:r w:rsidRPr="0034227A">
        <w:rPr>
          <w:lang w:val="fr-FR"/>
        </w:rPr>
        <w:t>Le champ d’application de chaque norme est défini dans l’article de champ d’application de la norme à moins qu’il n’en soit spécifié autrement dans le tableau ci-dessous.</w:t>
      </w:r>
      <w:r w:rsidRPr="00511A9C">
        <w:rPr>
          <w:lang w:val="fr-FR"/>
        </w:rPr>
        <w:t xml:space="preserve"> »</w:t>
      </w:r>
    </w:p>
    <w:p w14:paraId="759466D1" w14:textId="108CD3A5" w:rsidR="000D608D" w:rsidRPr="00476248" w:rsidRDefault="000D608D" w:rsidP="000D608D">
      <w:pPr>
        <w:pStyle w:val="SingleTxtG"/>
        <w:ind w:left="2268" w:hanging="1134"/>
        <w:rPr>
          <w:lang w:val="fr-FR"/>
        </w:rPr>
      </w:pPr>
      <w:r>
        <w:rPr>
          <w:lang w:val="fr-FR"/>
        </w:rPr>
        <w:tab/>
        <w:t xml:space="preserve">Dans le tableau, remplacer le titre de la colonne 3) par </w:t>
      </w:r>
      <w:r w:rsidRPr="00E622BC">
        <w:rPr>
          <w:lang w:val="fr-FR"/>
        </w:rPr>
        <w:t>« Prescriptions auxquelles la norme est conforme ».</w:t>
      </w:r>
    </w:p>
    <w:p w14:paraId="081B6D92" w14:textId="77777777" w:rsidR="00CA3533" w:rsidRPr="00CA3533" w:rsidRDefault="00CA3533" w:rsidP="00CA3533">
      <w:pPr>
        <w:keepNext/>
        <w:spacing w:after="120"/>
        <w:ind w:left="2268" w:right="1134" w:hanging="1134"/>
        <w:jc w:val="both"/>
        <w:rPr>
          <w:rFonts w:eastAsiaTheme="minorHAnsi"/>
          <w:lang w:val="fr-FR" w:eastAsia="en-US"/>
        </w:rPr>
      </w:pPr>
      <w:r w:rsidRPr="00CA3533">
        <w:rPr>
          <w:rFonts w:eastAsiaTheme="minorHAnsi"/>
          <w:lang w:val="fr-FR" w:eastAsia="en-US"/>
        </w:rPr>
        <w:t>6.8.3.7</w:t>
      </w:r>
      <w:r w:rsidRPr="00CA3533">
        <w:rPr>
          <w:rFonts w:eastAsiaTheme="minorHAnsi"/>
          <w:lang w:val="fr-FR" w:eastAsia="en-US"/>
        </w:rPr>
        <w:tab/>
      </w:r>
      <w:r w:rsidRPr="00CA3533">
        <w:rPr>
          <w:rFonts w:eastAsiaTheme="minorHAnsi"/>
          <w:lang w:val="fr-FR" w:eastAsia="en-US"/>
        </w:rPr>
        <w:tab/>
        <w:t>Modifier le troisième paragraphe de sorte qu’il se lise comme suit :</w:t>
      </w:r>
    </w:p>
    <w:p w14:paraId="1F4720A1" w14:textId="4D9A9FA8" w:rsidR="00CA3533" w:rsidRPr="00CA3533" w:rsidRDefault="00CA3533" w:rsidP="00CA3533">
      <w:pPr>
        <w:spacing w:after="120"/>
        <w:ind w:left="2268" w:right="1134"/>
        <w:jc w:val="both"/>
        <w:rPr>
          <w:rFonts w:eastAsiaTheme="minorHAnsi"/>
          <w:lang w:val="fr-FR" w:eastAsia="en-US"/>
        </w:rPr>
      </w:pPr>
      <w:r w:rsidRPr="00CA3533">
        <w:rPr>
          <w:rFonts w:eastAsiaTheme="minorHAnsi"/>
          <w:lang w:val="fr-FR" w:eastAsia="en-US"/>
        </w:rPr>
        <w:t>« La procédure de contrôle périodique doit être spécifiée dans l’agrément de type si les normes citées en référence au 6.2.2, 6.2.4 ou 6.8.2.6 ne sont pas applicables ou ne doivent pas être appliquées. »</w:t>
      </w:r>
    </w:p>
    <w:p w14:paraId="637E9852" w14:textId="77777777" w:rsidR="00CA3533" w:rsidRPr="00CA3533" w:rsidRDefault="00CA3533" w:rsidP="00CA3533">
      <w:pPr>
        <w:spacing w:after="120"/>
        <w:ind w:left="1134" w:right="1134"/>
        <w:jc w:val="both"/>
        <w:rPr>
          <w:lang w:val="fr-FR"/>
        </w:rPr>
      </w:pPr>
      <w:r w:rsidRPr="00CA3533">
        <w:rPr>
          <w:lang w:val="fr-FR"/>
        </w:rPr>
        <w:t>6.8.4 a), TC6</w:t>
      </w:r>
      <w:r w:rsidRPr="00CA3533">
        <w:rPr>
          <w:lang w:val="fr-FR"/>
        </w:rPr>
        <w:tab/>
      </w:r>
      <w:r w:rsidRPr="00CA3533">
        <w:rPr>
          <w:lang w:val="fr-FR"/>
        </w:rPr>
        <w:tab/>
        <w:t>Modifier pour lire comme suit :</w:t>
      </w:r>
    </w:p>
    <w:p w14:paraId="0AA65C4E" w14:textId="77777777" w:rsidR="00CA3533" w:rsidRPr="00CA3533" w:rsidRDefault="00CA3533" w:rsidP="00CA3533">
      <w:pPr>
        <w:spacing w:after="120"/>
        <w:ind w:left="2268" w:right="1134" w:hanging="1134"/>
        <w:jc w:val="both"/>
        <w:rPr>
          <w:lang w:val="fr-FR"/>
        </w:rPr>
      </w:pPr>
      <w:r w:rsidRPr="00CA3533">
        <w:rPr>
          <w:lang w:val="fr-FR"/>
        </w:rPr>
        <w:t>« TC6</w:t>
      </w:r>
      <w:r w:rsidRPr="00CA3533">
        <w:rPr>
          <w:lang w:val="fr-FR"/>
        </w:rPr>
        <w:tab/>
      </w:r>
      <w:r w:rsidRPr="00CA3533">
        <w:rPr>
          <w:lang w:val="fr-FR"/>
        </w:rPr>
        <w:tab/>
        <w:t>L’épaisseur de la paroi des citernes construites en aluminium d’une pureté égale ou supérieure à 99,5 % ou en alliage aluminium n’a pas besoin d’être supérieure à 15 mm même lorsque le calcul selon 6.8.2.1.17 donne une valeur supérieure. »</w:t>
      </w:r>
    </w:p>
    <w:p w14:paraId="66B1144C" w14:textId="77777777" w:rsidR="00CA3533" w:rsidRPr="00CA3533" w:rsidRDefault="00CA3533" w:rsidP="00CA3533">
      <w:pPr>
        <w:spacing w:after="120"/>
        <w:ind w:left="2268" w:right="1134" w:hanging="1134"/>
        <w:jc w:val="both"/>
        <w:rPr>
          <w:lang w:val="fr-FR"/>
        </w:rPr>
      </w:pPr>
      <w:r w:rsidRPr="00CA3533">
        <w:rPr>
          <w:lang w:val="fr-FR"/>
        </w:rPr>
        <w:t>6.8.4 b), TE14</w:t>
      </w:r>
      <w:r w:rsidRPr="00CA3533">
        <w:rPr>
          <w:lang w:val="fr-FR"/>
        </w:rPr>
        <w:tab/>
        <w:t>Modifier la deuxième phrase pour lire comme suit : « L’isolation thermique directement en contact avec le réservoir ou les éléments du dispositif de réchauffage doit avoir une température d’inflammation supérieure d’au moins 50 °C à la température maximale pour laquelle la citerne a été conçue. »</w:t>
      </w:r>
    </w:p>
    <w:p w14:paraId="594A7675" w14:textId="37AEE82C"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lastRenderedPageBreak/>
        <w:t>6.8.4 c), TA4</w:t>
      </w:r>
      <w:r w:rsidRPr="00CA3533">
        <w:rPr>
          <w:rFonts w:eastAsiaTheme="minorHAnsi"/>
          <w:lang w:val="fr-FR" w:eastAsia="en-US"/>
        </w:rPr>
        <w:tab/>
        <w:t>Modifier pour lire comme suit :</w:t>
      </w:r>
    </w:p>
    <w:p w14:paraId="18AF5F37" w14:textId="19141304" w:rsidR="00CA3533" w:rsidRPr="00CA3533" w:rsidRDefault="00CA3533" w:rsidP="00CA3533">
      <w:pPr>
        <w:spacing w:after="120"/>
        <w:ind w:left="2268" w:right="1134" w:hanging="1134"/>
        <w:jc w:val="both"/>
        <w:rPr>
          <w:rFonts w:eastAsiaTheme="minorHAnsi"/>
          <w:lang w:val="fr-FR" w:eastAsia="en-US"/>
        </w:rPr>
      </w:pPr>
      <w:r w:rsidRPr="00CA3533">
        <w:rPr>
          <w:rFonts w:eastAsiaTheme="minorHAnsi"/>
          <w:lang w:val="fr-FR" w:eastAsia="en-US"/>
        </w:rPr>
        <w:t>« TA4</w:t>
      </w:r>
      <w:r w:rsidRPr="00CA3533">
        <w:rPr>
          <w:rFonts w:eastAsiaTheme="minorHAnsi"/>
          <w:lang w:val="fr-FR" w:eastAsia="en-US"/>
        </w:rPr>
        <w:tab/>
        <w:t>Les procédures d’évaluation de la conformité visées au 1.8.7 doivent être appliquées par l’autorité compétente ou l’organisme de contrôle répondant au 1.8.6.3 et accrédité selon la norme EN ISO/CEI 17020:2012 (sauf article 8.1.3) type A. »</w:t>
      </w:r>
    </w:p>
    <w:p w14:paraId="4CE974EC" w14:textId="6CD11EB9" w:rsidR="00CA3533" w:rsidRPr="00CA3533" w:rsidRDefault="00CA3533" w:rsidP="00CA3533">
      <w:pPr>
        <w:tabs>
          <w:tab w:val="left" w:pos="4228"/>
        </w:tabs>
        <w:spacing w:after="120"/>
        <w:ind w:left="2268" w:right="1134" w:hanging="1134"/>
        <w:jc w:val="both"/>
        <w:rPr>
          <w:rFonts w:eastAsiaTheme="minorHAnsi"/>
          <w:lang w:val="fr-FR" w:eastAsia="en-US"/>
        </w:rPr>
      </w:pPr>
      <w:r w:rsidRPr="00CA3533">
        <w:rPr>
          <w:rFonts w:eastAsiaTheme="minorHAnsi"/>
          <w:lang w:val="fr-FR" w:eastAsia="en-US"/>
        </w:rPr>
        <w:t>6.8.4 d), TT2</w:t>
      </w:r>
      <w:r w:rsidRPr="00CA3533">
        <w:rPr>
          <w:rFonts w:eastAsiaTheme="minorHAnsi"/>
          <w:lang w:val="fr-FR" w:eastAsia="en-US"/>
        </w:rPr>
        <w:tab/>
        <w:t>Remplacer « un expert agréé par l’autorité compétente » par « un organisme de contrôle ».</w:t>
      </w:r>
    </w:p>
    <w:p w14:paraId="6C25DA91" w14:textId="77777777" w:rsidR="00CA3533" w:rsidRPr="00CA3533" w:rsidRDefault="00CA3533" w:rsidP="00CA3533">
      <w:pPr>
        <w:spacing w:after="120"/>
        <w:ind w:left="2268" w:right="1134" w:hanging="1134"/>
        <w:jc w:val="both"/>
        <w:rPr>
          <w:lang w:val="fr-FR"/>
        </w:rPr>
      </w:pPr>
      <w:r w:rsidRPr="00CA3533">
        <w:rPr>
          <w:lang w:val="fr-FR"/>
        </w:rPr>
        <w:t>6.8.4 d), TT3</w:t>
      </w:r>
      <w:r w:rsidRPr="00CA3533">
        <w:rPr>
          <w:lang w:val="fr-FR"/>
        </w:rPr>
        <w:tab/>
        <w:t>Modifier pour lire comme suit :</w:t>
      </w:r>
    </w:p>
    <w:p w14:paraId="033ED3EE" w14:textId="0AC6DCCE" w:rsidR="00CA3533" w:rsidRPr="00CA3533" w:rsidRDefault="00CA3533" w:rsidP="00CA3533">
      <w:pPr>
        <w:spacing w:after="120"/>
        <w:ind w:left="2268" w:right="1134" w:hanging="1134"/>
        <w:jc w:val="both"/>
        <w:rPr>
          <w:lang w:val="fr-FR"/>
        </w:rPr>
      </w:pPr>
      <w:r w:rsidRPr="00CA3533">
        <w:rPr>
          <w:lang w:val="fr-FR"/>
        </w:rPr>
        <w:t>« TT3</w:t>
      </w:r>
      <w:r w:rsidRPr="00CA3533">
        <w:rPr>
          <w:lang w:val="fr-FR"/>
        </w:rPr>
        <w:tab/>
        <w:t>Par dérogation aux prescriptions du 6.8.2.4.2, les contrôles périodiques doivent être effectués au plus tard tous les huit ans et comprennent en outre un contrôle des épaisseurs au moyen d'instruments appropriés. Pour ces citernes, l'épreuve d'étanchéité et la vérification prévues au 6.8.2.4.3 doivent être effectués au plus tard tous les quatre ans. »</w:t>
      </w:r>
    </w:p>
    <w:p w14:paraId="066BA8B1" w14:textId="77777777" w:rsidR="00CA3533" w:rsidRPr="00CA3533" w:rsidRDefault="00CA3533" w:rsidP="00CA3533">
      <w:pPr>
        <w:spacing w:after="120"/>
        <w:ind w:left="2268" w:right="1134" w:hanging="1134"/>
        <w:jc w:val="both"/>
        <w:rPr>
          <w:lang w:val="fr-FR"/>
        </w:rPr>
      </w:pPr>
      <w:r w:rsidRPr="00CA3533">
        <w:rPr>
          <w:lang w:val="fr-FR"/>
        </w:rPr>
        <w:t>6.8.4 d), TT5</w:t>
      </w:r>
      <w:r w:rsidRPr="00CA3533">
        <w:rPr>
          <w:lang w:val="fr-FR"/>
        </w:rPr>
        <w:tab/>
        <w:t>Remplacer « doivent avoir lieu » par « doivent être effectués ».</w:t>
      </w:r>
    </w:p>
    <w:p w14:paraId="27752C38" w14:textId="77777777" w:rsidR="00CA3533" w:rsidRPr="00CA3533" w:rsidRDefault="00CA3533" w:rsidP="00CA3533">
      <w:pPr>
        <w:spacing w:after="120"/>
        <w:ind w:left="2268" w:right="1134" w:hanging="1134"/>
        <w:jc w:val="both"/>
        <w:rPr>
          <w:lang w:val="fr-FR"/>
        </w:rPr>
      </w:pPr>
      <w:r w:rsidRPr="00CA3533">
        <w:rPr>
          <w:lang w:val="fr-FR"/>
        </w:rPr>
        <w:t>6.8.4 d), TT6</w:t>
      </w:r>
      <w:r w:rsidRPr="00CA3533">
        <w:rPr>
          <w:lang w:val="fr-FR"/>
        </w:rPr>
        <w:tab/>
        <w:t>Remplacer « doit avoir lieu » par « doit être effectué ».</w:t>
      </w:r>
    </w:p>
    <w:p w14:paraId="65A99AB7" w14:textId="42C7660B" w:rsidR="00CA3533" w:rsidRPr="00CA3533" w:rsidRDefault="00CA3533" w:rsidP="00CA3533">
      <w:pPr>
        <w:keepNext/>
        <w:keepLines/>
        <w:tabs>
          <w:tab w:val="left" w:pos="4228"/>
        </w:tabs>
        <w:spacing w:after="120"/>
        <w:ind w:left="2268" w:right="1134" w:hanging="1134"/>
        <w:jc w:val="both"/>
        <w:rPr>
          <w:rFonts w:eastAsiaTheme="minorHAnsi"/>
          <w:lang w:val="fr-FR" w:eastAsia="en-US"/>
        </w:rPr>
      </w:pPr>
      <w:r w:rsidRPr="00CA3533">
        <w:rPr>
          <w:rFonts w:eastAsiaTheme="minorHAnsi"/>
          <w:lang w:val="fr-FR" w:eastAsia="en-US"/>
        </w:rPr>
        <w:t>6.8.4 d), TT9</w:t>
      </w:r>
      <w:r w:rsidRPr="00CA3533">
        <w:rPr>
          <w:rFonts w:eastAsiaTheme="minorHAnsi"/>
          <w:lang w:val="fr-FR" w:eastAsia="en-US"/>
        </w:rPr>
        <w:tab/>
        <w:t>Modifier pour lire comme suit :</w:t>
      </w:r>
    </w:p>
    <w:p w14:paraId="36A14BF4" w14:textId="33D36397" w:rsidR="00CA3533" w:rsidRPr="00CA3533" w:rsidRDefault="00CA3533" w:rsidP="00CA3533">
      <w:pPr>
        <w:keepLines/>
        <w:spacing w:after="120"/>
        <w:ind w:left="2268" w:right="1134" w:hanging="1134"/>
        <w:jc w:val="both"/>
        <w:rPr>
          <w:rFonts w:eastAsiaTheme="minorHAnsi"/>
          <w:lang w:val="fr-FR" w:eastAsia="en-US"/>
        </w:rPr>
      </w:pPr>
      <w:r w:rsidRPr="00CA3533">
        <w:rPr>
          <w:rFonts w:eastAsiaTheme="minorHAnsi"/>
          <w:lang w:val="fr-FR" w:eastAsia="en-US"/>
        </w:rPr>
        <w:t>« TT9</w:t>
      </w:r>
      <w:r w:rsidRPr="00CA3533">
        <w:rPr>
          <w:rFonts w:eastAsiaTheme="minorHAnsi"/>
          <w:lang w:val="fr-FR" w:eastAsia="en-US"/>
        </w:rPr>
        <w:tab/>
        <w:t>Pour les contrôles et épreuves (y compris le suivi de fabrication), les procédures visées au 1.8.7 doivent être appliquées par l’autorité compétente ou l’organisme de contrôle répondant au 1.8.6.3 et accrédité selon la norme EN ISO/CEI 17020:2012 (sauf article 8.1.3) type A. »</w:t>
      </w:r>
    </w:p>
    <w:p w14:paraId="3C3CAE9C" w14:textId="77777777" w:rsidR="00CA3533" w:rsidRPr="00CA3533" w:rsidRDefault="00CA3533" w:rsidP="00CA3533">
      <w:pPr>
        <w:spacing w:after="120"/>
        <w:ind w:left="2268" w:right="1134" w:hanging="1134"/>
        <w:jc w:val="both"/>
        <w:rPr>
          <w:lang w:val="fr-FR"/>
        </w:rPr>
      </w:pPr>
      <w:r w:rsidRPr="00CA3533">
        <w:rPr>
          <w:lang w:val="fr-FR"/>
        </w:rPr>
        <w:t>6.8.4 d), TT10</w:t>
      </w:r>
      <w:r w:rsidRPr="00CA3533">
        <w:rPr>
          <w:lang w:val="fr-FR"/>
        </w:rPr>
        <w:tab/>
        <w:t>Remplacer « doivent avoir lieu » par « doivent être effectués ».</w:t>
      </w:r>
    </w:p>
    <w:p w14:paraId="4378B252" w14:textId="250197A3" w:rsidR="00CA3533" w:rsidRPr="00CA3533" w:rsidRDefault="00CA3533" w:rsidP="00252D94">
      <w:pPr>
        <w:keepNext/>
        <w:tabs>
          <w:tab w:val="left" w:pos="2835"/>
        </w:tabs>
        <w:spacing w:after="120"/>
        <w:ind w:left="2268" w:right="1134" w:hanging="1134"/>
        <w:jc w:val="both"/>
        <w:rPr>
          <w:rFonts w:eastAsiaTheme="minorHAnsi"/>
          <w:lang w:val="fr-FR" w:eastAsia="en-US"/>
        </w:rPr>
      </w:pPr>
      <w:r w:rsidRPr="00CA3533">
        <w:rPr>
          <w:rFonts w:eastAsiaTheme="minorHAnsi"/>
          <w:lang w:val="fr-FR" w:eastAsia="en-US"/>
        </w:rPr>
        <w:t>6.8.4 d), TT11</w:t>
      </w:r>
      <w:r w:rsidRPr="00CA3533">
        <w:rPr>
          <w:rFonts w:eastAsiaTheme="minorHAnsi"/>
          <w:lang w:val="fr-FR" w:eastAsia="en-US"/>
        </w:rPr>
        <w:tab/>
        <w:t>À la fin du premier paragraphe, remplacer « l’autorité compétente, son représentant ou l’organisme de contrôle » par « l’autorité compétente ou l’organisme de contrôle ».</w:t>
      </w:r>
    </w:p>
    <w:p w14:paraId="112DB098" w14:textId="35121D1D" w:rsidR="00CA3533" w:rsidRPr="00CA3533" w:rsidRDefault="00CA3533" w:rsidP="00CA3533">
      <w:pPr>
        <w:spacing w:after="120"/>
        <w:ind w:left="2268" w:right="1134" w:hanging="1134"/>
        <w:jc w:val="both"/>
        <w:rPr>
          <w:lang w:val="fr-FR"/>
        </w:rPr>
      </w:pPr>
      <w:r w:rsidRPr="00CA3533">
        <w:rPr>
          <w:lang w:val="fr-FR"/>
        </w:rPr>
        <w:tab/>
        <w:t>Dans l’énumération des normes après la deuxième phrase :</w:t>
      </w:r>
    </w:p>
    <w:p w14:paraId="20DC7DE1" w14:textId="77777777" w:rsidR="00CA3533" w:rsidRDefault="00CA3533" w:rsidP="00CA3533">
      <w:pPr>
        <w:spacing w:after="120"/>
        <w:ind w:left="2268" w:right="1134" w:hanging="1134"/>
        <w:jc w:val="both"/>
        <w:rPr>
          <w:lang w:val="fr-FR"/>
        </w:rPr>
      </w:pPr>
      <w:r w:rsidRPr="00CA3533">
        <w:rPr>
          <w:lang w:val="fr-FR"/>
        </w:rPr>
        <w:tab/>
        <w:t>Remplacer « EN ISO 17640:2010 » par « EN ISO 17640:2018 ».</w:t>
      </w:r>
    </w:p>
    <w:p w14:paraId="7F2D74CA" w14:textId="28AA14F1" w:rsidR="00F47D33" w:rsidRDefault="00F47D33" w:rsidP="00CA3533">
      <w:pPr>
        <w:spacing w:after="120"/>
        <w:ind w:left="2268" w:right="1134" w:hanging="1134"/>
        <w:jc w:val="both"/>
        <w:rPr>
          <w:lang w:val="fr-FR"/>
        </w:rPr>
      </w:pPr>
      <w:r>
        <w:rPr>
          <w:lang w:val="fr-FR"/>
        </w:rPr>
        <w:tab/>
      </w:r>
      <w:r w:rsidR="00D55D0E">
        <w:rPr>
          <w:lang w:val="fr-FR"/>
        </w:rPr>
        <w:t>Modifier le deuxième tiret pour lire :</w:t>
      </w:r>
    </w:p>
    <w:p w14:paraId="29564E97" w14:textId="0B5F6A1E" w:rsidR="00D55D0E" w:rsidRPr="00CA3533" w:rsidRDefault="00D55D0E" w:rsidP="00CA3533">
      <w:pPr>
        <w:spacing w:after="120"/>
        <w:ind w:left="2268" w:right="1134" w:hanging="1134"/>
        <w:jc w:val="both"/>
        <w:rPr>
          <w:lang w:val="fr-FR"/>
        </w:rPr>
      </w:pPr>
      <w:r>
        <w:rPr>
          <w:lang w:val="fr-FR"/>
        </w:rPr>
        <w:tab/>
        <w:t>« -</w:t>
      </w:r>
      <w:r>
        <w:rPr>
          <w:lang w:val="fr-FR"/>
        </w:rPr>
        <w:tab/>
      </w:r>
      <w:r w:rsidR="00FF653F" w:rsidRPr="006A0C61">
        <w:t>EN ISO 17638</w:t>
      </w:r>
      <w:r w:rsidR="00FF653F">
        <w:t>:2016</w:t>
      </w:r>
      <w:r w:rsidR="00FF653F" w:rsidRPr="006A0C61">
        <w:t xml:space="preserve"> − Contrôle non destructif des assemblages soudés − </w:t>
      </w:r>
      <w:r w:rsidR="00C4510F">
        <w:t>M</w:t>
      </w:r>
      <w:r w:rsidR="00FF653F" w:rsidRPr="006A0C61">
        <w:t>agnétoscopie, avec niveau d’acceptation des indications conforme à EN ISO 23278</w:t>
      </w:r>
      <w:r w:rsidR="00FF653F">
        <w:t>:2</w:t>
      </w:r>
      <w:r w:rsidR="002C4AA8">
        <w:t>015</w:t>
      </w:r>
      <w:r w:rsidR="00FF653F" w:rsidRPr="006A0C61">
        <w:t xml:space="preserve"> </w:t>
      </w:r>
      <w:r w:rsidR="002C4AA8" w:rsidRPr="002C4AA8">
        <w:t xml:space="preserve">Contrôle non destructif des assemblages soudés </w:t>
      </w:r>
      <w:r w:rsidR="002C4AA8" w:rsidRPr="006A0C61">
        <w:t xml:space="preserve">− </w:t>
      </w:r>
      <w:r w:rsidR="00FF653F" w:rsidRPr="006A0C61">
        <w:t xml:space="preserve">Contrôle par magnétoscopie </w:t>
      </w:r>
      <w:r w:rsidR="002C4AA8" w:rsidRPr="006A0C61">
        <w:t xml:space="preserve">− </w:t>
      </w:r>
      <w:r w:rsidR="00FF653F" w:rsidRPr="006A0C61">
        <w:t>Niveaux d’acceptation</w:t>
      </w:r>
      <w:r w:rsidR="005515AD">
        <w:t> ; »</w:t>
      </w:r>
    </w:p>
    <w:p w14:paraId="42DC94FC" w14:textId="77777777" w:rsidR="00CA3533" w:rsidRPr="00CA3533" w:rsidRDefault="00CA3533" w:rsidP="00CA3533">
      <w:pPr>
        <w:spacing w:after="120"/>
        <w:ind w:left="2268" w:right="1134" w:hanging="1134"/>
        <w:jc w:val="both"/>
        <w:rPr>
          <w:lang w:val="fr-FR"/>
        </w:rPr>
      </w:pPr>
      <w:r w:rsidRPr="00CA3533">
        <w:rPr>
          <w:lang w:val="fr-FR"/>
        </w:rPr>
        <w:tab/>
        <w:t>Remplacer « EN 1711:2000 » par « EN ISO 17643:2015 ».</w:t>
      </w:r>
    </w:p>
    <w:p w14:paraId="234C667C" w14:textId="669DF508" w:rsidR="00CA3533" w:rsidRPr="00CA3533" w:rsidRDefault="00CA3533" w:rsidP="00CA3533">
      <w:pPr>
        <w:spacing w:after="120"/>
        <w:ind w:left="2268" w:right="1134" w:hanging="1134"/>
        <w:jc w:val="both"/>
        <w:rPr>
          <w:lang w:val="fr-FR"/>
        </w:rPr>
      </w:pPr>
      <w:r w:rsidRPr="00CA3533">
        <w:rPr>
          <w:lang w:val="fr-FR"/>
        </w:rPr>
        <w:tab/>
        <w:t>Remplacer « EN 14127:2011 − Essais non destructifs − Mesure de l’épaisseur par ultrasons » par « EN ISO 16809:2019 − Essais non destructifs − Mesurage de l’épaisseur par ultrasons ».</w:t>
      </w:r>
    </w:p>
    <w:p w14:paraId="45045BD8" w14:textId="5FBEF6CD" w:rsidR="00CA3533" w:rsidRPr="00CA3533" w:rsidRDefault="00CA3533" w:rsidP="00CA3533">
      <w:pPr>
        <w:tabs>
          <w:tab w:val="left" w:pos="2268"/>
        </w:tabs>
        <w:kinsoku/>
        <w:overflowPunct/>
        <w:autoSpaceDE/>
        <w:autoSpaceDN/>
        <w:adjustRightInd/>
        <w:snapToGrid/>
        <w:spacing w:before="120" w:after="120"/>
        <w:ind w:left="2268" w:right="1134" w:hanging="1134"/>
        <w:jc w:val="both"/>
        <w:rPr>
          <w:lang w:val="fr-FR"/>
        </w:rPr>
      </w:pPr>
      <w:r w:rsidRPr="00CA3533">
        <w:rPr>
          <w:lang w:val="fr-FR"/>
        </w:rPr>
        <w:tab/>
        <w:t>Dans le paragraphe figurant sous le tableau, remplacer « EN ISO 23278:2009</w:t>
      </w:r>
      <w:r w:rsidR="004E7FDC">
        <w:rPr>
          <w:lang w:val="fr-FR"/>
        </w:rPr>
        <w:t> </w:t>
      </w:r>
      <w:r w:rsidRPr="00CA3533">
        <w:rPr>
          <w:lang w:val="fr-FR"/>
        </w:rPr>
        <w:t>» par «</w:t>
      </w:r>
      <w:r w:rsidR="004E7FDC">
        <w:rPr>
          <w:lang w:val="fr-FR"/>
        </w:rPr>
        <w:t> </w:t>
      </w:r>
      <w:r w:rsidRPr="00CA3533">
        <w:rPr>
          <w:lang w:val="fr-FR"/>
        </w:rPr>
        <w:t>EN ISO 23278:2015</w:t>
      </w:r>
      <w:r w:rsidR="004E7FDC">
        <w:rPr>
          <w:lang w:val="fr-FR"/>
        </w:rPr>
        <w:t> </w:t>
      </w:r>
      <w:r w:rsidRPr="00CA3533">
        <w:rPr>
          <w:lang w:val="fr-FR"/>
        </w:rPr>
        <w:t xml:space="preserve">» </w:t>
      </w:r>
      <w:r w:rsidR="003C0A3D">
        <w:rPr>
          <w:lang w:val="fr-FR"/>
        </w:rPr>
        <w:t>et supprimer « des soudures »</w:t>
      </w:r>
      <w:r w:rsidR="00E733E2">
        <w:rPr>
          <w:lang w:val="fr-FR"/>
        </w:rPr>
        <w:t>. R</w:t>
      </w:r>
      <w:r w:rsidRPr="00CA3533">
        <w:rPr>
          <w:lang w:val="fr-FR"/>
        </w:rPr>
        <w:t>emplacer «</w:t>
      </w:r>
      <w:r w:rsidR="004E7FDC">
        <w:rPr>
          <w:lang w:val="fr-FR"/>
        </w:rPr>
        <w:t> </w:t>
      </w:r>
      <w:r w:rsidRPr="00CA3533">
        <w:rPr>
          <w:lang w:val="fr-FR"/>
        </w:rPr>
        <w:t>EN 12493:2013+A2:2018 (Équipements pour GPL et leurs accessoires − réservoirs sous pression en acier soudé des camions-citernes pour GPL − conception et construction)</w:t>
      </w:r>
      <w:r w:rsidR="004E7FDC">
        <w:rPr>
          <w:lang w:val="fr-FR"/>
        </w:rPr>
        <w:t> </w:t>
      </w:r>
      <w:r w:rsidRPr="00CA3533">
        <w:rPr>
          <w:lang w:val="fr-FR"/>
        </w:rPr>
        <w:t>» par «</w:t>
      </w:r>
      <w:r w:rsidR="004E7FDC">
        <w:rPr>
          <w:lang w:val="fr-FR"/>
        </w:rPr>
        <w:t> </w:t>
      </w:r>
      <w:r w:rsidRPr="00CA3533">
        <w:rPr>
          <w:bCs/>
        </w:rPr>
        <w:t>EN 12493:2020 (</w:t>
      </w:r>
      <w:r w:rsidRPr="00CA3533">
        <w:rPr>
          <w:lang w:val="fr-FR"/>
        </w:rPr>
        <w:t xml:space="preserve">Équipements pour GPL et leurs accessoires - </w:t>
      </w:r>
      <w:r w:rsidR="00912852">
        <w:rPr>
          <w:lang w:val="fr-FR"/>
        </w:rPr>
        <w:t>r</w:t>
      </w:r>
      <w:r w:rsidR="00912852" w:rsidRPr="00CA3533">
        <w:rPr>
          <w:lang w:val="fr-FR"/>
        </w:rPr>
        <w:t xml:space="preserve">éservoirs </w:t>
      </w:r>
      <w:r w:rsidRPr="00CA3533">
        <w:rPr>
          <w:lang w:val="fr-FR"/>
        </w:rPr>
        <w:t xml:space="preserve">sous pression en acier soudés des camions-citernes - </w:t>
      </w:r>
      <w:r w:rsidR="00912852">
        <w:rPr>
          <w:lang w:val="fr-FR"/>
        </w:rPr>
        <w:t>c</w:t>
      </w:r>
      <w:r w:rsidR="00912852" w:rsidRPr="00CA3533">
        <w:rPr>
          <w:lang w:val="fr-FR"/>
        </w:rPr>
        <w:t xml:space="preserve">onception </w:t>
      </w:r>
      <w:r w:rsidRPr="00CA3533">
        <w:rPr>
          <w:lang w:val="fr-FR"/>
        </w:rPr>
        <w:t>et construction</w:t>
      </w:r>
      <w:r w:rsidRPr="00CA3533">
        <w:rPr>
          <w:bCs/>
        </w:rPr>
        <w:t>)</w:t>
      </w:r>
      <w:r w:rsidR="004E7FDC">
        <w:rPr>
          <w:bCs/>
        </w:rPr>
        <w:t> </w:t>
      </w:r>
      <w:r w:rsidRPr="00CA3533">
        <w:rPr>
          <w:bCs/>
        </w:rPr>
        <w:t>».</w:t>
      </w:r>
    </w:p>
    <w:p w14:paraId="7B9EC852" w14:textId="77777777" w:rsidR="00CA3533" w:rsidRPr="00CA3533" w:rsidRDefault="00CA3533" w:rsidP="00CA3533">
      <w:pPr>
        <w:keepNext/>
        <w:keepLines/>
        <w:tabs>
          <w:tab w:val="right" w:pos="851"/>
        </w:tabs>
        <w:spacing w:before="360" w:after="240" w:line="270" w:lineRule="exact"/>
        <w:ind w:right="1133"/>
        <w:rPr>
          <w:b/>
          <w:sz w:val="24"/>
          <w:lang w:val="fr-FR"/>
        </w:rPr>
      </w:pPr>
      <w:r w:rsidRPr="00CA3533">
        <w:rPr>
          <w:b/>
          <w:bCs/>
          <w:sz w:val="24"/>
          <w:lang w:val="fr-FR"/>
        </w:rPr>
        <w:tab/>
      </w:r>
      <w:r w:rsidRPr="00CA3533">
        <w:rPr>
          <w:b/>
          <w:bCs/>
          <w:sz w:val="24"/>
          <w:lang w:val="fr-FR"/>
        </w:rPr>
        <w:tab/>
      </w:r>
      <w:r w:rsidRPr="00CA3533">
        <w:rPr>
          <w:b/>
          <w:sz w:val="24"/>
          <w:lang w:val="fr-FR"/>
        </w:rPr>
        <w:t>Chapitre 6.9</w:t>
      </w:r>
    </w:p>
    <w:p w14:paraId="1577DA9E" w14:textId="4C3A9068" w:rsidR="00CA3533" w:rsidRPr="00CA3533" w:rsidRDefault="00CA3533" w:rsidP="00CA3533">
      <w:pPr>
        <w:keepNext/>
        <w:tabs>
          <w:tab w:val="left" w:pos="4228"/>
        </w:tabs>
        <w:spacing w:after="120"/>
        <w:ind w:left="1134" w:right="1134"/>
        <w:jc w:val="both"/>
        <w:rPr>
          <w:lang w:val="fr-FR" w:eastAsia="en-US"/>
        </w:rPr>
      </w:pPr>
      <w:r w:rsidRPr="00CA3533">
        <w:rPr>
          <w:lang w:val="fr-FR" w:eastAsia="en-US"/>
        </w:rPr>
        <w:t xml:space="preserve">Le chapitre 6.9 actuel devient le chapitre 6.13 avec les amendements présentés ci-après sous </w:t>
      </w:r>
      <w:r w:rsidR="00BF7470">
        <w:rPr>
          <w:lang w:val="fr-FR" w:eastAsia="en-US"/>
        </w:rPr>
        <w:t>« </w:t>
      </w:r>
      <w:r w:rsidRPr="00CA3533">
        <w:rPr>
          <w:lang w:val="fr-FR" w:eastAsia="en-US"/>
        </w:rPr>
        <w:t>Chapitre 6.13</w:t>
      </w:r>
      <w:r w:rsidR="00BF7470">
        <w:rPr>
          <w:lang w:val="fr-FR" w:eastAsia="en-US"/>
        </w:rPr>
        <w:t> »</w:t>
      </w:r>
      <w:r w:rsidRPr="00CA3533">
        <w:rPr>
          <w:lang w:val="fr-FR" w:eastAsia="en-US"/>
        </w:rPr>
        <w:t>.</w:t>
      </w:r>
    </w:p>
    <w:p w14:paraId="320A975F" w14:textId="77777777" w:rsidR="00CA3533" w:rsidRPr="00CA3533" w:rsidRDefault="00CA3533" w:rsidP="00CA3533">
      <w:pPr>
        <w:keepNext/>
        <w:tabs>
          <w:tab w:val="left" w:pos="4228"/>
        </w:tabs>
        <w:spacing w:after="120"/>
        <w:ind w:left="2268" w:right="1134" w:hanging="1134"/>
        <w:jc w:val="both"/>
        <w:rPr>
          <w:lang w:val="fr-FR" w:eastAsia="en-US"/>
        </w:rPr>
      </w:pPr>
      <w:r w:rsidRPr="00CA3533">
        <w:rPr>
          <w:lang w:val="fr-FR" w:eastAsia="en-US"/>
        </w:rPr>
        <w:t>Ajouter un nouveau chapitre 6.9 comme suit :</w:t>
      </w:r>
    </w:p>
    <w:p w14:paraId="5B5DE549" w14:textId="77777777" w:rsidR="00CA3533" w:rsidRPr="00CA3533" w:rsidRDefault="00CA3533" w:rsidP="00CA3533">
      <w:pPr>
        <w:tabs>
          <w:tab w:val="center" w:pos="4820"/>
        </w:tabs>
        <w:spacing w:after="120"/>
        <w:ind w:left="1134" w:right="1134"/>
        <w:jc w:val="both"/>
        <w:rPr>
          <w:rFonts w:eastAsiaTheme="minorHAnsi"/>
          <w:b/>
          <w:bCs/>
          <w:lang w:val="fr-FR"/>
        </w:rPr>
      </w:pPr>
      <w:r w:rsidRPr="00CA3533">
        <w:rPr>
          <w:rFonts w:eastAsiaTheme="minorHAnsi"/>
          <w:lang w:val="fr-FR"/>
        </w:rPr>
        <w:t>« </w:t>
      </w:r>
      <w:r w:rsidRPr="00CA3533">
        <w:rPr>
          <w:rFonts w:eastAsiaTheme="minorHAnsi"/>
          <w:lang w:val="fr-FR"/>
        </w:rPr>
        <w:tab/>
      </w:r>
      <w:r w:rsidRPr="00CA3533">
        <w:rPr>
          <w:rFonts w:eastAsiaTheme="minorHAnsi"/>
          <w:b/>
          <w:bCs/>
          <w:lang w:val="fr-FR"/>
        </w:rPr>
        <w:t>CHAPITRE 6.9</w:t>
      </w:r>
    </w:p>
    <w:p w14:paraId="3C321030" w14:textId="77777777" w:rsidR="00CA3533" w:rsidRPr="00CA3533" w:rsidRDefault="00CA3533" w:rsidP="00CA3533">
      <w:pPr>
        <w:spacing w:after="120"/>
        <w:ind w:left="1134" w:right="1134"/>
        <w:jc w:val="center"/>
        <w:rPr>
          <w:rFonts w:eastAsiaTheme="minorHAnsi"/>
          <w:b/>
          <w:bCs/>
          <w:lang w:val="fr-FR"/>
        </w:rPr>
      </w:pPr>
      <w:r w:rsidRPr="00CA3533">
        <w:rPr>
          <w:rFonts w:eastAsiaTheme="minorHAnsi"/>
          <w:b/>
          <w:bCs/>
          <w:lang w:val="fr-FR"/>
        </w:rPr>
        <w:lastRenderedPageBreak/>
        <w:t>PRESCRIPTIONS RELATIVES A LA CONCEPTION ET A LA CONSTRUCTION DES CITERNES MOBILES DONT LES RESERVOIRS SONT EN MATIERE PLASTIQUE RENFORCEE DE FIBRES (PRF) ET AUX CONTROLES ET EPREUVES QU’ELLES DOIVENT SUBIR</w:t>
      </w:r>
    </w:p>
    <w:p w14:paraId="67A3E624" w14:textId="77777777" w:rsidR="00CA3533" w:rsidRPr="00CA3533" w:rsidRDefault="00CA3533" w:rsidP="00CA3533">
      <w:pPr>
        <w:keepNext/>
        <w:keepLines/>
        <w:tabs>
          <w:tab w:val="right" w:pos="851"/>
        </w:tabs>
        <w:spacing w:before="240" w:after="120" w:line="240" w:lineRule="exact"/>
        <w:ind w:left="2268" w:right="1134" w:hanging="1134"/>
        <w:outlineLvl w:val="3"/>
        <w:rPr>
          <w:rFonts w:eastAsiaTheme="minorHAnsi"/>
          <w:b/>
          <w:lang w:val="fr-FR" w:eastAsia="en-US"/>
        </w:rPr>
      </w:pPr>
      <w:r w:rsidRPr="00CA3533">
        <w:rPr>
          <w:rFonts w:eastAsiaTheme="minorHAnsi"/>
          <w:b/>
          <w:bCs/>
          <w:lang w:val="fr-FR" w:eastAsia="en-US"/>
        </w:rPr>
        <w:t>6.9.1</w:t>
      </w:r>
      <w:r w:rsidRPr="00CA3533">
        <w:rPr>
          <w:rFonts w:eastAsiaTheme="minorHAnsi"/>
          <w:b/>
          <w:bCs/>
          <w:lang w:val="fr-FR" w:eastAsia="en-US"/>
        </w:rPr>
        <w:tab/>
      </w:r>
      <w:r w:rsidRPr="00CA3533">
        <w:rPr>
          <w:rFonts w:eastAsiaTheme="minorHAnsi"/>
          <w:b/>
          <w:bCs/>
          <w:lang w:val="fr-FR" w:eastAsia="en-US"/>
        </w:rPr>
        <w:tab/>
        <w:t>Domaine d’a</w:t>
      </w:r>
      <w:r w:rsidRPr="00CA3533">
        <w:rPr>
          <w:rFonts w:eastAsiaTheme="minorHAnsi"/>
          <w:b/>
          <w:lang w:val="fr-FR" w:eastAsia="en-US"/>
        </w:rPr>
        <w:t>pplication et prescriptions générales</w:t>
      </w:r>
    </w:p>
    <w:p w14:paraId="15C0D1B7"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6.9.1.1</w:t>
      </w:r>
      <w:r w:rsidRPr="00CA3533">
        <w:rPr>
          <w:rFonts w:eastAsiaTheme="minorHAnsi"/>
          <w:lang w:val="fr-FR" w:eastAsia="en-US"/>
        </w:rPr>
        <w:tab/>
        <w:t>Les prescriptions de la section 6.9.2 s’appliquent aux citernes mobiles à réservoir en PRF destinées au transport des marchandises dangereuses des classes 1, 3, 5.1, 6.1, 6.2, 8 et 9, par tous les modes de transport. Outre les prescriptions formulées dans le présent chapitre, et sauf indication contraire, les prescriptions applicables énoncées dans la Convention internationale sur la sécurité des conteneurs (CSC) de 1972, telle que modifiée, doivent être remplies par tout réservoir de citerne mobile multimodale en RPF répondant à la définition du « conteneur » aux termes de cette Convention.</w:t>
      </w:r>
    </w:p>
    <w:p w14:paraId="213A1CC5"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6.9.1.2</w:t>
      </w:r>
      <w:r w:rsidRPr="00CA3533">
        <w:rPr>
          <w:rFonts w:eastAsiaTheme="minorHAnsi"/>
          <w:lang w:val="fr-FR" w:eastAsia="en-US"/>
        </w:rPr>
        <w:tab/>
        <w:t>Les prescriptions du présent chapitre ne s’appliquent pas aux citernes mobiles offshore.</w:t>
      </w:r>
    </w:p>
    <w:p w14:paraId="4D6E6963"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6.9.1.3</w:t>
      </w:r>
      <w:r w:rsidRPr="00CA3533">
        <w:rPr>
          <w:rFonts w:eastAsiaTheme="minorHAnsi"/>
          <w:lang w:val="fr-FR" w:eastAsia="en-US"/>
        </w:rPr>
        <w:tab/>
        <w:t>Les prescriptions du chapitre 4.2 et de la section 6.7.2 s’appliquent aux réservoirs de citernes mobiles en PRF, à l’exception de celles qui sont relatives à l’utilisation de matériaux métalliques pour la construction du réservoir d’une citerne mobile et des prescriptions supplémentaires énoncées dans le présent chapitre.</w:t>
      </w:r>
    </w:p>
    <w:p w14:paraId="1FCDE12B"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6.9.1.4</w:t>
      </w:r>
      <w:r w:rsidRPr="00CA3533">
        <w:rPr>
          <w:rFonts w:eastAsiaTheme="minorHAnsi"/>
          <w:lang w:val="fr-FR" w:eastAsia="en-US"/>
        </w:rPr>
        <w:tab/>
        <w:t xml:space="preserve">Pour tenir compte du progrès scientifique et technique, les prescriptions techniques du présent chapitre pourront être remplacées par d’autres prescriptions (arrangements alternatifs) qui devront offrir un niveau de sécurité au moins égal à celui des prescriptions du présent chapitre quant à la compatibilité avec les matières transportées et la capacité de la citerne mobile </w:t>
      </w:r>
      <w:bookmarkStart w:id="30" w:name="_Hlk43470751"/>
      <w:r w:rsidRPr="00CA3533">
        <w:rPr>
          <w:rFonts w:eastAsiaTheme="minorHAnsi"/>
          <w:lang w:val="fr-FR" w:eastAsia="en-US"/>
        </w:rPr>
        <w:t xml:space="preserve">en PRF </w:t>
      </w:r>
      <w:bookmarkEnd w:id="30"/>
      <w:r w:rsidRPr="00CA3533">
        <w:rPr>
          <w:rFonts w:eastAsiaTheme="minorHAnsi"/>
          <w:lang w:val="fr-FR" w:eastAsia="en-US"/>
        </w:rPr>
        <w:t>à résister aux chocs, aux charges et au feu. En cas de transport international, les citernes mobiles en PRF construites selon ces arrangements alternatifs devront être agréées par les autorités compétentes.</w:t>
      </w:r>
    </w:p>
    <w:p w14:paraId="3843FF2B" w14:textId="77777777" w:rsidR="00CA3533" w:rsidRPr="00CA3533" w:rsidRDefault="00CA3533" w:rsidP="00CA3533">
      <w:pPr>
        <w:keepNext/>
        <w:tabs>
          <w:tab w:val="left" w:pos="4228"/>
        </w:tabs>
        <w:spacing w:after="120"/>
        <w:ind w:left="2268" w:right="1134" w:hanging="1134"/>
        <w:jc w:val="both"/>
        <w:rPr>
          <w:rFonts w:eastAsiaTheme="minorHAnsi"/>
          <w:b/>
          <w:lang w:val="fr-FR" w:eastAsia="en-US"/>
        </w:rPr>
      </w:pPr>
      <w:r w:rsidRPr="00CA3533">
        <w:rPr>
          <w:rFonts w:eastAsiaTheme="minorHAnsi"/>
          <w:b/>
          <w:lang w:val="fr-FR" w:eastAsia="en-US"/>
        </w:rPr>
        <w:t>6.9.2</w:t>
      </w:r>
      <w:r w:rsidRPr="00CA3533">
        <w:rPr>
          <w:rFonts w:eastAsiaTheme="minorHAnsi"/>
          <w:b/>
          <w:lang w:val="fr-FR" w:eastAsia="en-US"/>
        </w:rPr>
        <w:tab/>
        <w:t>Prescriptions relatives à la conception et à la construction des citernes mobiles en PRF et aux contrôles et épreuves qu’elles doivent subir</w:t>
      </w:r>
    </w:p>
    <w:p w14:paraId="23A0F894" w14:textId="77777777" w:rsidR="00CA3533" w:rsidRPr="00CA3533" w:rsidRDefault="00CA3533" w:rsidP="00CA3533">
      <w:pPr>
        <w:keepNext/>
        <w:tabs>
          <w:tab w:val="left" w:pos="4228"/>
        </w:tabs>
        <w:spacing w:after="120"/>
        <w:ind w:left="2268" w:right="1134" w:hanging="1134"/>
        <w:jc w:val="both"/>
        <w:rPr>
          <w:rFonts w:eastAsiaTheme="minorHAnsi"/>
          <w:b/>
          <w:lang w:val="fr-FR" w:eastAsia="en-US"/>
        </w:rPr>
      </w:pPr>
      <w:r w:rsidRPr="00CA3533">
        <w:rPr>
          <w:rFonts w:eastAsiaTheme="minorHAnsi"/>
          <w:b/>
          <w:lang w:val="fr-FR" w:eastAsia="en-US"/>
        </w:rPr>
        <w:t>6.9.2.1</w:t>
      </w:r>
      <w:r w:rsidRPr="00CA3533">
        <w:rPr>
          <w:rFonts w:eastAsiaTheme="minorHAnsi"/>
          <w:b/>
          <w:lang w:val="fr-FR" w:eastAsia="en-US"/>
        </w:rPr>
        <w:tab/>
      </w:r>
      <w:r w:rsidRPr="00CA3533">
        <w:rPr>
          <w:rFonts w:eastAsiaTheme="minorHAnsi"/>
          <w:b/>
          <w:i/>
          <w:iCs/>
          <w:lang w:val="fr-FR" w:eastAsia="en-US"/>
        </w:rPr>
        <w:t>Définitions</w:t>
      </w:r>
    </w:p>
    <w:p w14:paraId="716D0514"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Aux fins de la présente section, les définitions du 6.7.2.1 s’appliquent à la construction du réservoir d’une citerne mobile, sauf en ce qui concerne les définitions relatives aux matériaux métalliques (« acier à grain fin », « acier doux » et « acier de référence »).</w:t>
      </w:r>
    </w:p>
    <w:p w14:paraId="7E68BCC2"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En outre, les définitions suivantes s’appliquent aux citernes mobiles à réservoir en PRF. On entend par :</w:t>
      </w:r>
    </w:p>
    <w:p w14:paraId="131E5F48"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i/>
          <w:lang w:val="fr-FR" w:eastAsia="en-US"/>
        </w:rPr>
        <w:t>C</w:t>
      </w:r>
      <w:r w:rsidRPr="00CA3533">
        <w:rPr>
          <w:rFonts w:eastAsiaTheme="minorHAnsi"/>
          <w:i/>
          <w:iCs/>
          <w:lang w:val="fr-FR" w:eastAsia="en-US"/>
        </w:rPr>
        <w:t>ouche externe</w:t>
      </w:r>
      <w:r w:rsidRPr="00CA3533">
        <w:rPr>
          <w:rFonts w:eastAsiaTheme="minorHAnsi"/>
          <w:lang w:val="fr-FR" w:eastAsia="en-US"/>
        </w:rPr>
        <w:t>, la partie du réservoir qui est directement exposée à l’atmosphère ;</w:t>
      </w:r>
    </w:p>
    <w:p w14:paraId="0F3A09ED"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i/>
          <w:iCs/>
          <w:lang w:val="fr-FR" w:eastAsia="en-US"/>
        </w:rPr>
        <w:t>Matière plastique renforcée de fibres (PRF)</w:t>
      </w:r>
      <w:bookmarkStart w:id="31" w:name="_Hlk52829571"/>
      <w:r w:rsidRPr="00CA3533">
        <w:rPr>
          <w:rFonts w:eastAsiaTheme="minorHAnsi"/>
          <w:lang w:val="fr-FR" w:eastAsia="en-US"/>
        </w:rPr>
        <w:t xml:space="preserve">, </w:t>
      </w:r>
      <w:bookmarkEnd w:id="31"/>
      <w:r w:rsidRPr="00CA3533">
        <w:rPr>
          <w:rFonts w:eastAsiaTheme="minorHAnsi"/>
          <w:lang w:val="fr-FR" w:eastAsia="en-US"/>
        </w:rPr>
        <w:t>voir 1.2.1 ;</w:t>
      </w:r>
    </w:p>
    <w:p w14:paraId="409B887D"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i/>
          <w:iCs/>
          <w:lang w:val="fr-FR" w:eastAsia="en-US"/>
        </w:rPr>
        <w:t>Enroulement filamentaire</w:t>
      </w:r>
      <w:r w:rsidRPr="00CA3533">
        <w:rPr>
          <w:rFonts w:eastAsiaTheme="minorHAnsi"/>
          <w:lang w:val="fr-FR" w:eastAsia="en-US"/>
        </w:rPr>
        <w:t>,</w:t>
      </w:r>
      <w:r w:rsidRPr="00CA3533">
        <w:rPr>
          <w:rFonts w:eastAsiaTheme="minorHAnsi"/>
          <w:i/>
          <w:iCs/>
          <w:lang w:val="fr-FR" w:eastAsia="en-US"/>
        </w:rPr>
        <w:t xml:space="preserve"> </w:t>
      </w:r>
      <w:r w:rsidRPr="00CA3533">
        <w:rPr>
          <w:rFonts w:eastAsiaTheme="minorHAnsi"/>
          <w:lang w:val="fr-FR" w:eastAsia="en-US"/>
        </w:rPr>
        <w:t xml:space="preserve">un procédé de construction de structures en PRF dans lequel des éléments de renfort continus (filaments, bandes, ou autres), imprégnés d’une matrice, soit avant soit pendant l’enroulement, sont placés sur un moule ou un </w:t>
      </w:r>
      <w:r w:rsidRPr="00CA3533">
        <w:rPr>
          <w:rFonts w:eastAsiaTheme="minorHAnsi"/>
          <w:lang w:val="fr-FR" w:eastAsia="en-US"/>
        </w:rPr>
        <w:lastRenderedPageBreak/>
        <w:t>mandrin rotatif. Le moule est généralement une surface de révolution qui peut avoir des fonds ;</w:t>
      </w:r>
    </w:p>
    <w:p w14:paraId="29CFF083" w14:textId="7DC2C41D"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i/>
          <w:iCs/>
          <w:lang w:val="fr-FR" w:eastAsia="en-US"/>
        </w:rPr>
        <w:t>Réservoir en PRF</w:t>
      </w:r>
      <w:r w:rsidRPr="00CA3533">
        <w:rPr>
          <w:rFonts w:eastAsiaTheme="minorHAnsi"/>
          <w:lang w:val="fr-FR" w:eastAsia="en-US"/>
        </w:rPr>
        <w:t>, un élément étanche de forme cylindrique dont le volume intérieur est destiné au transport de produits chimiques ;</w:t>
      </w:r>
    </w:p>
    <w:p w14:paraId="294AA7E9" w14:textId="452CB872"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i/>
          <w:iCs/>
          <w:lang w:val="fr-FR" w:eastAsia="en-US"/>
        </w:rPr>
        <w:t>Citerne en PRF</w:t>
      </w:r>
      <w:r w:rsidRPr="00CA3533">
        <w:rPr>
          <w:rFonts w:eastAsiaTheme="minorHAnsi"/>
          <w:lang w:val="fr-FR" w:eastAsia="en-US"/>
        </w:rPr>
        <w:t xml:space="preserve">, </w:t>
      </w:r>
      <w:r w:rsidRPr="00CA3533">
        <w:rPr>
          <w:rFonts w:eastAsia="SimSun"/>
          <w:lang w:val="fr-FR"/>
        </w:rPr>
        <w:t>une citerne mobile construite avec un réservoir en PRF comportant des fonds, des équipements de service, des dispositifs de décompression et d’autres équipements ;</w:t>
      </w:r>
    </w:p>
    <w:p w14:paraId="301852B6" w14:textId="0068112E" w:rsidR="00CA3533" w:rsidRPr="00CA3533" w:rsidRDefault="00CA3533" w:rsidP="00CA3533">
      <w:pPr>
        <w:keepNext/>
        <w:tabs>
          <w:tab w:val="left" w:pos="4228"/>
        </w:tabs>
        <w:spacing w:after="120"/>
        <w:ind w:left="2268" w:right="1134" w:hanging="1134"/>
        <w:jc w:val="both"/>
        <w:rPr>
          <w:rFonts w:eastAsiaTheme="minorHAnsi"/>
          <w:i/>
          <w:iCs/>
          <w:lang w:val="fr-FR" w:eastAsia="en-US"/>
        </w:rPr>
      </w:pPr>
      <w:r w:rsidRPr="00CA3533">
        <w:rPr>
          <w:rFonts w:eastAsiaTheme="minorHAnsi"/>
          <w:i/>
          <w:iCs/>
          <w:lang w:val="fr-FR" w:eastAsia="en-US"/>
        </w:rPr>
        <w:t>Température de transition vitreuse (</w:t>
      </w:r>
      <w:r w:rsidR="00E84C1F" w:rsidRPr="00CA3533">
        <w:rPr>
          <w:rFonts w:eastAsiaTheme="minorHAnsi"/>
          <w:i/>
          <w:iCs/>
          <w:lang w:val="fr-FR" w:eastAsia="en-US"/>
        </w:rPr>
        <w:t>T</w:t>
      </w:r>
      <w:r w:rsidR="00E84C1F" w:rsidRPr="00E84C1F">
        <w:rPr>
          <w:rFonts w:eastAsiaTheme="minorHAnsi"/>
          <w:i/>
          <w:iCs/>
          <w:vertAlign w:val="subscript"/>
          <w:lang w:val="fr-FR" w:eastAsia="en-US"/>
        </w:rPr>
        <w:t>g</w:t>
      </w:r>
      <w:r w:rsidRPr="00CA3533">
        <w:rPr>
          <w:rFonts w:eastAsiaTheme="minorHAnsi"/>
          <w:i/>
          <w:iCs/>
          <w:lang w:val="fr-FR" w:eastAsia="en-US"/>
        </w:rPr>
        <w:t>)</w:t>
      </w:r>
      <w:r w:rsidRPr="00CA3533">
        <w:rPr>
          <w:rFonts w:eastAsiaTheme="minorHAnsi"/>
          <w:lang w:val="fr-FR" w:eastAsia="en-US"/>
        </w:rPr>
        <w:t>,</w:t>
      </w:r>
      <w:r w:rsidRPr="00CA3533">
        <w:rPr>
          <w:rFonts w:eastAsiaTheme="minorHAnsi"/>
          <w:i/>
          <w:iCs/>
          <w:lang w:val="fr-FR" w:eastAsia="en-US"/>
        </w:rPr>
        <w:t xml:space="preserve"> </w:t>
      </w:r>
      <w:r w:rsidRPr="00CA3533">
        <w:rPr>
          <w:rFonts w:eastAsiaTheme="minorHAnsi"/>
          <w:lang w:val="fr-FR" w:eastAsia="en-US"/>
        </w:rPr>
        <w:t>une</w:t>
      </w:r>
      <w:r w:rsidRPr="00CA3533">
        <w:rPr>
          <w:rFonts w:eastAsiaTheme="minorHAnsi"/>
          <w:i/>
          <w:iCs/>
          <w:lang w:val="fr-FR" w:eastAsia="en-US"/>
        </w:rPr>
        <w:t xml:space="preserve"> </w:t>
      </w:r>
      <w:r w:rsidRPr="00CA3533">
        <w:rPr>
          <w:rFonts w:eastAsiaTheme="minorHAnsi"/>
          <w:lang w:val="fr-FR" w:eastAsia="en-US"/>
        </w:rPr>
        <w:t>valeur caractéristique de la plage de température dans laquelle la transition vitreuse se produit ;</w:t>
      </w:r>
    </w:p>
    <w:p w14:paraId="3029EB62"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i/>
          <w:iCs/>
          <w:lang w:val="fr-FR" w:eastAsia="en-US"/>
        </w:rPr>
        <w:t>Moulage au contact</w:t>
      </w:r>
      <w:r w:rsidRPr="00CA3533">
        <w:rPr>
          <w:rFonts w:eastAsiaTheme="minorHAnsi"/>
          <w:lang w:val="fr-FR" w:eastAsia="en-US"/>
        </w:rPr>
        <w:t>,</w:t>
      </w:r>
      <w:r w:rsidRPr="00CA3533">
        <w:rPr>
          <w:rFonts w:eastAsiaTheme="minorHAnsi"/>
          <w:i/>
          <w:iCs/>
          <w:lang w:val="fr-FR" w:eastAsia="en-US"/>
        </w:rPr>
        <w:t xml:space="preserve"> </w:t>
      </w:r>
      <w:r w:rsidRPr="00CA3533">
        <w:rPr>
          <w:rFonts w:eastAsiaTheme="minorHAnsi"/>
          <w:lang w:val="fr-FR" w:eastAsia="en-US"/>
        </w:rPr>
        <w:t>un procédé de moulage des matières plastiques renforcées dans lequel le renfort et la résine sont placés manuellement sur un moule ;</w:t>
      </w:r>
    </w:p>
    <w:p w14:paraId="5337CB38" w14:textId="77777777" w:rsidR="00CA3533" w:rsidRPr="00CA3533" w:rsidRDefault="00CA3533" w:rsidP="00CA3533">
      <w:pPr>
        <w:keepNext/>
        <w:tabs>
          <w:tab w:val="left" w:pos="4228"/>
        </w:tabs>
        <w:spacing w:after="120"/>
        <w:ind w:left="2268" w:right="1134" w:hanging="1134"/>
        <w:jc w:val="both"/>
        <w:rPr>
          <w:rFonts w:eastAsiaTheme="minorHAnsi"/>
          <w:i/>
          <w:iCs/>
          <w:lang w:val="fr-FR" w:eastAsia="en-US"/>
        </w:rPr>
      </w:pPr>
      <w:r w:rsidRPr="00CA3533">
        <w:rPr>
          <w:rFonts w:eastAsiaTheme="minorHAnsi"/>
          <w:i/>
          <w:iCs/>
          <w:lang w:val="fr-FR" w:eastAsia="en-US"/>
        </w:rPr>
        <w:t>Revêtement</w:t>
      </w:r>
      <w:r w:rsidRPr="00CA3533">
        <w:rPr>
          <w:rFonts w:eastAsiaTheme="minorHAnsi"/>
          <w:lang w:val="fr-FR" w:eastAsia="en-US"/>
        </w:rPr>
        <w:t>,</w:t>
      </w:r>
      <w:r w:rsidRPr="00CA3533">
        <w:rPr>
          <w:rFonts w:eastAsiaTheme="minorHAnsi"/>
          <w:i/>
          <w:iCs/>
          <w:lang w:val="fr-FR" w:eastAsia="en-US"/>
        </w:rPr>
        <w:t xml:space="preserve"> </w:t>
      </w:r>
      <w:r w:rsidRPr="00CA3533">
        <w:rPr>
          <w:rFonts w:eastAsiaTheme="minorHAnsi"/>
          <w:lang w:val="fr-FR" w:eastAsia="en-US"/>
        </w:rPr>
        <w:t>une couche de la surface intérieure d’un réservoir en PRF de manière à éviter tout contact entre les marchandises dangereuses transportées et la couche structurale ;</w:t>
      </w:r>
    </w:p>
    <w:p w14:paraId="1E7BFB29"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i/>
          <w:iCs/>
          <w:lang w:val="fr-FR" w:eastAsia="en-US"/>
        </w:rPr>
        <w:t>Mat</w:t>
      </w:r>
      <w:r w:rsidRPr="00CA3533">
        <w:rPr>
          <w:rFonts w:eastAsiaTheme="minorHAnsi"/>
          <w:lang w:val="fr-FR" w:eastAsia="en-US"/>
        </w:rPr>
        <w:t>, un renfort constitué de fibres disposées de manière aléatoire, hachées ou torsadées, assemblées en feuilles de longueur et d’épaisseur variables ;</w:t>
      </w:r>
    </w:p>
    <w:p w14:paraId="155F293E"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i/>
          <w:iCs/>
          <w:lang w:val="fr-FR" w:eastAsia="en-US"/>
        </w:rPr>
        <w:t>Echantillon témoin de réservoir</w:t>
      </w:r>
      <w:r w:rsidRPr="00CA3533">
        <w:rPr>
          <w:rFonts w:eastAsiaTheme="minorHAnsi"/>
          <w:lang w:val="fr-FR" w:eastAsia="en-US"/>
        </w:rPr>
        <w:t>, un spécimen en PRF qui doit être représentatif du réservoir, fabriqué parallèlement à la construction du réservoir lorsqu’il n’est pas possible de prélever des échantillons directement sur le réservoir. L’échantillon témoin de réservoir peut être plat ou incurvé ;</w:t>
      </w:r>
    </w:p>
    <w:p w14:paraId="7EBDDEBA"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i/>
          <w:iCs/>
          <w:lang w:val="fr-FR" w:eastAsia="en-US"/>
        </w:rPr>
        <w:t>Echantillon représentatif</w:t>
      </w:r>
      <w:r w:rsidRPr="00CA3533">
        <w:rPr>
          <w:rFonts w:eastAsiaTheme="minorHAnsi"/>
          <w:lang w:val="fr-FR" w:eastAsia="en-US"/>
        </w:rPr>
        <w:t>,</w:t>
      </w:r>
      <w:r w:rsidRPr="00CA3533">
        <w:rPr>
          <w:rFonts w:eastAsiaTheme="minorHAnsi"/>
          <w:i/>
          <w:iCs/>
          <w:lang w:val="fr-FR" w:eastAsia="en-US"/>
        </w:rPr>
        <w:t xml:space="preserve"> </w:t>
      </w:r>
      <w:r w:rsidRPr="00CA3533">
        <w:rPr>
          <w:rFonts w:eastAsiaTheme="minorHAnsi"/>
          <w:lang w:val="fr-FR" w:eastAsia="en-US"/>
        </w:rPr>
        <w:t>un échantillon prélevé sur le réservoir ;</w:t>
      </w:r>
    </w:p>
    <w:p w14:paraId="5516700B" w14:textId="77777777" w:rsidR="00CA3533" w:rsidRPr="00CA3533" w:rsidRDefault="00CA3533" w:rsidP="00CA3533">
      <w:pPr>
        <w:keepNext/>
        <w:tabs>
          <w:tab w:val="left" w:pos="4228"/>
        </w:tabs>
        <w:spacing w:after="120"/>
        <w:ind w:left="2268" w:right="1134" w:hanging="1134"/>
        <w:jc w:val="both"/>
        <w:rPr>
          <w:rFonts w:eastAsiaTheme="minorHAnsi"/>
          <w:i/>
          <w:iCs/>
          <w:lang w:val="fr-FR" w:eastAsia="en-US"/>
        </w:rPr>
      </w:pPr>
      <w:r w:rsidRPr="00CA3533">
        <w:rPr>
          <w:rFonts w:eastAsiaTheme="minorHAnsi"/>
          <w:i/>
          <w:iCs/>
          <w:lang w:val="fr-FR" w:eastAsia="en-US"/>
        </w:rPr>
        <w:t>Infusion de résine</w:t>
      </w:r>
      <w:r w:rsidRPr="00CA3533">
        <w:rPr>
          <w:rFonts w:eastAsiaTheme="minorHAnsi"/>
          <w:lang w:val="fr-FR" w:eastAsia="en-US"/>
        </w:rPr>
        <w:t>, une méthode de construction de PRF dans laquelle un renfort sec est placé dans un moule en deux parties, dans un moule ouvert associé à une bâche à vide, ou selon un autre procédé, et la résine liquide est injectée dans la pièce par application d’une pression externe à l’entrée du moule ou par application d’un vide total ou partiel à l’évent ;</w:t>
      </w:r>
    </w:p>
    <w:p w14:paraId="58D5342E"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i/>
          <w:iCs/>
          <w:lang w:val="fr-FR" w:eastAsia="en-US"/>
        </w:rPr>
        <w:t>Couches structurales</w:t>
      </w:r>
      <w:r w:rsidRPr="00CA3533">
        <w:rPr>
          <w:rFonts w:eastAsiaTheme="minorHAnsi"/>
          <w:lang w:val="fr-FR" w:eastAsia="en-US"/>
        </w:rPr>
        <w:t>, les</w:t>
      </w:r>
      <w:r w:rsidRPr="00CA3533">
        <w:rPr>
          <w:rFonts w:eastAsiaTheme="minorHAnsi"/>
          <w:i/>
          <w:iCs/>
          <w:lang w:val="fr-FR" w:eastAsia="en-US"/>
        </w:rPr>
        <w:t xml:space="preserve"> </w:t>
      </w:r>
      <w:r w:rsidRPr="00CA3533">
        <w:rPr>
          <w:rFonts w:eastAsiaTheme="minorHAnsi"/>
          <w:lang w:val="fr-FR" w:eastAsia="en-US"/>
        </w:rPr>
        <w:t>couches en PRF d’un réservoir de citerne requises pour supporter les charges de conception ;</w:t>
      </w:r>
    </w:p>
    <w:p w14:paraId="063FAEEB"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i/>
          <w:iCs/>
          <w:lang w:val="fr-FR" w:eastAsia="en-US"/>
        </w:rPr>
        <w:t>Voile</w:t>
      </w:r>
      <w:r w:rsidRPr="00CA3533">
        <w:rPr>
          <w:rFonts w:eastAsiaTheme="minorHAnsi"/>
          <w:lang w:val="fr-FR" w:eastAsia="en-US"/>
        </w:rPr>
        <w:t>,</w:t>
      </w:r>
      <w:r w:rsidRPr="00CA3533">
        <w:rPr>
          <w:rFonts w:eastAsiaTheme="minorHAnsi"/>
          <w:i/>
          <w:iCs/>
          <w:lang w:val="fr-FR" w:eastAsia="en-US"/>
        </w:rPr>
        <w:t xml:space="preserve"> </w:t>
      </w:r>
      <w:r w:rsidRPr="00CA3533">
        <w:rPr>
          <w:rFonts w:eastAsiaTheme="minorHAnsi"/>
          <w:lang w:val="fr-FR" w:eastAsia="en-US"/>
        </w:rPr>
        <w:t>un mat fin à haut pouvoir absorbant, utilisé dans les plis des produits en PRF nécessitant un excédent de matrice polymérique (uniformité de la surface, résistance aux produits chimiques, étanchéité, etc.).</w:t>
      </w:r>
    </w:p>
    <w:p w14:paraId="5426178E" w14:textId="77777777" w:rsidR="00CA3533" w:rsidRPr="00CA3533" w:rsidRDefault="00CA3533" w:rsidP="00CA3533">
      <w:pPr>
        <w:keepNext/>
        <w:tabs>
          <w:tab w:val="left" w:pos="4228"/>
        </w:tabs>
        <w:spacing w:after="120"/>
        <w:ind w:left="2268" w:right="1134" w:hanging="1134"/>
        <w:jc w:val="both"/>
        <w:rPr>
          <w:rFonts w:eastAsiaTheme="minorHAnsi"/>
          <w:b/>
          <w:i/>
          <w:iCs/>
          <w:lang w:val="fr-FR" w:eastAsia="ru-RU"/>
        </w:rPr>
      </w:pPr>
      <w:r w:rsidRPr="00CA3533">
        <w:rPr>
          <w:rFonts w:eastAsiaTheme="minorHAnsi"/>
          <w:b/>
          <w:iCs/>
          <w:lang w:val="fr-FR" w:eastAsia="ru-RU"/>
        </w:rPr>
        <w:t>6.9.2.2</w:t>
      </w:r>
      <w:r w:rsidRPr="00CA3533">
        <w:rPr>
          <w:rFonts w:eastAsiaTheme="minorHAnsi"/>
          <w:b/>
          <w:iCs/>
          <w:lang w:val="fr-FR" w:eastAsia="ru-RU"/>
        </w:rPr>
        <w:tab/>
      </w:r>
      <w:r w:rsidRPr="00CA3533">
        <w:rPr>
          <w:rFonts w:eastAsiaTheme="minorHAnsi"/>
          <w:b/>
          <w:i/>
          <w:iCs/>
          <w:lang w:val="fr-FR" w:eastAsia="ru-RU"/>
        </w:rPr>
        <w:tab/>
        <w:t>Prescriptions générales concernant la conception et la construction</w:t>
      </w:r>
    </w:p>
    <w:p w14:paraId="5462868A"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ru-RU"/>
        </w:rPr>
        <w:t>6.9.2.2.1</w:t>
      </w:r>
      <w:r w:rsidRPr="00CA3533">
        <w:rPr>
          <w:rFonts w:eastAsiaTheme="minorHAnsi"/>
          <w:b/>
          <w:bCs/>
          <w:lang w:val="fr-FR" w:eastAsia="ru-RU"/>
        </w:rPr>
        <w:tab/>
      </w:r>
      <w:r w:rsidRPr="00CA3533">
        <w:rPr>
          <w:rFonts w:eastAsiaTheme="minorHAnsi"/>
          <w:lang w:val="fr-FR" w:eastAsia="en-US"/>
        </w:rPr>
        <w:t>Les prescriptions des 6.7.1 et 6.7.2.2 s’appliquent aux citernes mobiles en PRF. Les prescriptions suivantes du chapitre 6.7 ne s’appliquent pas aux parties du réservoir qui sont fabriquées en PRF : 6.7.2.2.1, 6.7.2.2.9.1, 6.7.2.2.13 et 6.7.2.2.14. Les réservoirs doivent être conçus et construits conformément aux dispositions d’un code pour appareils à pression, applicable aux PRF, reconnu par l’autorité compétente.</w:t>
      </w:r>
    </w:p>
    <w:p w14:paraId="62D041CF" w14:textId="77777777"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bCs/>
          <w:lang w:val="fr-FR" w:eastAsia="en-US"/>
        </w:rPr>
        <w:tab/>
        <w:t>En outre, les prescriptions ci-après s’appliquent.</w:t>
      </w:r>
    </w:p>
    <w:p w14:paraId="6A798EB1" w14:textId="77777777" w:rsidR="00CA3533" w:rsidRPr="00CA3533" w:rsidRDefault="00CA3533" w:rsidP="00CA3533">
      <w:pPr>
        <w:keepNext/>
        <w:tabs>
          <w:tab w:val="left" w:pos="4228"/>
        </w:tabs>
        <w:spacing w:after="120"/>
        <w:ind w:left="2268" w:right="1134" w:hanging="1134"/>
        <w:jc w:val="both"/>
        <w:rPr>
          <w:rFonts w:eastAsiaTheme="minorHAnsi"/>
          <w:i/>
          <w:iCs/>
          <w:lang w:val="fr-FR" w:eastAsia="ru-RU"/>
        </w:rPr>
      </w:pPr>
      <w:r w:rsidRPr="00CA3533">
        <w:rPr>
          <w:rFonts w:eastAsiaTheme="minorHAnsi"/>
          <w:lang w:val="fr-FR" w:eastAsia="ru-RU"/>
        </w:rPr>
        <w:t>6.9.2.2.2</w:t>
      </w:r>
      <w:r w:rsidRPr="00CA3533">
        <w:rPr>
          <w:rFonts w:eastAsiaTheme="minorHAnsi"/>
          <w:lang w:val="fr-FR" w:eastAsia="ru-RU"/>
        </w:rPr>
        <w:tab/>
      </w:r>
      <w:r w:rsidRPr="00CA3533">
        <w:rPr>
          <w:rFonts w:eastAsiaTheme="minorHAnsi"/>
          <w:i/>
          <w:iCs/>
          <w:lang w:val="fr-FR" w:eastAsia="ru-RU"/>
        </w:rPr>
        <w:t>Système qualité du constructeur</w:t>
      </w:r>
    </w:p>
    <w:p w14:paraId="54641D1A" w14:textId="77777777" w:rsidR="00CA3533" w:rsidRPr="00CA3533" w:rsidRDefault="00CA3533" w:rsidP="00CA3533">
      <w:pPr>
        <w:keepNext/>
        <w:tabs>
          <w:tab w:val="left" w:pos="4228"/>
        </w:tabs>
        <w:spacing w:after="120"/>
        <w:ind w:left="2268" w:right="1134" w:hanging="1134"/>
        <w:jc w:val="both"/>
        <w:rPr>
          <w:rFonts w:eastAsiaTheme="minorHAnsi"/>
          <w:bCs/>
          <w:lang w:val="fr-FR" w:eastAsia="ru-RU"/>
        </w:rPr>
      </w:pPr>
      <w:r w:rsidRPr="00CA3533">
        <w:rPr>
          <w:rFonts w:eastAsiaTheme="minorHAnsi"/>
          <w:bCs/>
          <w:lang w:val="fr-FR" w:eastAsia="ru-RU"/>
        </w:rPr>
        <w:t>6.9.2.2.2.1</w:t>
      </w:r>
      <w:r w:rsidRPr="00CA3533">
        <w:rPr>
          <w:rFonts w:eastAsiaTheme="minorHAnsi"/>
          <w:b/>
          <w:bCs/>
          <w:lang w:val="fr-FR" w:eastAsia="ru-RU"/>
        </w:rPr>
        <w:tab/>
      </w:r>
      <w:r w:rsidRPr="00CA3533">
        <w:rPr>
          <w:rFonts w:eastAsiaTheme="minorHAnsi"/>
          <w:bCs/>
          <w:lang w:val="fr-FR" w:eastAsia="ru-RU"/>
        </w:rPr>
        <w:t>Le système qualité doit intégrer tous les éléments, les prescriptions et les dispositions adoptés par le constructeur. Il doit être documenté, de façon systématique et ordonnée, sous la forme de décisions, de procédures et d’instructions écrites.</w:t>
      </w:r>
    </w:p>
    <w:p w14:paraId="1FBD5181"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bCs/>
          <w:lang w:val="fr-FR" w:eastAsia="ru-RU"/>
        </w:rPr>
        <w:t>6.9.2.2.2.2</w:t>
      </w:r>
      <w:r w:rsidRPr="00CA3533">
        <w:rPr>
          <w:rFonts w:eastAsiaTheme="minorHAnsi"/>
          <w:lang w:val="fr-FR" w:eastAsia="ru-RU"/>
        </w:rPr>
        <w:tab/>
      </w:r>
      <w:r w:rsidRPr="00CA3533">
        <w:rPr>
          <w:rFonts w:eastAsiaTheme="minorHAnsi"/>
          <w:bCs/>
          <w:lang w:val="fr-FR" w:eastAsia="ru-RU"/>
        </w:rPr>
        <w:t>Le système qualité</w:t>
      </w:r>
      <w:r w:rsidRPr="00CA3533">
        <w:rPr>
          <w:rFonts w:eastAsiaTheme="minorHAnsi"/>
          <w:lang w:val="fr-FR" w:eastAsia="ru-RU"/>
        </w:rPr>
        <w:t xml:space="preserve"> doit notamment comprendre des descriptions adéquates des éléments suivants :</w:t>
      </w:r>
    </w:p>
    <w:p w14:paraId="3CEC7A49"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a)</w:t>
      </w:r>
      <w:r w:rsidRPr="00CA3533">
        <w:rPr>
          <w:rFonts w:eastAsiaTheme="minorHAnsi"/>
          <w:lang w:val="fr-FR" w:eastAsia="ru-RU"/>
        </w:rPr>
        <w:tab/>
        <w:t>structure organisationnelle et responsabilités du personnel en ce qui concerne la conception et la qualité des produits ;</w:t>
      </w:r>
    </w:p>
    <w:p w14:paraId="571C13BE"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lastRenderedPageBreak/>
        <w:t>b)</w:t>
      </w:r>
      <w:r w:rsidRPr="00CA3533">
        <w:rPr>
          <w:rFonts w:eastAsiaTheme="minorHAnsi"/>
          <w:lang w:val="fr-FR" w:eastAsia="ru-RU"/>
        </w:rPr>
        <w:tab/>
        <w:t>techniques et procédés de contrôle et de vérification de la conception et procédures à suivre dans la conception des citernes mobiles ;</w:t>
      </w:r>
    </w:p>
    <w:p w14:paraId="6B2E35F7"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c)</w:t>
      </w:r>
      <w:r w:rsidRPr="00CA3533">
        <w:rPr>
          <w:rFonts w:eastAsiaTheme="minorHAnsi"/>
          <w:lang w:val="fr-FR" w:eastAsia="ru-RU"/>
        </w:rPr>
        <w:tab/>
        <w:t>instructions qui seront utilisées pour la construction, le contrôle de qualité, l’assurance de qualité et le déroulement des opérations ;</w:t>
      </w:r>
    </w:p>
    <w:p w14:paraId="66D92BAE"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d)</w:t>
      </w:r>
      <w:r w:rsidRPr="00CA3533">
        <w:rPr>
          <w:rFonts w:eastAsiaTheme="minorHAnsi"/>
          <w:lang w:val="fr-FR" w:eastAsia="ru-RU"/>
        </w:rPr>
        <w:tab/>
        <w:t>relevés d’évaluation de la qualité, tels que rapports de contrôle, données d’épreuve et données d’étalonnage ;</w:t>
      </w:r>
    </w:p>
    <w:p w14:paraId="346DA23B"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e)</w:t>
      </w:r>
      <w:r w:rsidRPr="00CA3533">
        <w:rPr>
          <w:rFonts w:eastAsiaTheme="minorHAnsi"/>
          <w:lang w:val="fr-FR" w:eastAsia="ru-RU"/>
        </w:rPr>
        <w:tab/>
        <w:t>vérification par la direction de l’efficacité du système qualité au moyen des vérifications définies au 6.9.2.2.2.4 ;</w:t>
      </w:r>
    </w:p>
    <w:p w14:paraId="6CF57A1D"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f)</w:t>
      </w:r>
      <w:r w:rsidRPr="00CA3533">
        <w:rPr>
          <w:rFonts w:eastAsiaTheme="minorHAnsi"/>
          <w:lang w:val="fr-FR" w:eastAsia="ru-RU"/>
        </w:rPr>
        <w:tab/>
        <w:t>procédure décrivant la façon dont sont satisfaites les exigences des clients ;</w:t>
      </w:r>
    </w:p>
    <w:p w14:paraId="205A8BB8"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g)</w:t>
      </w:r>
      <w:r w:rsidRPr="00CA3533">
        <w:rPr>
          <w:rFonts w:eastAsiaTheme="minorHAnsi"/>
          <w:lang w:val="fr-FR" w:eastAsia="ru-RU"/>
        </w:rPr>
        <w:tab/>
        <w:t>procédure de contrôle des documents et de leur révision ;</w:t>
      </w:r>
    </w:p>
    <w:p w14:paraId="4CAEDBF3"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h)</w:t>
      </w:r>
      <w:r w:rsidRPr="00CA3533">
        <w:rPr>
          <w:rFonts w:eastAsiaTheme="minorHAnsi"/>
          <w:lang w:val="fr-FR" w:eastAsia="ru-RU"/>
        </w:rPr>
        <w:tab/>
        <w:t xml:space="preserve">moyens de contrôle des citernes mobiles non conformes, des éléments achetés, des matériaux en cours de production et des matériaux finals ; </w:t>
      </w:r>
    </w:p>
    <w:p w14:paraId="6B38C567"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i)</w:t>
      </w:r>
      <w:r w:rsidRPr="00CA3533">
        <w:rPr>
          <w:rFonts w:eastAsiaTheme="minorHAnsi"/>
          <w:lang w:val="fr-FR" w:eastAsia="ru-RU"/>
        </w:rPr>
        <w:tab/>
        <w:t>programmes de formation et procédures de qualification destinés au personnel.</w:t>
      </w:r>
    </w:p>
    <w:p w14:paraId="7BF9EF3C"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bCs/>
          <w:lang w:val="fr-FR" w:eastAsia="ru-RU"/>
        </w:rPr>
        <w:t>6.9.2.2.2.3</w:t>
      </w:r>
      <w:r w:rsidRPr="00CA3533">
        <w:rPr>
          <w:rFonts w:eastAsiaTheme="minorHAnsi"/>
          <w:lang w:val="fr-FR" w:eastAsia="ru-RU"/>
        </w:rPr>
        <w:tab/>
        <w:t>Dans le cadre du système de gestion de la qualité, les prescriptions minimales suivantes doivent être respectées pour chaque citerne mobile en PRF fabriquée :</w:t>
      </w:r>
    </w:p>
    <w:p w14:paraId="3E5BC383"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a)</w:t>
      </w:r>
      <w:r w:rsidRPr="00CA3533">
        <w:rPr>
          <w:rFonts w:eastAsiaTheme="minorHAnsi"/>
          <w:lang w:val="fr-FR" w:eastAsia="ru-RU"/>
        </w:rPr>
        <w:tab/>
        <w:t>Application d’un plan de contrôle et d’épreuve ;</w:t>
      </w:r>
    </w:p>
    <w:p w14:paraId="61685606"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b)</w:t>
      </w:r>
      <w:r w:rsidRPr="00CA3533">
        <w:rPr>
          <w:rFonts w:eastAsiaTheme="minorHAnsi"/>
          <w:lang w:val="fr-FR" w:eastAsia="ru-RU"/>
        </w:rPr>
        <w:tab/>
        <w:t>Contrôles visuels ;</w:t>
      </w:r>
    </w:p>
    <w:p w14:paraId="7AB9116C"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c)</w:t>
      </w:r>
      <w:r w:rsidRPr="00CA3533">
        <w:rPr>
          <w:rFonts w:eastAsiaTheme="minorHAnsi"/>
          <w:lang w:val="fr-FR" w:eastAsia="ru-RU"/>
        </w:rPr>
        <w:tab/>
        <w:t>Vérification de l’orientation des fibres et de la fraction massique au moyen d’un processus de contrôle documenté ;</w:t>
      </w:r>
    </w:p>
    <w:p w14:paraId="28DE55FF"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d)</w:t>
      </w:r>
      <w:r w:rsidRPr="00CA3533">
        <w:rPr>
          <w:rFonts w:eastAsiaTheme="minorHAnsi"/>
          <w:lang w:val="fr-FR" w:eastAsia="ru-RU"/>
        </w:rPr>
        <w:tab/>
        <w:t>Vérification de la qualité et des caractéristiques des fibres et de la résine, attestées par des certificats ou autres documents ;</w:t>
      </w:r>
    </w:p>
    <w:p w14:paraId="7495D18E"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e)</w:t>
      </w:r>
      <w:r w:rsidRPr="00CA3533">
        <w:rPr>
          <w:rFonts w:eastAsiaTheme="minorHAnsi"/>
          <w:lang w:val="fr-FR" w:eastAsia="ru-RU"/>
        </w:rPr>
        <w:tab/>
        <w:t>Vérification de la qualité et des caractéristiques du revêtement, attestées par des certificats ou autres documents ;</w:t>
      </w:r>
    </w:p>
    <w:p w14:paraId="32951E16"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f)</w:t>
      </w:r>
      <w:r w:rsidRPr="00CA3533">
        <w:rPr>
          <w:rFonts w:eastAsiaTheme="minorHAnsi"/>
          <w:lang w:val="fr-FR" w:eastAsia="ru-RU"/>
        </w:rPr>
        <w:tab/>
        <w:t xml:space="preserve">Vérification, selon le cas, des caractéristiques de la résine thermoplastique formée ou du degré de durcissement de la résine thermodurcissable, par des moyens directs ou indirects (par exemple, test de </w:t>
      </w:r>
      <w:proofErr w:type="spellStart"/>
      <w:r w:rsidRPr="00CA3533">
        <w:rPr>
          <w:rFonts w:eastAsiaTheme="minorHAnsi"/>
          <w:lang w:val="fr-FR" w:eastAsia="ru-RU"/>
        </w:rPr>
        <w:t>Barcol</w:t>
      </w:r>
      <w:proofErr w:type="spellEnd"/>
      <w:r w:rsidRPr="00CA3533">
        <w:rPr>
          <w:rFonts w:eastAsiaTheme="minorHAnsi"/>
          <w:lang w:val="fr-FR" w:eastAsia="ru-RU"/>
        </w:rPr>
        <w:t xml:space="preserve"> ou analyse calorimétrique différentielle) à déterminer conformément au 6.9.2.7.1.2 h), ou par un essai de fluage d’un échantillon représentatif ou d’un échantillon témoin de réservoir conformément au point 6.9.2.7.1.2 e) pendant une période de 100 heures ;</w:t>
      </w:r>
    </w:p>
    <w:p w14:paraId="1DB0023E"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g)</w:t>
      </w:r>
      <w:r w:rsidRPr="00CA3533">
        <w:rPr>
          <w:rFonts w:eastAsiaTheme="minorHAnsi"/>
          <w:lang w:val="fr-FR" w:eastAsia="ru-RU"/>
        </w:rPr>
        <w:tab/>
        <w:t>Établissement de documents relatifs,</w:t>
      </w:r>
      <w:r w:rsidRPr="00CA3533">
        <w:rPr>
          <w:rFonts w:eastAsiaTheme="minorHAnsi"/>
          <w:lang w:val="fr-FR" w:eastAsia="en-US"/>
        </w:rPr>
        <w:t xml:space="preserve"> </w:t>
      </w:r>
      <w:r w:rsidRPr="00CA3533">
        <w:rPr>
          <w:rFonts w:eastAsiaTheme="minorHAnsi"/>
          <w:lang w:val="fr-FR" w:eastAsia="ru-RU"/>
        </w:rPr>
        <w:t>selon le cas, aux procédés de formage de la résine thermoplastique ou de durcissement et de post-durcissement de la résine thermodurcissable ;</w:t>
      </w:r>
    </w:p>
    <w:p w14:paraId="0452CC9C"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h)</w:t>
      </w:r>
      <w:r w:rsidRPr="00CA3533">
        <w:rPr>
          <w:rFonts w:eastAsiaTheme="minorHAnsi"/>
          <w:lang w:val="fr-FR" w:eastAsia="ru-RU"/>
        </w:rPr>
        <w:tab/>
        <w:t>Conservation et archivage, pendant une période de cinq ans, d’échantillons de réservoir (par exemple, par découpe d’un trou d’homme) pour de futures inspections et contrôles du réservoir.</w:t>
      </w:r>
    </w:p>
    <w:p w14:paraId="7780261B"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6.9.2.2.2.4</w:t>
      </w:r>
      <w:r w:rsidRPr="00CA3533">
        <w:rPr>
          <w:rFonts w:eastAsiaTheme="minorHAnsi"/>
          <w:lang w:val="fr-FR" w:eastAsia="ru-RU"/>
        </w:rPr>
        <w:tab/>
        <w:t>Vérification du système qualité</w:t>
      </w:r>
    </w:p>
    <w:p w14:paraId="0A42C4CF"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ab/>
        <w:t>Le système qualité doit être évalué initialement pour s’assurer qu’il est conforme aux prescriptions des 6.9.2.2.2.1 à 6.9.2.2.2.3 à la satisfaction de l’autorité compétente.</w:t>
      </w:r>
    </w:p>
    <w:p w14:paraId="3E84FB5C"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ab/>
        <w:t>Le constructeur doit être informé des résultats de la vérification. La notification doit contenir les conclusions de la vérification et toutes les actions correctives requises.</w:t>
      </w:r>
    </w:p>
    <w:p w14:paraId="0EABE12D"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ab/>
        <w:t xml:space="preserve">Des vérifications périodiques doivent être effectuées, à la satisfaction de l’autorité compétente, pour s’assurer que le constructeur entretient et applique </w:t>
      </w:r>
      <w:r w:rsidRPr="00CA3533">
        <w:rPr>
          <w:rFonts w:eastAsiaTheme="minorHAnsi"/>
          <w:lang w:val="fr-FR" w:eastAsia="ru-RU"/>
        </w:rPr>
        <w:lastRenderedPageBreak/>
        <w:t>le système qualité. Les rapports des vérifications périodiques doivent être communiqués au constructeur.</w:t>
      </w:r>
    </w:p>
    <w:p w14:paraId="72EA2C46"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6.9.2.2.2.5</w:t>
      </w:r>
      <w:r w:rsidRPr="00CA3533">
        <w:rPr>
          <w:rFonts w:eastAsiaTheme="minorHAnsi"/>
          <w:lang w:val="fr-FR" w:eastAsia="ru-RU"/>
        </w:rPr>
        <w:tab/>
        <w:t>Entretien du système qualité</w:t>
      </w:r>
    </w:p>
    <w:p w14:paraId="1CB16AB9"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ab/>
        <w:t>Le constructeur doit entretenir le système qualité tel qu’agréé de façon à le maintenir dans un état satisfaisant et efficace.</w:t>
      </w:r>
    </w:p>
    <w:p w14:paraId="5D580742"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ab/>
        <w:t>Le constructeur doit signaler à l’autorité compétente ayant agréé le système qualité tout projet de modification du système. Les projets de modification doivent être évalués pour savoir si le système, une fois modifié, sera toujours conforme aux prescriptions des 6.9.2.2.2.1 à 6.9.2.2.2.3.</w:t>
      </w:r>
    </w:p>
    <w:p w14:paraId="151B56D5" w14:textId="77777777" w:rsidR="00CA3533" w:rsidRPr="00CA3533" w:rsidRDefault="00CA3533" w:rsidP="00CA3533">
      <w:pPr>
        <w:keepNext/>
        <w:tabs>
          <w:tab w:val="left" w:pos="4228"/>
        </w:tabs>
        <w:spacing w:after="120"/>
        <w:ind w:left="2268" w:right="1134" w:hanging="1134"/>
        <w:jc w:val="both"/>
        <w:rPr>
          <w:rFonts w:eastAsiaTheme="minorHAnsi"/>
          <w:bCs/>
          <w:i/>
          <w:iCs/>
          <w:lang w:val="fr-FR" w:eastAsia="ru-RU"/>
        </w:rPr>
      </w:pPr>
      <w:r w:rsidRPr="00CA3533">
        <w:rPr>
          <w:rFonts w:eastAsiaTheme="minorHAnsi"/>
          <w:bCs/>
          <w:lang w:val="fr-FR" w:eastAsia="ru-RU"/>
        </w:rPr>
        <w:t>6.9.2.2.3</w:t>
      </w:r>
      <w:r w:rsidRPr="00CA3533">
        <w:rPr>
          <w:rFonts w:eastAsiaTheme="minorHAnsi"/>
          <w:bCs/>
          <w:lang w:val="fr-FR" w:eastAsia="ru-RU"/>
        </w:rPr>
        <w:tab/>
      </w:r>
      <w:r w:rsidRPr="00CA3533">
        <w:rPr>
          <w:rFonts w:eastAsiaTheme="minorHAnsi"/>
          <w:bCs/>
          <w:i/>
          <w:iCs/>
          <w:lang w:val="fr-FR" w:eastAsia="ru-RU"/>
        </w:rPr>
        <w:t>Réservoirs en PRF</w:t>
      </w:r>
    </w:p>
    <w:p w14:paraId="54DED36A"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ru-RU"/>
        </w:rPr>
        <w:t>6.9.2.2.3.1</w:t>
      </w:r>
      <w:r w:rsidRPr="00CA3533">
        <w:rPr>
          <w:rFonts w:eastAsiaTheme="minorHAnsi"/>
          <w:lang w:val="fr-FR" w:eastAsia="ru-RU"/>
        </w:rPr>
        <w:tab/>
        <w:t xml:space="preserve">Les réservoirs en PRF doivent être raccordés de manière solide aux éléments structurels du cadre de la citerne mobile. Les supports de réservoir en PRF et les moyens de fixations au cadre ne doivent pas provoquer de concentrations de contraintes locales dépassant les valeurs admissibles de conception </w:t>
      </w:r>
      <w:r w:rsidRPr="00CA3533">
        <w:rPr>
          <w:rFonts w:eastAsiaTheme="minorHAnsi"/>
          <w:lang w:val="fr-FR" w:eastAsia="en-US"/>
        </w:rPr>
        <w:t>de la structure du réservoir, conformément aux dispositions énoncées dans le présent chapitre pour toutes les conditions de fonctionnement et d’épreuve.</w:t>
      </w:r>
    </w:p>
    <w:p w14:paraId="03615F88"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6.9.2.2.3.2</w:t>
      </w:r>
      <w:r w:rsidRPr="00CA3533">
        <w:rPr>
          <w:rFonts w:eastAsiaTheme="minorHAnsi"/>
          <w:lang w:val="fr-FR" w:eastAsia="en-US"/>
        </w:rPr>
        <w:tab/>
        <w:t>Les réservoirs doivent être faits de matériaux appropriés, capables de résister à des températures de calcul comprises entre -40 °С et +50 °С, à moins que d’autres gammes de température ne soient prescrites par l’autorité compétente du pays où s’effectue le transport pour des conditions climatiques ou de fonctionnement plus extrêmes</w:t>
      </w:r>
      <w:r w:rsidRPr="00CA3533" w:rsidDel="003E7C43">
        <w:rPr>
          <w:rFonts w:eastAsiaTheme="minorHAnsi"/>
          <w:lang w:val="fr-FR" w:eastAsia="en-US"/>
        </w:rPr>
        <w:t xml:space="preserve"> </w:t>
      </w:r>
      <w:r w:rsidRPr="00CA3533">
        <w:rPr>
          <w:rFonts w:eastAsiaTheme="minorHAnsi"/>
          <w:lang w:val="fr-FR" w:eastAsia="en-US"/>
        </w:rPr>
        <w:t>(par exemple, présence d’éléments chauffants).</w:t>
      </w:r>
    </w:p>
    <w:p w14:paraId="499A8599" w14:textId="77777777" w:rsidR="00CA3533" w:rsidRPr="00CA3533" w:rsidRDefault="00CA3533" w:rsidP="00CA3533">
      <w:pPr>
        <w:keepNext/>
        <w:tabs>
          <w:tab w:val="left" w:pos="4228"/>
        </w:tabs>
        <w:spacing w:after="120"/>
        <w:ind w:left="2268" w:right="1134" w:hanging="1134"/>
        <w:jc w:val="both"/>
        <w:rPr>
          <w:rFonts w:eastAsiaTheme="minorHAnsi"/>
          <w:b/>
          <w:bCs/>
          <w:lang w:val="fr-FR" w:eastAsia="en-US"/>
        </w:rPr>
      </w:pPr>
      <w:r w:rsidRPr="00CA3533">
        <w:rPr>
          <w:rFonts w:eastAsiaTheme="minorHAnsi"/>
          <w:bCs/>
          <w:lang w:val="fr-FR" w:eastAsia="en-US"/>
        </w:rPr>
        <w:t>6.9.2.2.3.3</w:t>
      </w:r>
      <w:r w:rsidRPr="00CA3533">
        <w:rPr>
          <w:rFonts w:eastAsiaTheme="minorHAnsi"/>
          <w:b/>
          <w:bCs/>
          <w:lang w:val="fr-FR" w:eastAsia="en-US"/>
        </w:rPr>
        <w:tab/>
      </w:r>
      <w:r w:rsidRPr="00CA3533">
        <w:rPr>
          <w:rFonts w:eastAsiaTheme="minorHAnsi"/>
          <w:lang w:val="fr-FR" w:eastAsia="en-US"/>
        </w:rPr>
        <w:t>Si un système de chauffage est installé, il doit être conforme aux 6.7.2.5.12 à 6.7.2.5.15 et répondre aux prescriptions suivantes :</w:t>
      </w:r>
      <w:r w:rsidRPr="00CA3533">
        <w:rPr>
          <w:rFonts w:eastAsiaTheme="minorHAnsi"/>
          <w:b/>
          <w:bCs/>
          <w:lang w:val="fr-FR" w:eastAsia="en-US"/>
        </w:rPr>
        <w:t xml:space="preserve"> </w:t>
      </w:r>
    </w:p>
    <w:p w14:paraId="48042A54"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 xml:space="preserve">a) </w:t>
      </w:r>
      <w:r w:rsidRPr="00CA3533">
        <w:rPr>
          <w:rFonts w:eastAsiaTheme="minorHAnsi"/>
          <w:lang w:val="fr-FR" w:eastAsia="en-US"/>
        </w:rPr>
        <w:tab/>
        <w:t xml:space="preserve">La température maximale de fonctionnement des éléments de chauffage intégrés ou reliés au réservoir ne doit pas dépasser la température de calcul maximale de la citerne ; </w:t>
      </w:r>
    </w:p>
    <w:p w14:paraId="62D8B9FF"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 xml:space="preserve">b) </w:t>
      </w:r>
      <w:r w:rsidRPr="00CA3533">
        <w:rPr>
          <w:rFonts w:eastAsiaTheme="minorHAnsi"/>
          <w:lang w:val="fr-FR" w:eastAsia="en-US"/>
        </w:rPr>
        <w:tab/>
        <w:t xml:space="preserve">Les éléments de chauffage doivent être conçus, contrôlés et utilisés de sorte que la température de la matière transportée ne puisse pas dépasser la température de calcul maximale de la citerne ou une valeur à laquelle la pression interne dépasse la PSMA ; </w:t>
      </w:r>
    </w:p>
    <w:p w14:paraId="2F64518A" w14:textId="77777777" w:rsidR="00CA3533" w:rsidRPr="00CA3533" w:rsidRDefault="00CA3533" w:rsidP="00CA3533">
      <w:pPr>
        <w:tabs>
          <w:tab w:val="left" w:pos="1701"/>
          <w:tab w:val="left" w:pos="2268"/>
        </w:tabs>
        <w:spacing w:after="120"/>
        <w:ind w:left="2835" w:right="1134" w:hanging="567"/>
        <w:jc w:val="both"/>
        <w:rPr>
          <w:rFonts w:eastAsiaTheme="minorHAnsi"/>
          <w:b/>
          <w:bCs/>
          <w:lang w:val="fr-FR" w:eastAsia="en-US"/>
        </w:rPr>
      </w:pPr>
      <w:r w:rsidRPr="00CA3533">
        <w:rPr>
          <w:rFonts w:eastAsiaTheme="minorHAnsi"/>
          <w:lang w:val="fr-FR" w:eastAsia="en-US"/>
        </w:rPr>
        <w:t xml:space="preserve">c) </w:t>
      </w:r>
      <w:r w:rsidRPr="00CA3533">
        <w:rPr>
          <w:rFonts w:eastAsiaTheme="minorHAnsi"/>
          <w:lang w:val="fr-FR" w:eastAsia="en-US"/>
        </w:rPr>
        <w:tab/>
        <w:t>Les structures de la citerne et de ses éléments de chauffage doivent permettre d’examiner le réservoir en ce qui concerne les effets éventuels d’une surchauffe</w:t>
      </w:r>
    </w:p>
    <w:p w14:paraId="3698F62C" w14:textId="77777777"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bCs/>
          <w:lang w:val="fr-FR" w:eastAsia="en-US"/>
        </w:rPr>
        <w:t>6.9.2.2.3.4</w:t>
      </w:r>
      <w:r w:rsidRPr="00CA3533">
        <w:rPr>
          <w:rFonts w:eastAsiaTheme="minorHAnsi"/>
          <w:b/>
          <w:bCs/>
          <w:lang w:val="fr-FR" w:eastAsia="ru-RU"/>
        </w:rPr>
        <w:tab/>
      </w:r>
      <w:r w:rsidRPr="00CA3533">
        <w:rPr>
          <w:rFonts w:eastAsiaTheme="minorHAnsi"/>
          <w:lang w:val="fr-FR" w:eastAsia="en-US"/>
        </w:rPr>
        <w:t>Les parois des réservoirs doivent comprendre les éléments suivants :</w:t>
      </w:r>
    </w:p>
    <w:p w14:paraId="2528C410" w14:textId="77777777" w:rsidR="00CA3533" w:rsidRPr="00CA3533" w:rsidRDefault="00CA3533" w:rsidP="00CA3533">
      <w:pPr>
        <w:tabs>
          <w:tab w:val="left" w:pos="2552"/>
        </w:tabs>
        <w:spacing w:after="120"/>
        <w:ind w:left="2268" w:right="1134"/>
        <w:jc w:val="both"/>
        <w:rPr>
          <w:rFonts w:eastAsiaTheme="minorHAnsi"/>
          <w:bCs/>
          <w:lang w:val="fr-FR" w:eastAsia="en-US"/>
        </w:rPr>
      </w:pPr>
      <w:r w:rsidRPr="00CA3533">
        <w:rPr>
          <w:rFonts w:eastAsiaTheme="minorHAnsi"/>
          <w:lang w:val="fr-FR" w:eastAsia="en-US"/>
        </w:rPr>
        <w:t>-</w:t>
      </w:r>
      <w:r w:rsidRPr="00CA3533">
        <w:rPr>
          <w:rFonts w:eastAsiaTheme="minorHAnsi"/>
          <w:lang w:val="fr-FR" w:eastAsia="en-US"/>
        </w:rPr>
        <w:tab/>
        <w:t>Revêtement ;</w:t>
      </w:r>
    </w:p>
    <w:p w14:paraId="27F657A1" w14:textId="77777777" w:rsidR="00CA3533" w:rsidRPr="00CA3533" w:rsidRDefault="00CA3533" w:rsidP="00CA3533">
      <w:pPr>
        <w:tabs>
          <w:tab w:val="left" w:pos="2552"/>
        </w:tabs>
        <w:spacing w:after="120"/>
        <w:ind w:left="2268" w:right="1134"/>
        <w:jc w:val="both"/>
        <w:rPr>
          <w:rFonts w:eastAsiaTheme="minorHAnsi"/>
          <w:bCs/>
          <w:lang w:val="fr-FR" w:eastAsia="en-US"/>
        </w:rPr>
      </w:pPr>
      <w:r w:rsidRPr="00CA3533">
        <w:rPr>
          <w:rFonts w:eastAsiaTheme="minorHAnsi"/>
          <w:lang w:val="fr-FR" w:eastAsia="en-US"/>
        </w:rPr>
        <w:t>-</w:t>
      </w:r>
      <w:r w:rsidRPr="00CA3533">
        <w:rPr>
          <w:rFonts w:eastAsiaTheme="minorHAnsi"/>
          <w:lang w:val="fr-FR" w:eastAsia="en-US"/>
        </w:rPr>
        <w:tab/>
        <w:t>Couche structurale ;</w:t>
      </w:r>
    </w:p>
    <w:p w14:paraId="308C8FB5" w14:textId="77777777" w:rsidR="00CA3533" w:rsidRPr="00CA3533" w:rsidRDefault="00CA3533" w:rsidP="00CA3533">
      <w:pPr>
        <w:tabs>
          <w:tab w:val="left" w:pos="2552"/>
        </w:tabs>
        <w:spacing w:after="120"/>
        <w:ind w:left="2268" w:right="1134"/>
        <w:jc w:val="both"/>
        <w:rPr>
          <w:rFonts w:eastAsiaTheme="minorHAnsi"/>
          <w:lang w:val="fr-FR" w:eastAsia="en-US"/>
        </w:rPr>
      </w:pPr>
      <w:r w:rsidRPr="00CA3533">
        <w:rPr>
          <w:rFonts w:eastAsiaTheme="minorHAnsi"/>
          <w:lang w:val="fr-FR" w:eastAsia="en-US"/>
        </w:rPr>
        <w:t>-</w:t>
      </w:r>
      <w:r w:rsidRPr="00CA3533">
        <w:rPr>
          <w:rFonts w:eastAsiaTheme="minorHAnsi"/>
          <w:lang w:val="fr-FR" w:eastAsia="en-US"/>
        </w:rPr>
        <w:tab/>
        <w:t>Couche externe.</w:t>
      </w:r>
    </w:p>
    <w:p w14:paraId="1B71F2E4" w14:textId="4BF947D6"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b/>
          <w:bCs/>
          <w:i/>
          <w:iCs/>
          <w:lang w:val="fr-FR" w:eastAsia="en-US"/>
        </w:rPr>
        <w:t>NOTA :</w:t>
      </w:r>
      <w:r w:rsidRPr="00CA3533">
        <w:rPr>
          <w:rFonts w:eastAsiaTheme="minorHAnsi"/>
          <w:i/>
          <w:iCs/>
          <w:lang w:val="fr-FR" w:eastAsia="en-US"/>
        </w:rPr>
        <w:t xml:space="preserve"> </w:t>
      </w:r>
      <w:r w:rsidR="00831D00">
        <w:rPr>
          <w:rFonts w:eastAsiaTheme="minorHAnsi"/>
          <w:i/>
          <w:iCs/>
          <w:lang w:val="fr-FR" w:eastAsia="en-US"/>
        </w:rPr>
        <w:tab/>
      </w:r>
      <w:r w:rsidRPr="00CA3533">
        <w:rPr>
          <w:rFonts w:eastAsiaTheme="minorHAnsi"/>
          <w:i/>
          <w:iCs/>
          <w:lang w:val="fr-FR" w:eastAsia="en-US"/>
        </w:rPr>
        <w:t>Les éléments peuvent être combinés lorsque tous les critères fonctionnels applicables sont réunis.</w:t>
      </w:r>
    </w:p>
    <w:p w14:paraId="7D7FCA06" w14:textId="51D2DD43"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bCs/>
          <w:lang w:val="fr-FR" w:eastAsia="en-US"/>
        </w:rPr>
        <w:t>6.9.2.2.3.5</w:t>
      </w:r>
      <w:r w:rsidRPr="00CA3533">
        <w:rPr>
          <w:rFonts w:eastAsiaTheme="minorHAnsi"/>
          <w:bCs/>
          <w:lang w:val="fr-FR" w:eastAsia="en-US"/>
        </w:rPr>
        <w:tab/>
      </w:r>
      <w:r w:rsidRPr="00CA3533">
        <w:rPr>
          <w:rFonts w:eastAsiaTheme="minorHAnsi"/>
          <w:lang w:val="fr-FR" w:eastAsia="en-US"/>
        </w:rPr>
        <w:t xml:space="preserve">Le revêtement est l’élément interne du réservoir constituant la première barrière destinée à opposer une résistance chimique de longue durée aux matières transportées et à empêcher toute réaction dangereuse avec le contenu de la citerne, la formation de composés dangereux et tout affaiblissement important de la couche structurale dû à la diffusion des matières à travers le revêtement. La compatibilité chimique doit être vérifiée conformément au </w:t>
      </w:r>
      <w:r w:rsidRPr="00CA3533">
        <w:rPr>
          <w:rFonts w:eastAsiaTheme="minorHAnsi"/>
          <w:iCs/>
          <w:lang w:val="fr-FR" w:eastAsia="en-US"/>
        </w:rPr>
        <w:t>6.9.2.7.1</w:t>
      </w:r>
      <w:r w:rsidRPr="00CA3533">
        <w:rPr>
          <w:rFonts w:eastAsiaTheme="minorHAnsi"/>
          <w:lang w:val="fr-FR" w:eastAsia="en-US"/>
        </w:rPr>
        <w:t>.3.</w:t>
      </w:r>
    </w:p>
    <w:p w14:paraId="2A764709" w14:textId="217F2C48"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bCs/>
          <w:lang w:val="fr-FR" w:eastAsia="en-US"/>
        </w:rPr>
        <w:t>Le revêtement peut être un revêtement en PRF ou un revêtement thermoplastique.</w:t>
      </w:r>
    </w:p>
    <w:p w14:paraId="168FEBAE" w14:textId="77777777"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lang w:val="fr-FR" w:eastAsia="en-US"/>
        </w:rPr>
        <w:t>6.9.2.2.3.6</w:t>
      </w:r>
      <w:r w:rsidRPr="00CA3533">
        <w:rPr>
          <w:rFonts w:eastAsiaTheme="minorHAnsi"/>
          <w:b/>
          <w:lang w:val="fr-FR" w:eastAsia="en-US"/>
        </w:rPr>
        <w:tab/>
      </w:r>
      <w:r w:rsidRPr="00CA3533">
        <w:rPr>
          <w:rFonts w:eastAsiaTheme="minorHAnsi"/>
          <w:lang w:val="fr-FR" w:eastAsia="en-US"/>
        </w:rPr>
        <w:t>Les revêtements en PRF doivent comprendre les deux composants suivants :</w:t>
      </w:r>
    </w:p>
    <w:p w14:paraId="2A5129A9" w14:textId="26D290F0"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Couche superficielle (« gel-</w:t>
      </w:r>
      <w:proofErr w:type="spellStart"/>
      <w:r w:rsidRPr="00CA3533">
        <w:rPr>
          <w:rFonts w:eastAsiaTheme="minorHAnsi"/>
          <w:lang w:val="fr-FR" w:eastAsia="en-US"/>
        </w:rPr>
        <w:t>coat</w:t>
      </w:r>
      <w:proofErr w:type="spellEnd"/>
      <w:r w:rsidRPr="00CA3533">
        <w:rPr>
          <w:rFonts w:eastAsiaTheme="minorHAnsi"/>
          <w:lang w:val="fr-FR" w:eastAsia="en-US"/>
        </w:rPr>
        <w:t xml:space="preserve"> ») : une couche superficielle à forte teneur en résine, renforcée par un voile compatible avec la résine et le </w:t>
      </w:r>
      <w:r w:rsidRPr="00CA3533">
        <w:rPr>
          <w:rFonts w:eastAsiaTheme="minorHAnsi"/>
          <w:lang w:val="fr-FR" w:eastAsia="en-US"/>
        </w:rPr>
        <w:lastRenderedPageBreak/>
        <w:t>contenu utilisés. Cette couche doit avoir une teneur en fibres maximale de 30 % en masse et son épaisseur doit être au minimum de 0,25 mm et au maximum de 0,60 mm ;</w:t>
      </w:r>
    </w:p>
    <w:p w14:paraId="06B7FBC2" w14:textId="770F054D"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Couche(s) de renforcement : une ou plusieurs couches d’une épaisseur minimale de 2 mm, contenant un mat de verre ou à fils coupés d’au moins 900 g/m</w:t>
      </w:r>
      <w:r w:rsidRPr="00CA3533">
        <w:rPr>
          <w:rFonts w:eastAsiaTheme="minorHAnsi"/>
          <w:vertAlign w:val="superscript"/>
          <w:lang w:val="fr-FR" w:eastAsia="en-US"/>
        </w:rPr>
        <w:t>2</w:t>
      </w:r>
      <w:r w:rsidRPr="00CA3533">
        <w:rPr>
          <w:rFonts w:eastAsiaTheme="minorHAnsi"/>
          <w:lang w:val="fr-FR" w:eastAsia="en-US"/>
        </w:rPr>
        <w:t>, et d’une teneur en verre d’au moins 30 % en masse, à moins qu’il soit prouvé qu’une teneur en verre inférieure offre le même degré de sécurité.</w:t>
      </w:r>
    </w:p>
    <w:p w14:paraId="5B420044" w14:textId="164B4B11"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6.9.2.2.3.7</w:t>
      </w:r>
      <w:r w:rsidRPr="00CA3533">
        <w:rPr>
          <w:rFonts w:eastAsiaTheme="minorHAnsi"/>
          <w:lang w:val="fr-FR" w:eastAsia="en-US"/>
        </w:rPr>
        <w:tab/>
        <w:t>Lorsque le revêtement est constitué de feuilles thermoplastiques, celles</w:t>
      </w:r>
      <w:r w:rsidRPr="00CA3533">
        <w:rPr>
          <w:rFonts w:eastAsiaTheme="minorHAnsi"/>
          <w:lang w:val="fr-FR" w:eastAsia="en-US"/>
        </w:rPr>
        <w:noBreakHyphen/>
        <w:t>ci doivent être soudées les unes aux autres dans la forme requise, au moyen d’un procédé de soudage homologué mis en œuvre par du personnel qualifié. Le revêtement soudé doit avoir une couche de matériau électriquement conducteur placée contre la surface de la soudure qui n’est pas en contact avec les liquides, pour faciliter l’épreuve à l’étincelle. Une liaison durable entre les revêtements et la couche structurale doit être obtenue au moyen d’une méthode appropriée.</w:t>
      </w:r>
    </w:p>
    <w:p w14:paraId="0E1112CA"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6.9.2.2.3.8</w:t>
      </w:r>
      <w:r w:rsidRPr="00CA3533">
        <w:rPr>
          <w:rFonts w:eastAsiaTheme="minorHAnsi"/>
          <w:bCs/>
          <w:lang w:val="fr-FR" w:eastAsia="ru-RU"/>
        </w:rPr>
        <w:tab/>
        <w:t xml:space="preserve">La couche structurale doit être conçue de manière à supporter les charges prévues aux </w:t>
      </w:r>
      <w:r w:rsidRPr="00CA3533">
        <w:rPr>
          <w:rFonts w:eastAsiaTheme="minorHAnsi"/>
          <w:lang w:val="fr-FR" w:eastAsia="en-US"/>
        </w:rPr>
        <w:t xml:space="preserve">6.7.2.2.12, </w:t>
      </w:r>
      <w:r w:rsidRPr="00CA3533">
        <w:rPr>
          <w:rFonts w:eastAsiaTheme="minorHAnsi"/>
          <w:bCs/>
          <w:lang w:val="fr-FR" w:eastAsia="en-US"/>
        </w:rPr>
        <w:t>6.9.2.2.3.1,</w:t>
      </w:r>
      <w:r w:rsidRPr="00CA3533">
        <w:rPr>
          <w:rFonts w:eastAsiaTheme="minorHAnsi"/>
          <w:lang w:val="fr-FR" w:eastAsia="en-US"/>
        </w:rPr>
        <w:t xml:space="preserve"> 6.9.2.3.2, 6.9.2.3.4 et 6.9.2.3.6.</w:t>
      </w:r>
    </w:p>
    <w:p w14:paraId="400A79F1" w14:textId="77777777" w:rsidR="00CA3533" w:rsidRPr="00CA3533" w:rsidRDefault="00CA3533" w:rsidP="00CA3533">
      <w:pPr>
        <w:keepNext/>
        <w:tabs>
          <w:tab w:val="left" w:pos="4228"/>
        </w:tabs>
        <w:spacing w:after="120"/>
        <w:ind w:left="2268" w:right="1134" w:hanging="1134"/>
        <w:jc w:val="both"/>
        <w:rPr>
          <w:rFonts w:eastAsiaTheme="minorHAnsi"/>
          <w:strike/>
          <w:lang w:val="fr-FR" w:eastAsia="en-US"/>
        </w:rPr>
      </w:pPr>
      <w:r w:rsidRPr="00CA3533">
        <w:rPr>
          <w:rFonts w:eastAsiaTheme="minorHAnsi"/>
          <w:bCs/>
          <w:lang w:val="fr-FR" w:eastAsia="en-US"/>
        </w:rPr>
        <w:t>6.9.2.2.3.9</w:t>
      </w:r>
      <w:r w:rsidRPr="00CA3533">
        <w:rPr>
          <w:rFonts w:eastAsiaTheme="minorHAnsi"/>
          <w:lang w:val="fr-FR" w:eastAsia="en-US"/>
        </w:rPr>
        <w:tab/>
        <w:t>La couche externe de résine ou de peinture doit fournir une protection adéquate des couches structurales du réservoir contre les risques posés par l’environnement et par les conditions d’utilisation, notamment les rayons UV et le brouillard salin, et contre les éclaboussures occasionnelles de matières transportées.</w:t>
      </w:r>
    </w:p>
    <w:p w14:paraId="6CF4F2FB"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6.9.2.2.3.10</w:t>
      </w:r>
      <w:r w:rsidRPr="00CA3533">
        <w:rPr>
          <w:rFonts w:eastAsiaTheme="minorHAnsi"/>
          <w:b/>
          <w:lang w:val="fr-FR" w:eastAsia="en-US"/>
        </w:rPr>
        <w:tab/>
      </w:r>
      <w:r w:rsidRPr="00CA3533">
        <w:rPr>
          <w:rFonts w:eastAsiaTheme="minorHAnsi"/>
          <w:lang w:val="fr-FR" w:eastAsia="en-US"/>
        </w:rPr>
        <w:t xml:space="preserve">Résines </w:t>
      </w:r>
    </w:p>
    <w:p w14:paraId="0C1A7E9F" w14:textId="77777777"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lang w:val="fr-FR" w:eastAsia="en-US"/>
        </w:rPr>
        <w:tab/>
        <w:t>Le traitement du mélange de résine doit être effectué selon les recommandations du fournisseur. Ces résines peuvent être :</w:t>
      </w:r>
    </w:p>
    <w:p w14:paraId="6F7861EA" w14:textId="77777777" w:rsidR="00CA3533" w:rsidRPr="00CA3533" w:rsidRDefault="00CA3533" w:rsidP="00CA3533">
      <w:pPr>
        <w:tabs>
          <w:tab w:val="left" w:pos="1985"/>
        </w:tabs>
        <w:spacing w:after="120"/>
        <w:ind w:left="2268" w:right="1134"/>
        <w:jc w:val="both"/>
        <w:rPr>
          <w:rFonts w:eastAsiaTheme="minorHAnsi"/>
          <w:bCs/>
          <w:lang w:val="fr-FR" w:eastAsia="en-US"/>
        </w:rPr>
      </w:pPr>
      <w:r w:rsidRPr="00CA3533">
        <w:rPr>
          <w:rFonts w:eastAsiaTheme="minorHAnsi"/>
          <w:lang w:val="fr-FR" w:eastAsia="en-US"/>
        </w:rPr>
        <w:t>-</w:t>
      </w:r>
      <w:r w:rsidRPr="00CA3533">
        <w:rPr>
          <w:rFonts w:eastAsiaTheme="minorHAnsi"/>
          <w:lang w:val="fr-FR" w:eastAsia="en-US"/>
        </w:rPr>
        <w:tab/>
        <w:t>Des résines polyester non saturées ;</w:t>
      </w:r>
    </w:p>
    <w:p w14:paraId="78514B23" w14:textId="77777777" w:rsidR="00CA3533" w:rsidRPr="00CA3533" w:rsidRDefault="00CA3533" w:rsidP="00CA3533">
      <w:pPr>
        <w:tabs>
          <w:tab w:val="left" w:pos="1985"/>
        </w:tabs>
        <w:spacing w:after="120"/>
        <w:ind w:left="2268" w:right="1134"/>
        <w:jc w:val="both"/>
        <w:rPr>
          <w:rFonts w:eastAsiaTheme="minorHAnsi"/>
          <w:lang w:val="fr-FR" w:eastAsia="en-US"/>
        </w:rPr>
      </w:pPr>
      <w:r w:rsidRPr="00CA3533">
        <w:rPr>
          <w:rFonts w:eastAsiaTheme="minorHAnsi"/>
          <w:lang w:val="fr-FR" w:eastAsia="en-US"/>
        </w:rPr>
        <w:t>-</w:t>
      </w:r>
      <w:r w:rsidRPr="00CA3533">
        <w:rPr>
          <w:rFonts w:eastAsiaTheme="minorHAnsi"/>
          <w:lang w:val="fr-FR" w:eastAsia="en-US"/>
        </w:rPr>
        <w:tab/>
        <w:t xml:space="preserve">Des résines </w:t>
      </w:r>
      <w:proofErr w:type="spellStart"/>
      <w:r w:rsidRPr="00CA3533">
        <w:rPr>
          <w:rFonts w:eastAsiaTheme="minorHAnsi"/>
          <w:lang w:val="fr-FR" w:eastAsia="en-US"/>
        </w:rPr>
        <w:t>vinylester</w:t>
      </w:r>
      <w:proofErr w:type="spellEnd"/>
      <w:r w:rsidRPr="00CA3533">
        <w:rPr>
          <w:rFonts w:eastAsiaTheme="minorHAnsi"/>
          <w:lang w:val="fr-FR" w:eastAsia="en-US"/>
        </w:rPr>
        <w:t> ;</w:t>
      </w:r>
    </w:p>
    <w:p w14:paraId="61BC64BD" w14:textId="77777777" w:rsidR="00CA3533" w:rsidRPr="00CA3533" w:rsidRDefault="00CA3533" w:rsidP="00CA3533">
      <w:pPr>
        <w:tabs>
          <w:tab w:val="left" w:pos="1985"/>
        </w:tabs>
        <w:spacing w:after="120"/>
        <w:ind w:left="2268" w:right="1134"/>
        <w:jc w:val="both"/>
        <w:rPr>
          <w:rFonts w:eastAsiaTheme="minorHAnsi"/>
          <w:lang w:val="fr-FR" w:eastAsia="en-US"/>
        </w:rPr>
      </w:pPr>
      <w:r w:rsidRPr="00CA3533">
        <w:rPr>
          <w:rFonts w:eastAsiaTheme="minorHAnsi"/>
          <w:lang w:val="fr-FR" w:eastAsia="en-US"/>
        </w:rPr>
        <w:t>-</w:t>
      </w:r>
      <w:r w:rsidRPr="00CA3533">
        <w:rPr>
          <w:rFonts w:eastAsiaTheme="minorHAnsi"/>
          <w:lang w:val="fr-FR" w:eastAsia="en-US"/>
        </w:rPr>
        <w:tab/>
        <w:t>Des résines époxydes ;</w:t>
      </w:r>
    </w:p>
    <w:p w14:paraId="13719D93" w14:textId="77777777" w:rsidR="00CA3533" w:rsidRPr="00CA3533" w:rsidRDefault="00CA3533" w:rsidP="00CA3533">
      <w:pPr>
        <w:tabs>
          <w:tab w:val="left" w:pos="1985"/>
        </w:tabs>
        <w:spacing w:after="120"/>
        <w:ind w:left="2268" w:right="1134"/>
        <w:jc w:val="both"/>
        <w:rPr>
          <w:rFonts w:eastAsiaTheme="minorHAnsi"/>
          <w:bCs/>
          <w:lang w:val="fr-FR" w:eastAsia="en-US"/>
        </w:rPr>
      </w:pPr>
      <w:r w:rsidRPr="00CA3533">
        <w:rPr>
          <w:rFonts w:eastAsiaTheme="minorHAnsi"/>
          <w:lang w:val="fr-FR" w:eastAsia="en-US"/>
        </w:rPr>
        <w:t>-</w:t>
      </w:r>
      <w:r w:rsidRPr="00CA3533">
        <w:rPr>
          <w:rFonts w:eastAsiaTheme="minorHAnsi"/>
          <w:lang w:val="fr-FR" w:eastAsia="en-US"/>
        </w:rPr>
        <w:tab/>
        <w:t>Des résines phénoliques ;</w:t>
      </w:r>
    </w:p>
    <w:p w14:paraId="08B6CDFF" w14:textId="77777777" w:rsidR="00CA3533" w:rsidRPr="00CA3533" w:rsidRDefault="00CA3533" w:rsidP="00CA3533">
      <w:pPr>
        <w:tabs>
          <w:tab w:val="left" w:pos="1985"/>
        </w:tabs>
        <w:spacing w:after="120"/>
        <w:ind w:left="2268" w:right="1134"/>
        <w:jc w:val="both"/>
        <w:rPr>
          <w:rFonts w:eastAsiaTheme="minorHAnsi"/>
          <w:bCs/>
          <w:lang w:val="fr-FR" w:eastAsia="en-US"/>
        </w:rPr>
      </w:pPr>
      <w:r w:rsidRPr="00CA3533">
        <w:rPr>
          <w:rFonts w:eastAsiaTheme="minorHAnsi"/>
          <w:lang w:val="fr-FR" w:eastAsia="en-US"/>
        </w:rPr>
        <w:t>-</w:t>
      </w:r>
      <w:r w:rsidRPr="00CA3533">
        <w:rPr>
          <w:rFonts w:eastAsiaTheme="minorHAnsi"/>
          <w:lang w:val="fr-FR" w:eastAsia="en-US"/>
        </w:rPr>
        <w:tab/>
        <w:t>Des résines thermoplastiques.</w:t>
      </w:r>
    </w:p>
    <w:p w14:paraId="68096EF3" w14:textId="77777777"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lang w:val="fr-FR" w:eastAsia="en-US"/>
        </w:rPr>
        <w:tab/>
        <w:t xml:space="preserve">La température de distorsion thermique (HDT) de la résine, déterminée conformément au </w:t>
      </w:r>
      <w:r w:rsidRPr="00CA3533">
        <w:rPr>
          <w:rFonts w:eastAsiaTheme="minorHAnsi"/>
          <w:bCs/>
          <w:lang w:val="fr-FR" w:eastAsia="en-US"/>
        </w:rPr>
        <w:t xml:space="preserve">6.9.2.7.1.1, </w:t>
      </w:r>
      <w:r w:rsidRPr="00CA3533">
        <w:rPr>
          <w:rFonts w:eastAsiaTheme="minorHAnsi"/>
          <w:lang w:val="fr-FR" w:eastAsia="en-US"/>
        </w:rPr>
        <w:t>doit être supérieure d’au moins 20 °C à la température de calcul maximale du réservoir telle que définie au </w:t>
      </w:r>
      <w:r w:rsidRPr="00CA3533">
        <w:rPr>
          <w:rFonts w:eastAsia="SimSun"/>
          <w:lang w:val="fr-FR" w:eastAsia="en-US"/>
        </w:rPr>
        <w:t>6.9.2.2.3.2</w:t>
      </w:r>
      <w:r w:rsidRPr="00CA3533">
        <w:rPr>
          <w:rFonts w:eastAsiaTheme="minorHAnsi"/>
          <w:lang w:val="fr-FR" w:eastAsia="en-US"/>
        </w:rPr>
        <w:t>, mais ne doit en aucun cas être inférieure à 70 °C.</w:t>
      </w:r>
    </w:p>
    <w:p w14:paraId="4CF24CC6" w14:textId="77777777"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bCs/>
          <w:lang w:val="fr-FR" w:eastAsia="en-US"/>
        </w:rPr>
        <w:t>6.9.2.2.3.11</w:t>
      </w:r>
      <w:r w:rsidRPr="00CA3533">
        <w:rPr>
          <w:rFonts w:eastAsiaTheme="minorHAnsi"/>
          <w:lang w:val="fr-FR" w:eastAsia="en-US"/>
        </w:rPr>
        <w:t xml:space="preserve"> Matériau sélectionné pour renforcer les couches structurales</w:t>
      </w:r>
    </w:p>
    <w:p w14:paraId="0678225F" w14:textId="77777777"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lang w:val="fr-FR" w:eastAsia="en-US"/>
        </w:rPr>
        <w:tab/>
        <w:t>Le matériau sélectionné pour renforcer les couches structurales doit répondre aux prescriptions applicables à la couche structurale.</w:t>
      </w:r>
    </w:p>
    <w:p w14:paraId="49CB5334" w14:textId="21E0CFE3"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 xml:space="preserve">Pour le revêtement, des fibres de verre, au minimum du type C ou ECR selon la norme ISO 2078:1993 + </w:t>
      </w:r>
      <w:proofErr w:type="spellStart"/>
      <w:r w:rsidRPr="00CA3533">
        <w:rPr>
          <w:rFonts w:eastAsiaTheme="minorHAnsi"/>
          <w:lang w:val="fr-FR" w:eastAsia="en-US"/>
        </w:rPr>
        <w:t>Amd</w:t>
      </w:r>
      <w:proofErr w:type="spellEnd"/>
      <w:r w:rsidRPr="00CA3533">
        <w:rPr>
          <w:rFonts w:eastAsiaTheme="minorHAnsi"/>
          <w:lang w:val="fr-FR" w:eastAsia="en-US"/>
        </w:rPr>
        <w:t> 1:2015, doivent être utilisées. Les voiles thermoplastiques ne peuvent être utilisés pour le revêtement que si leur compatibilité avec le contenu prévu a été prouvée.</w:t>
      </w:r>
    </w:p>
    <w:p w14:paraId="1843D0AD"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6.9.2.2.3.12</w:t>
      </w:r>
      <w:r w:rsidRPr="00CA3533">
        <w:rPr>
          <w:rFonts w:eastAsiaTheme="minorHAnsi"/>
          <w:b/>
          <w:lang w:val="fr-FR" w:eastAsia="en-US"/>
        </w:rPr>
        <w:tab/>
      </w:r>
      <w:r w:rsidRPr="00CA3533">
        <w:rPr>
          <w:rFonts w:eastAsiaTheme="minorHAnsi"/>
          <w:lang w:val="fr-FR" w:eastAsia="en-US"/>
        </w:rPr>
        <w:t>Adjuvants</w:t>
      </w:r>
    </w:p>
    <w:p w14:paraId="7CA94E11"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Les adjuvants nécessaires pour le traitement de la résine, tels que catalyseurs, accélérateurs, durcisseurs et matières thixotropiques, de même que les matériaux utilisés pour améliorer les caractéristiques de la citerne, tels que charges, colorants, pigments, etc., ne doivent pas affaiblir le matériau, compte tenu de la durée de vie et de la température de fonctionnement prévue selon le type.</w:t>
      </w:r>
    </w:p>
    <w:p w14:paraId="0624DE7C"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6.9.2.2.3.13</w:t>
      </w:r>
      <w:r w:rsidRPr="00CA3533">
        <w:rPr>
          <w:rFonts w:eastAsiaTheme="minorHAnsi"/>
          <w:b/>
          <w:lang w:val="fr-FR" w:eastAsia="en-US"/>
        </w:rPr>
        <w:tab/>
      </w:r>
      <w:r w:rsidRPr="00CA3533">
        <w:rPr>
          <w:rFonts w:eastAsiaTheme="minorHAnsi"/>
          <w:lang w:val="fr-FR" w:eastAsia="en-US"/>
        </w:rPr>
        <w:t xml:space="preserve">Les réservoirs en PRF, leurs éléments de fixation et leur équipement de service et de structure doivent être conçus de façon à résister aux charges indiquées </w:t>
      </w:r>
      <w:r w:rsidRPr="00CA3533">
        <w:rPr>
          <w:rFonts w:eastAsiaTheme="minorHAnsi"/>
          <w:lang w:val="fr-FR" w:eastAsia="en-US"/>
        </w:rPr>
        <w:lastRenderedPageBreak/>
        <w:t xml:space="preserve">aux 6.7.2.2.12, </w:t>
      </w:r>
      <w:r w:rsidRPr="00CA3533">
        <w:rPr>
          <w:rFonts w:eastAsiaTheme="minorHAnsi"/>
          <w:bCs/>
          <w:lang w:val="fr-FR" w:eastAsia="en-US"/>
        </w:rPr>
        <w:t>6.9.2.2.3,</w:t>
      </w:r>
      <w:r w:rsidRPr="00CA3533">
        <w:rPr>
          <w:rFonts w:eastAsiaTheme="minorHAnsi"/>
          <w:lang w:val="fr-FR" w:eastAsia="en-US"/>
        </w:rPr>
        <w:t xml:space="preserve"> 6.9.2.3.2, 6.9.2.3.4 et 6.9.2.3.6 sans aucune fuite (sauf pour les quantités de gaz s’échappant par les dispositifs de dégazage) pendant la durée de vie prévue selon le type.</w:t>
      </w:r>
    </w:p>
    <w:p w14:paraId="4F77FBB6" w14:textId="77777777" w:rsidR="00CA3533" w:rsidRPr="00CA3533" w:rsidRDefault="00CA3533" w:rsidP="00CA3533">
      <w:pPr>
        <w:keepNext/>
        <w:tabs>
          <w:tab w:val="left" w:pos="4228"/>
        </w:tabs>
        <w:spacing w:after="120"/>
        <w:ind w:left="2268" w:right="1134" w:hanging="1134"/>
        <w:jc w:val="both"/>
        <w:rPr>
          <w:rFonts w:eastAsiaTheme="minorHAnsi"/>
          <w:b/>
          <w:lang w:val="fr-FR" w:eastAsia="en-US"/>
        </w:rPr>
      </w:pPr>
      <w:r w:rsidRPr="00CA3533">
        <w:rPr>
          <w:rFonts w:eastAsiaTheme="minorHAnsi"/>
          <w:bCs/>
          <w:lang w:val="fr-FR" w:eastAsia="en-US"/>
        </w:rPr>
        <w:t>6.9.2.2.3.14</w:t>
      </w:r>
      <w:r w:rsidRPr="00CA3533">
        <w:rPr>
          <w:rFonts w:eastAsiaTheme="minorHAnsi"/>
          <w:b/>
          <w:lang w:val="fr-FR" w:eastAsia="en-US"/>
        </w:rPr>
        <w:tab/>
      </w:r>
      <w:r w:rsidRPr="00CA3533">
        <w:rPr>
          <w:rFonts w:eastAsiaTheme="minorHAnsi"/>
          <w:lang w:val="fr-FR" w:eastAsia="en-US"/>
        </w:rPr>
        <w:t>Prescriptions particulières pour le transport de matières ayant un point d’éclair ne dépassant pas 60 °C</w:t>
      </w:r>
    </w:p>
    <w:p w14:paraId="49004597" w14:textId="4893F91A"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6.9.2.2.3.14.1</w:t>
      </w:r>
      <w:r w:rsidRPr="00CA3533">
        <w:rPr>
          <w:rFonts w:eastAsiaTheme="minorHAnsi"/>
          <w:bCs/>
          <w:lang w:val="fr-FR" w:eastAsia="en-US"/>
        </w:rPr>
        <w:tab/>
      </w:r>
      <w:r w:rsidRPr="00CA3533">
        <w:rPr>
          <w:rFonts w:eastAsiaTheme="minorHAnsi"/>
          <w:lang w:val="fr-FR" w:eastAsia="en-US"/>
        </w:rPr>
        <w:t xml:space="preserve">Les citernes en PRF utilisées pour le transport de liquides inflammables dont le point d’éclair ne dépasse pas 60 °C doivent être construites de façon à garantir que leurs éléments se déchargent de toute électricité statique dont l’accumulation pourrait être dangereuse. </w:t>
      </w:r>
    </w:p>
    <w:p w14:paraId="2A7A8ED8"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6.9.2.2.3.14.2</w:t>
      </w:r>
      <w:r w:rsidRPr="00CA3533">
        <w:rPr>
          <w:rFonts w:eastAsiaTheme="minorHAnsi"/>
          <w:b/>
          <w:bCs/>
          <w:lang w:val="fr-FR" w:eastAsia="en-US"/>
        </w:rPr>
        <w:tab/>
      </w:r>
      <w:r w:rsidRPr="00CA3533">
        <w:rPr>
          <w:rFonts w:eastAsiaTheme="minorHAnsi"/>
          <w:lang w:val="fr-FR" w:eastAsia="en-US"/>
        </w:rPr>
        <w:t>La résistance électrique en surface de l’intérieur et de l’extérieur du réservoir, établie par des mesures, ne doit pas dépasser 10</w:t>
      </w:r>
      <w:bookmarkStart w:id="32" w:name="_Hlk63093389"/>
      <w:r w:rsidRPr="00CA3533">
        <w:rPr>
          <w:rFonts w:eastAsiaTheme="minorHAnsi"/>
          <w:lang w:val="fr-FR" w:eastAsia="en-US"/>
        </w:rPr>
        <w:t>⁹</w:t>
      </w:r>
      <w:bookmarkEnd w:id="32"/>
      <w:r w:rsidRPr="00CA3533">
        <w:rPr>
          <w:rFonts w:eastAsiaTheme="minorHAnsi"/>
          <w:lang w:val="fr-FR" w:eastAsia="en-US"/>
        </w:rPr>
        <w:t> </w:t>
      </w:r>
      <w:r w:rsidRPr="00CA3533">
        <w:rPr>
          <w:rFonts w:eastAsia="SimSun"/>
          <w:lang w:val="fr-FR" w:eastAsia="en-US"/>
        </w:rPr>
        <w:t>Ω</w:t>
      </w:r>
      <w:r w:rsidRPr="00CA3533">
        <w:rPr>
          <w:rFonts w:eastAsiaTheme="minorHAnsi"/>
          <w:lang w:val="fr-FR" w:eastAsia="en-US"/>
        </w:rPr>
        <w:t>. Ce résultat peut être obtenu par l’utilisation d’adjuvants dans la résine ou par des couches conductrices intercalées, par exemple en réseaux métalliques ou en carbone.</w:t>
      </w:r>
    </w:p>
    <w:p w14:paraId="3AC6B7E8"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6.9.2.2.3.14.3</w:t>
      </w:r>
      <w:r w:rsidRPr="00CA3533">
        <w:rPr>
          <w:rFonts w:eastAsiaTheme="minorHAnsi"/>
          <w:b/>
          <w:bCs/>
          <w:lang w:val="fr-FR" w:eastAsia="en-US"/>
        </w:rPr>
        <w:tab/>
      </w:r>
      <w:r w:rsidRPr="00CA3533">
        <w:rPr>
          <w:rFonts w:eastAsiaTheme="minorHAnsi"/>
          <w:lang w:val="fr-FR" w:eastAsia="en-US"/>
        </w:rPr>
        <w:t>La résistance de déchargement à la terre établie par des mesures ne doit pas dépasser 10⁷ </w:t>
      </w:r>
      <w:r w:rsidRPr="00CA3533">
        <w:rPr>
          <w:rFonts w:eastAsia="SimSun"/>
          <w:lang w:val="fr-FR" w:eastAsia="en-US"/>
        </w:rPr>
        <w:t>Ω</w:t>
      </w:r>
      <w:r w:rsidRPr="00CA3533">
        <w:rPr>
          <w:rFonts w:eastAsiaTheme="minorHAnsi"/>
          <w:lang w:val="fr-FR" w:eastAsia="en-US"/>
        </w:rPr>
        <w:t>.</w:t>
      </w:r>
    </w:p>
    <w:p w14:paraId="748A0509"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6.9.2.2.3.14.4</w:t>
      </w:r>
      <w:r w:rsidRPr="00CA3533">
        <w:rPr>
          <w:rFonts w:eastAsiaTheme="minorHAnsi"/>
          <w:b/>
          <w:bCs/>
          <w:lang w:val="fr-FR" w:eastAsia="en-US"/>
        </w:rPr>
        <w:tab/>
      </w:r>
      <w:r w:rsidRPr="00CA3533">
        <w:rPr>
          <w:rFonts w:eastAsiaTheme="minorHAnsi"/>
          <w:lang w:val="fr-FR" w:eastAsia="en-US"/>
        </w:rPr>
        <w:t>Tous les éléments du réservoir doivent être raccordés électriquement les uns aux autres, aux parties métalliques de l’équipement de service et de structure de la citerne, ainsi qu’au véhicule. La résistance électrique entre les composants et équipements en contact ne doit pas dépasser 10 </w:t>
      </w:r>
      <w:r w:rsidRPr="00CA3533">
        <w:rPr>
          <w:rFonts w:eastAsia="SimSun"/>
          <w:lang w:val="fr-FR" w:eastAsia="en-US"/>
        </w:rPr>
        <w:t>Ω</w:t>
      </w:r>
      <w:r w:rsidRPr="00CA3533">
        <w:rPr>
          <w:rFonts w:eastAsiaTheme="minorHAnsi"/>
          <w:lang w:val="fr-FR" w:eastAsia="en-US"/>
        </w:rPr>
        <w:t>.</w:t>
      </w:r>
    </w:p>
    <w:p w14:paraId="6DF02E97" w14:textId="77777777"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bCs/>
          <w:lang w:val="fr-FR" w:eastAsia="en-US"/>
        </w:rPr>
        <w:t>6.9.2.2.3.14.5</w:t>
      </w:r>
      <w:r w:rsidRPr="00CA3533">
        <w:rPr>
          <w:rFonts w:eastAsiaTheme="minorHAnsi"/>
          <w:b/>
          <w:bCs/>
          <w:lang w:val="fr-FR" w:eastAsia="en-US"/>
        </w:rPr>
        <w:tab/>
      </w:r>
      <w:r w:rsidRPr="00CA3533">
        <w:rPr>
          <w:rFonts w:eastAsiaTheme="minorHAnsi"/>
          <w:bCs/>
          <w:lang w:val="fr-FR" w:eastAsia="en-US"/>
        </w:rPr>
        <w:t>La résistance électrique en surface et la résistance de déchargement doivent être mesurées une première fois sur toute citerne fabriquée ou sur un échantillon du réservoir selon la procédure reconnue par l’autorité compétente. En cas d’avarie de la paroi du réservoir nécessitant des réparations, la résistance électrique doit être remesurée.</w:t>
      </w:r>
    </w:p>
    <w:p w14:paraId="32384EAB"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6.9.2.2.3.15</w:t>
      </w:r>
      <w:r w:rsidRPr="00CA3533">
        <w:rPr>
          <w:rFonts w:eastAsiaTheme="minorHAnsi"/>
          <w:b/>
          <w:bCs/>
          <w:lang w:val="fr-FR" w:eastAsia="ru-RU"/>
        </w:rPr>
        <w:tab/>
      </w:r>
      <w:r w:rsidRPr="00CA3533">
        <w:rPr>
          <w:rFonts w:eastAsiaTheme="minorHAnsi"/>
          <w:lang w:val="fr-FR" w:eastAsia="en-US"/>
        </w:rPr>
        <w:t>La citerne doit être conçue pour résister, sans fuite conséquente, aux effets d’une immersion totale dans les flammes pendant 30 minutes, comme précisé dans les dispositions relatives aux épreuves du 6.9.2.7.1.5. Il n’est pas nécessaire de procéder aux épreuves, avec l’accord de l’autorité compétente, lorsqu’une preuve suffisante peut être apportée par des épreuves avec des modèles de citernes comparables.</w:t>
      </w:r>
    </w:p>
    <w:p w14:paraId="352EBAAE"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6.9.2.2.3.16</w:t>
      </w:r>
      <w:r w:rsidRPr="00CA3533">
        <w:rPr>
          <w:rFonts w:eastAsiaTheme="minorHAnsi"/>
          <w:b/>
          <w:bCs/>
          <w:lang w:val="fr-FR" w:eastAsia="ru-RU"/>
        </w:rPr>
        <w:tab/>
      </w:r>
      <w:r w:rsidRPr="00CA3533">
        <w:rPr>
          <w:rFonts w:eastAsiaTheme="minorHAnsi"/>
          <w:lang w:val="fr-FR" w:eastAsia="en-US"/>
        </w:rPr>
        <w:t>Processus de construction des réservoirs en PRF</w:t>
      </w:r>
    </w:p>
    <w:p w14:paraId="5CBC86C4"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6.9.2.2.3.16</w:t>
      </w:r>
      <w:r w:rsidRPr="00CA3533">
        <w:rPr>
          <w:rFonts w:eastAsiaTheme="minorHAnsi"/>
          <w:bCs/>
          <w:lang w:val="fr-FR" w:eastAsia="ru-RU"/>
        </w:rPr>
        <w:t>.1</w:t>
      </w:r>
      <w:r w:rsidRPr="00CA3533">
        <w:rPr>
          <w:rFonts w:eastAsiaTheme="minorHAnsi"/>
          <w:b/>
          <w:lang w:val="fr-FR" w:eastAsia="en-US"/>
        </w:rPr>
        <w:tab/>
      </w:r>
      <w:r w:rsidRPr="00CA3533">
        <w:rPr>
          <w:rFonts w:eastAsiaTheme="minorHAnsi"/>
          <w:bCs/>
          <w:lang w:val="fr-FR" w:eastAsia="en-US"/>
        </w:rPr>
        <w:t xml:space="preserve">L’enroulement </w:t>
      </w:r>
      <w:r w:rsidRPr="00CA3533">
        <w:rPr>
          <w:rFonts w:eastAsiaTheme="minorHAnsi"/>
          <w:lang w:val="fr-FR" w:eastAsia="en-US"/>
        </w:rPr>
        <w:t>filamentaire, le moulage au contact, l’infusion de résine ou tout autre procédé pertinent de production de produits composites doivent être utilisés pour la construction des réservoirs en PRF.</w:t>
      </w:r>
    </w:p>
    <w:p w14:paraId="478AFA13"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6.9.2.2.3.16</w:t>
      </w:r>
      <w:r w:rsidRPr="00CA3533">
        <w:rPr>
          <w:rFonts w:eastAsiaTheme="minorHAnsi"/>
          <w:bCs/>
          <w:lang w:val="fr-FR" w:eastAsia="ru-RU"/>
        </w:rPr>
        <w:t>.2</w:t>
      </w:r>
      <w:r w:rsidRPr="00CA3533">
        <w:rPr>
          <w:rFonts w:eastAsiaTheme="minorHAnsi"/>
          <w:b/>
          <w:lang w:val="fr-FR" w:eastAsia="en-US"/>
        </w:rPr>
        <w:tab/>
      </w:r>
      <w:r w:rsidRPr="00CA3533">
        <w:rPr>
          <w:rFonts w:eastAsiaTheme="minorHAnsi"/>
          <w:lang w:val="fr-FR" w:eastAsia="en-US"/>
        </w:rPr>
        <w:t>Le poids du renfort de fibre doit être conforme à celui indiqué dans les spécifications de la procédure, avec une tolérance de +10 % et −0 %. Pour le renforcement des réservoirs, on utilise un ou plusieurs des types de fibres prescrits au 6.9.2.2.3.11 et dans les spécifications de la procédure.</w:t>
      </w:r>
    </w:p>
    <w:p w14:paraId="39A881D2"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lang w:val="fr-FR" w:eastAsia="en-US"/>
        </w:rPr>
        <w:t>6.9.2.2.3.16</w:t>
      </w:r>
      <w:r w:rsidRPr="00CA3533">
        <w:rPr>
          <w:rFonts w:eastAsiaTheme="minorHAnsi"/>
          <w:bCs/>
          <w:lang w:val="fr-FR" w:eastAsia="ru-RU"/>
        </w:rPr>
        <w:t>.3</w:t>
      </w:r>
      <w:r w:rsidRPr="00CA3533">
        <w:rPr>
          <w:rFonts w:eastAsiaTheme="minorHAnsi"/>
          <w:b/>
          <w:lang w:val="fr-FR" w:eastAsia="en-US"/>
        </w:rPr>
        <w:tab/>
      </w:r>
      <w:r w:rsidRPr="00CA3533">
        <w:rPr>
          <w:rFonts w:eastAsiaTheme="minorHAnsi"/>
          <w:lang w:val="fr-FR" w:eastAsia="en-US"/>
        </w:rPr>
        <w:t>Le système de résine doit être l’un des systèmes prescrits au 6.9.2.2.3.10. Aucune charge ni aucun pigment ou colorant pouvant altérer la couleur naturelle de la résine ne doit être utilisé, sauf si les spécifications de la procédure l’autorisent.</w:t>
      </w:r>
    </w:p>
    <w:p w14:paraId="108923BE" w14:textId="77777777" w:rsidR="00CA3533" w:rsidRPr="00CA3533" w:rsidRDefault="00CA3533" w:rsidP="00CA3533">
      <w:pPr>
        <w:keepNext/>
        <w:keepLines/>
        <w:tabs>
          <w:tab w:val="right" w:pos="851"/>
        </w:tabs>
        <w:spacing w:before="200" w:after="120" w:line="240" w:lineRule="exact"/>
        <w:ind w:left="2268" w:right="1134" w:hanging="1134"/>
        <w:outlineLvl w:val="3"/>
        <w:rPr>
          <w:rFonts w:eastAsiaTheme="minorHAnsi"/>
          <w:b/>
          <w:lang w:val="fr-FR" w:eastAsia="ru-RU"/>
        </w:rPr>
      </w:pPr>
      <w:r w:rsidRPr="00CA3533">
        <w:rPr>
          <w:rFonts w:eastAsiaTheme="minorHAnsi"/>
          <w:b/>
          <w:lang w:val="fr-FR" w:eastAsia="ru-RU"/>
        </w:rPr>
        <w:t>6.9.2.3</w:t>
      </w:r>
      <w:r w:rsidRPr="00CA3533">
        <w:rPr>
          <w:rFonts w:eastAsiaTheme="minorHAnsi"/>
          <w:b/>
          <w:lang w:val="fr-FR" w:eastAsia="ru-RU"/>
        </w:rPr>
        <w:tab/>
      </w:r>
      <w:r w:rsidRPr="00CA3533">
        <w:rPr>
          <w:rFonts w:eastAsiaTheme="minorHAnsi"/>
          <w:b/>
          <w:lang w:val="fr-FR" w:eastAsia="ru-RU"/>
        </w:rPr>
        <w:tab/>
      </w:r>
      <w:r w:rsidRPr="00CA3533">
        <w:rPr>
          <w:rFonts w:eastAsiaTheme="minorHAnsi"/>
          <w:b/>
          <w:i/>
          <w:iCs/>
          <w:lang w:val="fr-FR" w:eastAsia="ru-RU"/>
        </w:rPr>
        <w:t>Critères de conception</w:t>
      </w:r>
    </w:p>
    <w:p w14:paraId="782CEA51"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6.9.2.3.1</w:t>
      </w:r>
      <w:r w:rsidRPr="00CA3533">
        <w:rPr>
          <w:rFonts w:eastAsiaTheme="minorHAnsi"/>
          <w:lang w:val="fr-FR" w:eastAsia="en-US"/>
        </w:rPr>
        <w:tab/>
        <w:t xml:space="preserve">Les </w:t>
      </w:r>
      <w:bookmarkStart w:id="33" w:name="_Hlk43812473"/>
      <w:r w:rsidRPr="00CA3533">
        <w:rPr>
          <w:rFonts w:eastAsiaTheme="minorHAnsi"/>
          <w:lang w:val="fr-FR" w:eastAsia="en-US"/>
        </w:rPr>
        <w:t xml:space="preserve">réservoirs en PRF </w:t>
      </w:r>
      <w:bookmarkEnd w:id="33"/>
      <w:r w:rsidRPr="00CA3533">
        <w:rPr>
          <w:rFonts w:eastAsiaTheme="minorHAnsi"/>
          <w:lang w:val="fr-FR" w:eastAsia="en-US"/>
        </w:rPr>
        <w:t>doivent être conçus de façon à pouvoir analyser les contraintes mathématiquement ou expérimentalement avec des jauges de contrainte à fil résistant ou par d’autres méthodes agréées par l’autorité compétente.</w:t>
      </w:r>
    </w:p>
    <w:p w14:paraId="6E260B67"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6.9.2.3.2</w:t>
      </w:r>
      <w:r w:rsidRPr="00CA3533">
        <w:rPr>
          <w:rFonts w:eastAsiaTheme="minorHAnsi"/>
          <w:lang w:val="fr-FR" w:eastAsia="en-US"/>
        </w:rPr>
        <w:tab/>
        <w:t xml:space="preserve">Les </w:t>
      </w:r>
      <w:bookmarkStart w:id="34" w:name="_Hlk43813215"/>
      <w:r w:rsidRPr="00CA3533">
        <w:rPr>
          <w:rFonts w:eastAsiaTheme="minorHAnsi"/>
          <w:lang w:val="fr-FR" w:eastAsia="en-US"/>
        </w:rPr>
        <w:t xml:space="preserve">réservoirs en PRF </w:t>
      </w:r>
      <w:bookmarkEnd w:id="34"/>
      <w:r w:rsidRPr="00CA3533">
        <w:rPr>
          <w:rFonts w:eastAsiaTheme="minorHAnsi"/>
          <w:lang w:val="fr-FR" w:eastAsia="en-US"/>
        </w:rPr>
        <w:t xml:space="preserve">doivent être conçus et construits de manière à résister à la pression d’épreuve. Des dispositions spécifiques sont prévues pour certaines matières dans l’instruction de transport en citernes mobiles applicable indiquée dans la colonne (10) du tableau A du chapitre 3.2 et décrite au 4.2.5, ou dans une disposition spéciale de transport en citernes mobiles indiquée dans la </w:t>
      </w:r>
      <w:r w:rsidRPr="00CA3533">
        <w:rPr>
          <w:rFonts w:eastAsiaTheme="minorHAnsi"/>
          <w:lang w:val="fr-FR" w:eastAsia="en-US"/>
        </w:rPr>
        <w:lastRenderedPageBreak/>
        <w:t>colonne (11) du tableau A du chapitre 3.2 et décrite au 4.2.5.3. L’épaisseur minimale des parois des réservoirs en PRF ne doit pas être inférieure à celle prescrite au 6.9.2.4.</w:t>
      </w:r>
    </w:p>
    <w:p w14:paraId="44905080"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6.9.2.3.3</w:t>
      </w:r>
      <w:r w:rsidRPr="00CA3533">
        <w:rPr>
          <w:rFonts w:eastAsiaTheme="minorHAnsi"/>
          <w:lang w:val="fr-FR" w:eastAsia="en-US"/>
        </w:rPr>
        <w:tab/>
        <w:t>À la pression d’épreuve prescrite, la déformation maximale relative due à la traction mesurée dans le réservoir, en mm/mm, ne doit pas entraîner la formation de microfissures, et ne doit donc pas dépasser le premier point de rupture ou d’endommagement de la résine à l’allongement, mesuré lors des essais de traction prescrits au 6.9.2.7.1.2 c).</w:t>
      </w:r>
    </w:p>
    <w:p w14:paraId="6F6D0F7F" w14:textId="121E9E28"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iCs/>
          <w:lang w:val="fr-FR" w:eastAsia="en-US"/>
        </w:rPr>
        <w:t>6.9.2.3.4</w:t>
      </w:r>
      <w:r w:rsidRPr="00CA3533">
        <w:rPr>
          <w:rFonts w:eastAsiaTheme="minorHAnsi"/>
          <w:b/>
          <w:bCs/>
          <w:iCs/>
          <w:lang w:val="fr-FR" w:eastAsia="en-US"/>
        </w:rPr>
        <w:tab/>
      </w:r>
      <w:r w:rsidRPr="00CA3533">
        <w:rPr>
          <w:rFonts w:eastAsiaTheme="minorHAnsi"/>
          <w:lang w:val="fr-FR" w:eastAsia="en-US"/>
        </w:rPr>
        <w:t>Pour la pression d’épreuve interne, la pression extérieure de calcul spécifiée au 6.7.2.2.10, les contraintes statiques spécifiées au 6.7.2.2.12 et les charges de gravité statique causées par le contenu à la densité maximum prévue et au degré de remplissage maximal, les critères de défaillance</w:t>
      </w:r>
      <w:r w:rsidR="00444C70">
        <w:rPr>
          <w:rFonts w:eastAsiaTheme="minorHAnsi"/>
          <w:lang w:val="fr-FR" w:eastAsia="en-US"/>
        </w:rPr>
        <w:t xml:space="preserve"> </w:t>
      </w:r>
      <w:r w:rsidR="009738F1">
        <w:rPr>
          <w:rFonts w:eastAsiaTheme="minorHAnsi"/>
          <w:lang w:val="fr-FR" w:eastAsia="en-US"/>
        </w:rPr>
        <w:t>(</w:t>
      </w:r>
      <w:r w:rsidR="009738F1" w:rsidRPr="009738F1">
        <w:rPr>
          <w:rFonts w:eastAsiaTheme="minorHAnsi"/>
          <w:i/>
          <w:iCs/>
          <w:lang w:val="fr-FR" w:eastAsia="en-US"/>
        </w:rPr>
        <w:t>FC</w:t>
      </w:r>
      <w:r w:rsidR="009738F1">
        <w:rPr>
          <w:rFonts w:eastAsiaTheme="minorHAnsi"/>
          <w:lang w:val="fr-FR" w:eastAsia="en-US"/>
        </w:rPr>
        <w:t xml:space="preserve">) </w:t>
      </w:r>
      <w:r w:rsidRPr="00CA3533">
        <w:rPr>
          <w:rFonts w:eastAsiaTheme="minorHAnsi"/>
          <w:lang w:val="fr-FR" w:eastAsia="en-US"/>
        </w:rPr>
        <w:t>dans la direction longitudinale, dans la direction circonférentielle et dans toute autre direction dans le plan des différentes couches du matériau composite ne doivent pas dépasser la valeur suivante :</w:t>
      </w:r>
    </w:p>
    <w:p w14:paraId="45F8628A" w14:textId="77777777" w:rsidR="00CA3533" w:rsidRPr="00CA3533" w:rsidRDefault="00CA3533" w:rsidP="00CA3533">
      <w:pPr>
        <w:tabs>
          <w:tab w:val="left" w:pos="1701"/>
          <w:tab w:val="left" w:pos="2268"/>
          <w:tab w:val="left" w:pos="2835"/>
        </w:tabs>
        <w:spacing w:after="120"/>
        <w:ind w:left="1134" w:right="1134"/>
        <w:jc w:val="both"/>
        <w:rPr>
          <w:rFonts w:eastAsiaTheme="minorHAnsi"/>
          <w:lang w:val="fr-FR" w:eastAsia="en-US"/>
        </w:rPr>
      </w:pPr>
      <m:oMathPara>
        <m:oMath>
          <m:r>
            <w:rPr>
              <w:rFonts w:ascii="Cambria Math" w:eastAsiaTheme="minorHAnsi" w:hAnsi="Cambria Math"/>
              <w:lang w:val="fr-FR" w:eastAsia="en-US"/>
            </w:rPr>
            <m:t>FC</m:t>
          </m:r>
          <m:r>
            <m:rPr>
              <m:sty m:val="p"/>
            </m:rPr>
            <w:rPr>
              <w:rFonts w:ascii="Cambria Math" w:eastAsiaTheme="minorHAnsi" w:hAnsi="Cambria Math"/>
              <w:lang w:val="fr-FR" w:eastAsia="en-US"/>
            </w:rPr>
            <m:t>≤</m:t>
          </m:r>
          <m:f>
            <m:fPr>
              <m:ctrlPr>
                <w:rPr>
                  <w:rFonts w:ascii="Cambria Math" w:eastAsiaTheme="minorHAnsi" w:hAnsi="Cambria Math"/>
                  <w:lang w:val="fr-FR" w:eastAsia="en-US"/>
                </w:rPr>
              </m:ctrlPr>
            </m:fPr>
            <m:num>
              <m:r>
                <m:rPr>
                  <m:sty m:val="p"/>
                </m:rPr>
                <w:rPr>
                  <w:rFonts w:ascii="Cambria Math" w:eastAsiaTheme="minorHAnsi" w:hAnsi="Cambria Math"/>
                  <w:lang w:val="fr-FR" w:eastAsia="en-US"/>
                </w:rPr>
                <m:t>1</m:t>
              </m:r>
            </m:num>
            <m:den>
              <m:r>
                <w:rPr>
                  <w:rFonts w:ascii="Cambria Math" w:eastAsiaTheme="minorHAnsi" w:hAnsi="Cambria Math"/>
                  <w:lang w:val="fr-FR" w:eastAsia="en-US"/>
                </w:rPr>
                <m:t>K</m:t>
              </m:r>
            </m:den>
          </m:f>
          <m:r>
            <m:rPr>
              <m:sty m:val="p"/>
            </m:rPr>
            <w:rPr>
              <w:rFonts w:ascii="Cambria Math" w:eastAsiaTheme="minorHAnsi" w:hAnsi="Cambria Math"/>
              <w:lang w:val="fr-FR" w:eastAsia="en-US"/>
            </w:rPr>
            <m:t xml:space="preserve"> </m:t>
          </m:r>
        </m:oMath>
      </m:oMathPara>
    </w:p>
    <w:p w14:paraId="64E91515"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où :</w:t>
      </w:r>
    </w:p>
    <w:p w14:paraId="5CDAB55F" w14:textId="77777777" w:rsidR="00CA3533" w:rsidRPr="00CA3533" w:rsidRDefault="00CA3533" w:rsidP="00CA3533">
      <w:pPr>
        <w:tabs>
          <w:tab w:val="left" w:pos="1701"/>
          <w:tab w:val="left" w:pos="2268"/>
          <w:tab w:val="left" w:pos="2835"/>
        </w:tabs>
        <w:spacing w:after="120"/>
        <w:ind w:left="1134" w:right="1134"/>
        <w:jc w:val="both"/>
        <w:rPr>
          <w:rFonts w:eastAsiaTheme="minorHAnsi"/>
          <w:strike/>
          <w:lang w:val="fr-FR" w:eastAsia="en-US"/>
        </w:rPr>
      </w:pPr>
      <m:oMathPara>
        <m:oMathParaPr>
          <m:jc m:val="center"/>
        </m:oMathParaPr>
        <m:oMath>
          <m:r>
            <w:rPr>
              <w:rFonts w:ascii="Cambria Math" w:eastAsiaTheme="minorHAnsi" w:hAnsi="Cambria Math"/>
              <w:lang w:val="fr-FR" w:eastAsia="en-US"/>
            </w:rPr>
            <m:t>K=</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0</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1</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2</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3</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4</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5</m:t>
              </m:r>
            </m:sub>
          </m:sSub>
        </m:oMath>
      </m:oMathPara>
    </w:p>
    <w:p w14:paraId="4D6CE92F"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où :</w:t>
      </w:r>
    </w:p>
    <w:p w14:paraId="663A8A96" w14:textId="77777777" w:rsidR="00CA3533" w:rsidRPr="00F829CF" w:rsidRDefault="00CA3533" w:rsidP="00CA3533">
      <w:pPr>
        <w:keepNext/>
        <w:tabs>
          <w:tab w:val="left" w:pos="4228"/>
        </w:tabs>
        <w:spacing w:after="120"/>
        <w:ind w:left="2835" w:right="1134" w:hanging="567"/>
        <w:jc w:val="both"/>
        <w:rPr>
          <w:rFonts w:eastAsiaTheme="minorHAnsi"/>
          <w:bCs/>
          <w:lang w:val="fr-FR" w:eastAsia="en-US"/>
        </w:rPr>
      </w:pPr>
      <w:r w:rsidRPr="00F829CF">
        <w:rPr>
          <w:rFonts w:eastAsiaTheme="minorHAnsi"/>
          <w:bCs/>
          <w:i/>
          <w:iCs/>
          <w:lang w:val="fr-FR" w:eastAsia="en-US"/>
        </w:rPr>
        <w:t>K</w:t>
      </w:r>
      <w:r w:rsidRPr="00F829CF">
        <w:rPr>
          <w:rFonts w:eastAsiaTheme="minorHAnsi"/>
          <w:bCs/>
          <w:lang w:val="fr-FR" w:eastAsia="en-US"/>
        </w:rPr>
        <w:tab/>
        <w:t>doit avoir une valeur minimale de 4.</w:t>
      </w:r>
    </w:p>
    <w:p w14:paraId="6EE38683" w14:textId="409D3708" w:rsidR="00CA3533" w:rsidRPr="00F829CF" w:rsidRDefault="00F14664" w:rsidP="00CA3533">
      <w:pPr>
        <w:keepNext/>
        <w:tabs>
          <w:tab w:val="left" w:pos="4228"/>
        </w:tabs>
        <w:spacing w:after="120"/>
        <w:ind w:left="2835" w:right="1134" w:hanging="567"/>
        <w:jc w:val="both"/>
        <w:rPr>
          <w:rFonts w:eastAsiaTheme="minorHAnsi"/>
          <w:bCs/>
          <w:spacing w:val="-1"/>
          <w:lang w:val="fr-FR" w:eastAsia="en-US"/>
        </w:rPr>
      </w:pPr>
      <w:r w:rsidRPr="00F829CF">
        <w:rPr>
          <w:rFonts w:eastAsiaTheme="minorHAnsi"/>
          <w:bCs/>
          <w:i/>
          <w:iCs/>
          <w:lang w:val="fr-FR" w:eastAsia="en-US"/>
        </w:rPr>
        <w:t>K</w:t>
      </w:r>
      <w:r>
        <w:rPr>
          <w:rFonts w:eastAsiaTheme="minorHAnsi"/>
          <w:bCs/>
          <w:i/>
          <w:iCs/>
          <w:lang w:val="fr-FR" w:eastAsia="en-US"/>
        </w:rPr>
        <w:t>₀</w:t>
      </w:r>
      <w:r w:rsidR="00CA3533" w:rsidRPr="00F829CF">
        <w:rPr>
          <w:rFonts w:eastAsiaTheme="minorHAnsi"/>
          <w:bCs/>
          <w:spacing w:val="-1"/>
          <w:lang w:val="fr-FR" w:eastAsia="en-US"/>
        </w:rPr>
        <w:tab/>
        <w:t>est un facteur de résistance. Pour la conception générale, la valeur de </w:t>
      </w:r>
      <w:r w:rsidRPr="00F829CF">
        <w:rPr>
          <w:rFonts w:eastAsiaTheme="minorHAnsi"/>
          <w:bCs/>
          <w:i/>
          <w:iCs/>
          <w:lang w:val="fr-FR" w:eastAsia="en-US"/>
        </w:rPr>
        <w:t>K</w:t>
      </w:r>
      <w:r>
        <w:rPr>
          <w:rFonts w:eastAsiaTheme="minorHAnsi"/>
          <w:bCs/>
          <w:i/>
          <w:iCs/>
          <w:lang w:val="fr-FR" w:eastAsia="en-US"/>
        </w:rPr>
        <w:t xml:space="preserve">₀ </w:t>
      </w:r>
      <w:r w:rsidR="00CA3533" w:rsidRPr="00F829CF">
        <w:rPr>
          <w:rFonts w:eastAsiaTheme="minorHAnsi"/>
          <w:bCs/>
          <w:spacing w:val="-1"/>
          <w:lang w:val="fr-FR" w:eastAsia="en-US"/>
        </w:rPr>
        <w:t>doit être supérieure ou égale à 1,5. On appliquera la valeur de </w:t>
      </w:r>
      <w:r w:rsidRPr="00F829CF">
        <w:rPr>
          <w:rFonts w:eastAsiaTheme="minorHAnsi"/>
          <w:bCs/>
          <w:i/>
          <w:iCs/>
          <w:lang w:val="fr-FR" w:eastAsia="en-US"/>
        </w:rPr>
        <w:t>K</w:t>
      </w:r>
      <w:r>
        <w:rPr>
          <w:rFonts w:eastAsiaTheme="minorHAnsi"/>
          <w:bCs/>
          <w:i/>
          <w:iCs/>
          <w:lang w:val="fr-FR" w:eastAsia="en-US"/>
        </w:rPr>
        <w:t>₀</w:t>
      </w:r>
      <w:r w:rsidR="00CA3533" w:rsidRPr="00F829CF">
        <w:rPr>
          <w:rFonts w:eastAsiaTheme="minorHAnsi"/>
          <w:bCs/>
          <w:spacing w:val="-1"/>
          <w:lang w:val="fr-FR" w:eastAsia="en-US"/>
        </w:rPr>
        <w:t xml:space="preserve"> multipliée par un coefficient deux, à moins que le réservoir ne dispose d’une protection sous la forme d’une armature métallique complète, y compris des membrures structurales longitudinales et transversales ;</w:t>
      </w:r>
    </w:p>
    <w:p w14:paraId="29AC509E" w14:textId="303AE338" w:rsidR="00CA3533" w:rsidRPr="00F829CF" w:rsidRDefault="00F14664" w:rsidP="00CA3533">
      <w:pPr>
        <w:keepNext/>
        <w:tabs>
          <w:tab w:val="left" w:pos="4228"/>
        </w:tabs>
        <w:spacing w:after="120"/>
        <w:ind w:left="2835" w:right="1134" w:hanging="567"/>
        <w:jc w:val="both"/>
        <w:rPr>
          <w:rFonts w:eastAsiaTheme="minorHAnsi"/>
          <w:bCs/>
          <w:lang w:val="fr-FR" w:eastAsia="en-US"/>
        </w:rPr>
      </w:pPr>
      <w:r w:rsidRPr="00F829CF">
        <w:rPr>
          <w:rFonts w:eastAsiaTheme="minorHAnsi"/>
          <w:bCs/>
          <w:i/>
          <w:iCs/>
          <w:lang w:val="fr-FR" w:eastAsia="en-US"/>
        </w:rPr>
        <w:t>K</w:t>
      </w:r>
      <w:r w:rsidRPr="00BE5CC8">
        <w:rPr>
          <w:rFonts w:eastAsiaTheme="minorHAnsi"/>
          <w:bCs/>
          <w:lang w:val="fr-FR" w:eastAsia="en-US"/>
        </w:rPr>
        <w:t>₁</w:t>
      </w:r>
      <w:r w:rsidR="00CA3533" w:rsidRPr="00F829CF">
        <w:rPr>
          <w:rFonts w:eastAsiaTheme="minorHAnsi"/>
          <w:bCs/>
          <w:lang w:val="fr-FR" w:eastAsia="en-US"/>
        </w:rPr>
        <w:tab/>
        <w:t>est un facteur lié à la détérioration des propriétés du matériau dû au fluage et au vieillissement. Il est déterminé par la formule :</w:t>
      </w:r>
    </w:p>
    <w:p w14:paraId="529D8F25" w14:textId="77777777" w:rsidR="00CA3533" w:rsidRPr="00CA3533" w:rsidRDefault="00D55C34" w:rsidP="00CA3533">
      <w:pPr>
        <w:tabs>
          <w:tab w:val="left" w:pos="1701"/>
          <w:tab w:val="left" w:pos="2268"/>
          <w:tab w:val="left" w:pos="2835"/>
        </w:tabs>
        <w:spacing w:after="120"/>
        <w:ind w:left="1134" w:right="1134"/>
        <w:jc w:val="both"/>
        <w:rPr>
          <w:rFonts w:eastAsiaTheme="minorHAnsi"/>
          <w:lang w:val="fr-FR" w:eastAsia="en-US"/>
        </w:rPr>
      </w:pPr>
      <m:oMathPara>
        <m:oMath>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1</m:t>
              </m:r>
            </m:sub>
          </m:sSub>
          <m:r>
            <w:rPr>
              <w:rFonts w:ascii="Cambria Math" w:eastAsiaTheme="minorHAnsi" w:hAnsi="Cambria Math"/>
              <w:lang w:val="fr-FR" w:eastAsia="en-US"/>
            </w:rPr>
            <m:t>=</m:t>
          </m:r>
          <m:f>
            <m:fPr>
              <m:ctrlPr>
                <w:rPr>
                  <w:rFonts w:ascii="Cambria Math" w:eastAsiaTheme="minorHAnsi" w:hAnsi="Cambria Math"/>
                  <w:i/>
                  <w:lang w:val="fr-FR" w:eastAsia="en-US"/>
                </w:rPr>
              </m:ctrlPr>
            </m:fPr>
            <m:num>
              <m:r>
                <w:rPr>
                  <w:rFonts w:ascii="Cambria Math" w:eastAsiaTheme="minorHAnsi" w:hAnsi="Cambria Math"/>
                  <w:lang w:val="fr-FR" w:eastAsia="en-US"/>
                </w:rPr>
                <m:t>1</m:t>
              </m:r>
            </m:num>
            <m:den>
              <m:r>
                <w:rPr>
                  <w:rFonts w:ascii="Cambria Math" w:eastAsiaTheme="minorHAnsi" w:hAnsi="Cambria Math"/>
                  <w:lang w:val="fr-FR" w:eastAsia="en-US"/>
                </w:rPr>
                <m:t>αβ</m:t>
              </m:r>
            </m:den>
          </m:f>
        </m:oMath>
      </m:oMathPara>
    </w:p>
    <w:p w14:paraId="01895ECE" w14:textId="1D353308"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 xml:space="preserve">où </w:t>
      </w:r>
      <w:r w:rsidRPr="009F7DFC">
        <w:rPr>
          <w:rFonts w:eastAsiaTheme="minorHAnsi"/>
          <w:i/>
          <w:iCs/>
          <w:lang w:val="fr-FR" w:eastAsia="en-US"/>
        </w:rPr>
        <w:t>α</w:t>
      </w:r>
      <w:r w:rsidRPr="00CA3533">
        <w:rPr>
          <w:rFonts w:eastAsiaTheme="minorHAnsi"/>
          <w:lang w:val="fr-FR" w:eastAsia="en-US"/>
        </w:rPr>
        <w:t xml:space="preserve"> est le facteur de fluage et β le facteur de vieillissement, conformément aux dispositions respectives des 6.9.2.7.1.2 e) et f). Lorsqu’ils sont utilisés dans le calcul, les facteurs </w:t>
      </w:r>
      <w:r w:rsidRPr="009F7DFC">
        <w:rPr>
          <w:rFonts w:eastAsiaTheme="minorHAnsi"/>
          <w:i/>
          <w:iCs/>
          <w:lang w:val="fr-FR" w:eastAsia="en-US"/>
        </w:rPr>
        <w:t>α</w:t>
      </w:r>
      <w:r w:rsidRPr="00CA3533">
        <w:rPr>
          <w:rFonts w:eastAsiaTheme="minorHAnsi"/>
          <w:lang w:val="fr-FR" w:eastAsia="en-US"/>
        </w:rPr>
        <w:t xml:space="preserve"> et </w:t>
      </w:r>
      <w:r w:rsidRPr="009F7DFC">
        <w:rPr>
          <w:rFonts w:eastAsiaTheme="minorHAnsi"/>
          <w:i/>
          <w:iCs/>
          <w:lang w:val="fr-FR" w:eastAsia="en-US"/>
        </w:rPr>
        <w:t>β</w:t>
      </w:r>
      <w:r w:rsidRPr="00CA3533">
        <w:rPr>
          <w:rFonts w:eastAsiaTheme="minorHAnsi"/>
          <w:lang w:val="fr-FR" w:eastAsia="en-US"/>
        </w:rPr>
        <w:t xml:space="preserve"> doivent être compris entre 0 et 1.</w:t>
      </w:r>
    </w:p>
    <w:p w14:paraId="0E06A895" w14:textId="16BE0ECB"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 xml:space="preserve">On peut aussi, par précaution, décider que </w:t>
      </w:r>
      <w:r w:rsidR="00B90F78" w:rsidRPr="00F829CF">
        <w:rPr>
          <w:rFonts w:eastAsiaTheme="minorHAnsi"/>
          <w:bCs/>
          <w:i/>
          <w:iCs/>
          <w:lang w:val="fr-FR" w:eastAsia="en-US"/>
        </w:rPr>
        <w:t>K</w:t>
      </w:r>
      <w:r w:rsidR="00B90F78" w:rsidRPr="00BE5CC8">
        <w:rPr>
          <w:rFonts w:eastAsiaTheme="minorHAnsi"/>
          <w:bCs/>
          <w:lang w:val="fr-FR" w:eastAsia="en-US"/>
        </w:rPr>
        <w:t>₁</w:t>
      </w:r>
      <w:r w:rsidR="00B90F78">
        <w:rPr>
          <w:rFonts w:eastAsiaTheme="minorHAnsi"/>
          <w:bCs/>
          <w:i/>
          <w:iCs/>
          <w:lang w:val="fr-FR" w:eastAsia="en-US"/>
        </w:rPr>
        <w:t xml:space="preserve"> </w:t>
      </w:r>
      <w:r w:rsidRPr="00CA3533">
        <w:rPr>
          <w:rFonts w:eastAsiaTheme="minorHAnsi"/>
          <w:lang w:val="fr-FR" w:eastAsia="en-US"/>
        </w:rPr>
        <w:t>= 2 aux fins de l’exercice de validation numérique du 6.9.2.3.4 (ce qui ne supprime pas la nécessité d’effectuer des épreuves pour déterminer </w:t>
      </w:r>
      <w:r w:rsidRPr="009F7DFC">
        <w:rPr>
          <w:rFonts w:eastAsiaTheme="minorHAnsi"/>
          <w:i/>
          <w:iCs/>
          <w:lang w:val="fr-FR" w:eastAsia="en-US"/>
        </w:rPr>
        <w:t>α</w:t>
      </w:r>
      <w:r w:rsidRPr="00CA3533">
        <w:rPr>
          <w:rFonts w:eastAsiaTheme="minorHAnsi"/>
          <w:lang w:val="fr-FR" w:eastAsia="en-US"/>
        </w:rPr>
        <w:t xml:space="preserve"> et </w:t>
      </w:r>
      <w:r w:rsidRPr="009F7DFC">
        <w:rPr>
          <w:rFonts w:eastAsiaTheme="minorHAnsi"/>
          <w:i/>
          <w:iCs/>
          <w:lang w:val="fr-FR" w:eastAsia="en-US"/>
        </w:rPr>
        <w:t>β</w:t>
      </w:r>
      <w:r w:rsidRPr="00CA3533">
        <w:rPr>
          <w:rFonts w:eastAsiaTheme="minorHAnsi"/>
          <w:lang w:val="fr-FR" w:eastAsia="en-US"/>
        </w:rPr>
        <w:t>) ;</w:t>
      </w:r>
    </w:p>
    <w:p w14:paraId="362343C9" w14:textId="77777777" w:rsidR="00C32E3C" w:rsidRDefault="00C32E3C" w:rsidP="00CA3533">
      <w:pPr>
        <w:keepNext/>
        <w:tabs>
          <w:tab w:val="left" w:pos="4228"/>
        </w:tabs>
        <w:spacing w:after="120"/>
        <w:ind w:left="2835" w:right="1134" w:hanging="567"/>
        <w:jc w:val="both"/>
        <w:rPr>
          <w:rFonts w:eastAsiaTheme="minorHAnsi"/>
          <w:spacing w:val="-2"/>
          <w:lang w:val="fr-FR" w:eastAsia="en-US"/>
        </w:rPr>
      </w:pPr>
      <w:r w:rsidRPr="00F829CF">
        <w:rPr>
          <w:rFonts w:eastAsiaTheme="minorHAnsi"/>
          <w:bCs/>
          <w:i/>
          <w:iCs/>
          <w:lang w:val="fr-FR" w:eastAsia="en-US"/>
        </w:rPr>
        <w:t>K</w:t>
      </w:r>
      <w:r w:rsidRPr="00BE5CC8">
        <w:rPr>
          <w:rFonts w:eastAsiaTheme="minorHAnsi"/>
          <w:bCs/>
          <w:lang w:val="fr-FR" w:eastAsia="en-US"/>
        </w:rPr>
        <w:t>₂</w:t>
      </w:r>
      <w:r w:rsidR="00CA3533" w:rsidRPr="00CA3533">
        <w:rPr>
          <w:rFonts w:eastAsiaTheme="minorHAnsi"/>
          <w:spacing w:val="-2"/>
          <w:lang w:val="fr-FR" w:eastAsia="en-US"/>
        </w:rPr>
        <w:tab/>
        <w:t xml:space="preserve">est un facteur lié à la température de service et aux propriétés thermiques de la résine ; il est déterminé par l’équation suivante avec une valeur minimum de 1: </w:t>
      </w:r>
    </w:p>
    <w:p w14:paraId="5EC007D0" w14:textId="07F8A5FC" w:rsidR="00C32E3C" w:rsidRDefault="00C32E3C" w:rsidP="00CA3533">
      <w:pPr>
        <w:keepNext/>
        <w:tabs>
          <w:tab w:val="left" w:pos="4228"/>
        </w:tabs>
        <w:spacing w:after="120"/>
        <w:ind w:left="2835" w:right="1134" w:hanging="567"/>
        <w:jc w:val="both"/>
        <w:rPr>
          <w:rFonts w:eastAsiaTheme="minorHAnsi"/>
          <w:spacing w:val="-2"/>
          <w:lang w:val="fr-FR" w:eastAsia="en-US"/>
        </w:rPr>
      </w:pPr>
      <w:r>
        <w:rPr>
          <w:rFonts w:eastAsiaTheme="minorHAnsi"/>
          <w:bCs/>
          <w:i/>
          <w:iCs/>
          <w:lang w:val="fr-FR" w:eastAsia="en-US"/>
        </w:rPr>
        <w:tab/>
      </w:r>
      <w:r w:rsidRPr="00F829CF">
        <w:rPr>
          <w:rFonts w:eastAsiaTheme="minorHAnsi"/>
          <w:bCs/>
          <w:i/>
          <w:iCs/>
          <w:lang w:val="fr-FR" w:eastAsia="en-US"/>
        </w:rPr>
        <w:t>K</w:t>
      </w:r>
      <w:r w:rsidRPr="00BE5CC8">
        <w:rPr>
          <w:rFonts w:eastAsiaTheme="minorHAnsi"/>
          <w:bCs/>
          <w:lang w:val="fr-FR" w:eastAsia="en-US"/>
        </w:rPr>
        <w:t>₂</w:t>
      </w:r>
      <w:r>
        <w:rPr>
          <w:rFonts w:eastAsiaTheme="minorHAnsi"/>
          <w:bCs/>
          <w:i/>
          <w:iCs/>
          <w:lang w:val="fr-FR" w:eastAsia="en-US"/>
        </w:rPr>
        <w:t xml:space="preserve"> </w:t>
      </w:r>
      <w:r w:rsidR="00CA3533" w:rsidRPr="00CA3533">
        <w:rPr>
          <w:rFonts w:eastAsiaTheme="minorHAnsi"/>
          <w:spacing w:val="-2"/>
          <w:lang w:val="fr-FR" w:eastAsia="en-US"/>
        </w:rPr>
        <w:t>= 1,25 - 0,0125 (</w:t>
      </w:r>
      <w:r w:rsidR="00CA3533" w:rsidRPr="00726B00">
        <w:rPr>
          <w:rFonts w:eastAsiaTheme="minorHAnsi"/>
          <w:i/>
          <w:iCs/>
          <w:spacing w:val="-2"/>
          <w:lang w:val="fr-FR" w:eastAsia="en-US"/>
        </w:rPr>
        <w:t>HDT</w:t>
      </w:r>
      <w:r w:rsidR="00CA3533" w:rsidRPr="00CA3533">
        <w:rPr>
          <w:rFonts w:eastAsiaTheme="minorHAnsi"/>
          <w:spacing w:val="-2"/>
          <w:lang w:val="fr-FR" w:eastAsia="en-US"/>
        </w:rPr>
        <w:t xml:space="preserve"> - 70) </w:t>
      </w:r>
    </w:p>
    <w:p w14:paraId="307E01E5" w14:textId="69046BD7" w:rsidR="00CA3533" w:rsidRPr="00CA3533" w:rsidRDefault="00C32E3C" w:rsidP="00CA3533">
      <w:pPr>
        <w:keepNext/>
        <w:tabs>
          <w:tab w:val="left" w:pos="4228"/>
        </w:tabs>
        <w:spacing w:after="120"/>
        <w:ind w:left="2835" w:right="1134" w:hanging="567"/>
        <w:jc w:val="both"/>
        <w:rPr>
          <w:rFonts w:eastAsiaTheme="minorHAnsi"/>
          <w:spacing w:val="-2"/>
          <w:lang w:val="fr-FR" w:eastAsia="en-US"/>
        </w:rPr>
      </w:pPr>
      <w:r>
        <w:rPr>
          <w:rFonts w:eastAsiaTheme="minorHAnsi"/>
          <w:spacing w:val="-2"/>
          <w:lang w:val="fr-FR" w:eastAsia="en-US"/>
        </w:rPr>
        <w:tab/>
      </w:r>
      <w:r w:rsidR="00CA3533" w:rsidRPr="00CA3533">
        <w:rPr>
          <w:rFonts w:eastAsiaTheme="minorHAnsi"/>
          <w:spacing w:val="-2"/>
          <w:lang w:val="fr-FR" w:eastAsia="en-US"/>
        </w:rPr>
        <w:t xml:space="preserve">où </w:t>
      </w:r>
      <w:r w:rsidR="00CA3533" w:rsidRPr="00726B00">
        <w:rPr>
          <w:rFonts w:eastAsiaTheme="minorHAnsi"/>
          <w:i/>
          <w:iCs/>
          <w:spacing w:val="-2"/>
          <w:lang w:val="fr-FR" w:eastAsia="en-US"/>
        </w:rPr>
        <w:t>HDT</w:t>
      </w:r>
      <w:r w:rsidR="00CA3533" w:rsidRPr="00CA3533">
        <w:rPr>
          <w:rFonts w:eastAsiaTheme="minorHAnsi"/>
          <w:spacing w:val="-2"/>
          <w:lang w:val="fr-FR" w:eastAsia="en-US"/>
        </w:rPr>
        <w:t xml:space="preserve"> est la température de déformation thermique de la résine, en ºC ;</w:t>
      </w:r>
    </w:p>
    <w:p w14:paraId="6D1B8225" w14:textId="68845B1D" w:rsidR="00CA3533" w:rsidRPr="00CA3533" w:rsidRDefault="00726B00" w:rsidP="00CA3533">
      <w:pPr>
        <w:keepNext/>
        <w:tabs>
          <w:tab w:val="left" w:pos="4228"/>
        </w:tabs>
        <w:spacing w:after="120"/>
        <w:ind w:left="2835" w:right="1134" w:hanging="567"/>
        <w:jc w:val="both"/>
        <w:rPr>
          <w:rFonts w:eastAsiaTheme="minorHAnsi"/>
          <w:lang w:val="fr-FR" w:eastAsia="en-US"/>
        </w:rPr>
      </w:pPr>
      <w:r w:rsidRPr="00F829CF">
        <w:rPr>
          <w:rFonts w:eastAsiaTheme="minorHAnsi"/>
          <w:bCs/>
          <w:i/>
          <w:iCs/>
          <w:lang w:val="fr-FR" w:eastAsia="en-US"/>
        </w:rPr>
        <w:t>K</w:t>
      </w:r>
      <w:r w:rsidR="00EC59E7" w:rsidRPr="00BE5CC8">
        <w:rPr>
          <w:rFonts w:eastAsiaTheme="minorHAnsi"/>
          <w:bCs/>
          <w:lang w:val="fr-FR" w:eastAsia="en-US"/>
        </w:rPr>
        <w:t>₃</w:t>
      </w:r>
      <w:r w:rsidR="00CA3533" w:rsidRPr="00CA3533">
        <w:rPr>
          <w:rFonts w:eastAsiaTheme="minorHAnsi"/>
          <w:lang w:val="fr-FR" w:eastAsia="en-US"/>
        </w:rPr>
        <w:tab/>
        <w:t xml:space="preserve">est un facteur lié à la fatigue du matériau, la valeur de </w:t>
      </w:r>
      <w:r w:rsidR="00FF1029" w:rsidRPr="00F829CF">
        <w:rPr>
          <w:rFonts w:eastAsiaTheme="minorHAnsi"/>
          <w:bCs/>
          <w:i/>
          <w:iCs/>
          <w:lang w:val="fr-FR" w:eastAsia="en-US"/>
        </w:rPr>
        <w:t>K</w:t>
      </w:r>
      <w:r w:rsidR="00FF1029" w:rsidRPr="00BE5CC8">
        <w:rPr>
          <w:rFonts w:eastAsiaTheme="minorHAnsi"/>
          <w:bCs/>
          <w:lang w:val="fr-FR" w:eastAsia="en-US"/>
        </w:rPr>
        <w:t>₃</w:t>
      </w:r>
      <w:r w:rsidR="00CA3533" w:rsidRPr="00BE5CC8">
        <w:rPr>
          <w:rFonts w:eastAsiaTheme="minorHAnsi"/>
          <w:lang w:val="fr-FR" w:eastAsia="en-US"/>
        </w:rPr>
        <w:t xml:space="preserve"> </w:t>
      </w:r>
      <w:r w:rsidR="00CA3533" w:rsidRPr="00CA3533">
        <w:rPr>
          <w:rFonts w:eastAsiaTheme="minorHAnsi"/>
          <w:lang w:val="fr-FR" w:eastAsia="en-US"/>
        </w:rPr>
        <w:t xml:space="preserve">étant égale à 1,75 sauf accord contraire avec l’autorité compétente. Pour la conception dynamique prévue au 6.7.2.2.12, </w:t>
      </w:r>
      <w:r w:rsidR="00FF1029" w:rsidRPr="00F829CF">
        <w:rPr>
          <w:rFonts w:eastAsiaTheme="minorHAnsi"/>
          <w:bCs/>
          <w:i/>
          <w:iCs/>
          <w:lang w:val="fr-FR" w:eastAsia="en-US"/>
        </w:rPr>
        <w:t>K</w:t>
      </w:r>
      <w:r w:rsidR="00FF1029" w:rsidRPr="00BE5CC8">
        <w:rPr>
          <w:rFonts w:eastAsiaTheme="minorHAnsi"/>
          <w:bCs/>
          <w:lang w:val="fr-FR" w:eastAsia="en-US"/>
        </w:rPr>
        <w:t>₃</w:t>
      </w:r>
      <w:r w:rsidR="00FF1029">
        <w:rPr>
          <w:rFonts w:eastAsiaTheme="minorHAnsi"/>
          <w:bCs/>
          <w:i/>
          <w:iCs/>
          <w:lang w:val="fr-FR" w:eastAsia="en-US"/>
        </w:rPr>
        <w:t xml:space="preserve"> </w:t>
      </w:r>
      <w:r w:rsidR="00CA3533" w:rsidRPr="00CA3533">
        <w:rPr>
          <w:rFonts w:eastAsiaTheme="minorHAnsi"/>
          <w:lang w:val="fr-FR" w:eastAsia="en-US"/>
        </w:rPr>
        <w:t>doit être égal à 1,1 ;</w:t>
      </w:r>
    </w:p>
    <w:p w14:paraId="535CC6BB" w14:textId="2ED5F23B" w:rsidR="00CA3533" w:rsidRPr="00CA3533" w:rsidRDefault="00EC59E7" w:rsidP="00CA3533">
      <w:pPr>
        <w:keepNext/>
        <w:tabs>
          <w:tab w:val="left" w:pos="4228"/>
        </w:tabs>
        <w:spacing w:after="120"/>
        <w:ind w:left="2835" w:right="1134" w:hanging="567"/>
        <w:jc w:val="both"/>
        <w:rPr>
          <w:rFonts w:eastAsiaTheme="minorHAnsi"/>
          <w:spacing w:val="-3"/>
          <w:lang w:val="fr-FR" w:eastAsia="en-US"/>
        </w:rPr>
      </w:pPr>
      <w:r w:rsidRPr="00F829CF">
        <w:rPr>
          <w:rFonts w:eastAsiaTheme="minorHAnsi"/>
          <w:bCs/>
          <w:i/>
          <w:iCs/>
          <w:lang w:val="fr-FR" w:eastAsia="en-US"/>
        </w:rPr>
        <w:t>K</w:t>
      </w:r>
      <w:r w:rsidRPr="00BE5CC8">
        <w:rPr>
          <w:rFonts w:eastAsiaTheme="minorHAnsi"/>
          <w:bCs/>
          <w:lang w:val="fr-FR" w:eastAsia="en-US"/>
        </w:rPr>
        <w:t>₄</w:t>
      </w:r>
      <w:r w:rsidR="00CA3533" w:rsidRPr="00CA3533">
        <w:rPr>
          <w:rFonts w:eastAsiaTheme="minorHAnsi"/>
          <w:spacing w:val="-3"/>
          <w:lang w:val="fr-FR" w:eastAsia="en-US"/>
        </w:rPr>
        <w:tab/>
        <w:t>est un facteur lié à la réticulation de la résine avec les valeurs suivantes :</w:t>
      </w:r>
    </w:p>
    <w:p w14:paraId="2940CAC7" w14:textId="77777777" w:rsidR="00CA3533" w:rsidRPr="00CA3533" w:rsidRDefault="00CA3533" w:rsidP="00BE5CC8">
      <w:pPr>
        <w:keepNext/>
        <w:tabs>
          <w:tab w:val="left" w:pos="4228"/>
        </w:tabs>
        <w:spacing w:after="120"/>
        <w:ind w:left="3402" w:right="1134" w:hanging="567"/>
        <w:jc w:val="both"/>
        <w:rPr>
          <w:rFonts w:eastAsiaTheme="minorHAnsi"/>
          <w:spacing w:val="-1"/>
          <w:lang w:val="fr-FR" w:eastAsia="en-US"/>
        </w:rPr>
      </w:pPr>
      <w:r w:rsidRPr="00CA3533">
        <w:rPr>
          <w:rFonts w:eastAsiaTheme="minorHAnsi"/>
          <w:spacing w:val="-1"/>
          <w:lang w:val="fr-FR" w:eastAsia="en-US"/>
        </w:rPr>
        <w:t>1,0</w:t>
      </w:r>
      <w:r w:rsidRPr="00CA3533">
        <w:rPr>
          <w:rFonts w:eastAsiaTheme="minorHAnsi"/>
          <w:spacing w:val="-1"/>
          <w:lang w:val="fr-FR" w:eastAsia="en-US"/>
        </w:rPr>
        <w:tab/>
        <w:t xml:space="preserve">quand la réticulation est obtenue conformément à un procédé agréé et documenté, et que le système de gestion de la qualité décrit au 6.9.2.2.2 comprend le contrôle du degré de réticulation de chaque citerne mobile en PRF en utilisant une méthode de mesure directe, comme indiqué au </w:t>
      </w:r>
      <w:r w:rsidRPr="00CA3533">
        <w:rPr>
          <w:rFonts w:eastAsiaTheme="minorHAnsi"/>
          <w:bCs/>
          <w:spacing w:val="-1"/>
          <w:lang w:val="fr-FR" w:eastAsia="en-US"/>
        </w:rPr>
        <w:t>6.9.2.7.1.2 h), telle que</w:t>
      </w:r>
      <w:r w:rsidRPr="00CA3533">
        <w:rPr>
          <w:rFonts w:eastAsiaTheme="minorHAnsi"/>
          <w:spacing w:val="-1"/>
          <w:lang w:val="fr-FR" w:eastAsia="en-US"/>
        </w:rPr>
        <w:t xml:space="preserve"> </w:t>
      </w:r>
      <w:r w:rsidRPr="00CA3533">
        <w:rPr>
          <w:rFonts w:eastAsiaTheme="minorHAnsi"/>
          <w:spacing w:val="-1"/>
          <w:lang w:val="fr-FR" w:eastAsia="en-US"/>
        </w:rPr>
        <w:lastRenderedPageBreak/>
        <w:t>l’analyse calorimétrique différentielle (ACD) selon la norme ISO 11357-2:2016</w:t>
      </w:r>
      <w:r w:rsidRPr="00CA3533">
        <w:rPr>
          <w:rFonts w:eastAsiaTheme="minorHAnsi"/>
          <w:bCs/>
          <w:spacing w:val="-1"/>
          <w:lang w:val="fr-FR" w:eastAsia="en-US"/>
        </w:rPr>
        <w:t> </w:t>
      </w:r>
      <w:r w:rsidRPr="00CA3533">
        <w:rPr>
          <w:rFonts w:eastAsiaTheme="minorHAnsi"/>
          <w:spacing w:val="-1"/>
          <w:lang w:val="fr-FR" w:eastAsia="en-US"/>
        </w:rPr>
        <w:t>;</w:t>
      </w:r>
    </w:p>
    <w:p w14:paraId="35AFFBC7" w14:textId="6FC838C7" w:rsidR="00CA3533" w:rsidRPr="00CA3533" w:rsidRDefault="00CA3533" w:rsidP="00BE5CC8">
      <w:pPr>
        <w:keepNext/>
        <w:tabs>
          <w:tab w:val="left" w:pos="4228"/>
        </w:tabs>
        <w:spacing w:after="120"/>
        <w:ind w:left="3402" w:right="1134" w:hanging="567"/>
        <w:jc w:val="both"/>
        <w:rPr>
          <w:rFonts w:eastAsiaTheme="minorHAnsi"/>
          <w:lang w:val="fr-FR" w:eastAsia="en-US"/>
        </w:rPr>
      </w:pPr>
      <w:r w:rsidRPr="00CA3533">
        <w:rPr>
          <w:rFonts w:eastAsiaTheme="minorHAnsi"/>
          <w:lang w:val="fr-FR" w:eastAsia="en-US"/>
        </w:rPr>
        <w:t>1,1</w:t>
      </w:r>
      <w:r w:rsidRPr="00CA3533">
        <w:rPr>
          <w:rFonts w:eastAsiaTheme="minorHAnsi"/>
          <w:lang w:val="fr-FR" w:eastAsia="en-US"/>
        </w:rPr>
        <w:tab/>
        <w:t>quand le formage de la résine thermoplastique ou la réticulation de la</w:t>
      </w:r>
      <w:r w:rsidRPr="00CA3533">
        <w:rPr>
          <w:rFonts w:eastAsiaTheme="minorHAnsi"/>
          <w:lang w:val="fr-FR" w:eastAsia="ru-RU"/>
        </w:rPr>
        <w:t xml:space="preserve"> résine thermodurcissable</w:t>
      </w:r>
      <w:r w:rsidRPr="00CA3533">
        <w:rPr>
          <w:rFonts w:eastAsiaTheme="minorHAnsi"/>
          <w:lang w:val="fr-FR" w:eastAsia="en-US"/>
        </w:rPr>
        <w:t xml:space="preserve"> est obtenu conformément à un procédé agréé et documenté, et que le système qualité décrit au 6.9.2.2.2 comprend le contrôle, </w:t>
      </w:r>
      <w:r w:rsidRPr="00CA3533">
        <w:rPr>
          <w:rFonts w:eastAsiaTheme="minorHAnsi"/>
          <w:lang w:val="fr-FR" w:eastAsia="ru-RU"/>
        </w:rPr>
        <w:t>selon le cas, des caractéristiques de la résine thermoplastique formée ou du degré de réticulation de la résine thermodurcissable,</w:t>
      </w:r>
      <w:r w:rsidRPr="00CA3533">
        <w:rPr>
          <w:rFonts w:eastAsiaTheme="minorHAnsi"/>
          <w:lang w:val="fr-FR" w:eastAsia="en-US"/>
        </w:rPr>
        <w:t xml:space="preserve"> pour chaque citerne mobile en PRF, en utilisant une méthode de mesure indirecte comme indiqué au </w:t>
      </w:r>
      <w:r w:rsidRPr="00CA3533">
        <w:rPr>
          <w:rFonts w:eastAsiaTheme="minorHAnsi"/>
          <w:bCs/>
          <w:lang w:val="fr-FR" w:eastAsia="en-US"/>
        </w:rPr>
        <w:t>6.9.2.7.1.2 h)</w:t>
      </w:r>
      <w:r w:rsidRPr="00CA3533">
        <w:rPr>
          <w:rFonts w:eastAsiaTheme="minorHAnsi"/>
          <w:lang w:val="fr-FR" w:eastAsia="en-US"/>
        </w:rPr>
        <w:t xml:space="preserve">, telle que le test de </w:t>
      </w:r>
      <w:proofErr w:type="spellStart"/>
      <w:r w:rsidRPr="00CA3533">
        <w:rPr>
          <w:rFonts w:eastAsiaTheme="minorHAnsi"/>
          <w:lang w:val="fr-FR" w:eastAsia="en-US"/>
        </w:rPr>
        <w:t>Barcol</w:t>
      </w:r>
      <w:proofErr w:type="spellEnd"/>
      <w:r w:rsidRPr="00CA3533">
        <w:rPr>
          <w:rFonts w:eastAsiaTheme="minorHAnsi"/>
          <w:lang w:val="fr-FR" w:eastAsia="en-US"/>
        </w:rPr>
        <w:t xml:space="preserve"> selon la norme ASTM D2583:2013-03 ou EN 59:2016, la HDT selon la norme ISО 75</w:t>
      </w:r>
      <w:r w:rsidRPr="00CA3533">
        <w:rPr>
          <w:rFonts w:eastAsiaTheme="minorHAnsi"/>
          <w:lang w:val="fr-FR" w:eastAsia="en-US"/>
        </w:rPr>
        <w:noBreakHyphen/>
        <w:t>1:2013, l’analyse thermomécanique selon la norme ISO 11359</w:t>
      </w:r>
      <w:r w:rsidRPr="00CA3533">
        <w:rPr>
          <w:rFonts w:eastAsiaTheme="minorHAnsi"/>
          <w:lang w:val="fr-FR" w:eastAsia="en-US"/>
        </w:rPr>
        <w:noBreakHyphen/>
        <w:t>1:2014, ou l’analyse thermomécanique dynamique selon la norme ISO 6721-11:2019 ;</w:t>
      </w:r>
    </w:p>
    <w:p w14:paraId="3B5ABFB5" w14:textId="77777777" w:rsidR="00CA3533" w:rsidRPr="00CA3533" w:rsidRDefault="00CA3533" w:rsidP="00BE5CC8">
      <w:pPr>
        <w:keepNext/>
        <w:tabs>
          <w:tab w:val="left" w:pos="4228"/>
        </w:tabs>
        <w:spacing w:after="120"/>
        <w:ind w:left="3402" w:right="1134" w:hanging="567"/>
        <w:jc w:val="both"/>
        <w:rPr>
          <w:rFonts w:eastAsiaTheme="minorHAnsi"/>
          <w:lang w:val="fr-FR" w:eastAsia="en-US"/>
        </w:rPr>
      </w:pPr>
      <w:r w:rsidRPr="00CA3533">
        <w:rPr>
          <w:rFonts w:eastAsiaTheme="minorHAnsi"/>
          <w:lang w:val="fr-FR" w:eastAsia="en-US"/>
        </w:rPr>
        <w:t>1,5</w:t>
      </w:r>
      <w:r w:rsidRPr="00CA3533">
        <w:rPr>
          <w:rFonts w:eastAsiaTheme="minorHAnsi"/>
          <w:lang w:val="fr-FR" w:eastAsia="en-US"/>
        </w:rPr>
        <w:tab/>
        <w:t>dans les autres cas.</w:t>
      </w:r>
    </w:p>
    <w:p w14:paraId="2379685C" w14:textId="464CD10D" w:rsidR="00CA3533" w:rsidRPr="00CA3533" w:rsidRDefault="00BE5CC8" w:rsidP="00CA3533">
      <w:pPr>
        <w:keepNext/>
        <w:tabs>
          <w:tab w:val="left" w:pos="4228"/>
        </w:tabs>
        <w:spacing w:after="120"/>
        <w:ind w:left="2835" w:right="1134" w:hanging="567"/>
        <w:jc w:val="both"/>
        <w:rPr>
          <w:rFonts w:eastAsiaTheme="minorHAnsi"/>
          <w:lang w:val="fr-FR" w:eastAsia="en-US"/>
        </w:rPr>
      </w:pPr>
      <w:r w:rsidRPr="00F829CF">
        <w:rPr>
          <w:rFonts w:eastAsiaTheme="minorHAnsi"/>
          <w:bCs/>
          <w:i/>
          <w:iCs/>
          <w:lang w:val="fr-FR" w:eastAsia="en-US"/>
        </w:rPr>
        <w:t>K</w:t>
      </w:r>
      <w:r>
        <w:rPr>
          <w:rFonts w:eastAsiaTheme="minorHAnsi"/>
          <w:bCs/>
          <w:lang w:val="fr-FR" w:eastAsia="en-US"/>
        </w:rPr>
        <w:t>₅</w:t>
      </w:r>
      <w:r w:rsidR="00CA3533" w:rsidRPr="00CA3533">
        <w:rPr>
          <w:rFonts w:eastAsiaTheme="minorHAnsi"/>
          <w:lang w:val="fr-FR" w:eastAsia="en-US"/>
        </w:rPr>
        <w:tab/>
        <w:t xml:space="preserve">est un </w:t>
      </w:r>
      <w:r w:rsidR="00CA3533" w:rsidRPr="00CA3533">
        <w:rPr>
          <w:rFonts w:eastAsiaTheme="minorHAnsi"/>
          <w:spacing w:val="-3"/>
          <w:lang w:val="fr-FR" w:eastAsia="en-US"/>
        </w:rPr>
        <w:t>facteur</w:t>
      </w:r>
      <w:r w:rsidR="00CA3533" w:rsidRPr="00CA3533">
        <w:rPr>
          <w:rFonts w:eastAsiaTheme="minorHAnsi"/>
          <w:lang w:val="fr-FR" w:eastAsia="en-US"/>
        </w:rPr>
        <w:t xml:space="preserve"> lié aux instructions de transport en citernes mobiles du</w:t>
      </w:r>
      <w:bookmarkStart w:id="35" w:name="_Hlk43820633"/>
      <w:r w:rsidR="00CA3533" w:rsidRPr="00CA3533">
        <w:rPr>
          <w:rFonts w:eastAsiaTheme="minorHAnsi"/>
          <w:lang w:val="fr-FR" w:eastAsia="en-US"/>
        </w:rPr>
        <w:t> 4.2.5.2.6</w:t>
      </w:r>
      <w:bookmarkEnd w:id="35"/>
      <w:r w:rsidR="00CA3533" w:rsidRPr="00CA3533">
        <w:rPr>
          <w:rFonts w:eastAsiaTheme="minorHAnsi"/>
          <w:lang w:val="fr-FR" w:eastAsia="en-US"/>
        </w:rPr>
        <w:t> :</w:t>
      </w:r>
    </w:p>
    <w:p w14:paraId="03A55097" w14:textId="77777777" w:rsidR="00CA3533" w:rsidRPr="00CA3533" w:rsidRDefault="00CA3533" w:rsidP="00BE5CC8">
      <w:pPr>
        <w:keepNext/>
        <w:tabs>
          <w:tab w:val="left" w:pos="4228"/>
        </w:tabs>
        <w:spacing w:after="120"/>
        <w:ind w:left="3402" w:right="1134" w:hanging="567"/>
        <w:jc w:val="both"/>
        <w:rPr>
          <w:rFonts w:eastAsiaTheme="minorHAnsi"/>
          <w:lang w:val="fr-FR" w:eastAsia="en-US"/>
        </w:rPr>
      </w:pPr>
      <w:r w:rsidRPr="00CA3533">
        <w:rPr>
          <w:rFonts w:eastAsiaTheme="minorHAnsi"/>
          <w:lang w:val="fr-FR" w:eastAsia="en-US"/>
        </w:rPr>
        <w:t>1,0</w:t>
      </w:r>
      <w:r w:rsidRPr="00CA3533">
        <w:rPr>
          <w:rFonts w:eastAsiaTheme="minorHAnsi"/>
          <w:lang w:val="fr-FR" w:eastAsia="en-US"/>
        </w:rPr>
        <w:tab/>
      </w:r>
      <w:bookmarkStart w:id="36" w:name="_Hlk43820741"/>
      <w:r w:rsidRPr="00CA3533">
        <w:rPr>
          <w:rFonts w:eastAsiaTheme="minorHAnsi"/>
          <w:lang w:val="fr-FR" w:eastAsia="en-US"/>
        </w:rPr>
        <w:t xml:space="preserve">pour les instructions </w:t>
      </w:r>
      <w:bookmarkEnd w:id="36"/>
      <w:r w:rsidRPr="00CA3533">
        <w:rPr>
          <w:rFonts w:eastAsiaTheme="minorHAnsi"/>
          <w:lang w:val="fr-FR" w:eastAsia="en-US"/>
        </w:rPr>
        <w:t>T1 à T19 ;</w:t>
      </w:r>
    </w:p>
    <w:p w14:paraId="7811690C" w14:textId="77777777" w:rsidR="00CA3533" w:rsidRPr="00CA3533" w:rsidRDefault="00CA3533" w:rsidP="00BE5CC8">
      <w:pPr>
        <w:keepNext/>
        <w:tabs>
          <w:tab w:val="left" w:pos="4228"/>
        </w:tabs>
        <w:spacing w:after="120"/>
        <w:ind w:left="3402" w:right="1134" w:hanging="567"/>
        <w:jc w:val="both"/>
        <w:rPr>
          <w:rFonts w:eastAsiaTheme="minorHAnsi"/>
          <w:lang w:val="fr-FR" w:eastAsia="en-US"/>
        </w:rPr>
      </w:pPr>
      <w:r w:rsidRPr="00CA3533">
        <w:rPr>
          <w:rFonts w:eastAsiaTheme="minorHAnsi"/>
          <w:lang w:val="fr-FR" w:eastAsia="en-US"/>
        </w:rPr>
        <w:t>1,33</w:t>
      </w:r>
      <w:r w:rsidRPr="00CA3533">
        <w:rPr>
          <w:rFonts w:eastAsiaTheme="minorHAnsi"/>
          <w:lang w:val="fr-FR" w:eastAsia="en-US"/>
        </w:rPr>
        <w:tab/>
        <w:t>pour l’instruction T20 ;</w:t>
      </w:r>
    </w:p>
    <w:p w14:paraId="4EF7FA67" w14:textId="77777777" w:rsidR="00CA3533" w:rsidRPr="00CA3533" w:rsidRDefault="00CA3533" w:rsidP="00BE5CC8">
      <w:pPr>
        <w:keepNext/>
        <w:tabs>
          <w:tab w:val="left" w:pos="4228"/>
        </w:tabs>
        <w:spacing w:after="120"/>
        <w:ind w:left="3402" w:right="1134" w:hanging="567"/>
        <w:jc w:val="both"/>
        <w:rPr>
          <w:rFonts w:eastAsiaTheme="minorHAnsi"/>
          <w:lang w:val="fr-FR" w:eastAsia="en-US"/>
        </w:rPr>
      </w:pPr>
      <w:r w:rsidRPr="00CA3533">
        <w:rPr>
          <w:rFonts w:eastAsiaTheme="minorHAnsi"/>
          <w:lang w:val="fr-FR" w:eastAsia="en-US"/>
        </w:rPr>
        <w:t>1,67</w:t>
      </w:r>
      <w:r w:rsidRPr="00CA3533">
        <w:rPr>
          <w:rFonts w:eastAsiaTheme="minorHAnsi"/>
          <w:lang w:val="fr-FR" w:eastAsia="en-US"/>
        </w:rPr>
        <w:tab/>
        <w:t>pour les instructions T21 à T22.</w:t>
      </w:r>
    </w:p>
    <w:p w14:paraId="1A4E23CD"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 xml:space="preserve">Un exercice de validation de la conception s’appuyant sur une analyse numérique et sur des critères pertinents de défaillance des composites doit être entrepris pour vérifier que les contraintes dans les plis du réservoir sont inférieures aux valeurs admissibles. Les critères pertinents de défaillance des composites comprennent, entre autres, les critères </w:t>
      </w:r>
      <w:proofErr w:type="spellStart"/>
      <w:r w:rsidRPr="00CA3533">
        <w:rPr>
          <w:rFonts w:eastAsiaTheme="minorHAnsi"/>
          <w:lang w:val="fr-FR" w:eastAsia="en-US"/>
        </w:rPr>
        <w:t>Tsai</w:t>
      </w:r>
      <w:proofErr w:type="spellEnd"/>
      <w:r w:rsidRPr="00CA3533">
        <w:rPr>
          <w:rFonts w:eastAsiaTheme="minorHAnsi"/>
          <w:lang w:val="fr-FR" w:eastAsia="en-US"/>
        </w:rPr>
        <w:t xml:space="preserve">-Wu, </w:t>
      </w:r>
      <w:proofErr w:type="spellStart"/>
      <w:r w:rsidRPr="00CA3533">
        <w:rPr>
          <w:rFonts w:eastAsiaTheme="minorHAnsi"/>
          <w:lang w:val="fr-FR" w:eastAsia="en-US"/>
        </w:rPr>
        <w:t>Tsai</w:t>
      </w:r>
      <w:proofErr w:type="spellEnd"/>
      <w:r w:rsidRPr="00CA3533">
        <w:rPr>
          <w:rFonts w:eastAsiaTheme="minorHAnsi"/>
          <w:lang w:val="fr-FR" w:eastAsia="en-US"/>
        </w:rPr>
        <w:t xml:space="preserve">-Hill, </w:t>
      </w:r>
      <w:proofErr w:type="spellStart"/>
      <w:r w:rsidRPr="00CA3533">
        <w:rPr>
          <w:rFonts w:eastAsiaTheme="minorHAnsi"/>
          <w:lang w:val="fr-FR" w:eastAsia="en-US"/>
        </w:rPr>
        <w:t>Hashin</w:t>
      </w:r>
      <w:proofErr w:type="spellEnd"/>
      <w:r w:rsidRPr="00CA3533">
        <w:rPr>
          <w:rFonts w:eastAsiaTheme="minorHAnsi"/>
          <w:lang w:val="fr-FR" w:eastAsia="en-US"/>
        </w:rPr>
        <w:t>, et Yamada-Sun, la méthode SIFT (</w:t>
      </w:r>
      <w:proofErr w:type="spellStart"/>
      <w:r w:rsidRPr="00CA3533">
        <w:rPr>
          <w:rFonts w:eastAsiaTheme="minorHAnsi"/>
          <w:lang w:val="fr-FR" w:eastAsia="en-US"/>
        </w:rPr>
        <w:t>Strain</w:t>
      </w:r>
      <w:proofErr w:type="spellEnd"/>
      <w:r w:rsidRPr="00CA3533">
        <w:rPr>
          <w:rFonts w:eastAsiaTheme="minorHAnsi"/>
          <w:lang w:val="fr-FR" w:eastAsia="en-US"/>
        </w:rPr>
        <w:t xml:space="preserve"> Invariant Failure Theory), le critère de déformation maximale ou le critère de contrainte maximale. D’autres critères de résistance sont autorisés, après accord avec l’autorité compétente. La méthode de cet exercice de validation de la conception et ses résultats doivent être communiqués à l’autorité compétente.</w:t>
      </w:r>
    </w:p>
    <w:p w14:paraId="42C035E8"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Les valeurs admissibles doivent être déterminées sur la base d’expériences visant à établir les paramètres requis en fonction des critères de défaillance choisis, associés au facteur de sécurité </w:t>
      </w:r>
      <w:r w:rsidRPr="00494A2C">
        <w:rPr>
          <w:rFonts w:eastAsiaTheme="minorHAnsi"/>
          <w:i/>
          <w:iCs/>
          <w:lang w:val="fr-FR" w:eastAsia="en-US"/>
        </w:rPr>
        <w:t>K</w:t>
      </w:r>
      <w:r w:rsidRPr="00CA3533">
        <w:rPr>
          <w:rFonts w:eastAsiaTheme="minorHAnsi"/>
          <w:lang w:val="fr-FR" w:eastAsia="en-US"/>
        </w:rPr>
        <w:t>, aux valeurs de résistance mesurées conformément au </w:t>
      </w:r>
      <w:r w:rsidRPr="00CA3533">
        <w:rPr>
          <w:rFonts w:eastAsiaTheme="minorHAnsi"/>
          <w:bCs/>
          <w:iCs/>
          <w:lang w:val="fr-FR" w:eastAsia="en-US"/>
        </w:rPr>
        <w:t>6.9.2.7.1</w:t>
      </w:r>
      <w:r w:rsidRPr="00CA3533">
        <w:rPr>
          <w:rFonts w:eastAsiaTheme="minorHAnsi"/>
          <w:bCs/>
          <w:lang w:val="fr-FR" w:eastAsia="en-US"/>
        </w:rPr>
        <w:t>.2 c)</w:t>
      </w:r>
      <w:r w:rsidRPr="00CA3533">
        <w:rPr>
          <w:rFonts w:eastAsiaTheme="minorHAnsi"/>
          <w:lang w:val="fr-FR" w:eastAsia="en-US"/>
        </w:rPr>
        <w:t xml:space="preserve">, et aux critères de déformation maximale prescrits au 6.9.2.3.5. L’analyse des joints doit être effectuée en fonction des valeurs admissibles déterminées conformément au 6.9.2.3.7 et des valeurs de résistance mesurées conformément au </w:t>
      </w:r>
      <w:r w:rsidRPr="00CA3533">
        <w:rPr>
          <w:rFonts w:eastAsiaTheme="minorHAnsi"/>
          <w:bCs/>
          <w:iCs/>
          <w:lang w:val="fr-FR" w:eastAsia="en-US"/>
        </w:rPr>
        <w:t>6.9.2.7.1</w:t>
      </w:r>
      <w:r w:rsidRPr="00CA3533">
        <w:rPr>
          <w:rFonts w:eastAsiaTheme="minorHAnsi"/>
          <w:bCs/>
          <w:lang w:val="fr-FR" w:eastAsia="en-US"/>
        </w:rPr>
        <w:t>.2 g)</w:t>
      </w:r>
      <w:r w:rsidRPr="00CA3533">
        <w:rPr>
          <w:rFonts w:eastAsiaTheme="minorHAnsi"/>
          <w:lang w:val="fr-FR" w:eastAsia="en-US"/>
        </w:rPr>
        <w:t>. Le flambage doit être examiné conformément au 6.9.2.3.6. La conception des ouvertures et des inclusions métalliques doit être examinée conformément au 6.9.2.3.8.</w:t>
      </w:r>
    </w:p>
    <w:p w14:paraId="62E0D53A"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iCs/>
          <w:lang w:val="fr-FR" w:eastAsia="en-US"/>
        </w:rPr>
        <w:t>6.9.2.3.5</w:t>
      </w:r>
      <w:r w:rsidRPr="00CA3533">
        <w:rPr>
          <w:rFonts w:eastAsiaTheme="minorHAnsi"/>
          <w:b/>
          <w:bCs/>
          <w:iCs/>
          <w:lang w:val="fr-FR" w:eastAsia="en-US"/>
        </w:rPr>
        <w:tab/>
      </w:r>
      <w:r w:rsidRPr="00CA3533">
        <w:rPr>
          <w:rFonts w:eastAsiaTheme="minorHAnsi"/>
          <w:lang w:val="fr-FR" w:eastAsia="en-US"/>
        </w:rPr>
        <w:t>Pour l’une quelconque des contraintes définies aux 6.7.2.2.12 et 6.9.2.3.4, l’allongement qui en résulte dans une direction quelconque ne doit pas dépasser la plus faible des deux valeurs suivantes : la valeur indiquée dans le tableau ci-après ou un dixième de l’allongement à la rupture de la résine déterminé selon la norme ISO 527-2:2012.</w:t>
      </w:r>
    </w:p>
    <w:p w14:paraId="66610B01"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Des exemples de limites connues sont donnés dans le tableau ci-dessous.</w:t>
      </w:r>
    </w:p>
    <w:tbl>
      <w:tblPr>
        <w:tblW w:w="69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3685"/>
      </w:tblGrid>
      <w:tr w:rsidR="00CA3533" w:rsidRPr="00CA3533" w14:paraId="4420E34D" w14:textId="77777777" w:rsidTr="00D56820">
        <w:trPr>
          <w:tblHeader/>
        </w:trPr>
        <w:tc>
          <w:tcPr>
            <w:tcW w:w="3256" w:type="dxa"/>
            <w:shd w:val="clear" w:color="auto" w:fill="auto"/>
            <w:vAlign w:val="bottom"/>
          </w:tcPr>
          <w:p w14:paraId="33F005A6" w14:textId="77777777" w:rsidR="00CA3533" w:rsidRPr="00CA3533" w:rsidRDefault="00CA3533" w:rsidP="00CA3533">
            <w:pPr>
              <w:suppressAutoHyphens w:val="0"/>
              <w:spacing w:before="60" w:after="60" w:line="220" w:lineRule="exact"/>
              <w:ind w:left="57" w:right="567"/>
              <w:rPr>
                <w:rFonts w:eastAsiaTheme="minorHAnsi"/>
                <w:b/>
                <w:bCs/>
                <w:iCs/>
                <w:sz w:val="18"/>
                <w:szCs w:val="18"/>
                <w:lang w:val="fr-FR" w:eastAsia="en-US"/>
              </w:rPr>
            </w:pPr>
            <w:r w:rsidRPr="00CA3533">
              <w:rPr>
                <w:rFonts w:eastAsiaTheme="minorHAnsi"/>
                <w:b/>
                <w:bCs/>
                <w:iCs/>
                <w:sz w:val="18"/>
                <w:szCs w:val="18"/>
                <w:lang w:val="fr-FR" w:eastAsia="en-US"/>
              </w:rPr>
              <w:t>Type de résine</w:t>
            </w:r>
          </w:p>
        </w:tc>
        <w:tc>
          <w:tcPr>
            <w:tcW w:w="3685" w:type="dxa"/>
            <w:shd w:val="clear" w:color="auto" w:fill="auto"/>
            <w:vAlign w:val="bottom"/>
            <w:hideMark/>
          </w:tcPr>
          <w:p w14:paraId="1A157471" w14:textId="77777777" w:rsidR="00CA3533" w:rsidRPr="00CA3533" w:rsidRDefault="00CA3533" w:rsidP="00CA3533">
            <w:pPr>
              <w:suppressAutoHyphens w:val="0"/>
              <w:spacing w:before="60" w:after="60" w:line="220" w:lineRule="exact"/>
              <w:ind w:left="57" w:right="567"/>
              <w:rPr>
                <w:rFonts w:eastAsiaTheme="minorHAnsi"/>
                <w:b/>
                <w:bCs/>
                <w:iCs/>
                <w:sz w:val="18"/>
                <w:szCs w:val="18"/>
                <w:lang w:val="fr-FR" w:eastAsia="en-US"/>
              </w:rPr>
            </w:pPr>
            <w:r w:rsidRPr="00CA3533">
              <w:rPr>
                <w:rFonts w:eastAsiaTheme="minorHAnsi"/>
                <w:b/>
                <w:bCs/>
                <w:iCs/>
                <w:sz w:val="18"/>
                <w:szCs w:val="18"/>
                <w:lang w:val="fr-FR" w:eastAsia="en-US"/>
              </w:rPr>
              <w:t>Déformation maximale en tension (%)</w:t>
            </w:r>
          </w:p>
        </w:tc>
      </w:tr>
      <w:tr w:rsidR="00CA3533" w:rsidRPr="00CA3533" w14:paraId="2DA7E21A" w14:textId="77777777" w:rsidTr="00D56820">
        <w:tc>
          <w:tcPr>
            <w:tcW w:w="3256" w:type="dxa"/>
            <w:shd w:val="clear" w:color="auto" w:fill="auto"/>
          </w:tcPr>
          <w:p w14:paraId="3CBCC90E" w14:textId="77777777" w:rsidR="00CA3533" w:rsidRPr="00CA3533" w:rsidRDefault="00CA3533" w:rsidP="00CA3533">
            <w:pPr>
              <w:suppressAutoHyphens w:val="0"/>
              <w:spacing w:before="60" w:after="60" w:line="220" w:lineRule="exact"/>
              <w:ind w:left="57" w:right="567"/>
              <w:rPr>
                <w:rFonts w:eastAsiaTheme="minorHAnsi"/>
                <w:sz w:val="18"/>
                <w:szCs w:val="18"/>
                <w:lang w:val="fr-FR" w:eastAsia="en-US"/>
              </w:rPr>
            </w:pPr>
            <w:r w:rsidRPr="00CA3533">
              <w:rPr>
                <w:rFonts w:eastAsiaTheme="minorHAnsi"/>
                <w:sz w:val="18"/>
                <w:szCs w:val="18"/>
                <w:lang w:val="fr-FR" w:eastAsia="en-US"/>
              </w:rPr>
              <w:t>Polyester non saturée ou phénolique</w:t>
            </w:r>
          </w:p>
        </w:tc>
        <w:tc>
          <w:tcPr>
            <w:tcW w:w="3685" w:type="dxa"/>
            <w:shd w:val="clear" w:color="auto" w:fill="auto"/>
            <w:noWrap/>
            <w:vAlign w:val="bottom"/>
            <w:hideMark/>
          </w:tcPr>
          <w:p w14:paraId="3179EDE3" w14:textId="77777777" w:rsidR="00CA3533" w:rsidRPr="00CA3533" w:rsidRDefault="00CA3533" w:rsidP="00CA3533">
            <w:pPr>
              <w:suppressAutoHyphens w:val="0"/>
              <w:spacing w:before="60" w:after="60" w:line="220" w:lineRule="exact"/>
              <w:ind w:left="57" w:right="567"/>
              <w:rPr>
                <w:rFonts w:eastAsiaTheme="minorHAnsi"/>
                <w:sz w:val="18"/>
                <w:szCs w:val="18"/>
                <w:lang w:val="fr-FR" w:eastAsia="en-US"/>
              </w:rPr>
            </w:pPr>
            <w:r w:rsidRPr="00CA3533">
              <w:rPr>
                <w:rFonts w:eastAsiaTheme="minorHAnsi"/>
                <w:sz w:val="18"/>
                <w:szCs w:val="18"/>
                <w:lang w:val="fr-FR" w:eastAsia="en-US"/>
              </w:rPr>
              <w:t>0,2</w:t>
            </w:r>
          </w:p>
        </w:tc>
      </w:tr>
      <w:tr w:rsidR="00CA3533" w:rsidRPr="00CA3533" w14:paraId="4B9756BE" w14:textId="77777777" w:rsidTr="00D56820">
        <w:tc>
          <w:tcPr>
            <w:tcW w:w="3256" w:type="dxa"/>
            <w:shd w:val="clear" w:color="auto" w:fill="auto"/>
          </w:tcPr>
          <w:p w14:paraId="1C99C19C" w14:textId="77777777" w:rsidR="00CA3533" w:rsidRPr="00CA3533" w:rsidRDefault="00CA3533" w:rsidP="00CA3533">
            <w:pPr>
              <w:suppressAutoHyphens w:val="0"/>
              <w:spacing w:before="60" w:after="60" w:line="220" w:lineRule="exact"/>
              <w:ind w:left="57" w:right="567"/>
              <w:rPr>
                <w:rFonts w:eastAsiaTheme="minorHAnsi"/>
                <w:sz w:val="18"/>
                <w:szCs w:val="18"/>
                <w:lang w:val="fr-FR" w:eastAsia="en-US"/>
              </w:rPr>
            </w:pPr>
            <w:proofErr w:type="spellStart"/>
            <w:r w:rsidRPr="00CA3533">
              <w:rPr>
                <w:rFonts w:eastAsiaTheme="minorHAnsi"/>
                <w:sz w:val="18"/>
                <w:szCs w:val="18"/>
                <w:lang w:val="fr-FR" w:eastAsia="en-US"/>
              </w:rPr>
              <w:t>Vinylester</w:t>
            </w:r>
            <w:proofErr w:type="spellEnd"/>
          </w:p>
        </w:tc>
        <w:tc>
          <w:tcPr>
            <w:tcW w:w="3685" w:type="dxa"/>
            <w:shd w:val="clear" w:color="auto" w:fill="auto"/>
            <w:noWrap/>
            <w:vAlign w:val="bottom"/>
            <w:hideMark/>
          </w:tcPr>
          <w:p w14:paraId="51A5400F" w14:textId="77777777" w:rsidR="00CA3533" w:rsidRPr="00CA3533" w:rsidRDefault="00CA3533" w:rsidP="00CA3533">
            <w:pPr>
              <w:suppressAutoHyphens w:val="0"/>
              <w:spacing w:before="60" w:after="60" w:line="220" w:lineRule="exact"/>
              <w:ind w:left="57" w:right="567"/>
              <w:rPr>
                <w:rFonts w:eastAsiaTheme="minorHAnsi"/>
                <w:sz w:val="18"/>
                <w:szCs w:val="18"/>
                <w:lang w:val="fr-FR" w:eastAsia="en-US"/>
              </w:rPr>
            </w:pPr>
            <w:r w:rsidRPr="00CA3533">
              <w:rPr>
                <w:rFonts w:eastAsiaTheme="minorHAnsi"/>
                <w:sz w:val="18"/>
                <w:szCs w:val="18"/>
                <w:lang w:val="fr-FR" w:eastAsia="en-US"/>
              </w:rPr>
              <w:t>0,25</w:t>
            </w:r>
          </w:p>
        </w:tc>
      </w:tr>
      <w:tr w:rsidR="00CA3533" w:rsidRPr="00CA3533" w14:paraId="2DBF2327" w14:textId="77777777" w:rsidTr="00D56820">
        <w:tc>
          <w:tcPr>
            <w:tcW w:w="3256" w:type="dxa"/>
            <w:shd w:val="clear" w:color="auto" w:fill="auto"/>
          </w:tcPr>
          <w:p w14:paraId="07E781F5" w14:textId="77777777" w:rsidR="00CA3533" w:rsidRPr="00CA3533" w:rsidRDefault="00CA3533" w:rsidP="00CA3533">
            <w:pPr>
              <w:suppressAutoHyphens w:val="0"/>
              <w:spacing w:before="60" w:after="60" w:line="220" w:lineRule="exact"/>
              <w:ind w:left="57" w:right="567"/>
              <w:rPr>
                <w:rFonts w:eastAsiaTheme="minorHAnsi"/>
                <w:sz w:val="18"/>
                <w:szCs w:val="18"/>
                <w:lang w:val="fr-FR" w:eastAsia="en-US"/>
              </w:rPr>
            </w:pPr>
            <w:r w:rsidRPr="00CA3533">
              <w:rPr>
                <w:rFonts w:eastAsiaTheme="minorHAnsi"/>
                <w:sz w:val="18"/>
                <w:szCs w:val="18"/>
                <w:lang w:val="fr-FR" w:eastAsia="en-US"/>
              </w:rPr>
              <w:t>Époxy</w:t>
            </w:r>
          </w:p>
        </w:tc>
        <w:tc>
          <w:tcPr>
            <w:tcW w:w="3685" w:type="dxa"/>
            <w:shd w:val="clear" w:color="auto" w:fill="auto"/>
            <w:noWrap/>
            <w:vAlign w:val="bottom"/>
            <w:hideMark/>
          </w:tcPr>
          <w:p w14:paraId="577139B1" w14:textId="77777777" w:rsidR="00CA3533" w:rsidRPr="00CA3533" w:rsidRDefault="00CA3533" w:rsidP="00CA3533">
            <w:pPr>
              <w:suppressAutoHyphens w:val="0"/>
              <w:spacing w:before="60" w:after="60" w:line="220" w:lineRule="exact"/>
              <w:ind w:left="57" w:right="567"/>
              <w:rPr>
                <w:rFonts w:eastAsiaTheme="minorHAnsi"/>
                <w:sz w:val="18"/>
                <w:szCs w:val="18"/>
                <w:lang w:val="fr-FR" w:eastAsia="en-US"/>
              </w:rPr>
            </w:pPr>
            <w:r w:rsidRPr="00CA3533">
              <w:rPr>
                <w:rFonts w:eastAsiaTheme="minorHAnsi"/>
                <w:sz w:val="18"/>
                <w:szCs w:val="18"/>
                <w:lang w:val="fr-FR" w:eastAsia="en-US"/>
              </w:rPr>
              <w:t>0,3</w:t>
            </w:r>
          </w:p>
        </w:tc>
      </w:tr>
      <w:tr w:rsidR="00CA3533" w:rsidRPr="00CA3533" w14:paraId="08D75B39" w14:textId="77777777" w:rsidTr="00D56820">
        <w:tc>
          <w:tcPr>
            <w:tcW w:w="3256" w:type="dxa"/>
            <w:shd w:val="clear" w:color="auto" w:fill="auto"/>
          </w:tcPr>
          <w:p w14:paraId="18B45F92" w14:textId="77777777" w:rsidR="00CA3533" w:rsidRPr="00CA3533" w:rsidRDefault="00CA3533" w:rsidP="00CA3533">
            <w:pPr>
              <w:suppressAutoHyphens w:val="0"/>
              <w:spacing w:before="60" w:after="60" w:line="220" w:lineRule="exact"/>
              <w:ind w:left="57" w:right="567"/>
              <w:rPr>
                <w:rFonts w:eastAsiaTheme="minorHAnsi"/>
                <w:sz w:val="18"/>
                <w:szCs w:val="18"/>
                <w:lang w:val="fr-FR" w:eastAsia="en-US"/>
              </w:rPr>
            </w:pPr>
            <w:r w:rsidRPr="00CA3533">
              <w:rPr>
                <w:rFonts w:eastAsiaTheme="minorHAnsi"/>
                <w:sz w:val="18"/>
                <w:szCs w:val="18"/>
                <w:lang w:val="fr-FR" w:eastAsia="en-US"/>
              </w:rPr>
              <w:t>Thermoplastique</w:t>
            </w:r>
          </w:p>
        </w:tc>
        <w:tc>
          <w:tcPr>
            <w:tcW w:w="3685" w:type="dxa"/>
            <w:shd w:val="clear" w:color="auto" w:fill="auto"/>
            <w:noWrap/>
            <w:vAlign w:val="bottom"/>
          </w:tcPr>
          <w:p w14:paraId="5AC313B1" w14:textId="77777777" w:rsidR="00CA3533" w:rsidRPr="00CA3533" w:rsidRDefault="00CA3533" w:rsidP="00CA3533">
            <w:pPr>
              <w:suppressAutoHyphens w:val="0"/>
              <w:spacing w:before="60" w:after="60" w:line="220" w:lineRule="exact"/>
              <w:ind w:left="57" w:right="567"/>
              <w:rPr>
                <w:rFonts w:eastAsiaTheme="minorHAnsi"/>
                <w:sz w:val="18"/>
                <w:szCs w:val="18"/>
                <w:lang w:val="fr-FR" w:eastAsia="en-US"/>
              </w:rPr>
            </w:pPr>
            <w:r w:rsidRPr="00CA3533">
              <w:rPr>
                <w:rFonts w:eastAsiaTheme="minorHAnsi"/>
                <w:sz w:val="18"/>
                <w:szCs w:val="18"/>
                <w:lang w:val="fr-FR" w:eastAsia="en-US"/>
              </w:rPr>
              <w:t>Voir 6.9.2.3.3</w:t>
            </w:r>
          </w:p>
        </w:tc>
      </w:tr>
    </w:tbl>
    <w:p w14:paraId="48D35F17" w14:textId="77777777" w:rsidR="00CA3533" w:rsidRPr="00CA3533" w:rsidRDefault="00CA3533" w:rsidP="00CA3533">
      <w:pPr>
        <w:keepNext/>
        <w:tabs>
          <w:tab w:val="left" w:pos="4228"/>
        </w:tabs>
        <w:spacing w:before="120" w:after="120"/>
        <w:ind w:left="2268" w:right="1134" w:hanging="1134"/>
        <w:jc w:val="both"/>
        <w:rPr>
          <w:rFonts w:eastAsiaTheme="minorHAnsi"/>
          <w:lang w:val="fr-FR" w:eastAsia="en-US"/>
        </w:rPr>
      </w:pPr>
      <w:r w:rsidRPr="00CA3533">
        <w:rPr>
          <w:rFonts w:eastAsiaTheme="minorHAnsi"/>
          <w:bCs/>
          <w:iCs/>
          <w:lang w:val="fr-FR" w:eastAsia="en-US"/>
        </w:rPr>
        <w:lastRenderedPageBreak/>
        <w:t>6.9.2.3.6</w:t>
      </w:r>
      <w:r w:rsidRPr="00CA3533">
        <w:rPr>
          <w:rFonts w:eastAsiaTheme="minorHAnsi"/>
          <w:b/>
          <w:bCs/>
          <w:iCs/>
          <w:lang w:val="fr-FR" w:eastAsia="en-US"/>
        </w:rPr>
        <w:tab/>
      </w:r>
      <w:r w:rsidRPr="00CA3533">
        <w:rPr>
          <w:rFonts w:eastAsiaTheme="minorHAnsi"/>
          <w:iCs/>
          <w:lang w:val="fr-FR" w:eastAsia="en-US"/>
        </w:rPr>
        <w:t>Pour la</w:t>
      </w:r>
      <w:r w:rsidRPr="00CA3533">
        <w:rPr>
          <w:rFonts w:eastAsiaTheme="minorHAnsi"/>
          <w:lang w:val="fr-FR" w:eastAsia="en-US"/>
        </w:rPr>
        <w:t xml:space="preserve"> pression extérieure de calcul, le facteur de sécurité minimal pour l’analyse du flambage linéaire du réservoir doit être tel que défini dans le code pour appareils à pression applicable mais ne doit pas être inférieur à trois.</w:t>
      </w:r>
    </w:p>
    <w:p w14:paraId="6FF3D6D6"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iCs/>
          <w:lang w:val="fr-FR" w:eastAsia="en-US"/>
        </w:rPr>
        <w:t>6.9.2.3.7</w:t>
      </w:r>
      <w:r w:rsidRPr="00CA3533">
        <w:rPr>
          <w:rFonts w:eastAsiaTheme="minorHAnsi"/>
          <w:b/>
          <w:bCs/>
          <w:iCs/>
          <w:lang w:val="fr-FR" w:eastAsia="en-US"/>
        </w:rPr>
        <w:tab/>
      </w:r>
      <w:r w:rsidRPr="00CA3533">
        <w:rPr>
          <w:rFonts w:eastAsiaTheme="minorHAnsi"/>
          <w:lang w:val="fr-FR" w:eastAsia="en-US"/>
        </w:rPr>
        <w:t xml:space="preserve">Les liaisons adhésives ou les éléments superposés dans les joints d’assemblage, y compris ceux des fonds, les raccords entre l’équipement et le réservoir, les joints entre le réservoir et les brise-flots et les cloisons doivent pouvoir résister aux contraintes énoncées aux 6.7.2.2.12, </w:t>
      </w:r>
      <w:r w:rsidRPr="00CA3533">
        <w:rPr>
          <w:rFonts w:eastAsiaTheme="minorHAnsi"/>
          <w:bCs/>
          <w:lang w:val="fr-FR" w:eastAsia="en-US"/>
        </w:rPr>
        <w:t>6.9.2.2.3.1,</w:t>
      </w:r>
      <w:r w:rsidRPr="00CA3533">
        <w:rPr>
          <w:rFonts w:eastAsiaTheme="minorHAnsi"/>
          <w:lang w:val="fr-FR" w:eastAsia="en-US"/>
        </w:rPr>
        <w:t xml:space="preserve"> 6.9.2.3.2, 6.9.2.3.4 et 6.9.2.3.6. Pour éviter une concentration de contraintes dans les éléments superposés, les pièces raccordées doivent être chanfreinées dans un rapport d’au plus 1/6. La résistance au cisaillement entre les éléments superposés et les composants de la citerne auxquels ils sont fixés ne doit pas être inférieure à :</w:t>
      </w:r>
    </w:p>
    <w:p w14:paraId="7885B5A4" w14:textId="77777777" w:rsidR="00CA3533" w:rsidRPr="00CA3533" w:rsidRDefault="00CA3533" w:rsidP="00CA3533">
      <w:pPr>
        <w:tabs>
          <w:tab w:val="left" w:pos="1701"/>
          <w:tab w:val="left" w:pos="2268"/>
          <w:tab w:val="left" w:pos="2835"/>
        </w:tabs>
        <w:spacing w:after="120"/>
        <w:ind w:left="1134" w:right="1134"/>
        <w:jc w:val="both"/>
        <w:rPr>
          <w:rFonts w:eastAsiaTheme="minorHAnsi"/>
          <w:lang w:val="fr-FR" w:eastAsia="en-US"/>
        </w:rPr>
      </w:pPr>
      <m:oMathPara>
        <m:oMath>
          <m:r>
            <w:rPr>
              <w:rFonts w:ascii="Cambria Math" w:eastAsiaTheme="minorHAnsi" w:hAnsi="Cambria Math"/>
              <w:lang w:val="fr-FR" w:eastAsia="en-US"/>
            </w:rPr>
            <m:t>τ</m:t>
          </m:r>
          <m:r>
            <m:rPr>
              <m:sty m:val="p"/>
            </m:rPr>
            <w:rPr>
              <w:rFonts w:ascii="Cambria Math" w:eastAsiaTheme="minorHAnsi" w:hAnsi="Cambria Math"/>
              <w:lang w:val="fr-FR" w:eastAsia="en-US"/>
            </w:rPr>
            <m:t>=γ</m:t>
          </m:r>
          <m:f>
            <m:fPr>
              <m:ctrlPr>
                <w:rPr>
                  <w:rFonts w:ascii="Cambria Math" w:eastAsiaTheme="minorHAnsi" w:hAnsi="Cambria Math"/>
                  <w:lang w:val="fr-FR" w:eastAsia="en-US"/>
                </w:rPr>
              </m:ctrlPr>
            </m:fPr>
            <m:num>
              <m:r>
                <w:rPr>
                  <w:rFonts w:ascii="Cambria Math" w:eastAsiaTheme="minorHAnsi" w:hAnsi="Cambria Math"/>
                  <w:lang w:val="fr-FR" w:eastAsia="en-US"/>
                </w:rPr>
                <m:t>Q</m:t>
              </m:r>
            </m:num>
            <m:den>
              <m:r>
                <w:rPr>
                  <w:rFonts w:ascii="Cambria Math" w:eastAsiaTheme="minorHAnsi" w:hAnsi="Cambria Math"/>
                  <w:lang w:val="fr-FR" w:eastAsia="en-US"/>
                </w:rPr>
                <m:t>l</m:t>
              </m:r>
            </m:den>
          </m:f>
          <m:r>
            <m:rPr>
              <m:sty m:val="p"/>
            </m:rPr>
            <w:rPr>
              <w:rFonts w:ascii="Cambria Math" w:eastAsiaTheme="minorHAnsi" w:hAnsi="Cambria Math"/>
              <w:lang w:val="fr-FR" w:eastAsia="en-US"/>
            </w:rPr>
            <m:t>≤</m:t>
          </m:r>
          <m:f>
            <m:fPr>
              <m:ctrlPr>
                <w:rPr>
                  <w:rFonts w:ascii="Cambria Math" w:eastAsiaTheme="minorHAnsi" w:hAnsi="Cambria Math"/>
                  <w:lang w:val="fr-FR" w:eastAsia="en-US"/>
                </w:rPr>
              </m:ctrlPr>
            </m:fPr>
            <m:num>
              <m:sSub>
                <m:sSubPr>
                  <m:ctrlPr>
                    <w:rPr>
                      <w:rFonts w:ascii="Cambria Math" w:eastAsiaTheme="minorHAnsi" w:hAnsi="Cambria Math"/>
                      <w:lang w:val="fr-FR" w:eastAsia="en-US"/>
                    </w:rPr>
                  </m:ctrlPr>
                </m:sSubPr>
                <m:e>
                  <m:r>
                    <w:rPr>
                      <w:rFonts w:ascii="Cambria Math" w:eastAsiaTheme="minorHAnsi" w:hAnsi="Cambria Math"/>
                      <w:lang w:val="fr-FR" w:eastAsia="en-US"/>
                    </w:rPr>
                    <m:t>τ</m:t>
                  </m:r>
                </m:e>
                <m:sub>
                  <m:r>
                    <w:rPr>
                      <w:rFonts w:ascii="Cambria Math" w:eastAsiaTheme="minorHAnsi" w:hAnsi="Cambria Math"/>
                      <w:lang w:val="fr-FR" w:eastAsia="en-US"/>
                    </w:rPr>
                    <m:t>R</m:t>
                  </m:r>
                </m:sub>
              </m:sSub>
            </m:num>
            <m:den>
              <m:r>
                <w:rPr>
                  <w:rFonts w:ascii="Cambria Math" w:eastAsiaTheme="minorHAnsi" w:hAnsi="Cambria Math"/>
                  <w:lang w:val="fr-FR" w:eastAsia="en-US"/>
                </w:rPr>
                <m:t>K</m:t>
              </m:r>
            </m:den>
          </m:f>
        </m:oMath>
      </m:oMathPara>
    </w:p>
    <w:p w14:paraId="3C9655FB"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où :</w:t>
      </w:r>
    </w:p>
    <w:p w14:paraId="6E6D4C55" w14:textId="77777777" w:rsidR="00CA3533" w:rsidRPr="00CA3533" w:rsidRDefault="00D55C34" w:rsidP="00CA3533">
      <w:pPr>
        <w:spacing w:after="120"/>
        <w:ind w:left="2835" w:right="1134" w:hanging="567"/>
        <w:jc w:val="both"/>
        <w:rPr>
          <w:rFonts w:eastAsiaTheme="minorHAnsi"/>
          <w:lang w:val="fr-FR" w:eastAsia="en-US"/>
        </w:rPr>
      </w:pPr>
      <m:oMath>
        <m:sSub>
          <m:sSubPr>
            <m:ctrlPr>
              <w:rPr>
                <w:rFonts w:ascii="Cambria Math" w:eastAsiaTheme="minorHAnsi" w:hAnsi="Cambria Math"/>
                <w:lang w:val="fr-FR" w:eastAsia="en-US"/>
              </w:rPr>
            </m:ctrlPr>
          </m:sSubPr>
          <m:e>
            <m:r>
              <w:rPr>
                <w:rFonts w:ascii="Cambria Math" w:eastAsiaTheme="minorHAnsi" w:hAnsi="Cambria Math"/>
                <w:lang w:val="fr-FR" w:eastAsia="en-US"/>
              </w:rPr>
              <m:t>τ</m:t>
            </m:r>
          </m:e>
          <m:sub>
            <m:r>
              <w:rPr>
                <w:rFonts w:ascii="Cambria Math" w:eastAsiaTheme="minorHAnsi" w:hAnsi="Cambria Math"/>
                <w:lang w:val="fr-FR" w:eastAsia="en-US"/>
              </w:rPr>
              <m:t>R</m:t>
            </m:r>
          </m:sub>
        </m:sSub>
      </m:oMath>
      <w:r w:rsidR="00CA3533" w:rsidRPr="00CA3533">
        <w:rPr>
          <w:rFonts w:eastAsiaTheme="minorHAnsi"/>
          <w:lang w:val="fr-FR" w:eastAsia="en-US"/>
        </w:rPr>
        <w:tab/>
        <w:t>est la résistance interlaminaire au cisaillement conformément à la norme ISO 14130:1997 et Cor 1:2003 ;</w:t>
      </w:r>
    </w:p>
    <w:p w14:paraId="72164406" w14:textId="77777777" w:rsidR="00CA3533" w:rsidRPr="00CA3533" w:rsidRDefault="00CA3533" w:rsidP="00CA3533">
      <w:pPr>
        <w:spacing w:after="120"/>
        <w:ind w:left="2835" w:right="1134" w:hanging="567"/>
        <w:jc w:val="both"/>
        <w:rPr>
          <w:rFonts w:eastAsiaTheme="minorHAnsi"/>
          <w:lang w:val="fr-FR" w:eastAsia="en-US"/>
        </w:rPr>
      </w:pPr>
      <w:r w:rsidRPr="008A4333">
        <w:rPr>
          <w:rFonts w:eastAsiaTheme="minorHAnsi"/>
          <w:i/>
          <w:iCs/>
          <w:lang w:val="fr-FR" w:eastAsia="en-US"/>
        </w:rPr>
        <w:t>Q</w:t>
      </w:r>
      <w:r w:rsidRPr="00CA3533">
        <w:rPr>
          <w:rFonts w:eastAsiaTheme="minorHAnsi"/>
          <w:lang w:val="fr-FR" w:eastAsia="en-US"/>
        </w:rPr>
        <w:tab/>
        <w:t>est la charge par unité de largeur de l’interconnexion ;</w:t>
      </w:r>
    </w:p>
    <w:p w14:paraId="5B3C90CA" w14:textId="77777777" w:rsidR="00CA3533" w:rsidRPr="00CA3533" w:rsidRDefault="00CA3533" w:rsidP="00CA3533">
      <w:pPr>
        <w:spacing w:after="120"/>
        <w:ind w:left="2835" w:right="1134" w:hanging="567"/>
        <w:jc w:val="both"/>
        <w:rPr>
          <w:rFonts w:eastAsiaTheme="minorHAnsi"/>
          <w:lang w:val="fr-FR" w:eastAsia="en-US"/>
        </w:rPr>
      </w:pPr>
      <m:oMath>
        <m:r>
          <w:rPr>
            <w:rFonts w:ascii="Cambria Math" w:eastAsiaTheme="minorHAnsi" w:hAnsi="Cambria Math"/>
            <w:lang w:val="fr-FR" w:eastAsia="en-US"/>
          </w:rPr>
          <m:t>K</m:t>
        </m:r>
      </m:oMath>
      <w:r w:rsidRPr="00CA3533">
        <w:rPr>
          <w:rFonts w:eastAsiaTheme="minorHAnsi"/>
          <w:lang w:val="fr-FR" w:eastAsia="en-US"/>
        </w:rPr>
        <w:tab/>
        <w:t>est le facteur de sécurité déterminé selon le 6.9.2.3.4 ;</w:t>
      </w:r>
    </w:p>
    <w:p w14:paraId="3D8B83E7" w14:textId="77777777" w:rsidR="00CA3533" w:rsidRPr="00CA3533" w:rsidRDefault="00CA3533" w:rsidP="00CA3533">
      <w:pPr>
        <w:spacing w:after="120"/>
        <w:ind w:left="2835" w:right="1134" w:hanging="567"/>
        <w:jc w:val="both"/>
        <w:rPr>
          <w:rFonts w:eastAsiaTheme="minorHAnsi"/>
          <w:lang w:val="fr-FR" w:eastAsia="en-US"/>
        </w:rPr>
      </w:pPr>
      <w:r w:rsidRPr="008A4333">
        <w:rPr>
          <w:rFonts w:eastAsiaTheme="minorHAnsi"/>
          <w:i/>
          <w:iCs/>
          <w:lang w:val="fr-FR" w:eastAsia="en-US"/>
        </w:rPr>
        <w:t>l</w:t>
      </w:r>
      <w:r w:rsidRPr="00CA3533">
        <w:rPr>
          <w:rFonts w:eastAsiaTheme="minorHAnsi"/>
          <w:lang w:val="fr-FR" w:eastAsia="en-US"/>
        </w:rPr>
        <w:tab/>
        <w:t>est la longueur des éléments superposés ;</w:t>
      </w:r>
    </w:p>
    <w:p w14:paraId="2C500BB0" w14:textId="77777777" w:rsidR="00CA3533" w:rsidRPr="00CA3533" w:rsidRDefault="00CA3533" w:rsidP="00CA3533">
      <w:pPr>
        <w:spacing w:after="120"/>
        <w:ind w:left="2835" w:right="1134" w:hanging="567"/>
        <w:jc w:val="both"/>
        <w:rPr>
          <w:rFonts w:eastAsiaTheme="minorHAnsi"/>
          <w:lang w:val="fr-FR" w:eastAsia="en-US"/>
        </w:rPr>
      </w:pPr>
      <w:r w:rsidRPr="00EB0542">
        <w:rPr>
          <w:rFonts w:eastAsiaTheme="minorHAnsi"/>
          <w:i/>
          <w:iCs/>
          <w:lang w:val="fr-FR" w:eastAsia="en-US"/>
        </w:rPr>
        <w:t>γ</w:t>
      </w:r>
      <w:r w:rsidRPr="00CA3533">
        <w:rPr>
          <w:rFonts w:eastAsiaTheme="minorHAnsi"/>
          <w:lang w:val="fr-FR" w:eastAsia="en-US"/>
        </w:rPr>
        <w:tab/>
        <w:t>est le facteur d’entaille rapportant la contrainte moyenne s’exerçant sur le joint à la contrainte maximale sur le joint au point d’initiation de la rupture.</w:t>
      </w:r>
    </w:p>
    <w:p w14:paraId="15DD1F74"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D’autres méthodes de calcul pour les joints sont autorisées après approbation par l’autorité compétente.</w:t>
      </w:r>
    </w:p>
    <w:p w14:paraId="5F0C67AD"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iCs/>
          <w:lang w:val="fr-FR" w:eastAsia="en-US"/>
        </w:rPr>
        <w:t>6.9.2.3.8</w:t>
      </w:r>
      <w:r w:rsidRPr="00CA3533">
        <w:rPr>
          <w:rFonts w:eastAsiaTheme="minorHAnsi"/>
          <w:bCs/>
          <w:iCs/>
          <w:lang w:val="fr-FR" w:eastAsia="en-US"/>
        </w:rPr>
        <w:tab/>
        <w:t>L’utilisation de brides métalliques et de leurs fermetures est autorisée pour les réservoirs en PRF, conformément aux prescriptions relatives à la conception énoncées au 6.7.2.</w:t>
      </w:r>
      <w:r w:rsidRPr="00CA3533">
        <w:rPr>
          <w:rFonts w:eastAsiaTheme="minorHAnsi"/>
          <w:iCs/>
          <w:lang w:val="fr-FR" w:eastAsia="en-US"/>
        </w:rPr>
        <w:t xml:space="preserve"> Les </w:t>
      </w:r>
      <w:r w:rsidRPr="00CA3533">
        <w:rPr>
          <w:rFonts w:eastAsiaTheme="minorHAnsi"/>
          <w:lang w:val="fr-FR" w:eastAsia="en-US"/>
        </w:rPr>
        <w:t>ouvertures dans le réservoir en PRF doivent être renforcées de façon à assurer les mêmes facteurs de sécurité contre les contraintes statiques et dynamiques prescrites aux 6.7.2.2.12, 6.9.2.3.2, 6.9.2.3.4 et 6.9.2.3.6 pour le réservoir lui-même. Il doit y avoir aussi peu d’ouvertures que possible. Le rapport des axes des ouvertures ovales ne doit pas être supérieur à 2.</w:t>
      </w:r>
    </w:p>
    <w:p w14:paraId="79F23D13"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 xml:space="preserve">Lorsque </w:t>
      </w:r>
      <w:bookmarkStart w:id="37" w:name="_Hlk43885258"/>
      <w:r w:rsidRPr="00CA3533">
        <w:rPr>
          <w:rFonts w:eastAsiaTheme="minorHAnsi"/>
          <w:lang w:val="fr-FR" w:eastAsia="en-US"/>
        </w:rPr>
        <w:t xml:space="preserve">les brides ou les composants métalliques </w:t>
      </w:r>
      <w:bookmarkEnd w:id="37"/>
      <w:r w:rsidRPr="00CA3533">
        <w:rPr>
          <w:rFonts w:eastAsiaTheme="minorHAnsi"/>
          <w:lang w:val="fr-FR" w:eastAsia="en-US"/>
        </w:rPr>
        <w:t>sont intégrés au réservoir en PRF par collage, la méthode de caractérisation énoncée au 6.9.2.3.7 doit alors s’appliquer au joint placé entre le métal et la matière PRF. Lorsque les brides ou les composants métalliques sont fixés d’une autre manière, par exemple au moyen d’éléments de fixation filetés, les dispositions pertinentes de la norme relative aux récipients à pression doivent alors s’appliquer.</w:t>
      </w:r>
    </w:p>
    <w:p w14:paraId="5D1DEAF3"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iCs/>
          <w:lang w:val="fr-FR" w:eastAsia="en-US"/>
        </w:rPr>
        <w:t>6.9.2.3.9</w:t>
      </w:r>
      <w:r w:rsidRPr="00CA3533">
        <w:rPr>
          <w:rFonts w:eastAsiaTheme="minorHAnsi"/>
          <w:b/>
          <w:bCs/>
          <w:iCs/>
          <w:lang w:val="fr-FR" w:eastAsia="en-US"/>
        </w:rPr>
        <w:tab/>
      </w:r>
      <w:r w:rsidRPr="00CA3533">
        <w:rPr>
          <w:rFonts w:eastAsiaTheme="minorHAnsi"/>
          <w:lang w:val="fr-FR" w:eastAsia="en-US"/>
        </w:rPr>
        <w:t xml:space="preserve">La résistance du réservoir doit être calculée au moyen de la méthode des éléments finis en simulant les différentes couches du réservoir, les joints entre le réservoir en PRF et le cadre du conteneur, et les ouvertures. Les singularités </w:t>
      </w:r>
      <w:r w:rsidRPr="00CA3533">
        <w:rPr>
          <w:rFonts w:eastAsiaTheme="minorHAnsi"/>
          <w:lang w:val="fr-FR" w:eastAsia="en-US"/>
        </w:rPr>
        <w:lastRenderedPageBreak/>
        <w:t>doivent être traitées en suivant une méthode adéquate conformément au code de conception appliqué.</w:t>
      </w:r>
    </w:p>
    <w:p w14:paraId="5FCB5F97" w14:textId="77777777" w:rsidR="00CA3533" w:rsidRPr="00CA3533" w:rsidRDefault="00CA3533" w:rsidP="00CA3533">
      <w:pPr>
        <w:keepNext/>
        <w:tabs>
          <w:tab w:val="left" w:pos="4228"/>
        </w:tabs>
        <w:spacing w:after="120"/>
        <w:ind w:left="2268" w:right="1134" w:hanging="1134"/>
        <w:jc w:val="both"/>
        <w:rPr>
          <w:rFonts w:eastAsiaTheme="minorHAnsi"/>
          <w:b/>
          <w:i/>
          <w:iCs/>
          <w:lang w:val="fr-FR" w:eastAsia="en-US"/>
        </w:rPr>
      </w:pPr>
      <w:r w:rsidRPr="00CA3533">
        <w:rPr>
          <w:rFonts w:eastAsiaTheme="minorHAnsi"/>
          <w:b/>
          <w:lang w:val="fr-FR" w:eastAsia="en-US"/>
        </w:rPr>
        <w:t>6.9.2.4</w:t>
      </w:r>
      <w:r w:rsidRPr="00CA3533">
        <w:rPr>
          <w:rFonts w:eastAsiaTheme="minorHAnsi"/>
          <w:b/>
          <w:lang w:val="fr-FR" w:eastAsia="en-US"/>
        </w:rPr>
        <w:tab/>
      </w:r>
      <w:r w:rsidRPr="00CA3533">
        <w:rPr>
          <w:rFonts w:eastAsiaTheme="minorHAnsi"/>
          <w:b/>
          <w:i/>
          <w:iCs/>
          <w:lang w:val="fr-FR" w:eastAsia="en-US"/>
        </w:rPr>
        <w:t>Épaisseur minimale des parois des réservoirs</w:t>
      </w:r>
    </w:p>
    <w:p w14:paraId="181F129A"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6.9.2.4.1</w:t>
      </w:r>
      <w:r w:rsidRPr="00CA3533">
        <w:rPr>
          <w:rFonts w:eastAsiaTheme="minorHAnsi"/>
          <w:b/>
          <w:lang w:val="fr-FR" w:eastAsia="en-US"/>
        </w:rPr>
        <w:tab/>
      </w:r>
      <w:r w:rsidRPr="00CA3533">
        <w:rPr>
          <w:rFonts w:eastAsiaTheme="minorHAnsi"/>
          <w:lang w:val="fr-FR" w:eastAsia="en-US"/>
        </w:rPr>
        <w:t>L’épaisseur minimale des parois des réservoirs en PRF doit être confirmée par des calculs de la résistance du réservoir en respectant les prescriptions du 6.9.2.3.4.</w:t>
      </w:r>
    </w:p>
    <w:p w14:paraId="7B196340"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6.9.2.4.2</w:t>
      </w:r>
      <w:r w:rsidRPr="00CA3533">
        <w:rPr>
          <w:rFonts w:eastAsiaTheme="minorHAnsi"/>
          <w:b/>
          <w:lang w:val="fr-FR" w:eastAsia="en-US"/>
        </w:rPr>
        <w:tab/>
      </w:r>
      <w:r w:rsidRPr="00CA3533">
        <w:rPr>
          <w:rFonts w:eastAsiaTheme="minorHAnsi"/>
          <w:lang w:val="fr-FR" w:eastAsia="en-US"/>
        </w:rPr>
        <w:t>L’épaisseur minimale des couches structurales des réservoirs en PRF doit être calculée selon le 6.9.2.3.4, mais doit être dans tous les cas de 3 mm au minimum.</w:t>
      </w:r>
    </w:p>
    <w:p w14:paraId="18018F21" w14:textId="77777777" w:rsidR="00CA3533" w:rsidRPr="00CA3533" w:rsidRDefault="00CA3533" w:rsidP="00CA3533">
      <w:pPr>
        <w:keepNext/>
        <w:tabs>
          <w:tab w:val="left" w:pos="4228"/>
        </w:tabs>
        <w:spacing w:after="120"/>
        <w:ind w:left="2268" w:right="1134" w:hanging="1134"/>
        <w:jc w:val="both"/>
        <w:rPr>
          <w:rFonts w:eastAsiaTheme="minorHAnsi"/>
          <w:b/>
          <w:i/>
          <w:iCs/>
          <w:lang w:val="fr-FR" w:eastAsia="en-US"/>
        </w:rPr>
      </w:pPr>
      <w:r w:rsidRPr="00CA3533">
        <w:rPr>
          <w:rFonts w:eastAsiaTheme="minorHAnsi"/>
          <w:b/>
          <w:lang w:val="fr-FR" w:eastAsia="en-US"/>
        </w:rPr>
        <w:t>6.9.2.5</w:t>
      </w:r>
      <w:r w:rsidRPr="00CA3533">
        <w:rPr>
          <w:rFonts w:eastAsiaTheme="minorHAnsi"/>
          <w:b/>
          <w:lang w:val="fr-FR" w:eastAsia="en-US"/>
        </w:rPr>
        <w:tab/>
      </w:r>
      <w:r w:rsidRPr="00CA3533">
        <w:rPr>
          <w:rFonts w:eastAsiaTheme="minorHAnsi"/>
          <w:b/>
          <w:i/>
          <w:iCs/>
          <w:lang w:val="fr-FR" w:eastAsia="en-US"/>
        </w:rPr>
        <w:t>Éléments des citernes mobiles équipées d’un réservoir en PRF</w:t>
      </w:r>
    </w:p>
    <w:p w14:paraId="0EDCA8A7"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Les équipements de service, les ouvertures en partie basse, les dispositifs de décompression, les jauges, les supports, les cadres, et les attaches de levage et d’arrimage des citernes mobiles doivent être conformes aux prescriptions des 6.7.2.5 à 6.7.2.17. Les dispositions du 6.9.2.3.8 s’appliquent à tout autre élément métallique devant être intégré au réservoir en PRF.</w:t>
      </w:r>
    </w:p>
    <w:p w14:paraId="423EC2F8" w14:textId="77777777" w:rsidR="00CA3533" w:rsidRPr="00CA3533" w:rsidRDefault="00CA3533" w:rsidP="00CA3533">
      <w:pPr>
        <w:keepNext/>
        <w:tabs>
          <w:tab w:val="left" w:pos="4228"/>
        </w:tabs>
        <w:spacing w:after="120"/>
        <w:ind w:left="2268" w:right="1134" w:hanging="1134"/>
        <w:jc w:val="both"/>
        <w:rPr>
          <w:rFonts w:eastAsiaTheme="minorHAnsi"/>
          <w:b/>
          <w:i/>
          <w:iCs/>
          <w:lang w:val="fr-FR" w:eastAsia="ru-RU"/>
        </w:rPr>
      </w:pPr>
      <w:r w:rsidRPr="00CA3533">
        <w:rPr>
          <w:rFonts w:eastAsiaTheme="minorHAnsi"/>
          <w:b/>
          <w:lang w:val="fr-FR" w:eastAsia="ru-RU"/>
        </w:rPr>
        <w:t>6.9.2.6</w:t>
      </w:r>
      <w:r w:rsidRPr="00CA3533">
        <w:rPr>
          <w:rFonts w:eastAsiaTheme="minorHAnsi"/>
          <w:b/>
          <w:lang w:val="fr-FR" w:eastAsia="ru-RU"/>
        </w:rPr>
        <w:tab/>
      </w:r>
      <w:r w:rsidRPr="00CA3533">
        <w:rPr>
          <w:rFonts w:eastAsiaTheme="minorHAnsi"/>
          <w:b/>
          <w:i/>
          <w:iCs/>
          <w:lang w:val="fr-FR" w:eastAsia="ru-RU"/>
        </w:rPr>
        <w:t>Agrément de type</w:t>
      </w:r>
    </w:p>
    <w:p w14:paraId="7CCA75B0"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6.9.2.6.1</w:t>
      </w:r>
      <w:r w:rsidRPr="00CA3533">
        <w:rPr>
          <w:rFonts w:eastAsiaTheme="minorHAnsi"/>
          <w:lang w:val="fr-FR" w:eastAsia="ru-RU"/>
        </w:rPr>
        <w:tab/>
        <w:t>L’agrément de type des citernes mobiles en PRF doit être conforme aux prescriptions du 6.7.2.18. Les prescriptions</w:t>
      </w:r>
      <w:r w:rsidRPr="00CA3533" w:rsidDel="0083578D">
        <w:rPr>
          <w:rFonts w:eastAsiaTheme="minorHAnsi"/>
          <w:lang w:val="fr-FR" w:eastAsia="ru-RU"/>
        </w:rPr>
        <w:t xml:space="preserve"> </w:t>
      </w:r>
      <w:r w:rsidRPr="00CA3533">
        <w:rPr>
          <w:rFonts w:eastAsiaTheme="minorHAnsi"/>
          <w:lang w:val="fr-FR" w:eastAsia="ru-RU"/>
        </w:rPr>
        <w:t>complémentaires suivantes s’appliquent aux citernes mobiles en PRF.</w:t>
      </w:r>
    </w:p>
    <w:p w14:paraId="7E11D9B8"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6.9.2.6.2</w:t>
      </w:r>
      <w:r w:rsidRPr="00CA3533">
        <w:rPr>
          <w:rFonts w:eastAsiaTheme="minorHAnsi"/>
          <w:b/>
          <w:lang w:val="fr-FR" w:eastAsia="ru-RU"/>
        </w:rPr>
        <w:tab/>
      </w:r>
      <w:r w:rsidRPr="00CA3533">
        <w:rPr>
          <w:rFonts w:eastAsiaTheme="minorHAnsi"/>
          <w:lang w:val="fr-FR" w:eastAsia="ru-RU"/>
        </w:rPr>
        <w:t>Le rapport d’essai du prototype aux fins de l’agrément de type doit en outre contenir les éléments suivants :</w:t>
      </w:r>
    </w:p>
    <w:p w14:paraId="0DDA608E" w14:textId="77777777" w:rsidR="00CA3533" w:rsidRPr="00CA3533" w:rsidRDefault="00CA3533" w:rsidP="00CA3533">
      <w:pPr>
        <w:keepNext/>
        <w:tabs>
          <w:tab w:val="left" w:pos="4228"/>
        </w:tabs>
        <w:spacing w:after="120"/>
        <w:ind w:left="2835" w:right="1134" w:hanging="567"/>
        <w:jc w:val="both"/>
        <w:rPr>
          <w:rFonts w:eastAsiaTheme="minorHAnsi"/>
          <w:lang w:val="fr-FR" w:eastAsia="en-US"/>
        </w:rPr>
      </w:pPr>
      <w:r w:rsidRPr="00CA3533">
        <w:rPr>
          <w:rFonts w:eastAsiaTheme="minorHAnsi"/>
          <w:lang w:val="fr-FR" w:eastAsia="ru-RU"/>
        </w:rPr>
        <w:t>a)</w:t>
      </w:r>
      <w:r w:rsidRPr="00CA3533">
        <w:rPr>
          <w:rFonts w:eastAsiaTheme="minorHAnsi"/>
          <w:lang w:val="fr-FR" w:eastAsia="ru-RU"/>
        </w:rPr>
        <w:tab/>
        <w:t>Les résultats des essais réalisés sur le matériau utilisé pour la construction des réservoirs en PRF conformément aux prescriptions du 6.9.2.7.1 ;</w:t>
      </w:r>
    </w:p>
    <w:p w14:paraId="0DB6F30B" w14:textId="77777777" w:rsidR="00CA3533" w:rsidRPr="00CA3533" w:rsidRDefault="00CA3533" w:rsidP="00CA3533">
      <w:pPr>
        <w:keepNext/>
        <w:tabs>
          <w:tab w:val="left" w:pos="4228"/>
        </w:tabs>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t>Les résultats de l’essai de chute conformément aux prescriptions</w:t>
      </w:r>
      <w:r w:rsidRPr="00CA3533" w:rsidDel="00032217">
        <w:rPr>
          <w:rFonts w:eastAsiaTheme="minorHAnsi"/>
          <w:lang w:val="fr-FR" w:eastAsia="en-US"/>
        </w:rPr>
        <w:t xml:space="preserve"> </w:t>
      </w:r>
      <w:r w:rsidRPr="00CA3533">
        <w:rPr>
          <w:rFonts w:eastAsiaTheme="minorHAnsi"/>
          <w:lang w:val="fr-FR" w:eastAsia="en-US"/>
        </w:rPr>
        <w:t>du 6.9.2.7.1.4 ;</w:t>
      </w:r>
    </w:p>
    <w:p w14:paraId="3E969D1A" w14:textId="77777777" w:rsidR="00CA3533" w:rsidRPr="00CA3533" w:rsidRDefault="00CA3533" w:rsidP="00CA3533">
      <w:pPr>
        <w:keepNext/>
        <w:tabs>
          <w:tab w:val="left" w:pos="4228"/>
        </w:tabs>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t>Les résultats de l’essai de résistance au feu conformément aux dispositions du 6.9.2.7.1.5.</w:t>
      </w:r>
    </w:p>
    <w:p w14:paraId="3315B973"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6.9.2.6.3</w:t>
      </w:r>
      <w:r w:rsidRPr="00CA3533">
        <w:rPr>
          <w:rFonts w:eastAsiaTheme="minorHAnsi"/>
          <w:lang w:val="fr-FR" w:eastAsia="ru-RU"/>
        </w:rPr>
        <w:tab/>
        <w:t xml:space="preserve">Un programme d’inspection de la durée de service doit être mis en place et prévu dans le manuel d’exploitation, afin de surveiller l’état du réservoir lors des contrôles périodiques. Le programme d’inspection doit mettre l’accent sur les principaux points de contrainte recensés dans l’analyse de la conception effectuée conformément au 6.9.2.3.4. La méthode d’inspection doit tenir compte du mode de détérioration auquel sont potentiellement exposés les principaux points de contrainte (par exemple, contrainte de traction ou contrainte </w:t>
      </w:r>
      <w:proofErr w:type="spellStart"/>
      <w:r w:rsidRPr="00CA3533">
        <w:rPr>
          <w:rFonts w:eastAsiaTheme="minorHAnsi"/>
          <w:lang w:val="fr-FR" w:eastAsia="ru-RU"/>
        </w:rPr>
        <w:t>interlaminaire</w:t>
      </w:r>
      <w:proofErr w:type="spellEnd"/>
      <w:r w:rsidRPr="00CA3533">
        <w:rPr>
          <w:rFonts w:eastAsiaTheme="minorHAnsi"/>
          <w:lang w:val="fr-FR" w:eastAsia="ru-RU"/>
        </w:rPr>
        <w:t>). L’inspection doit s’effectuer sous forme d’une combinaison de tests visuels et non-destructifs (par exemple, émissions acoustiques, évaluations par ultrasons, analyses thermographiques). Lorsque des éléments chauffants sont utilisés,</w:t>
      </w:r>
      <w:r w:rsidRPr="00CA3533">
        <w:rPr>
          <w:rFonts w:eastAsiaTheme="minorHAnsi"/>
          <w:sz w:val="16"/>
          <w:szCs w:val="16"/>
          <w:lang w:val="fr-FR" w:eastAsia="en-US"/>
        </w:rPr>
        <w:t xml:space="preserve"> </w:t>
      </w:r>
      <w:r w:rsidRPr="00CA3533">
        <w:rPr>
          <w:rFonts w:eastAsiaTheme="minorHAnsi"/>
          <w:lang w:val="fr-FR" w:eastAsia="ru-RU"/>
        </w:rPr>
        <w:t xml:space="preserve">le </w:t>
      </w:r>
      <w:bookmarkStart w:id="38" w:name="_Hlk43973845"/>
      <w:r w:rsidRPr="00CA3533">
        <w:rPr>
          <w:rFonts w:eastAsiaTheme="minorHAnsi"/>
          <w:lang w:val="fr-FR" w:eastAsia="ru-RU"/>
        </w:rPr>
        <w:t xml:space="preserve">programme d’inspection de la durée de vie </w:t>
      </w:r>
      <w:bookmarkEnd w:id="38"/>
      <w:r w:rsidRPr="00CA3533">
        <w:rPr>
          <w:rFonts w:eastAsiaTheme="minorHAnsi"/>
          <w:lang w:val="fr-FR" w:eastAsia="ru-RU"/>
        </w:rPr>
        <w:t>doit permettre un examen du réservoir ou des points représentatifs pour tenir compte des effets de la surchauffe.</w:t>
      </w:r>
    </w:p>
    <w:p w14:paraId="637843CC" w14:textId="77777777" w:rsidR="00CA3533" w:rsidRPr="00CA3533" w:rsidRDefault="00CA3533" w:rsidP="00CA3533">
      <w:pPr>
        <w:keepNext/>
        <w:tabs>
          <w:tab w:val="left" w:pos="4228"/>
        </w:tabs>
        <w:spacing w:after="120"/>
        <w:ind w:left="2268" w:right="1134" w:hanging="1134"/>
        <w:jc w:val="both"/>
        <w:rPr>
          <w:rFonts w:eastAsiaTheme="minorHAnsi"/>
          <w:b/>
          <w:lang w:val="fr-FR" w:eastAsia="ru-RU"/>
        </w:rPr>
      </w:pPr>
      <w:r w:rsidRPr="00CA3533">
        <w:rPr>
          <w:rFonts w:eastAsiaTheme="minorHAnsi"/>
          <w:lang w:val="fr-FR" w:eastAsia="ru-RU"/>
        </w:rPr>
        <w:t>6.9.2.6.4</w:t>
      </w:r>
      <w:r w:rsidRPr="00CA3533">
        <w:rPr>
          <w:rFonts w:eastAsiaTheme="minorHAnsi"/>
          <w:b/>
          <w:lang w:val="fr-FR" w:eastAsia="ru-RU"/>
        </w:rPr>
        <w:tab/>
      </w:r>
      <w:r w:rsidRPr="00CA3533">
        <w:rPr>
          <w:rFonts w:eastAsiaTheme="minorHAnsi"/>
          <w:lang w:val="fr-FR" w:eastAsia="ru-RU"/>
        </w:rPr>
        <w:t>Un prototype représentatif de la citerne doit être soumis aux épreuves prescrites ci-après. À cette fin, l’équipement de service peut être remplacé par d’autres éléments si nécessaire.</w:t>
      </w:r>
    </w:p>
    <w:p w14:paraId="17CDCCD7" w14:textId="0D89CCAC"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6.9.2.6.4.1</w:t>
      </w:r>
      <w:r w:rsidRPr="00CA3533">
        <w:rPr>
          <w:rFonts w:eastAsiaTheme="minorHAnsi"/>
          <w:lang w:val="fr-FR" w:eastAsia="ru-RU"/>
        </w:rPr>
        <w:tab/>
        <w:t>Le prototype doit être inspecté pour en déterminer la conformité avec les spécifications du modèle. Cette inspection doit comprendre une inspection interne et externe et la mesure des principales dimensions.</w:t>
      </w:r>
    </w:p>
    <w:p w14:paraId="4D3824E1"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6.9.2.6.4.2</w:t>
      </w:r>
      <w:r w:rsidRPr="00CA3533">
        <w:rPr>
          <w:rFonts w:eastAsiaTheme="minorHAnsi"/>
          <w:lang w:val="fr-FR" w:eastAsia="ru-RU"/>
        </w:rPr>
        <w:tab/>
        <w:t xml:space="preserve">Le prototype, muni de jauges de contrainte à tous les endroits où la contrainte est forte, recensés dans le cadre de l’exercice de validation de la conception </w:t>
      </w:r>
      <w:r w:rsidRPr="00CA3533">
        <w:rPr>
          <w:rFonts w:eastAsiaTheme="minorHAnsi"/>
          <w:lang w:val="fr-FR" w:eastAsia="ru-RU"/>
        </w:rPr>
        <w:lastRenderedPageBreak/>
        <w:t>mené conformément au 6.9.2.3.4, doit être soumis aux charges suivantes et les contraintes qui en résultent doivent être enregistrées :</w:t>
      </w:r>
    </w:p>
    <w:p w14:paraId="7DEB9E3B"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a)</w:t>
      </w:r>
      <w:r w:rsidRPr="00CA3533">
        <w:rPr>
          <w:rFonts w:eastAsiaTheme="minorHAnsi"/>
          <w:lang w:val="fr-FR" w:eastAsia="ru-RU"/>
        </w:rPr>
        <w:tab/>
        <w:t>La citerne doit être remplie d’eau au taux maximal de remplissage. Les résultats des mesures serviront à étalonner les valeurs théoriques conformément au 6.9.2.3.4 ;</w:t>
      </w:r>
    </w:p>
    <w:p w14:paraId="53223D1C"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b)</w:t>
      </w:r>
      <w:r w:rsidRPr="00CA3533">
        <w:rPr>
          <w:rFonts w:eastAsiaTheme="minorHAnsi"/>
          <w:lang w:val="fr-FR" w:eastAsia="ru-RU"/>
        </w:rPr>
        <w:tab/>
        <w:t>La citerne doit être remplie d’eau au taux maximal de remplissage et soumise à des charges statiques dans les trois directions, fixées au socle par les ferrures de coin, sans application d’une masse supplémentaire externe au réservoir. Pour comparer les résultats effectifs aux valeurs théoriques de calcul selon le 6.9.2.3.4, on extrapole les contraintes enregistrées en fonction du coefficient des accélérations exigées au 6.7.2.2.12 et mesurées ;</w:t>
      </w:r>
    </w:p>
    <w:p w14:paraId="638F48CA"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ru-RU"/>
        </w:rPr>
      </w:pPr>
      <w:r w:rsidRPr="00CA3533">
        <w:rPr>
          <w:rFonts w:eastAsiaTheme="minorHAnsi"/>
          <w:lang w:val="fr-FR" w:eastAsia="ru-RU"/>
        </w:rPr>
        <w:t>c)</w:t>
      </w:r>
      <w:r w:rsidRPr="00CA3533">
        <w:rPr>
          <w:rFonts w:eastAsiaTheme="minorHAnsi"/>
          <w:lang w:val="fr-FR" w:eastAsia="ru-RU"/>
        </w:rPr>
        <w:tab/>
        <w:t>La citerne doit être remplie d’eau et soumise à la pression d’épreuve prescrite. Sous cette charge, la citerne ne doit présenter aucun dommage visible ni aucune fuite.</w:t>
      </w:r>
    </w:p>
    <w:p w14:paraId="0AE863A0" w14:textId="77777777" w:rsidR="00CA3533" w:rsidRPr="00CA3533" w:rsidRDefault="00CA3533" w:rsidP="00CA3533">
      <w:pPr>
        <w:keepNext/>
        <w:tabs>
          <w:tab w:val="left" w:pos="4228"/>
        </w:tabs>
        <w:spacing w:after="120"/>
        <w:ind w:left="2268" w:right="1134" w:hanging="1134"/>
        <w:jc w:val="both"/>
        <w:rPr>
          <w:rFonts w:eastAsiaTheme="minorHAnsi"/>
          <w:lang w:val="fr-FR" w:eastAsia="ru-RU"/>
        </w:rPr>
      </w:pPr>
      <w:r w:rsidRPr="00CA3533">
        <w:rPr>
          <w:rFonts w:eastAsiaTheme="minorHAnsi"/>
          <w:lang w:val="fr-FR" w:eastAsia="ru-RU"/>
        </w:rPr>
        <w:tab/>
        <w:t>Dans aucune de ces conditions de charge la contrainte correspondant au niveau de déformation mesuré ne doit dépasser le facteur minimal de sécurité calculé au 6.9.2.3.4.</w:t>
      </w:r>
    </w:p>
    <w:p w14:paraId="1042965E" w14:textId="77777777" w:rsidR="00CA3533" w:rsidRPr="00CA3533" w:rsidRDefault="00CA3533" w:rsidP="00CA3533">
      <w:pPr>
        <w:keepNext/>
        <w:keepLines/>
        <w:tabs>
          <w:tab w:val="right" w:pos="851"/>
        </w:tabs>
        <w:spacing w:before="240" w:after="120" w:line="240" w:lineRule="exact"/>
        <w:ind w:left="2268" w:right="1134" w:hanging="1134"/>
        <w:outlineLvl w:val="3"/>
        <w:rPr>
          <w:rFonts w:eastAsiaTheme="minorHAnsi"/>
          <w:b/>
          <w:i/>
          <w:iCs/>
          <w:lang w:val="fr-FR" w:eastAsia="ru-RU"/>
        </w:rPr>
      </w:pPr>
      <w:r w:rsidRPr="00CA3533">
        <w:rPr>
          <w:rFonts w:eastAsiaTheme="minorHAnsi"/>
          <w:b/>
          <w:lang w:val="fr-FR" w:eastAsia="ru-RU"/>
        </w:rPr>
        <w:t>6.9.2.7</w:t>
      </w:r>
      <w:r w:rsidRPr="00CA3533">
        <w:rPr>
          <w:rFonts w:eastAsiaTheme="minorHAnsi"/>
          <w:b/>
          <w:lang w:val="fr-FR" w:eastAsia="ru-RU"/>
        </w:rPr>
        <w:tab/>
      </w:r>
      <w:r w:rsidRPr="00CA3533">
        <w:rPr>
          <w:rFonts w:eastAsiaTheme="minorHAnsi"/>
          <w:b/>
          <w:i/>
          <w:iCs/>
          <w:lang w:val="fr-FR" w:eastAsia="ru-RU"/>
        </w:rPr>
        <w:t>Dispositions complémentaires applicables aux citernes mobiles en PRF</w:t>
      </w:r>
    </w:p>
    <w:p w14:paraId="658F5230" w14:textId="77777777" w:rsidR="00CA3533" w:rsidRPr="00CA3533" w:rsidRDefault="00CA3533" w:rsidP="00CA3533">
      <w:pPr>
        <w:tabs>
          <w:tab w:val="left" w:pos="1701"/>
          <w:tab w:val="left" w:pos="2268"/>
          <w:tab w:val="left" w:pos="2835"/>
        </w:tabs>
        <w:spacing w:after="120"/>
        <w:ind w:left="1134" w:right="1134"/>
        <w:jc w:val="both"/>
        <w:rPr>
          <w:rFonts w:eastAsiaTheme="minorHAnsi"/>
          <w:lang w:val="fr-FR" w:eastAsia="ru-RU"/>
        </w:rPr>
      </w:pPr>
      <w:r w:rsidRPr="00CA3533">
        <w:rPr>
          <w:rFonts w:eastAsiaTheme="minorHAnsi"/>
          <w:lang w:val="fr-FR" w:eastAsia="ru-RU"/>
        </w:rPr>
        <w:t>6.9.2.7.1</w:t>
      </w:r>
      <w:r w:rsidRPr="00CA3533">
        <w:rPr>
          <w:rFonts w:eastAsiaTheme="minorHAnsi"/>
          <w:b/>
          <w:lang w:val="fr-FR" w:eastAsia="ru-RU"/>
        </w:rPr>
        <w:tab/>
      </w:r>
      <w:r w:rsidRPr="00CA3533">
        <w:rPr>
          <w:rFonts w:eastAsiaTheme="minorHAnsi"/>
          <w:i/>
          <w:iCs/>
          <w:lang w:val="fr-FR" w:eastAsia="ru-RU"/>
        </w:rPr>
        <w:t>Essais des matériaux</w:t>
      </w:r>
    </w:p>
    <w:p w14:paraId="4650E490" w14:textId="77777777" w:rsidR="00CA3533" w:rsidRPr="00CA3533" w:rsidRDefault="00CA3533" w:rsidP="00CA3533">
      <w:pPr>
        <w:tabs>
          <w:tab w:val="left" w:pos="1701"/>
          <w:tab w:val="left" w:pos="2268"/>
          <w:tab w:val="left" w:pos="2835"/>
        </w:tabs>
        <w:spacing w:after="120"/>
        <w:ind w:left="1134" w:right="1134"/>
        <w:jc w:val="both"/>
        <w:rPr>
          <w:rFonts w:eastAsiaTheme="minorHAnsi"/>
          <w:lang w:val="fr-FR" w:eastAsia="en-US"/>
        </w:rPr>
      </w:pPr>
      <w:r w:rsidRPr="00CA3533">
        <w:rPr>
          <w:rFonts w:eastAsiaTheme="minorHAnsi"/>
          <w:iCs/>
          <w:spacing w:val="-3"/>
          <w:lang w:val="fr-FR" w:eastAsia="en-US"/>
        </w:rPr>
        <w:t>6.9.2.7.1</w:t>
      </w:r>
      <w:r w:rsidRPr="00CA3533">
        <w:rPr>
          <w:rFonts w:eastAsiaTheme="minorHAnsi"/>
          <w:spacing w:val="-3"/>
          <w:lang w:val="fr-FR" w:eastAsia="en-US"/>
        </w:rPr>
        <w:t>.1</w:t>
      </w:r>
      <w:r w:rsidRPr="00CA3533">
        <w:rPr>
          <w:rFonts w:eastAsiaTheme="minorHAnsi"/>
          <w:b/>
          <w:lang w:val="fr-FR" w:eastAsia="en-US"/>
        </w:rPr>
        <w:tab/>
      </w:r>
      <w:r w:rsidRPr="00CA3533">
        <w:rPr>
          <w:rFonts w:eastAsiaTheme="minorHAnsi"/>
          <w:lang w:val="fr-FR" w:eastAsia="en-US"/>
        </w:rPr>
        <w:t>Résines</w:t>
      </w:r>
    </w:p>
    <w:p w14:paraId="285D3C16"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 xml:space="preserve">L’allongement à la rupture de la résine est déterminé selon la norme ISО 527-2:2012. La température de distorsion thermique (HDT) de la résine doit être déterminée conformément aux prescriptions de la norme </w:t>
      </w:r>
      <w:r w:rsidRPr="00CA3533">
        <w:rPr>
          <w:lang w:val="fr-FR" w:eastAsia="en-US"/>
        </w:rPr>
        <w:t>ISO 75</w:t>
      </w:r>
      <w:r w:rsidRPr="00CA3533">
        <w:rPr>
          <w:lang w:val="fr-FR" w:eastAsia="en-US"/>
        </w:rPr>
        <w:noBreakHyphen/>
        <w:t>1:2013.</w:t>
      </w:r>
      <w:r w:rsidRPr="00CA3533">
        <w:rPr>
          <w:rFonts w:eastAsiaTheme="minorHAnsi"/>
          <w:strike/>
          <w:lang w:val="fr-FR" w:eastAsia="en-US"/>
        </w:rPr>
        <w:t xml:space="preserve"> </w:t>
      </w:r>
    </w:p>
    <w:p w14:paraId="1BD6CE51" w14:textId="77777777" w:rsidR="00CA3533" w:rsidRPr="00CA3533" w:rsidRDefault="00CA3533" w:rsidP="00CA3533">
      <w:pPr>
        <w:tabs>
          <w:tab w:val="left" w:pos="1701"/>
          <w:tab w:val="left" w:pos="2268"/>
          <w:tab w:val="left" w:pos="2835"/>
        </w:tabs>
        <w:spacing w:after="120"/>
        <w:ind w:left="1134" w:right="1134"/>
        <w:jc w:val="both"/>
        <w:rPr>
          <w:rFonts w:eastAsiaTheme="minorHAnsi"/>
          <w:lang w:val="fr-FR" w:eastAsia="en-US"/>
        </w:rPr>
      </w:pPr>
      <w:r w:rsidRPr="00CA3533">
        <w:rPr>
          <w:rFonts w:eastAsiaTheme="minorHAnsi"/>
          <w:iCs/>
          <w:spacing w:val="-3"/>
          <w:lang w:val="fr-FR" w:eastAsia="en-US"/>
        </w:rPr>
        <w:t>6.9.2.7.1</w:t>
      </w:r>
      <w:r w:rsidRPr="00CA3533">
        <w:rPr>
          <w:rFonts w:eastAsiaTheme="minorHAnsi"/>
          <w:spacing w:val="-3"/>
          <w:lang w:val="fr-FR" w:eastAsia="en-US"/>
        </w:rPr>
        <w:t>.2</w:t>
      </w:r>
      <w:r w:rsidRPr="00CA3533">
        <w:rPr>
          <w:rFonts w:eastAsiaTheme="minorHAnsi"/>
          <w:lang w:val="fr-FR" w:eastAsia="en-US"/>
        </w:rPr>
        <w:tab/>
        <w:t>Echantillons du réservoir</w:t>
      </w:r>
    </w:p>
    <w:p w14:paraId="1AB5C75B"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 xml:space="preserve">Avant les essais, les échantillons doivent être </w:t>
      </w:r>
      <w:r w:rsidRPr="00CA3533">
        <w:rPr>
          <w:rFonts w:eastAsiaTheme="minorHAnsi"/>
          <w:bCs/>
          <w:lang w:val="fr-FR" w:eastAsia="en-US"/>
        </w:rPr>
        <w:t>débarrassés</w:t>
      </w:r>
      <w:r w:rsidRPr="00CA3533">
        <w:rPr>
          <w:rFonts w:eastAsiaTheme="minorHAnsi"/>
          <w:lang w:val="fr-FR" w:eastAsia="en-US"/>
        </w:rPr>
        <w:t xml:space="preserve"> de tout revêtement. S’il n’est pas possible de prélever des échantillons sur le réservoir, des échantillons témoins de réservoir peuvent être utilisés. Les essais doivent porter sur les points suivants :</w:t>
      </w:r>
    </w:p>
    <w:p w14:paraId="4AAD9DF0" w14:textId="780FAF25"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r>
      <w:r w:rsidR="002F5E49">
        <w:rPr>
          <w:rFonts w:eastAsiaTheme="minorHAnsi"/>
          <w:lang w:val="fr-FR" w:eastAsia="ru-RU"/>
        </w:rPr>
        <w:t>l’é</w:t>
      </w:r>
      <w:r w:rsidRPr="00CA3533">
        <w:rPr>
          <w:rFonts w:eastAsiaTheme="minorHAnsi"/>
          <w:lang w:val="fr-FR" w:eastAsia="ru-RU"/>
        </w:rPr>
        <w:t>paisseur</w:t>
      </w:r>
      <w:r w:rsidRPr="00CA3533">
        <w:rPr>
          <w:rFonts w:eastAsiaTheme="minorHAnsi"/>
          <w:lang w:val="fr-FR" w:eastAsia="en-US"/>
        </w:rPr>
        <w:t xml:space="preserve"> des laminés de la virole et des fonds ;</w:t>
      </w:r>
    </w:p>
    <w:p w14:paraId="0190DCA7" w14:textId="62821BA0"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b)</w:t>
      </w:r>
      <w:r w:rsidRPr="00CA3533">
        <w:rPr>
          <w:rFonts w:eastAsiaTheme="minorHAnsi"/>
          <w:lang w:val="fr-FR" w:eastAsia="en-US"/>
        </w:rPr>
        <w:tab/>
      </w:r>
      <w:r w:rsidR="002F5E49">
        <w:rPr>
          <w:rFonts w:eastAsiaTheme="minorHAnsi"/>
          <w:lang w:val="fr-FR" w:eastAsia="en-US"/>
        </w:rPr>
        <w:t>la t</w:t>
      </w:r>
      <w:r w:rsidRPr="00CA3533">
        <w:rPr>
          <w:rFonts w:eastAsiaTheme="minorHAnsi"/>
          <w:lang w:val="fr-FR" w:eastAsia="en-US"/>
        </w:rPr>
        <w:t xml:space="preserve">eneur en masse et </w:t>
      </w:r>
      <w:r w:rsidR="002F5E49">
        <w:rPr>
          <w:rFonts w:eastAsiaTheme="minorHAnsi"/>
          <w:lang w:val="fr-FR" w:eastAsia="en-US"/>
        </w:rPr>
        <w:t xml:space="preserve">la </w:t>
      </w:r>
      <w:r w:rsidRPr="00CA3533">
        <w:rPr>
          <w:rFonts w:eastAsiaTheme="minorHAnsi"/>
          <w:lang w:val="fr-FR" w:eastAsia="en-US"/>
        </w:rPr>
        <w:t>composition du renfort composite selon la norme ISO 1172:1996 ou ISO 14127:2008, ainsi qu’orientation et disposition des couches de renfort ;</w:t>
      </w:r>
    </w:p>
    <w:p w14:paraId="2D6DABB1" w14:textId="4D12650D"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c)</w:t>
      </w:r>
      <w:r w:rsidRPr="00CA3533">
        <w:rPr>
          <w:rFonts w:eastAsiaTheme="minorHAnsi"/>
          <w:lang w:val="fr-FR" w:eastAsia="en-US"/>
        </w:rPr>
        <w:tab/>
      </w:r>
      <w:r w:rsidR="00F76F84">
        <w:rPr>
          <w:rFonts w:eastAsiaTheme="minorHAnsi"/>
          <w:lang w:val="fr-FR" w:eastAsia="en-US"/>
        </w:rPr>
        <w:t>la r</w:t>
      </w:r>
      <w:r w:rsidRPr="00CA3533">
        <w:rPr>
          <w:rFonts w:eastAsiaTheme="minorHAnsi"/>
          <w:lang w:val="fr-FR" w:eastAsia="en-US"/>
        </w:rPr>
        <w:t xml:space="preserve">ésistance à la traction, </w:t>
      </w:r>
      <w:r w:rsidR="00F76F84">
        <w:rPr>
          <w:rFonts w:eastAsiaTheme="minorHAnsi"/>
          <w:lang w:val="fr-FR" w:eastAsia="en-US"/>
        </w:rPr>
        <w:t>l’</w:t>
      </w:r>
      <w:r w:rsidRPr="00CA3533">
        <w:rPr>
          <w:rFonts w:eastAsiaTheme="minorHAnsi"/>
          <w:lang w:val="fr-FR" w:eastAsia="en-US"/>
        </w:rPr>
        <w:t xml:space="preserve">allongement à la rupture et </w:t>
      </w:r>
      <w:r w:rsidR="00F76F84">
        <w:rPr>
          <w:rFonts w:eastAsiaTheme="minorHAnsi"/>
          <w:lang w:val="fr-FR" w:eastAsia="en-US"/>
        </w:rPr>
        <w:t xml:space="preserve">le </w:t>
      </w:r>
      <w:r w:rsidRPr="00CA3533">
        <w:rPr>
          <w:rFonts w:eastAsiaTheme="minorHAnsi"/>
          <w:lang w:val="fr-FR" w:eastAsia="en-US"/>
        </w:rPr>
        <w:t>module d’élasticité selon la norme ISO 527-4:1997 ou ISO 527-5:2009 pour les orientations longitudinale et circonférentielle du réservoir. Pour les parties du réservoir en PRF, les essais doivent être effectués sur des laminés représentatifs, conformément aux normes ISO 527</w:t>
      </w:r>
      <w:r w:rsidRPr="00CA3533">
        <w:rPr>
          <w:rFonts w:eastAsiaTheme="minorHAnsi"/>
          <w:lang w:val="fr-FR" w:eastAsia="en-US"/>
        </w:rPr>
        <w:noBreakHyphen/>
        <w:t>4:1997 ou ISO 527-5:2009, afin de pouvoir évaluer la pertinence du facteur de sécurité (K). Au moins six éprouvettes doivent être utilisées par mesure de la résistance à la traction, la résistance à la traction à retenir étant la moyenne moins deux écarts types ;</w:t>
      </w:r>
    </w:p>
    <w:p w14:paraId="6360618B" w14:textId="3FFF09E5"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r>
      <w:r w:rsidR="00F76F84">
        <w:rPr>
          <w:rFonts w:eastAsiaTheme="minorHAnsi"/>
          <w:lang w:val="fr-FR" w:eastAsia="en-US"/>
        </w:rPr>
        <w:t>la r</w:t>
      </w:r>
      <w:r w:rsidRPr="00CA3533">
        <w:rPr>
          <w:rFonts w:eastAsiaTheme="minorHAnsi"/>
          <w:lang w:val="fr-FR" w:eastAsia="en-US"/>
        </w:rPr>
        <w:t xml:space="preserve">ésistance et </w:t>
      </w:r>
      <w:r w:rsidR="00E05237">
        <w:rPr>
          <w:rFonts w:eastAsiaTheme="minorHAnsi"/>
          <w:lang w:val="fr-FR" w:eastAsia="en-US"/>
        </w:rPr>
        <w:t xml:space="preserve">la </w:t>
      </w:r>
      <w:r w:rsidRPr="00CA3533">
        <w:rPr>
          <w:rFonts w:eastAsiaTheme="minorHAnsi"/>
          <w:lang w:val="fr-FR" w:eastAsia="en-US"/>
        </w:rPr>
        <w:t xml:space="preserve">déformation en flexion, établies par l’essai de flexion en trois points ou en quatre points conformément à la norme ISO 14125:1998 + </w:t>
      </w:r>
      <w:proofErr w:type="spellStart"/>
      <w:r w:rsidRPr="00CA3533">
        <w:rPr>
          <w:rFonts w:eastAsiaTheme="minorHAnsi"/>
          <w:lang w:val="fr-FR" w:eastAsia="en-US"/>
        </w:rPr>
        <w:t>Amd</w:t>
      </w:r>
      <w:proofErr w:type="spellEnd"/>
      <w:r w:rsidRPr="00CA3533">
        <w:rPr>
          <w:rFonts w:eastAsiaTheme="minorHAnsi"/>
          <w:lang w:val="fr-FR" w:eastAsia="en-US"/>
        </w:rPr>
        <w:t> 1:2011 effectuée sur un échantillon d’une largeur minimale de 50 mm placé à une distance de son support égale à au moins 20 fois l’épaisseur des parois. Au moins cinq éprouvettes doivent être utilisées ;</w:t>
      </w:r>
    </w:p>
    <w:p w14:paraId="038AF857" w14:textId="7B6904F5"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e)</w:t>
      </w:r>
      <w:r w:rsidRPr="00CA3533">
        <w:rPr>
          <w:rFonts w:eastAsiaTheme="minorHAnsi"/>
          <w:lang w:val="fr-FR" w:eastAsia="en-US"/>
        </w:rPr>
        <w:tab/>
      </w:r>
      <w:r w:rsidR="00E05237">
        <w:rPr>
          <w:rFonts w:eastAsiaTheme="minorHAnsi"/>
          <w:lang w:val="fr-FR" w:eastAsia="en-US"/>
        </w:rPr>
        <w:t>le f</w:t>
      </w:r>
      <w:r w:rsidRPr="00CA3533">
        <w:rPr>
          <w:rFonts w:eastAsiaTheme="minorHAnsi"/>
          <w:lang w:val="fr-FR" w:eastAsia="en-US"/>
        </w:rPr>
        <w:t xml:space="preserve">acteur de fluage α, déterminé en prenant le résultat moyen d’au moins deux éprouvettes de la configuration décrite en d), soumis au fluage dans un dispositif de flexion en trois points ou en quatre points à </w:t>
      </w:r>
      <w:r w:rsidRPr="00CA3533">
        <w:rPr>
          <w:rFonts w:eastAsiaTheme="minorHAnsi"/>
          <w:lang w:val="fr-FR" w:eastAsia="en-US"/>
        </w:rPr>
        <w:lastRenderedPageBreak/>
        <w:t xml:space="preserve">la température maximale de conception prescrite au </w:t>
      </w:r>
      <w:r w:rsidRPr="00CA3533">
        <w:rPr>
          <w:rFonts w:eastAsia="SimSun"/>
          <w:lang w:val="fr-FR" w:eastAsia="en-US"/>
        </w:rPr>
        <w:t>6.9.2.2.3.2</w:t>
      </w:r>
      <w:r w:rsidRPr="00CA3533">
        <w:rPr>
          <w:rFonts w:eastAsiaTheme="minorHAnsi"/>
          <w:lang w:val="fr-FR" w:eastAsia="en-US"/>
        </w:rPr>
        <w:t xml:space="preserve">, </w:t>
      </w:r>
      <w:r w:rsidRPr="00CA3533">
        <w:rPr>
          <w:rFonts w:eastAsiaTheme="minorHAnsi"/>
          <w:lang w:val="fr-FR" w:eastAsia="ru-RU"/>
        </w:rPr>
        <w:t>pendant</w:t>
      </w:r>
      <w:r w:rsidRPr="00CA3533">
        <w:rPr>
          <w:rFonts w:eastAsiaTheme="minorHAnsi"/>
          <w:lang w:val="fr-FR" w:eastAsia="en-US"/>
        </w:rPr>
        <w:t xml:space="preserve"> 1 000 heures. Chaque éprouvette doit être soumise à l’essai suivant :</w:t>
      </w:r>
    </w:p>
    <w:p w14:paraId="0565CD84" w14:textId="77777777" w:rsidR="00CA3533" w:rsidRPr="00CA3533" w:rsidRDefault="00CA3533" w:rsidP="00CA3533">
      <w:pPr>
        <w:tabs>
          <w:tab w:val="left" w:pos="1701"/>
          <w:tab w:val="left" w:pos="2268"/>
        </w:tabs>
        <w:spacing w:after="120"/>
        <w:ind w:left="3402" w:right="1134" w:hanging="567"/>
        <w:jc w:val="both"/>
        <w:rPr>
          <w:rFonts w:eastAsiaTheme="minorHAnsi"/>
          <w:lang w:val="fr-FR" w:eastAsia="en-US"/>
        </w:rPr>
      </w:pPr>
      <w:r w:rsidRPr="00CA3533">
        <w:rPr>
          <w:rFonts w:eastAsiaTheme="minorHAnsi"/>
          <w:lang w:val="fr-FR" w:eastAsia="en-US"/>
        </w:rPr>
        <w:t>i)</w:t>
      </w:r>
      <w:r w:rsidRPr="00CA3533">
        <w:rPr>
          <w:rFonts w:eastAsiaTheme="minorHAnsi"/>
          <w:lang w:val="fr-FR" w:eastAsia="en-US"/>
        </w:rPr>
        <w:tab/>
        <w:t xml:space="preserve">Placer l’éprouvette dans le dispositif de flexion, sans charge, dans un four réglé à la température </w:t>
      </w:r>
      <w:r w:rsidRPr="00CA3533">
        <w:rPr>
          <w:rFonts w:eastAsiaTheme="minorHAnsi"/>
          <w:lang w:val="fr-FR" w:eastAsia="ru-RU"/>
        </w:rPr>
        <w:t>maximale</w:t>
      </w:r>
      <w:r w:rsidRPr="00CA3533">
        <w:rPr>
          <w:rFonts w:eastAsiaTheme="minorHAnsi"/>
          <w:lang w:val="fr-FR" w:eastAsia="en-US"/>
        </w:rPr>
        <w:t xml:space="preserve"> de conception et la laisser s’acclimater pendant au moins 60 minutes ;</w:t>
      </w:r>
    </w:p>
    <w:p w14:paraId="2D8A055D" w14:textId="5218E2F6" w:rsidR="00CA3533" w:rsidRPr="00CA3533" w:rsidRDefault="00CA3533" w:rsidP="00CA3533">
      <w:pPr>
        <w:tabs>
          <w:tab w:val="left" w:pos="1701"/>
          <w:tab w:val="left" w:pos="2268"/>
        </w:tabs>
        <w:spacing w:after="120"/>
        <w:ind w:left="3402" w:right="1134" w:hanging="567"/>
        <w:jc w:val="both"/>
        <w:rPr>
          <w:rFonts w:eastAsiaTheme="minorHAnsi"/>
          <w:lang w:val="fr-FR" w:eastAsia="en-US"/>
        </w:rPr>
      </w:pPr>
      <w:r w:rsidRPr="00CA3533">
        <w:rPr>
          <w:rFonts w:eastAsiaTheme="minorHAnsi"/>
          <w:lang w:val="fr-FR" w:eastAsia="en-US"/>
        </w:rPr>
        <w:t>ii)</w:t>
      </w:r>
      <w:r w:rsidRPr="00CA3533">
        <w:rPr>
          <w:rFonts w:eastAsiaTheme="minorHAnsi"/>
          <w:lang w:val="fr-FR" w:eastAsia="en-US"/>
        </w:rPr>
        <w:tab/>
        <w:t xml:space="preserve">Ajouter une charge à l’éprouvette soumise à l’essai conformément à la norme </w:t>
      </w:r>
      <w:r w:rsidRPr="00CA3533">
        <w:rPr>
          <w:rFonts w:eastAsiaTheme="minorHAnsi"/>
          <w:lang w:val="fr-FR" w:eastAsia="ru-RU"/>
        </w:rPr>
        <w:t>ISO</w:t>
      </w:r>
      <w:r w:rsidRPr="00CA3533">
        <w:rPr>
          <w:rFonts w:eastAsiaTheme="minorHAnsi"/>
          <w:lang w:val="fr-FR" w:eastAsia="en-US"/>
        </w:rPr>
        <w:t xml:space="preserve"> 14125:1998 + </w:t>
      </w:r>
      <w:proofErr w:type="spellStart"/>
      <w:r w:rsidRPr="00CA3533">
        <w:rPr>
          <w:rFonts w:eastAsiaTheme="minorHAnsi"/>
          <w:lang w:val="fr-FR" w:eastAsia="en-US"/>
        </w:rPr>
        <w:t>Amd</w:t>
      </w:r>
      <w:proofErr w:type="spellEnd"/>
      <w:r w:rsidRPr="00CA3533">
        <w:rPr>
          <w:rFonts w:eastAsiaTheme="minorHAnsi"/>
          <w:lang w:val="fr-FR" w:eastAsia="en-US"/>
        </w:rPr>
        <w:t xml:space="preserve"> 1:2011, à une contrainte de flexion égale à la contrainte à la rupture déterminée en d) divisée par quatre. Maintenir la charge mécanique à la température </w:t>
      </w:r>
      <w:bookmarkStart w:id="39" w:name="_Hlk43908051"/>
      <w:r w:rsidRPr="00CA3533">
        <w:rPr>
          <w:rFonts w:eastAsiaTheme="minorHAnsi"/>
          <w:lang w:val="fr-FR" w:eastAsia="en-US"/>
        </w:rPr>
        <w:t xml:space="preserve">maximale de conception </w:t>
      </w:r>
      <w:bookmarkEnd w:id="39"/>
      <w:r w:rsidRPr="00CA3533">
        <w:rPr>
          <w:rFonts w:eastAsiaTheme="minorHAnsi"/>
          <w:lang w:val="fr-FR" w:eastAsia="en-US"/>
        </w:rPr>
        <w:t>pendant au moins 1 000 heures sans interruption ;</w:t>
      </w:r>
    </w:p>
    <w:p w14:paraId="22FC9468" w14:textId="77777777" w:rsidR="00CA3533" w:rsidRPr="00CA3533" w:rsidRDefault="00CA3533" w:rsidP="00CA3533">
      <w:pPr>
        <w:tabs>
          <w:tab w:val="left" w:pos="1701"/>
          <w:tab w:val="left" w:pos="2268"/>
        </w:tabs>
        <w:spacing w:after="120"/>
        <w:ind w:left="3402" w:right="1134" w:hanging="567"/>
        <w:jc w:val="both"/>
        <w:rPr>
          <w:rFonts w:eastAsiaTheme="minorHAnsi"/>
          <w:lang w:val="fr-FR" w:eastAsia="en-US"/>
        </w:rPr>
      </w:pPr>
      <w:r w:rsidRPr="00CA3533">
        <w:rPr>
          <w:rFonts w:eastAsiaTheme="minorHAnsi"/>
          <w:lang w:val="fr-FR" w:eastAsia="en-US"/>
        </w:rPr>
        <w:t>iii)</w:t>
      </w:r>
      <w:r w:rsidRPr="00CA3533">
        <w:rPr>
          <w:rFonts w:eastAsiaTheme="minorHAnsi"/>
          <w:lang w:val="fr-FR" w:eastAsia="en-US"/>
        </w:rPr>
        <w:tab/>
        <w:t>Mesurer la déformation initiale six minutes après l’application de la pleine charge prescrite en e) ii). L’éprouvette doit rester sous charge dans l’appareillage d’essai ;</w:t>
      </w:r>
    </w:p>
    <w:p w14:paraId="4ED62888" w14:textId="77777777" w:rsidR="00CA3533" w:rsidRPr="00CA3533" w:rsidRDefault="00CA3533" w:rsidP="00CA3533">
      <w:pPr>
        <w:tabs>
          <w:tab w:val="left" w:pos="1701"/>
          <w:tab w:val="left" w:pos="2268"/>
        </w:tabs>
        <w:spacing w:after="120"/>
        <w:ind w:left="3402" w:right="1134" w:hanging="567"/>
        <w:jc w:val="both"/>
        <w:rPr>
          <w:rFonts w:eastAsiaTheme="minorHAnsi"/>
          <w:lang w:val="fr-FR" w:eastAsia="en-US"/>
        </w:rPr>
      </w:pPr>
      <w:r w:rsidRPr="00CA3533">
        <w:rPr>
          <w:rFonts w:eastAsiaTheme="minorHAnsi"/>
          <w:lang w:val="fr-FR" w:eastAsia="en-US"/>
        </w:rPr>
        <w:t>iv)</w:t>
      </w:r>
      <w:r w:rsidRPr="00CA3533">
        <w:rPr>
          <w:rFonts w:eastAsiaTheme="minorHAnsi"/>
          <w:lang w:val="fr-FR" w:eastAsia="en-US"/>
        </w:rPr>
        <w:tab/>
      </w:r>
      <w:r w:rsidRPr="00CA3533">
        <w:rPr>
          <w:rFonts w:eastAsiaTheme="minorHAnsi"/>
          <w:lang w:val="fr-FR" w:eastAsia="ru-RU"/>
        </w:rPr>
        <w:t>Mesurer</w:t>
      </w:r>
      <w:r w:rsidRPr="00CA3533">
        <w:rPr>
          <w:rFonts w:eastAsiaTheme="minorHAnsi"/>
          <w:lang w:val="fr-FR" w:eastAsia="en-US"/>
        </w:rPr>
        <w:t xml:space="preserve"> la déformation finale 1 000 heures après </w:t>
      </w:r>
      <w:bookmarkStart w:id="40" w:name="_Hlk43908789"/>
      <w:r w:rsidRPr="00CA3533">
        <w:rPr>
          <w:rFonts w:eastAsiaTheme="minorHAnsi"/>
          <w:lang w:val="fr-FR" w:eastAsia="en-US"/>
        </w:rPr>
        <w:t xml:space="preserve">l’application de la pleine charge </w:t>
      </w:r>
      <w:bookmarkEnd w:id="40"/>
      <w:r w:rsidRPr="00CA3533">
        <w:rPr>
          <w:rFonts w:eastAsiaTheme="minorHAnsi"/>
          <w:lang w:val="fr-FR" w:eastAsia="en-US"/>
        </w:rPr>
        <w:t>prescrite en e) ii) ; et</w:t>
      </w:r>
    </w:p>
    <w:p w14:paraId="08DDBF94" w14:textId="77777777" w:rsidR="00CA3533" w:rsidRPr="00CA3533" w:rsidRDefault="00CA3533" w:rsidP="00CA3533">
      <w:pPr>
        <w:tabs>
          <w:tab w:val="left" w:pos="1701"/>
          <w:tab w:val="left" w:pos="2268"/>
        </w:tabs>
        <w:spacing w:after="120"/>
        <w:ind w:left="3402" w:right="1134" w:hanging="567"/>
        <w:jc w:val="both"/>
        <w:rPr>
          <w:rFonts w:eastAsiaTheme="minorHAnsi"/>
          <w:lang w:val="fr-FR" w:eastAsia="en-US"/>
        </w:rPr>
      </w:pPr>
      <w:r w:rsidRPr="00CA3533">
        <w:rPr>
          <w:rFonts w:eastAsiaTheme="minorHAnsi"/>
          <w:lang w:val="fr-FR" w:eastAsia="en-US"/>
        </w:rPr>
        <w:t>v)</w:t>
      </w:r>
      <w:r w:rsidRPr="00CA3533">
        <w:rPr>
          <w:rFonts w:eastAsiaTheme="minorHAnsi"/>
          <w:lang w:val="fr-FR" w:eastAsia="en-US"/>
        </w:rPr>
        <w:tab/>
      </w:r>
      <w:r w:rsidRPr="00CA3533">
        <w:rPr>
          <w:rFonts w:eastAsiaTheme="minorHAnsi"/>
          <w:lang w:val="fr-FR" w:eastAsia="ru-RU"/>
        </w:rPr>
        <w:t>Calculer</w:t>
      </w:r>
      <w:r w:rsidRPr="00CA3533">
        <w:rPr>
          <w:rFonts w:eastAsiaTheme="minorHAnsi"/>
          <w:lang w:val="fr-FR" w:eastAsia="en-US"/>
        </w:rPr>
        <w:t xml:space="preserve"> le facteur de fluage α en divisant la déformation initiale décrite en e) iii) par la déformation finale décrite en e) iv).</w:t>
      </w:r>
    </w:p>
    <w:p w14:paraId="3E0B3FE5" w14:textId="67C56CC4"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f)</w:t>
      </w:r>
      <w:r w:rsidRPr="00CA3533">
        <w:rPr>
          <w:rFonts w:eastAsiaTheme="minorHAnsi"/>
          <w:lang w:val="fr-FR" w:eastAsia="en-US"/>
        </w:rPr>
        <w:tab/>
      </w:r>
      <w:r w:rsidR="00E05237">
        <w:rPr>
          <w:rFonts w:eastAsiaTheme="minorHAnsi"/>
          <w:lang w:val="fr-FR" w:eastAsia="en-US"/>
        </w:rPr>
        <w:t>le f</w:t>
      </w:r>
      <w:r w:rsidRPr="00CA3533">
        <w:rPr>
          <w:rFonts w:eastAsiaTheme="minorHAnsi"/>
          <w:lang w:val="fr-FR" w:eastAsia="en-US"/>
        </w:rPr>
        <w:t xml:space="preserve">acteur de vieillissement β, déterminé en prenant le résultat moyen d’au moins deux éprouvettes de la configuration décrite en d), soumises à une charge statique dans un dispositif de flexion en trois points ou en quatre points consécutivement à une immersion dans l’eau </w:t>
      </w:r>
      <w:bookmarkStart w:id="41" w:name="_Hlk43908902"/>
      <w:r w:rsidRPr="00CA3533">
        <w:rPr>
          <w:rFonts w:eastAsiaTheme="minorHAnsi"/>
          <w:lang w:val="fr-FR" w:eastAsia="en-US"/>
        </w:rPr>
        <w:t xml:space="preserve">à la température maximale de conception </w:t>
      </w:r>
      <w:bookmarkEnd w:id="41"/>
      <w:r w:rsidRPr="00CA3533">
        <w:rPr>
          <w:rFonts w:eastAsiaTheme="minorHAnsi"/>
          <w:lang w:val="fr-FR" w:eastAsia="en-US"/>
        </w:rPr>
        <w:t xml:space="preserve">prescrite au </w:t>
      </w:r>
      <w:r w:rsidRPr="00CA3533">
        <w:rPr>
          <w:rFonts w:eastAsia="SimSun"/>
          <w:lang w:val="fr-FR" w:eastAsia="en-US"/>
        </w:rPr>
        <w:t>6.9.2.2.3.2</w:t>
      </w:r>
      <w:r w:rsidRPr="00CA3533">
        <w:rPr>
          <w:rFonts w:eastAsiaTheme="minorHAnsi"/>
          <w:lang w:val="fr-FR" w:eastAsia="en-US"/>
        </w:rPr>
        <w:t xml:space="preserve"> pendant 1 000 heures. Chaque éprouvette doit être soumise à l’essai suivant :</w:t>
      </w:r>
    </w:p>
    <w:p w14:paraId="509F17B2" w14:textId="77777777" w:rsidR="00CA3533" w:rsidRPr="00CA3533" w:rsidRDefault="00CA3533" w:rsidP="00CA3533">
      <w:pPr>
        <w:tabs>
          <w:tab w:val="left" w:pos="1701"/>
          <w:tab w:val="left" w:pos="2268"/>
        </w:tabs>
        <w:spacing w:after="120"/>
        <w:ind w:left="3402" w:right="1134" w:hanging="567"/>
        <w:jc w:val="both"/>
        <w:rPr>
          <w:rFonts w:eastAsiaTheme="minorHAnsi"/>
          <w:lang w:val="fr-FR" w:eastAsia="en-US"/>
        </w:rPr>
      </w:pPr>
      <w:r w:rsidRPr="00CA3533">
        <w:rPr>
          <w:rFonts w:eastAsiaTheme="minorHAnsi"/>
          <w:lang w:val="fr-FR" w:eastAsia="en-US"/>
        </w:rPr>
        <w:t>i)</w:t>
      </w:r>
      <w:r w:rsidRPr="00CA3533">
        <w:rPr>
          <w:rFonts w:eastAsiaTheme="minorHAnsi"/>
          <w:lang w:val="fr-FR" w:eastAsia="en-US"/>
        </w:rPr>
        <w:tab/>
        <w:t>Avant l’essai ou le conditionnement, les éprouvettes doivent être séchées dans un four à 80 °C pendant 24 heures ;</w:t>
      </w:r>
    </w:p>
    <w:p w14:paraId="025CE9E6" w14:textId="1FC7DD6C" w:rsidR="00CA3533" w:rsidRPr="00CA3533" w:rsidRDefault="00CA3533" w:rsidP="00CA3533">
      <w:pPr>
        <w:tabs>
          <w:tab w:val="left" w:pos="1701"/>
          <w:tab w:val="left" w:pos="2268"/>
        </w:tabs>
        <w:spacing w:after="120"/>
        <w:ind w:left="3402" w:right="1134" w:hanging="567"/>
        <w:jc w:val="both"/>
        <w:rPr>
          <w:rFonts w:eastAsiaTheme="minorHAnsi"/>
          <w:lang w:val="fr-FR" w:eastAsia="en-US"/>
        </w:rPr>
      </w:pPr>
      <w:r w:rsidRPr="00CA3533">
        <w:rPr>
          <w:rFonts w:eastAsiaTheme="minorHAnsi"/>
          <w:lang w:val="fr-FR" w:eastAsia="ru-RU"/>
        </w:rPr>
        <w:t>ii</w:t>
      </w:r>
      <w:r w:rsidRPr="00CA3533">
        <w:rPr>
          <w:rFonts w:eastAsiaTheme="minorHAnsi"/>
          <w:lang w:val="fr-FR" w:eastAsia="en-US"/>
        </w:rPr>
        <w:t>)</w:t>
      </w:r>
      <w:r w:rsidRPr="00CA3533">
        <w:rPr>
          <w:rFonts w:eastAsiaTheme="minorHAnsi"/>
          <w:lang w:val="fr-FR" w:eastAsia="en-US"/>
        </w:rPr>
        <w:tab/>
        <w:t xml:space="preserve">L’éprouvette doit être soumise à une charge dans un dispositif de flexion en trois points ou en quatre points à température ambiante, conformément à la norme ISO 14125:1998 + </w:t>
      </w:r>
      <w:proofErr w:type="spellStart"/>
      <w:r w:rsidRPr="00CA3533">
        <w:rPr>
          <w:rFonts w:eastAsiaTheme="minorHAnsi"/>
          <w:lang w:val="fr-FR" w:eastAsia="en-US"/>
        </w:rPr>
        <w:t>Amd</w:t>
      </w:r>
      <w:proofErr w:type="spellEnd"/>
      <w:r w:rsidRPr="00CA3533">
        <w:rPr>
          <w:rFonts w:eastAsiaTheme="minorHAnsi"/>
          <w:lang w:val="fr-FR" w:eastAsia="en-US"/>
        </w:rPr>
        <w:t xml:space="preserve"> 1:2011, à une contrainte de flexion égale à la contrainte maximale déterminée en d) divisée par quatre. Mesurer la déformation initiale six minutes après </w:t>
      </w:r>
      <w:bookmarkStart w:id="42" w:name="_Hlk43909783"/>
      <w:r w:rsidRPr="00CA3533">
        <w:rPr>
          <w:rFonts w:eastAsiaTheme="minorHAnsi"/>
          <w:lang w:val="fr-FR" w:eastAsia="en-US"/>
        </w:rPr>
        <w:t>l’application de la pleine charge</w:t>
      </w:r>
      <w:bookmarkEnd w:id="42"/>
      <w:r w:rsidRPr="00CA3533">
        <w:rPr>
          <w:rFonts w:eastAsiaTheme="minorHAnsi"/>
          <w:lang w:val="fr-FR" w:eastAsia="en-US"/>
        </w:rPr>
        <w:t>. Retirer l’éprouvette de l’appareillage d’essai ;</w:t>
      </w:r>
    </w:p>
    <w:p w14:paraId="4185D50D" w14:textId="77777777" w:rsidR="00CA3533" w:rsidRPr="00CA3533" w:rsidRDefault="00CA3533" w:rsidP="00CA3533">
      <w:pPr>
        <w:tabs>
          <w:tab w:val="left" w:pos="1701"/>
          <w:tab w:val="left" w:pos="2268"/>
        </w:tabs>
        <w:spacing w:after="120"/>
        <w:ind w:left="3402" w:right="1134" w:hanging="567"/>
        <w:jc w:val="both"/>
        <w:rPr>
          <w:rFonts w:eastAsiaTheme="minorHAnsi"/>
          <w:lang w:val="fr-FR" w:eastAsia="en-US"/>
        </w:rPr>
      </w:pPr>
      <w:r w:rsidRPr="00CA3533">
        <w:rPr>
          <w:rFonts w:eastAsiaTheme="minorHAnsi"/>
          <w:lang w:val="fr-FR" w:eastAsia="en-US"/>
        </w:rPr>
        <w:t>iii)</w:t>
      </w:r>
      <w:r w:rsidRPr="00CA3533">
        <w:rPr>
          <w:rFonts w:eastAsiaTheme="minorHAnsi"/>
          <w:lang w:val="fr-FR" w:eastAsia="en-US"/>
        </w:rPr>
        <w:tab/>
        <w:t>Immerger l’éprouvette sans charge dans l’eau à la température maximale de conception pendant au moins 1 000 heures sans interruption. À l’issue de cette période de conditionnement, retirer les éprouvettes, les maintenir humides à température ambiante et achever la procédure décrite en f) iv) dans les trois jours ;</w:t>
      </w:r>
    </w:p>
    <w:p w14:paraId="464B2BEA" w14:textId="77777777" w:rsidR="00CA3533" w:rsidRPr="00CA3533" w:rsidRDefault="00CA3533" w:rsidP="00CA3533">
      <w:pPr>
        <w:tabs>
          <w:tab w:val="left" w:pos="1701"/>
          <w:tab w:val="left" w:pos="2268"/>
        </w:tabs>
        <w:spacing w:after="120"/>
        <w:ind w:left="3402" w:right="1134" w:hanging="567"/>
        <w:jc w:val="both"/>
        <w:rPr>
          <w:rFonts w:eastAsiaTheme="minorHAnsi"/>
          <w:spacing w:val="-1"/>
          <w:lang w:val="fr-FR" w:eastAsia="en-US"/>
        </w:rPr>
      </w:pPr>
      <w:r w:rsidRPr="00CA3533">
        <w:rPr>
          <w:rFonts w:eastAsiaTheme="minorHAnsi"/>
          <w:spacing w:val="-1"/>
          <w:lang w:val="fr-FR" w:eastAsia="en-US"/>
        </w:rPr>
        <w:t>iv)</w:t>
      </w:r>
      <w:r w:rsidRPr="00CA3533">
        <w:rPr>
          <w:rFonts w:eastAsiaTheme="minorHAnsi"/>
          <w:spacing w:val="-1"/>
          <w:lang w:val="fr-FR" w:eastAsia="en-US"/>
        </w:rPr>
        <w:tab/>
      </w:r>
      <w:r w:rsidRPr="00CA3533">
        <w:rPr>
          <w:rFonts w:eastAsiaTheme="minorHAnsi"/>
          <w:spacing w:val="-1"/>
          <w:lang w:val="fr-FR" w:eastAsia="ru-RU"/>
        </w:rPr>
        <w:t>L’éprouvette</w:t>
      </w:r>
      <w:r w:rsidRPr="00CA3533">
        <w:rPr>
          <w:rFonts w:eastAsiaTheme="minorHAnsi"/>
          <w:spacing w:val="-1"/>
          <w:lang w:val="fr-FR" w:eastAsia="en-US"/>
        </w:rPr>
        <w:t xml:space="preserve"> doit être soumise à une deuxième série de charges statiques, dans les mêmes </w:t>
      </w:r>
      <w:r w:rsidRPr="00CA3533">
        <w:rPr>
          <w:rFonts w:eastAsiaTheme="minorHAnsi"/>
          <w:spacing w:val="-1"/>
          <w:lang w:val="fr-FR" w:eastAsia="ru-RU"/>
        </w:rPr>
        <w:t>conditions</w:t>
      </w:r>
      <w:r w:rsidRPr="00CA3533">
        <w:rPr>
          <w:rFonts w:eastAsiaTheme="minorHAnsi"/>
          <w:spacing w:val="-1"/>
          <w:lang w:val="fr-FR" w:eastAsia="en-US"/>
        </w:rPr>
        <w:t xml:space="preserve"> qu’en f) ii). Mesurer la déformation finale six minutes après l’application de la pleine charge. Retirer l’éprouvette de l’appareillage d’essai ;</w:t>
      </w:r>
    </w:p>
    <w:p w14:paraId="4CE098D5" w14:textId="1C1CD438" w:rsidR="00CA3533" w:rsidRPr="00CA3533" w:rsidRDefault="00CA3533" w:rsidP="00CA3533">
      <w:pPr>
        <w:tabs>
          <w:tab w:val="left" w:pos="1701"/>
          <w:tab w:val="left" w:pos="2268"/>
        </w:tabs>
        <w:spacing w:after="120"/>
        <w:ind w:left="3402" w:right="1134" w:hanging="567"/>
        <w:jc w:val="both"/>
        <w:rPr>
          <w:rFonts w:eastAsiaTheme="minorHAnsi"/>
          <w:strike/>
          <w:lang w:val="fr-FR" w:eastAsia="en-US"/>
        </w:rPr>
      </w:pPr>
      <w:r w:rsidRPr="00CA3533">
        <w:rPr>
          <w:rFonts w:eastAsiaTheme="minorHAnsi"/>
          <w:lang w:val="fr-FR" w:eastAsia="en-US"/>
        </w:rPr>
        <w:t>v)</w:t>
      </w:r>
      <w:r w:rsidRPr="00CA3533">
        <w:rPr>
          <w:rFonts w:eastAsiaTheme="minorHAnsi"/>
          <w:lang w:val="fr-FR" w:eastAsia="en-US"/>
        </w:rPr>
        <w:tab/>
      </w:r>
      <w:r w:rsidRPr="00CA3533">
        <w:rPr>
          <w:rFonts w:eastAsiaTheme="minorHAnsi"/>
          <w:lang w:val="fr-FR" w:eastAsia="ru-RU"/>
        </w:rPr>
        <w:t>Calculer</w:t>
      </w:r>
      <w:r w:rsidRPr="00CA3533">
        <w:rPr>
          <w:rFonts w:eastAsiaTheme="minorHAnsi"/>
          <w:lang w:val="fr-FR" w:eastAsia="en-US"/>
        </w:rPr>
        <w:t xml:space="preserve"> le facteur de vieillissement β en divisant la déformation initiale décrite en f) ii) par la déformation finale décrite en f) iv)</w:t>
      </w:r>
      <w:r w:rsidR="006F5D6B">
        <w:rPr>
          <w:rFonts w:eastAsiaTheme="minorHAnsi"/>
          <w:lang w:val="fr-FR" w:eastAsia="en-US"/>
        </w:rPr>
        <w:t> ;</w:t>
      </w:r>
    </w:p>
    <w:p w14:paraId="5F5401A3" w14:textId="109E0A5F"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g)</w:t>
      </w:r>
      <w:r w:rsidRPr="00CA3533">
        <w:rPr>
          <w:rFonts w:eastAsiaTheme="minorHAnsi"/>
          <w:lang w:val="fr-FR" w:eastAsia="en-US"/>
        </w:rPr>
        <w:tab/>
      </w:r>
      <w:r w:rsidR="00E05237">
        <w:rPr>
          <w:rFonts w:eastAsiaTheme="minorHAnsi"/>
          <w:lang w:val="fr-FR" w:eastAsia="en-US"/>
        </w:rPr>
        <w:t>l</w:t>
      </w:r>
      <w:r w:rsidRPr="00CA3533">
        <w:rPr>
          <w:rFonts w:eastAsiaTheme="minorHAnsi"/>
          <w:lang w:val="fr-FR" w:eastAsia="en-US"/>
        </w:rPr>
        <w:t xml:space="preserve">a résistance </w:t>
      </w:r>
      <w:proofErr w:type="spellStart"/>
      <w:r w:rsidRPr="00CA3533">
        <w:rPr>
          <w:rFonts w:eastAsiaTheme="minorHAnsi"/>
          <w:lang w:val="fr-FR" w:eastAsia="en-US"/>
        </w:rPr>
        <w:t>interlaminaire</w:t>
      </w:r>
      <w:proofErr w:type="spellEnd"/>
      <w:r w:rsidRPr="00CA3533">
        <w:rPr>
          <w:rFonts w:eastAsiaTheme="minorHAnsi"/>
          <w:lang w:val="fr-FR" w:eastAsia="en-US"/>
        </w:rPr>
        <w:t xml:space="preserve"> au cisaillement des joints mesurée sur des </w:t>
      </w:r>
      <w:r w:rsidRPr="00CA3533">
        <w:rPr>
          <w:rFonts w:eastAsiaTheme="minorHAnsi"/>
          <w:lang w:val="fr-FR" w:eastAsia="ru-RU"/>
        </w:rPr>
        <w:t>échantillons</w:t>
      </w:r>
      <w:r w:rsidRPr="00CA3533">
        <w:rPr>
          <w:rFonts w:eastAsiaTheme="minorHAnsi"/>
          <w:lang w:val="fr-FR" w:eastAsia="en-US"/>
        </w:rPr>
        <w:t xml:space="preserve"> représentatifs soumis à épreuve selon la norme ISO 14130:1997 ;</w:t>
      </w:r>
    </w:p>
    <w:p w14:paraId="34CFB763" w14:textId="33A277C8"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h)</w:t>
      </w:r>
      <w:r w:rsidRPr="00CA3533">
        <w:rPr>
          <w:rFonts w:eastAsiaTheme="minorHAnsi"/>
          <w:lang w:val="fr-FR" w:eastAsia="en-US"/>
        </w:rPr>
        <w:tab/>
      </w:r>
      <w:r w:rsidR="00E05237">
        <w:rPr>
          <w:rFonts w:eastAsiaTheme="minorHAnsi"/>
          <w:lang w:val="fr-FR" w:eastAsia="ru-RU"/>
        </w:rPr>
        <w:t>l</w:t>
      </w:r>
      <w:r w:rsidRPr="00CA3533">
        <w:rPr>
          <w:rFonts w:eastAsiaTheme="minorHAnsi"/>
          <w:lang w:val="fr-FR" w:eastAsia="ru-RU"/>
        </w:rPr>
        <w:t>’efficacité,</w:t>
      </w:r>
      <w:r w:rsidRPr="00CA3533">
        <w:rPr>
          <w:rFonts w:eastAsiaTheme="minorHAnsi"/>
          <w:lang w:val="fr-FR" w:eastAsia="en-US"/>
        </w:rPr>
        <w:t xml:space="preserve"> </w:t>
      </w:r>
      <w:r w:rsidRPr="00CA3533">
        <w:rPr>
          <w:rFonts w:eastAsiaTheme="minorHAnsi"/>
          <w:lang w:val="fr-FR" w:eastAsia="ru-RU"/>
        </w:rPr>
        <w:t xml:space="preserve">selon le cas, </w:t>
      </w:r>
      <w:r w:rsidRPr="00CA3533">
        <w:rPr>
          <w:rFonts w:eastAsiaTheme="minorHAnsi"/>
          <w:lang w:val="fr-FR" w:eastAsia="en-US"/>
        </w:rPr>
        <w:t xml:space="preserve">des procédés </w:t>
      </w:r>
      <w:r w:rsidRPr="00CA3533">
        <w:rPr>
          <w:rFonts w:eastAsiaTheme="minorHAnsi"/>
          <w:lang w:val="fr-FR" w:eastAsia="ru-RU"/>
        </w:rPr>
        <w:t xml:space="preserve">de formage de la résine thermoplastique ou </w:t>
      </w:r>
      <w:r w:rsidRPr="00CA3533">
        <w:rPr>
          <w:rFonts w:eastAsiaTheme="minorHAnsi"/>
          <w:lang w:val="fr-FR" w:eastAsia="en-US"/>
        </w:rPr>
        <w:t xml:space="preserve">de réticulation et de post-cuisson </w:t>
      </w:r>
      <w:r w:rsidRPr="00CA3533">
        <w:rPr>
          <w:rFonts w:eastAsiaTheme="minorHAnsi"/>
          <w:lang w:val="fr-FR" w:eastAsia="ru-RU"/>
        </w:rPr>
        <w:t>de la résine thermodurcissable</w:t>
      </w:r>
      <w:r w:rsidRPr="00CA3533">
        <w:rPr>
          <w:rFonts w:eastAsiaTheme="minorHAnsi"/>
          <w:lang w:val="fr-FR" w:eastAsia="en-US"/>
        </w:rPr>
        <w:t xml:space="preserve"> des laminés déterminée au moyen d’une ou plusieurs des méthodes suivantes :</w:t>
      </w:r>
    </w:p>
    <w:p w14:paraId="1FBB1D65" w14:textId="06C83690" w:rsidR="00CA3533" w:rsidRPr="00CA3533" w:rsidRDefault="00CA3533" w:rsidP="00CA3533">
      <w:pPr>
        <w:tabs>
          <w:tab w:val="left" w:pos="1701"/>
          <w:tab w:val="left" w:pos="2268"/>
        </w:tabs>
        <w:spacing w:after="120"/>
        <w:ind w:left="3402" w:right="1134" w:hanging="567"/>
        <w:jc w:val="both"/>
        <w:rPr>
          <w:rFonts w:eastAsiaTheme="minorHAnsi"/>
          <w:lang w:val="fr-FR" w:eastAsia="en-US"/>
        </w:rPr>
      </w:pPr>
      <w:r w:rsidRPr="00CA3533">
        <w:rPr>
          <w:rFonts w:eastAsiaTheme="minorHAnsi"/>
          <w:lang w:val="fr-FR" w:eastAsia="en-US"/>
        </w:rPr>
        <w:lastRenderedPageBreak/>
        <w:t>i)</w:t>
      </w:r>
      <w:r w:rsidRPr="00CA3533">
        <w:rPr>
          <w:rFonts w:eastAsiaTheme="minorHAnsi"/>
          <w:lang w:val="fr-FR" w:eastAsia="en-US"/>
        </w:rPr>
        <w:tab/>
        <w:t xml:space="preserve">Mesure directe, </w:t>
      </w:r>
      <w:r w:rsidRPr="00CA3533">
        <w:rPr>
          <w:rFonts w:eastAsiaTheme="minorHAnsi"/>
          <w:lang w:val="fr-FR" w:eastAsia="ru-RU"/>
        </w:rPr>
        <w:t xml:space="preserve">selon le cas, des caractéristiques de la résine thermoplastique formée ou </w:t>
      </w:r>
      <w:r w:rsidRPr="00CA3533">
        <w:rPr>
          <w:rFonts w:eastAsiaTheme="minorHAnsi"/>
          <w:lang w:val="fr-FR" w:eastAsia="en-US"/>
        </w:rPr>
        <w:t>du degré de réticulation</w:t>
      </w:r>
      <w:r w:rsidRPr="00CA3533">
        <w:rPr>
          <w:rFonts w:eastAsiaTheme="minorHAnsi"/>
          <w:lang w:val="fr-FR" w:eastAsia="ru-RU"/>
        </w:rPr>
        <w:t xml:space="preserve"> de la résine thermodurcissable</w:t>
      </w:r>
      <w:r w:rsidRPr="00CA3533">
        <w:rPr>
          <w:rFonts w:eastAsiaTheme="minorHAnsi"/>
          <w:lang w:val="fr-FR" w:eastAsia="en-US"/>
        </w:rPr>
        <w:t xml:space="preserve"> : température de transition </w:t>
      </w:r>
      <w:r w:rsidRPr="00CA3533">
        <w:rPr>
          <w:rFonts w:eastAsiaTheme="minorHAnsi"/>
          <w:lang w:val="fr-FR" w:eastAsia="ru-RU"/>
        </w:rPr>
        <w:t>vitreuse</w:t>
      </w:r>
      <w:r w:rsidRPr="00CA3533">
        <w:rPr>
          <w:rFonts w:eastAsiaTheme="minorHAnsi"/>
          <w:lang w:val="fr-FR" w:eastAsia="en-US"/>
        </w:rPr>
        <w:t xml:space="preserve"> (T</w:t>
      </w:r>
      <w:r w:rsidRPr="00E84C1F">
        <w:rPr>
          <w:rFonts w:eastAsiaTheme="minorHAnsi"/>
          <w:vertAlign w:val="subscript"/>
          <w:lang w:val="fr-FR" w:eastAsia="en-US"/>
        </w:rPr>
        <w:t>g</w:t>
      </w:r>
      <w:r w:rsidRPr="00CA3533">
        <w:rPr>
          <w:rFonts w:eastAsiaTheme="minorHAnsi"/>
          <w:lang w:val="fr-FR" w:eastAsia="en-US"/>
        </w:rPr>
        <w:t>) ou température de fusion (T</w:t>
      </w:r>
      <w:r w:rsidRPr="00CA3533">
        <w:rPr>
          <w:rFonts w:eastAsiaTheme="minorHAnsi"/>
          <w:vertAlign w:val="subscript"/>
          <w:lang w:val="fr-FR" w:eastAsia="en-US"/>
        </w:rPr>
        <w:t>m</w:t>
      </w:r>
      <w:r w:rsidRPr="00CA3533">
        <w:rPr>
          <w:rFonts w:eastAsiaTheme="minorHAnsi"/>
          <w:lang w:val="fr-FR" w:eastAsia="en-US"/>
        </w:rPr>
        <w:t xml:space="preserve">) </w:t>
      </w:r>
      <w:r w:rsidRPr="00CA3533">
        <w:rPr>
          <w:rFonts w:eastAsiaTheme="minorHAnsi"/>
          <w:lang w:val="fr-FR" w:eastAsia="ru-RU"/>
        </w:rPr>
        <w:t>déterminée</w:t>
      </w:r>
      <w:r w:rsidRPr="00CA3533">
        <w:rPr>
          <w:rFonts w:eastAsiaTheme="minorHAnsi"/>
          <w:lang w:val="fr-FR" w:eastAsia="en-US"/>
        </w:rPr>
        <w:t xml:space="preserve"> au moyen de l’analyse calorimétrique différentielle (ACD) selon la norme ISO 11357</w:t>
      </w:r>
      <w:r w:rsidRPr="00CA3533">
        <w:rPr>
          <w:rFonts w:eastAsiaTheme="minorHAnsi"/>
          <w:lang w:val="fr-FR" w:eastAsia="en-US"/>
        </w:rPr>
        <w:noBreakHyphen/>
        <w:t>2:2016 ;</w:t>
      </w:r>
    </w:p>
    <w:p w14:paraId="686369A8" w14:textId="77777777" w:rsidR="00CA3533" w:rsidRPr="00CA3533" w:rsidRDefault="00CA3533" w:rsidP="00CA3533">
      <w:pPr>
        <w:tabs>
          <w:tab w:val="left" w:pos="1701"/>
          <w:tab w:val="left" w:pos="2268"/>
        </w:tabs>
        <w:spacing w:after="120"/>
        <w:ind w:left="3402" w:right="1134" w:hanging="567"/>
        <w:jc w:val="both"/>
        <w:rPr>
          <w:rFonts w:eastAsiaTheme="minorHAnsi"/>
          <w:lang w:val="fr-FR" w:eastAsia="en-US"/>
        </w:rPr>
      </w:pPr>
      <w:r w:rsidRPr="00CA3533">
        <w:rPr>
          <w:rFonts w:eastAsiaTheme="minorHAnsi"/>
          <w:lang w:val="fr-FR" w:eastAsia="en-US"/>
        </w:rPr>
        <w:t>ii)</w:t>
      </w:r>
      <w:r w:rsidRPr="00CA3533">
        <w:rPr>
          <w:rFonts w:eastAsiaTheme="minorHAnsi"/>
          <w:lang w:val="fr-FR" w:eastAsia="en-US"/>
        </w:rPr>
        <w:tab/>
      </w:r>
      <w:r w:rsidRPr="00CA3533">
        <w:rPr>
          <w:rFonts w:eastAsiaTheme="minorHAnsi"/>
          <w:lang w:val="fr-FR" w:eastAsia="ru-RU"/>
        </w:rPr>
        <w:t>Mesure</w:t>
      </w:r>
      <w:r w:rsidRPr="00CA3533">
        <w:rPr>
          <w:rFonts w:eastAsiaTheme="minorHAnsi"/>
          <w:lang w:val="fr-FR" w:eastAsia="en-US"/>
        </w:rPr>
        <w:t xml:space="preserve"> indirecte des caractéristiques </w:t>
      </w:r>
      <w:r w:rsidRPr="00CA3533">
        <w:rPr>
          <w:rFonts w:eastAsiaTheme="minorHAnsi"/>
          <w:lang w:val="fr-FR" w:eastAsia="ru-RU"/>
        </w:rPr>
        <w:t>de la résine thermoplastique formée ou</w:t>
      </w:r>
      <w:r w:rsidRPr="00CA3533">
        <w:rPr>
          <w:rFonts w:eastAsiaTheme="minorHAnsi"/>
          <w:lang w:val="fr-FR" w:eastAsia="en-US"/>
        </w:rPr>
        <w:t xml:space="preserve"> </w:t>
      </w:r>
      <w:r w:rsidRPr="00CA3533">
        <w:rPr>
          <w:rFonts w:eastAsiaTheme="minorHAnsi"/>
          <w:lang w:val="fr-FR" w:eastAsia="ru-RU"/>
        </w:rPr>
        <w:t>du degré de réticulation de la résine thermodurcissable</w:t>
      </w:r>
      <w:r w:rsidRPr="00CA3533">
        <w:rPr>
          <w:rFonts w:eastAsiaTheme="minorHAnsi"/>
          <w:lang w:val="fr-FR" w:eastAsia="en-US"/>
        </w:rPr>
        <w:t> :</w:t>
      </w:r>
    </w:p>
    <w:p w14:paraId="48D93430" w14:textId="77777777" w:rsidR="00CA3533" w:rsidRPr="00CA3533" w:rsidRDefault="00CA3533" w:rsidP="00CA3533">
      <w:pPr>
        <w:tabs>
          <w:tab w:val="left" w:pos="1701"/>
          <w:tab w:val="left" w:pos="2268"/>
        </w:tabs>
        <w:spacing w:after="120"/>
        <w:ind w:left="3969" w:right="1134" w:hanging="567"/>
        <w:jc w:val="both"/>
        <w:rPr>
          <w:rFonts w:eastAsiaTheme="minorHAnsi"/>
          <w:bCs/>
          <w:lang w:val="fr-FR" w:eastAsia="en-US"/>
        </w:rPr>
      </w:pPr>
      <w:r w:rsidRPr="00CA3533">
        <w:rPr>
          <w:rFonts w:eastAsiaTheme="minorHAnsi"/>
          <w:bCs/>
          <w:lang w:val="fr-FR" w:eastAsia="en-US"/>
        </w:rPr>
        <w:t>-</w:t>
      </w:r>
      <w:r w:rsidRPr="00CA3533">
        <w:rPr>
          <w:rFonts w:eastAsiaTheme="minorHAnsi"/>
          <w:bCs/>
          <w:lang w:val="fr-FR" w:eastAsia="en-US"/>
        </w:rPr>
        <w:tab/>
        <w:t>HDT déterminée selon la norme ISО 75-1:2013 ;</w:t>
      </w:r>
    </w:p>
    <w:p w14:paraId="4FB3ED54" w14:textId="69538C0B" w:rsidR="00CA3533" w:rsidRPr="00CA3533" w:rsidRDefault="00CA3533" w:rsidP="00CA3533">
      <w:pPr>
        <w:tabs>
          <w:tab w:val="left" w:pos="1701"/>
          <w:tab w:val="left" w:pos="2268"/>
        </w:tabs>
        <w:spacing w:after="120"/>
        <w:ind w:left="3969" w:right="1134" w:hanging="567"/>
        <w:jc w:val="both"/>
        <w:rPr>
          <w:rFonts w:eastAsiaTheme="minorHAnsi"/>
          <w:bCs/>
          <w:lang w:val="fr-FR" w:eastAsia="en-US"/>
        </w:rPr>
      </w:pPr>
      <w:r w:rsidRPr="00CA3533">
        <w:rPr>
          <w:rFonts w:eastAsiaTheme="minorHAnsi"/>
          <w:bCs/>
          <w:lang w:val="fr-FR" w:eastAsia="en-US"/>
        </w:rPr>
        <w:t>-</w:t>
      </w:r>
      <w:r w:rsidRPr="00CA3533">
        <w:rPr>
          <w:rFonts w:eastAsiaTheme="minorHAnsi"/>
          <w:bCs/>
          <w:lang w:val="fr-FR" w:eastAsia="en-US"/>
        </w:rPr>
        <w:tab/>
      </w:r>
      <w:r w:rsidR="00E84C1F">
        <w:rPr>
          <w:rFonts w:eastAsiaTheme="minorHAnsi"/>
          <w:bCs/>
          <w:lang w:val="fr-FR" w:eastAsia="en-US"/>
        </w:rPr>
        <w:t>T</w:t>
      </w:r>
      <w:r w:rsidR="00E84C1F" w:rsidRPr="00E84C1F">
        <w:rPr>
          <w:rFonts w:eastAsiaTheme="minorHAnsi"/>
          <w:bCs/>
          <w:vertAlign w:val="subscript"/>
          <w:lang w:val="fr-FR" w:eastAsia="en-US"/>
        </w:rPr>
        <w:t>g</w:t>
      </w:r>
      <w:r w:rsidR="00E84C1F" w:rsidRPr="00CA3533">
        <w:rPr>
          <w:rFonts w:eastAsiaTheme="minorHAnsi"/>
          <w:bCs/>
          <w:lang w:val="fr-FR" w:eastAsia="en-US"/>
        </w:rPr>
        <w:t xml:space="preserve"> </w:t>
      </w:r>
      <w:r w:rsidRPr="00CA3533">
        <w:rPr>
          <w:rFonts w:eastAsiaTheme="minorHAnsi"/>
          <w:bCs/>
          <w:lang w:val="fr-FR" w:eastAsia="en-US"/>
        </w:rPr>
        <w:t xml:space="preserve">ou </w:t>
      </w:r>
      <w:r w:rsidRPr="00CA3533">
        <w:rPr>
          <w:rFonts w:eastAsiaTheme="minorHAnsi"/>
          <w:lang w:val="fr-FR" w:eastAsia="en-US"/>
        </w:rPr>
        <w:t>T</w:t>
      </w:r>
      <w:r w:rsidRPr="00CA3533">
        <w:rPr>
          <w:rFonts w:eastAsiaTheme="minorHAnsi"/>
          <w:vertAlign w:val="subscript"/>
          <w:lang w:val="fr-FR" w:eastAsia="en-US"/>
        </w:rPr>
        <w:t>m</w:t>
      </w:r>
      <w:r w:rsidRPr="00CA3533">
        <w:rPr>
          <w:rFonts w:eastAsiaTheme="minorHAnsi"/>
          <w:bCs/>
          <w:lang w:val="fr-FR" w:eastAsia="en-US"/>
        </w:rPr>
        <w:t xml:space="preserve"> déterminée en utilisant l’analyse </w:t>
      </w:r>
      <w:bookmarkStart w:id="43" w:name="_Hlk43910499"/>
      <w:r w:rsidRPr="00CA3533">
        <w:rPr>
          <w:rFonts w:eastAsiaTheme="minorHAnsi"/>
          <w:bCs/>
          <w:lang w:val="fr-FR" w:eastAsia="en-US"/>
        </w:rPr>
        <w:t xml:space="preserve">thermomécanique </w:t>
      </w:r>
      <w:bookmarkEnd w:id="43"/>
      <w:r w:rsidRPr="00CA3533">
        <w:rPr>
          <w:rFonts w:eastAsiaTheme="minorHAnsi"/>
          <w:bCs/>
          <w:lang w:val="fr-FR" w:eastAsia="en-US"/>
        </w:rPr>
        <w:t>selon la norme ISO 11359-1:2014 ;</w:t>
      </w:r>
    </w:p>
    <w:p w14:paraId="44A48BD4" w14:textId="77777777" w:rsidR="00CA3533" w:rsidRPr="00CA3533" w:rsidRDefault="00CA3533" w:rsidP="00CA3533">
      <w:pPr>
        <w:tabs>
          <w:tab w:val="left" w:pos="1701"/>
          <w:tab w:val="left" w:pos="2268"/>
        </w:tabs>
        <w:spacing w:after="120"/>
        <w:ind w:left="3969" w:right="1134" w:hanging="567"/>
        <w:jc w:val="both"/>
        <w:rPr>
          <w:rFonts w:eastAsiaTheme="minorHAnsi"/>
          <w:bCs/>
          <w:lang w:val="fr-FR" w:eastAsia="en-US"/>
        </w:rPr>
      </w:pPr>
      <w:r w:rsidRPr="00CA3533">
        <w:rPr>
          <w:rFonts w:eastAsiaTheme="minorHAnsi"/>
          <w:bCs/>
          <w:lang w:val="fr-FR" w:eastAsia="en-US"/>
        </w:rPr>
        <w:t>-</w:t>
      </w:r>
      <w:r w:rsidRPr="00CA3533">
        <w:rPr>
          <w:rFonts w:eastAsiaTheme="minorHAnsi"/>
          <w:bCs/>
          <w:lang w:val="fr-FR" w:eastAsia="en-US"/>
        </w:rPr>
        <w:tab/>
        <w:t>Analyse thermomécanique dynamique selon la norme ISO 6721-11:2019 ;</w:t>
      </w:r>
    </w:p>
    <w:p w14:paraId="77951576" w14:textId="77777777" w:rsidR="00CA3533" w:rsidRPr="00CA3533" w:rsidRDefault="00CA3533" w:rsidP="00CA3533">
      <w:pPr>
        <w:tabs>
          <w:tab w:val="left" w:pos="1701"/>
          <w:tab w:val="left" w:pos="2268"/>
        </w:tabs>
        <w:spacing w:after="120"/>
        <w:ind w:left="3969" w:right="1134" w:hanging="567"/>
        <w:jc w:val="both"/>
        <w:rPr>
          <w:rFonts w:eastAsiaTheme="minorHAnsi"/>
          <w:bCs/>
          <w:lang w:val="fr-FR" w:eastAsia="en-US"/>
        </w:rPr>
      </w:pPr>
      <w:r w:rsidRPr="00CA3533">
        <w:rPr>
          <w:rFonts w:eastAsiaTheme="minorHAnsi"/>
          <w:bCs/>
          <w:lang w:val="fr-FR" w:eastAsia="en-US"/>
        </w:rPr>
        <w:t>-</w:t>
      </w:r>
      <w:r w:rsidRPr="00CA3533">
        <w:rPr>
          <w:rFonts w:eastAsiaTheme="minorHAnsi"/>
          <w:bCs/>
          <w:lang w:val="fr-FR" w:eastAsia="en-US"/>
        </w:rPr>
        <w:tab/>
        <w:t xml:space="preserve">Test de </w:t>
      </w:r>
      <w:proofErr w:type="spellStart"/>
      <w:r w:rsidRPr="00CA3533">
        <w:rPr>
          <w:rFonts w:eastAsiaTheme="minorHAnsi"/>
          <w:bCs/>
          <w:lang w:val="fr-FR" w:eastAsia="en-US"/>
        </w:rPr>
        <w:t>Barcol</w:t>
      </w:r>
      <w:proofErr w:type="spellEnd"/>
      <w:r w:rsidRPr="00CA3533">
        <w:rPr>
          <w:rFonts w:eastAsiaTheme="minorHAnsi"/>
          <w:bCs/>
          <w:lang w:val="fr-FR" w:eastAsia="en-US"/>
        </w:rPr>
        <w:t xml:space="preserve"> selon la norme ASTM D2583:2013-03 ou EN 59:2016.</w:t>
      </w:r>
    </w:p>
    <w:p w14:paraId="2D653AB7" w14:textId="77777777"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bCs/>
          <w:iCs/>
          <w:spacing w:val="-3"/>
          <w:lang w:val="fr-FR" w:eastAsia="en-US"/>
        </w:rPr>
        <w:t>6.9.2.7.1</w:t>
      </w:r>
      <w:r w:rsidRPr="00CA3533">
        <w:rPr>
          <w:rFonts w:eastAsiaTheme="minorHAnsi"/>
          <w:bCs/>
          <w:spacing w:val="-3"/>
          <w:lang w:val="fr-FR" w:eastAsia="en-US"/>
        </w:rPr>
        <w:t>.3</w:t>
      </w:r>
      <w:r w:rsidRPr="00CA3533">
        <w:rPr>
          <w:rFonts w:eastAsiaTheme="minorHAnsi"/>
          <w:b/>
          <w:bCs/>
          <w:spacing w:val="-3"/>
          <w:lang w:val="fr-FR" w:eastAsia="en-US"/>
        </w:rPr>
        <w:tab/>
      </w:r>
      <w:r w:rsidRPr="00CA3533">
        <w:rPr>
          <w:rFonts w:eastAsiaTheme="minorHAnsi"/>
          <w:lang w:val="fr-FR" w:eastAsia="en-US"/>
        </w:rPr>
        <w:t>La compatibilité chimique du revêtement et des surfaces de contact chimique de l’équipement de service avec les matières à transporter doit être démontrée par l’une des méthodes suivantes. La démonstration doit tenir compte de tous les aspects de la compatibilité des matériaux du réservoir et de ses équipements avec les matières à transporter, y compris la détérioration chimique du réservoir, le déclenchement de réactions critiques du contenu et les réactions dangereuses entre les deux.</w:t>
      </w:r>
    </w:p>
    <w:p w14:paraId="1F8A5939" w14:textId="7ED56250"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a)</w:t>
      </w:r>
      <w:r w:rsidRPr="00CA3533">
        <w:rPr>
          <w:rFonts w:eastAsiaTheme="minorHAnsi"/>
          <w:lang w:val="fr-FR" w:eastAsia="en-US"/>
        </w:rPr>
        <w:tab/>
        <w:t>Pour déterminer toute détérioration du réservoir, des échantillons représentatifs doivent être prélevés sur le réservoir, avec tout revêtement comportant des joints soudés, et soumis à l’épreuve de compatibilité chimique selon la norme EN 977:1997 pendant 1 000 heures à 50 °C ou à la température maximale à laquelle le transport d’une matière particulière est autorisé. Comparée à un échantillon non éprouvé, la perte de résistance et le module d’élasticité mesurés par les épreuves de résistance à la flexion selon la norme EN 978:1997 ne doivent pas dépasser 25 %. Les fissures, les bulles, les piqûres, la séparation des couches et des revêtements, ainsi que la rugosité, ne sont pas admissibles ;</w:t>
      </w:r>
    </w:p>
    <w:p w14:paraId="198D91E9" w14:textId="77777777" w:rsidR="00CA3533" w:rsidRPr="00CA3533" w:rsidRDefault="00CA3533" w:rsidP="00CA3533">
      <w:pPr>
        <w:tabs>
          <w:tab w:val="left" w:pos="1701"/>
          <w:tab w:val="left" w:pos="2268"/>
        </w:tabs>
        <w:spacing w:after="120"/>
        <w:ind w:left="2835" w:right="1134" w:hanging="567"/>
        <w:jc w:val="both"/>
        <w:rPr>
          <w:rFonts w:eastAsiaTheme="minorHAnsi"/>
          <w:spacing w:val="-1"/>
          <w:lang w:val="fr-FR" w:eastAsia="en-US"/>
        </w:rPr>
      </w:pPr>
      <w:r w:rsidRPr="00CA3533">
        <w:rPr>
          <w:rFonts w:eastAsiaTheme="minorHAnsi"/>
          <w:spacing w:val="-1"/>
          <w:lang w:val="fr-FR" w:eastAsia="en-US"/>
        </w:rPr>
        <w:t>b)</w:t>
      </w:r>
      <w:r w:rsidRPr="00CA3533">
        <w:rPr>
          <w:rFonts w:eastAsiaTheme="minorHAnsi"/>
          <w:spacing w:val="-1"/>
          <w:lang w:val="fr-FR" w:eastAsia="en-US"/>
        </w:rPr>
        <w:tab/>
        <w:t>La compatibilité peut aussi être établie d’après les données certifiées et documentées résultant d’expériences positives de compatibilité entre les matières de remplissage et les matériaux du réservoir avec lesquels celles-ci entrent en contact à certaines températures et pendant un certain temps, ainsi que dans d’autres conditions de service ;</w:t>
      </w:r>
    </w:p>
    <w:p w14:paraId="672365F1" w14:textId="77777777" w:rsidR="00CA3533" w:rsidRPr="00CA3533" w:rsidRDefault="00CA3533" w:rsidP="00CA3533">
      <w:pPr>
        <w:tabs>
          <w:tab w:val="left" w:pos="1701"/>
          <w:tab w:val="left" w:pos="2268"/>
        </w:tabs>
        <w:spacing w:after="120"/>
        <w:ind w:left="2835" w:right="1134" w:hanging="567"/>
        <w:jc w:val="both"/>
        <w:rPr>
          <w:rFonts w:eastAsiaTheme="minorHAnsi"/>
          <w:bCs/>
          <w:lang w:val="fr-FR" w:eastAsia="en-US"/>
        </w:rPr>
      </w:pPr>
      <w:r w:rsidRPr="00CA3533">
        <w:rPr>
          <w:rFonts w:eastAsiaTheme="minorHAnsi"/>
          <w:lang w:val="fr-FR" w:eastAsia="en-US"/>
        </w:rPr>
        <w:t>c)</w:t>
      </w:r>
      <w:r w:rsidRPr="00CA3533">
        <w:rPr>
          <w:rFonts w:eastAsiaTheme="minorHAnsi"/>
          <w:lang w:val="fr-FR" w:eastAsia="en-US"/>
        </w:rPr>
        <w:tab/>
        <w:t>Peuvent aussi être utilisées les données publiées dans la documentation spécialisée, les normes ou autres sources, acceptables par l’autorité compétente ;</w:t>
      </w:r>
    </w:p>
    <w:p w14:paraId="540AC7A2" w14:textId="77777777" w:rsidR="00CA3533" w:rsidRPr="00CA3533" w:rsidRDefault="00CA3533" w:rsidP="00CA3533">
      <w:pPr>
        <w:tabs>
          <w:tab w:val="left" w:pos="1701"/>
          <w:tab w:val="left" w:pos="2268"/>
        </w:tabs>
        <w:spacing w:after="120"/>
        <w:ind w:left="2835" w:right="1134" w:hanging="567"/>
        <w:jc w:val="both"/>
        <w:rPr>
          <w:rFonts w:eastAsiaTheme="minorHAnsi"/>
          <w:lang w:val="fr-FR" w:eastAsia="en-US"/>
        </w:rPr>
      </w:pPr>
      <w:r w:rsidRPr="00CA3533">
        <w:rPr>
          <w:rFonts w:eastAsiaTheme="minorHAnsi"/>
          <w:lang w:val="fr-FR" w:eastAsia="en-US"/>
        </w:rPr>
        <w:t>d)</w:t>
      </w:r>
      <w:r w:rsidRPr="00CA3533">
        <w:rPr>
          <w:rFonts w:eastAsiaTheme="minorHAnsi"/>
          <w:lang w:val="fr-FR" w:eastAsia="en-US"/>
        </w:rPr>
        <w:tab/>
        <w:t>D’autres méthodes d’évaluation de la compatibilité chimique peuvent être utilisées avec l’accord de l’autorité compétente.</w:t>
      </w:r>
    </w:p>
    <w:p w14:paraId="3C998012" w14:textId="77777777" w:rsidR="00CA3533" w:rsidRPr="00CA3533" w:rsidRDefault="00CA3533" w:rsidP="00CA3533">
      <w:pPr>
        <w:keepNext/>
        <w:tabs>
          <w:tab w:val="left" w:pos="4228"/>
        </w:tabs>
        <w:spacing w:after="120"/>
        <w:ind w:left="2268" w:right="1134" w:hanging="1134"/>
        <w:jc w:val="both"/>
        <w:rPr>
          <w:rFonts w:eastAsiaTheme="minorHAnsi"/>
          <w:bCs/>
          <w:strike/>
          <w:lang w:val="fr-FR" w:eastAsia="ru-RU"/>
        </w:rPr>
      </w:pPr>
      <w:r w:rsidRPr="00CA3533">
        <w:rPr>
          <w:rFonts w:eastAsiaTheme="minorHAnsi"/>
          <w:bCs/>
          <w:iCs/>
          <w:spacing w:val="-3"/>
          <w:lang w:val="fr-FR" w:eastAsia="ru-RU"/>
        </w:rPr>
        <w:t>6.9.2.7.1.4</w:t>
      </w:r>
      <w:r w:rsidRPr="00CA3533">
        <w:rPr>
          <w:rFonts w:eastAsiaTheme="minorHAnsi"/>
          <w:b/>
          <w:bCs/>
          <w:iCs/>
          <w:spacing w:val="-3"/>
          <w:lang w:val="fr-FR" w:eastAsia="ru-RU"/>
        </w:rPr>
        <w:tab/>
      </w:r>
      <w:r w:rsidRPr="00CA3533">
        <w:rPr>
          <w:rFonts w:eastAsiaTheme="minorHAnsi"/>
          <w:iCs/>
          <w:lang w:val="fr-FR" w:eastAsia="ru-RU"/>
        </w:rPr>
        <w:t xml:space="preserve">Épreuve de chute de bille selon la norme </w:t>
      </w:r>
      <w:r w:rsidRPr="00CA3533">
        <w:rPr>
          <w:rFonts w:eastAsiaTheme="minorHAnsi"/>
          <w:lang w:val="fr-FR" w:eastAsia="en-US"/>
        </w:rPr>
        <w:t>EN 976-1:1997.</w:t>
      </w:r>
    </w:p>
    <w:p w14:paraId="67D313CB" w14:textId="77777777" w:rsidR="00CA3533" w:rsidRPr="00CA3533" w:rsidRDefault="00CA3533" w:rsidP="00CA3533">
      <w:pPr>
        <w:keepNext/>
        <w:tabs>
          <w:tab w:val="left" w:pos="4228"/>
        </w:tabs>
        <w:spacing w:after="120"/>
        <w:ind w:left="2268" w:right="1134" w:hanging="1134"/>
        <w:jc w:val="both"/>
        <w:rPr>
          <w:rFonts w:eastAsiaTheme="minorHAnsi"/>
          <w:bCs/>
          <w:lang w:val="fr-FR" w:eastAsia="en-US"/>
        </w:rPr>
      </w:pPr>
      <w:r w:rsidRPr="00CA3533">
        <w:rPr>
          <w:rFonts w:eastAsiaTheme="minorHAnsi"/>
          <w:lang w:val="fr-FR" w:eastAsia="en-US"/>
        </w:rPr>
        <w:tab/>
        <w:t>Le prototype doit être soumis à l’épreuve de chute de bille selon la norme EN 976</w:t>
      </w:r>
      <w:r w:rsidRPr="00CA3533">
        <w:rPr>
          <w:rFonts w:eastAsiaTheme="minorHAnsi"/>
          <w:lang w:val="fr-FR" w:eastAsia="en-US"/>
        </w:rPr>
        <w:noBreakHyphen/>
        <w:t>1:1997, n</w:t>
      </w:r>
      <w:r w:rsidRPr="00CA3533">
        <w:rPr>
          <w:rFonts w:eastAsiaTheme="minorHAnsi"/>
          <w:vertAlign w:val="superscript"/>
          <w:lang w:val="fr-FR" w:eastAsia="en-US"/>
        </w:rPr>
        <w:t>o</w:t>
      </w:r>
      <w:r w:rsidRPr="00CA3533">
        <w:rPr>
          <w:rFonts w:eastAsiaTheme="minorHAnsi"/>
          <w:lang w:val="fr-FR" w:eastAsia="en-US"/>
        </w:rPr>
        <w:t> 6.6. Aucun</w:t>
      </w:r>
      <w:r w:rsidRPr="00CA3533">
        <w:rPr>
          <w:rFonts w:eastAsiaTheme="minorHAnsi"/>
          <w:bCs/>
          <w:lang w:val="fr-FR" w:eastAsia="en-US"/>
        </w:rPr>
        <w:t xml:space="preserve"> dégât ne doit être visible ni à l’intérieur ni à l’extérieur de la citerne.</w:t>
      </w:r>
    </w:p>
    <w:p w14:paraId="27AB4A1C" w14:textId="77777777" w:rsidR="00CA3533" w:rsidRPr="00CA3533" w:rsidRDefault="00CA3533" w:rsidP="00CA3533">
      <w:pPr>
        <w:keepNext/>
        <w:tabs>
          <w:tab w:val="left" w:pos="4228"/>
        </w:tabs>
        <w:spacing w:after="120"/>
        <w:ind w:left="2268" w:right="1134" w:hanging="1134"/>
        <w:jc w:val="both"/>
        <w:rPr>
          <w:rFonts w:eastAsiaTheme="minorHAnsi"/>
          <w:b/>
          <w:lang w:val="fr-FR" w:eastAsia="ru-RU"/>
        </w:rPr>
      </w:pPr>
      <w:r w:rsidRPr="00CA3533">
        <w:rPr>
          <w:rFonts w:eastAsiaTheme="minorHAnsi"/>
          <w:iCs/>
          <w:spacing w:val="-3"/>
          <w:lang w:val="fr-FR" w:eastAsia="ru-RU"/>
        </w:rPr>
        <w:t>6.9.2.7.1.5</w:t>
      </w:r>
      <w:r w:rsidRPr="00CA3533">
        <w:rPr>
          <w:rFonts w:eastAsiaTheme="minorHAnsi"/>
          <w:b/>
          <w:iCs/>
          <w:spacing w:val="-3"/>
          <w:lang w:val="fr-FR" w:eastAsia="ru-RU"/>
        </w:rPr>
        <w:tab/>
      </w:r>
      <w:r w:rsidRPr="00CA3533">
        <w:rPr>
          <w:rFonts w:eastAsiaTheme="minorHAnsi"/>
          <w:lang w:val="fr-FR" w:eastAsia="en-US"/>
        </w:rPr>
        <w:t>Épreuve de résistance au feu.</w:t>
      </w:r>
    </w:p>
    <w:p w14:paraId="7146D535"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iCs/>
          <w:spacing w:val="-6"/>
          <w:lang w:val="fr-FR" w:eastAsia="en-US"/>
        </w:rPr>
        <w:t>6.9.2.7.1.5.1</w:t>
      </w:r>
      <w:r w:rsidRPr="00CA3533">
        <w:rPr>
          <w:rFonts w:eastAsiaTheme="minorHAnsi"/>
          <w:b/>
          <w:bCs/>
          <w:iCs/>
          <w:spacing w:val="-4"/>
          <w:lang w:val="fr-FR" w:eastAsia="en-US"/>
        </w:rPr>
        <w:tab/>
      </w:r>
      <w:r w:rsidRPr="00CA3533">
        <w:rPr>
          <w:rFonts w:eastAsiaTheme="minorHAnsi"/>
          <w:lang w:val="fr-FR" w:eastAsia="en-US"/>
        </w:rPr>
        <w:t xml:space="preserve">Un prototype de citerne représentatif, muni de ses équipements de service et de structure, et rempli d’eau à 80 % de sa contenance maximum, doit être exposé pendant 30 minutes à une immersion totale dans les flammes, </w:t>
      </w:r>
      <w:r w:rsidRPr="00CA3533">
        <w:rPr>
          <w:rFonts w:eastAsiaTheme="minorHAnsi"/>
          <w:lang w:val="fr-FR" w:eastAsia="en-US"/>
        </w:rPr>
        <w:lastRenderedPageBreak/>
        <w:t xml:space="preserve">provenant d’un feu ouvert dans un bac rempli de fioul domestique ou de tout autre type de feu ayant le même effet. Le feu doit être équivalent à un feu théorique avec une température de flamme de </w:t>
      </w:r>
      <w:r w:rsidRPr="00CA3533">
        <w:rPr>
          <w:rFonts w:eastAsiaTheme="minorHAnsi"/>
          <w:bCs/>
          <w:lang w:val="fr-FR" w:eastAsia="en-US"/>
        </w:rPr>
        <w:t>800 °C, une émissivité de 0,9 et, pour la citerne, un coefficient de transmission thermique de 10 W/(m²K) et un pouvoir d’absorption de la surface de 0,8. Un flux thermique minimal net de 75 kW/m² doit être étalonné conformément à la norme ISO 21843:2018.</w:t>
      </w:r>
      <w:r w:rsidRPr="00CA3533">
        <w:rPr>
          <w:rFonts w:eastAsiaTheme="minorHAnsi"/>
          <w:lang w:val="fr-FR" w:eastAsia="en-US"/>
        </w:rPr>
        <w:t xml:space="preserve"> Les dimensions du bac doivent dépasser celles de la citerne d’au moins 50 cm de chaque côté et la distance entre le niveau du combustible et la citerne doit être comprise entre 50 cm et 80 cm. Le reste de la citerne se trouvant sous le niveau du liquide, notamment les ouvertures et les fermetures, doit rester étanche à l’exception de quelques gouttes.</w:t>
      </w:r>
    </w:p>
    <w:p w14:paraId="456E4592" w14:textId="77777777" w:rsidR="00CA3533" w:rsidRPr="00CA3533" w:rsidRDefault="00CA3533" w:rsidP="00CA3533">
      <w:pPr>
        <w:keepNext/>
        <w:keepLines/>
        <w:tabs>
          <w:tab w:val="right" w:pos="851"/>
        </w:tabs>
        <w:spacing w:before="240" w:after="120" w:line="240" w:lineRule="exact"/>
        <w:ind w:left="2268" w:right="1134" w:hanging="1134"/>
        <w:outlineLvl w:val="3"/>
        <w:rPr>
          <w:rFonts w:eastAsiaTheme="minorHAnsi"/>
          <w:b/>
          <w:i/>
          <w:iCs/>
          <w:lang w:val="fr-FR" w:eastAsia="en-US"/>
        </w:rPr>
      </w:pPr>
      <w:r w:rsidRPr="00CA3533">
        <w:rPr>
          <w:rFonts w:eastAsiaTheme="minorHAnsi"/>
          <w:b/>
          <w:lang w:val="fr-FR" w:eastAsia="en-US"/>
        </w:rPr>
        <w:t>6.9.2.8</w:t>
      </w:r>
      <w:r w:rsidRPr="00CA3533">
        <w:rPr>
          <w:rFonts w:eastAsiaTheme="minorHAnsi"/>
          <w:b/>
          <w:lang w:val="fr-FR" w:eastAsia="en-US"/>
        </w:rPr>
        <w:tab/>
      </w:r>
      <w:r w:rsidRPr="00CA3533">
        <w:rPr>
          <w:rFonts w:eastAsiaTheme="minorHAnsi"/>
          <w:b/>
          <w:i/>
          <w:iCs/>
          <w:lang w:val="fr-FR" w:eastAsia="en-US"/>
        </w:rPr>
        <w:tab/>
        <w:t>Contrôles et épreuves</w:t>
      </w:r>
    </w:p>
    <w:p w14:paraId="326FBA7F"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6.9.2.8.1</w:t>
      </w:r>
      <w:r w:rsidRPr="00CA3533">
        <w:rPr>
          <w:rFonts w:eastAsiaTheme="minorHAnsi"/>
          <w:b/>
          <w:lang w:val="fr-FR" w:eastAsia="en-US"/>
        </w:rPr>
        <w:tab/>
      </w:r>
      <w:r w:rsidRPr="00CA3533">
        <w:rPr>
          <w:rFonts w:eastAsiaTheme="minorHAnsi"/>
          <w:bCs/>
          <w:lang w:val="fr-FR" w:eastAsia="en-US"/>
        </w:rPr>
        <w:t>Les</w:t>
      </w:r>
      <w:r w:rsidRPr="00CA3533">
        <w:rPr>
          <w:rFonts w:eastAsiaTheme="minorHAnsi"/>
          <w:lang w:val="fr-FR" w:eastAsia="en-US"/>
        </w:rPr>
        <w:t xml:space="preserve"> contrôles et épreuves des citernes en PRF doivent être effectués conformément aux dispositions du 6.7.2.19. En outre, les revêtements thermoplastiques avec des joints soudés doivent être soumis à l’épreuve à l’étincelle selon une norme pertinente, après des épreuves de pression effectuées conformément aux contrôles périodiques prescrits au 6.7.2.19.4.</w:t>
      </w:r>
    </w:p>
    <w:p w14:paraId="0352666B"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6.9.2.8.2</w:t>
      </w:r>
      <w:r w:rsidRPr="00CA3533">
        <w:rPr>
          <w:rFonts w:eastAsiaTheme="minorHAnsi"/>
          <w:lang w:val="fr-FR" w:eastAsia="en-US"/>
        </w:rPr>
        <w:tab/>
        <w:t>En outre, les contrôles initiaux et périodiques doivent être effectués en application du programme d’inspection de la durée de service et de toute méthode d’inspection associée selon le 6.9.2.6.3.</w:t>
      </w:r>
    </w:p>
    <w:p w14:paraId="0B2FC6E7" w14:textId="7EEA0803"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6.9.2.8.3</w:t>
      </w:r>
      <w:r w:rsidRPr="00CA3533">
        <w:rPr>
          <w:rFonts w:eastAsiaTheme="minorHAnsi"/>
          <w:lang w:val="fr-FR" w:eastAsia="en-US"/>
        </w:rPr>
        <w:tab/>
        <w:t>Le contrôle et l’épreuve initiaux visent à vérifier que la construction de la citerne est conforme au système qualité prescrit au 6.9.2.2.2.</w:t>
      </w:r>
    </w:p>
    <w:p w14:paraId="42EE4FF5"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6.9.2.8.4</w:t>
      </w:r>
      <w:r w:rsidRPr="00CA3533">
        <w:rPr>
          <w:rFonts w:eastAsiaTheme="minorHAnsi"/>
          <w:lang w:val="fr-FR" w:eastAsia="en-US"/>
        </w:rPr>
        <w:tab/>
        <w:t>De plus, pendant le contrôle du réservoir, la position des zones chauffées par les éléments chauffants doit être indiquée ou marquée, apparaître sur les dessins de conception ou être rendue visible au moyen d’une technique appropriée (par exemple, l’infrarouge). L’examen du réservoir doit prendre en compte les effets de la surchauffe, de la corrosion, de l’érosion, de la surpression et de la surcharge mécanique.</w:t>
      </w:r>
    </w:p>
    <w:p w14:paraId="4B7E31C7" w14:textId="77777777" w:rsidR="00CA3533" w:rsidRPr="00CA3533" w:rsidRDefault="00CA3533" w:rsidP="00CA3533">
      <w:pPr>
        <w:keepNext/>
        <w:keepLines/>
        <w:tabs>
          <w:tab w:val="right" w:pos="851"/>
        </w:tabs>
        <w:spacing w:before="240" w:after="120" w:line="240" w:lineRule="exact"/>
        <w:ind w:left="2268" w:right="1134" w:hanging="1134"/>
        <w:outlineLvl w:val="3"/>
        <w:rPr>
          <w:rFonts w:eastAsiaTheme="minorHAnsi"/>
          <w:b/>
          <w:i/>
          <w:iCs/>
          <w:lang w:val="fr-FR" w:eastAsia="en-US"/>
        </w:rPr>
      </w:pPr>
      <w:r w:rsidRPr="00CA3533">
        <w:rPr>
          <w:rFonts w:eastAsiaTheme="minorHAnsi"/>
          <w:b/>
          <w:lang w:val="fr-FR" w:eastAsia="en-US"/>
        </w:rPr>
        <w:t>6.9.2.9</w:t>
      </w:r>
      <w:r w:rsidRPr="00CA3533">
        <w:rPr>
          <w:rFonts w:eastAsiaTheme="minorHAnsi"/>
          <w:b/>
          <w:lang w:val="fr-FR" w:eastAsia="en-US"/>
        </w:rPr>
        <w:tab/>
      </w:r>
      <w:r w:rsidRPr="00CA3533">
        <w:rPr>
          <w:rFonts w:eastAsiaTheme="minorHAnsi"/>
          <w:b/>
          <w:i/>
          <w:iCs/>
          <w:lang w:val="fr-FR" w:eastAsia="en-US"/>
        </w:rPr>
        <w:t xml:space="preserve">Conservation des échantillons </w:t>
      </w:r>
    </w:p>
    <w:p w14:paraId="43486A4C"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lang w:val="fr-FR" w:eastAsia="en-US"/>
        </w:rPr>
        <w:tab/>
        <w:t>Des échantillons de réservoir (par exemple, par découpe d’un trou d’homme) de chaque citerne construite doivent être conservés pour de futurs contrôles, pendant une période de cinq ans à partir de la date du contrôle et de l’épreuve initiaux et jusqu’à l’achèvement satisfaisant du contrôle périodique quinquennale requis.</w:t>
      </w:r>
    </w:p>
    <w:p w14:paraId="4C22B8A1" w14:textId="5C97A8D2" w:rsidR="00CA3533" w:rsidRPr="00CA3533" w:rsidRDefault="00CA3533" w:rsidP="00CA3533">
      <w:pPr>
        <w:keepNext/>
        <w:keepLines/>
        <w:tabs>
          <w:tab w:val="right" w:pos="851"/>
        </w:tabs>
        <w:spacing w:before="240" w:after="120" w:line="240" w:lineRule="exact"/>
        <w:ind w:left="2268" w:right="1134" w:hanging="1134"/>
        <w:outlineLvl w:val="3"/>
        <w:rPr>
          <w:rFonts w:eastAsiaTheme="minorHAnsi"/>
          <w:b/>
          <w:lang w:val="fr-FR" w:eastAsia="ru-RU"/>
        </w:rPr>
      </w:pPr>
      <w:r w:rsidRPr="00CA3533">
        <w:rPr>
          <w:rFonts w:eastAsiaTheme="minorHAnsi"/>
          <w:b/>
          <w:lang w:val="fr-FR" w:eastAsia="ru-RU"/>
        </w:rPr>
        <w:t>6.9.2.10</w:t>
      </w:r>
      <w:r w:rsidRPr="00CA3533">
        <w:rPr>
          <w:rFonts w:eastAsiaTheme="minorHAnsi"/>
          <w:b/>
          <w:lang w:val="fr-FR" w:eastAsia="ru-RU"/>
        </w:rPr>
        <w:tab/>
      </w:r>
      <w:r w:rsidRPr="00CA3533">
        <w:rPr>
          <w:rFonts w:eastAsiaTheme="minorHAnsi"/>
          <w:b/>
          <w:i/>
          <w:iCs/>
          <w:lang w:val="fr-FR" w:eastAsia="ru-RU"/>
        </w:rPr>
        <w:t>Marquage</w:t>
      </w:r>
    </w:p>
    <w:p w14:paraId="6B11DC37" w14:textId="77777777"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iCs/>
          <w:lang w:val="fr-FR" w:eastAsia="en-US"/>
        </w:rPr>
        <w:t>6.9.2.10.1</w:t>
      </w:r>
      <w:r w:rsidRPr="00CA3533">
        <w:rPr>
          <w:rFonts w:eastAsiaTheme="minorHAnsi"/>
          <w:b/>
          <w:bCs/>
          <w:iCs/>
          <w:lang w:val="fr-FR" w:eastAsia="en-US"/>
        </w:rPr>
        <w:tab/>
      </w:r>
      <w:r w:rsidRPr="00CA3533">
        <w:rPr>
          <w:rFonts w:eastAsiaTheme="minorHAnsi"/>
          <w:lang w:val="fr-FR" w:eastAsia="en-US"/>
        </w:rPr>
        <w:t>Les prescriptions du 6.7.2.20.1 s’appliquent aux citernes mobiles avec un réservoir en PRF, à l’exception de l’alinéa f) ii).</w:t>
      </w:r>
    </w:p>
    <w:p w14:paraId="273A211E" w14:textId="77777777" w:rsidR="00CA3533" w:rsidRPr="00CA3533" w:rsidRDefault="00CA3533" w:rsidP="00CA3533">
      <w:pPr>
        <w:keepNext/>
        <w:tabs>
          <w:tab w:val="left" w:pos="4228"/>
        </w:tabs>
        <w:spacing w:after="120"/>
        <w:ind w:left="2268" w:right="1134" w:hanging="1134"/>
        <w:jc w:val="both"/>
        <w:rPr>
          <w:rFonts w:eastAsiaTheme="minorHAnsi"/>
          <w:strike/>
          <w:lang w:val="fr-FR" w:eastAsia="en-US"/>
        </w:rPr>
      </w:pPr>
      <w:r w:rsidRPr="00CA3533">
        <w:rPr>
          <w:rFonts w:eastAsiaTheme="minorHAnsi"/>
          <w:bCs/>
          <w:iCs/>
          <w:lang w:val="fr-FR" w:eastAsia="en-US"/>
        </w:rPr>
        <w:t>6.9.2.10.2</w:t>
      </w:r>
      <w:r w:rsidRPr="00CA3533">
        <w:rPr>
          <w:rFonts w:eastAsiaTheme="minorHAnsi"/>
          <w:b/>
          <w:bCs/>
          <w:iCs/>
          <w:lang w:val="fr-FR" w:eastAsia="en-US"/>
        </w:rPr>
        <w:tab/>
      </w:r>
      <w:r w:rsidRPr="00CA3533">
        <w:rPr>
          <w:rFonts w:eastAsiaTheme="minorHAnsi"/>
          <w:lang w:val="fr-FR" w:eastAsia="en-US"/>
        </w:rPr>
        <w:t xml:space="preserve">Les informations à fournir conformément au 6.7.2.20.1 f) i) sont les suivantes : “Matière de la structure du réservoir : matière plastique renforcée de </w:t>
      </w:r>
      <w:proofErr w:type="spellStart"/>
      <w:r w:rsidRPr="00CA3533">
        <w:rPr>
          <w:rFonts w:eastAsiaTheme="minorHAnsi"/>
          <w:lang w:val="fr-FR" w:eastAsia="en-US"/>
        </w:rPr>
        <w:t>fibresˮ</w:t>
      </w:r>
      <w:proofErr w:type="spellEnd"/>
      <w:r w:rsidRPr="00CA3533">
        <w:rPr>
          <w:rFonts w:eastAsiaTheme="minorHAnsi"/>
          <w:lang w:val="fr-FR" w:eastAsia="en-US"/>
        </w:rPr>
        <w:t>, le type de fibre de renforcement (par exemple, “Renforcement : verre </w:t>
      </w:r>
      <w:proofErr w:type="spellStart"/>
      <w:r w:rsidRPr="00CA3533">
        <w:rPr>
          <w:rFonts w:eastAsiaTheme="minorHAnsi"/>
          <w:lang w:val="fr-FR" w:eastAsia="en-US"/>
        </w:rPr>
        <w:t>Eˮ</w:t>
      </w:r>
      <w:proofErr w:type="spellEnd"/>
      <w:r w:rsidRPr="00CA3533">
        <w:rPr>
          <w:rFonts w:eastAsiaTheme="minorHAnsi"/>
          <w:lang w:val="fr-FR" w:eastAsia="en-US"/>
        </w:rPr>
        <w:t xml:space="preserve">), et le type de résine (par exemple, “Résine </w:t>
      </w:r>
      <w:proofErr w:type="spellStart"/>
      <w:r w:rsidRPr="00CA3533">
        <w:rPr>
          <w:rFonts w:eastAsiaTheme="minorHAnsi"/>
          <w:lang w:val="fr-FR" w:eastAsia="en-US"/>
        </w:rPr>
        <w:t>vinylesterˮ</w:t>
      </w:r>
      <w:proofErr w:type="spellEnd"/>
      <w:r w:rsidRPr="00CA3533">
        <w:rPr>
          <w:rFonts w:eastAsiaTheme="minorHAnsi"/>
          <w:lang w:val="fr-FR" w:eastAsia="en-US"/>
        </w:rPr>
        <w:t>).</w:t>
      </w:r>
    </w:p>
    <w:p w14:paraId="7C154E8A" w14:textId="58BE030B" w:rsidR="00CA3533" w:rsidRPr="00CA3533" w:rsidRDefault="00CA3533" w:rsidP="00CA3533">
      <w:pPr>
        <w:keepNext/>
        <w:tabs>
          <w:tab w:val="left" w:pos="4228"/>
        </w:tabs>
        <w:spacing w:after="120"/>
        <w:ind w:left="2268" w:right="1134" w:hanging="1134"/>
        <w:jc w:val="both"/>
        <w:rPr>
          <w:rFonts w:eastAsiaTheme="minorHAnsi"/>
          <w:lang w:val="fr-FR" w:eastAsia="en-US"/>
        </w:rPr>
      </w:pPr>
      <w:r w:rsidRPr="00CA3533">
        <w:rPr>
          <w:rFonts w:eastAsiaTheme="minorHAnsi"/>
          <w:bCs/>
          <w:iCs/>
          <w:lang w:val="fr-FR" w:eastAsia="ru-RU"/>
        </w:rPr>
        <w:t>6.9.2.10</w:t>
      </w:r>
      <w:r w:rsidRPr="00CA3533">
        <w:rPr>
          <w:rFonts w:eastAsiaTheme="minorHAnsi"/>
          <w:lang w:val="fr-FR" w:eastAsia="ru-RU"/>
        </w:rPr>
        <w:t>.3</w:t>
      </w:r>
      <w:r w:rsidRPr="00CA3533">
        <w:rPr>
          <w:rFonts w:eastAsiaTheme="minorHAnsi"/>
          <w:b/>
          <w:lang w:val="fr-FR" w:eastAsia="ru-RU"/>
        </w:rPr>
        <w:tab/>
      </w:r>
      <w:r w:rsidRPr="00CA3533">
        <w:rPr>
          <w:rFonts w:eastAsiaTheme="minorHAnsi"/>
          <w:lang w:val="fr-FR" w:eastAsia="en-US"/>
        </w:rPr>
        <w:t>Les prescriptions du 6.7.2.20.2 s’appliquent aux citernes mobiles avec un réservoir en PRF. ».</w:t>
      </w:r>
    </w:p>
    <w:p w14:paraId="517CB1EA" w14:textId="77777777" w:rsidR="00CA3533" w:rsidRPr="00CA3533" w:rsidRDefault="00CA3533" w:rsidP="00CA3533">
      <w:pPr>
        <w:keepNext/>
        <w:keepLines/>
        <w:tabs>
          <w:tab w:val="right" w:pos="851"/>
        </w:tabs>
        <w:spacing w:before="360" w:after="240" w:line="270" w:lineRule="exact"/>
        <w:ind w:right="1133"/>
        <w:rPr>
          <w:b/>
          <w:sz w:val="24"/>
          <w:lang w:val="fr-FR"/>
        </w:rPr>
      </w:pPr>
      <w:r w:rsidRPr="00CA3533">
        <w:rPr>
          <w:b/>
          <w:bCs/>
          <w:sz w:val="24"/>
          <w:lang w:val="fr-FR"/>
        </w:rPr>
        <w:tab/>
      </w:r>
      <w:r w:rsidRPr="00CA3533">
        <w:rPr>
          <w:b/>
          <w:bCs/>
          <w:sz w:val="24"/>
          <w:lang w:val="fr-FR"/>
        </w:rPr>
        <w:tab/>
      </w:r>
      <w:r w:rsidRPr="00CA3533">
        <w:rPr>
          <w:b/>
          <w:sz w:val="24"/>
          <w:lang w:val="fr-FR"/>
        </w:rPr>
        <w:t>Chapitre 6.10</w:t>
      </w:r>
    </w:p>
    <w:p w14:paraId="37C23C91" w14:textId="0DA54A44" w:rsidR="00CA3533" w:rsidRPr="00CA3533" w:rsidRDefault="00CA3533" w:rsidP="00CA3533">
      <w:pPr>
        <w:tabs>
          <w:tab w:val="left" w:pos="2268"/>
        </w:tabs>
        <w:spacing w:after="120"/>
        <w:ind w:left="2268" w:right="1134" w:hanging="1134"/>
        <w:jc w:val="both"/>
        <w:rPr>
          <w:i/>
          <w:iCs/>
          <w:lang w:val="fr-FR" w:eastAsia="en-US"/>
        </w:rPr>
      </w:pPr>
      <w:r w:rsidRPr="00CA3533">
        <w:rPr>
          <w:lang w:val="fr-FR" w:eastAsia="en-US"/>
        </w:rPr>
        <w:t xml:space="preserve">Dans le Nota 1 sous le titre, </w:t>
      </w:r>
      <w:r w:rsidR="009940A0">
        <w:rPr>
          <w:lang w:val="fr-FR" w:eastAsia="en-US"/>
        </w:rPr>
        <w:t>après</w:t>
      </w:r>
      <w:r w:rsidR="009940A0" w:rsidRPr="00CA3533">
        <w:rPr>
          <w:lang w:val="fr-FR" w:eastAsia="en-US"/>
        </w:rPr>
        <w:t xml:space="preserve"> </w:t>
      </w:r>
      <w:r w:rsidRPr="00CA3533">
        <w:rPr>
          <w:lang w:val="fr-FR" w:eastAsia="en-US"/>
        </w:rPr>
        <w:t xml:space="preserve">« chapitre 6.9 » </w:t>
      </w:r>
      <w:r w:rsidR="00A22C92">
        <w:rPr>
          <w:lang w:val="fr-FR" w:eastAsia="en-US"/>
        </w:rPr>
        <w:t>ajouter</w:t>
      </w:r>
      <w:r w:rsidR="00A22C92" w:rsidRPr="00CA3533">
        <w:rPr>
          <w:lang w:val="fr-FR" w:eastAsia="en-US"/>
        </w:rPr>
        <w:t xml:space="preserve"> </w:t>
      </w:r>
      <w:r w:rsidRPr="00CA3533">
        <w:rPr>
          <w:lang w:val="fr-FR" w:eastAsia="en-US"/>
        </w:rPr>
        <w:t>« ou chapitre 6.13 selon le cas ».</w:t>
      </w:r>
      <w:r w:rsidRPr="00CA3533">
        <w:rPr>
          <w:i/>
          <w:iCs/>
          <w:lang w:val="fr-FR" w:eastAsia="en-US"/>
        </w:rPr>
        <w:t xml:space="preserve"> </w:t>
      </w:r>
    </w:p>
    <w:p w14:paraId="0BC8AA5E" w14:textId="77777777" w:rsidR="00CA3533" w:rsidRPr="00CA3533" w:rsidRDefault="00CA3533" w:rsidP="00CA3533">
      <w:pPr>
        <w:spacing w:after="120"/>
        <w:ind w:left="2268" w:right="1134" w:hanging="1134"/>
        <w:jc w:val="both"/>
        <w:rPr>
          <w:lang w:val="fr-FR"/>
        </w:rPr>
      </w:pPr>
      <w:r w:rsidRPr="00CA3533">
        <w:rPr>
          <w:lang w:val="fr-FR"/>
        </w:rPr>
        <w:t>6.10.4</w:t>
      </w:r>
      <w:r w:rsidRPr="00CA3533">
        <w:rPr>
          <w:lang w:val="fr-FR"/>
        </w:rPr>
        <w:tab/>
        <w:t>L’amendement dans la version anglaise ne s’applique pas au texte français.</w:t>
      </w:r>
    </w:p>
    <w:p w14:paraId="2B91361B" w14:textId="77777777" w:rsidR="00CA3533" w:rsidRPr="00CA3533" w:rsidRDefault="00CA3533" w:rsidP="00CA3533">
      <w:pPr>
        <w:keepNext/>
        <w:keepLines/>
        <w:tabs>
          <w:tab w:val="right" w:pos="851"/>
        </w:tabs>
        <w:spacing w:before="360" w:after="240" w:line="270" w:lineRule="exact"/>
        <w:ind w:right="1133"/>
        <w:rPr>
          <w:b/>
          <w:sz w:val="24"/>
          <w:lang w:val="fr-FR"/>
        </w:rPr>
      </w:pPr>
      <w:r w:rsidRPr="00CA3533">
        <w:rPr>
          <w:b/>
          <w:sz w:val="24"/>
          <w:lang w:val="fr-FR"/>
        </w:rPr>
        <w:lastRenderedPageBreak/>
        <w:tab/>
      </w:r>
      <w:r w:rsidRPr="00CA3533">
        <w:rPr>
          <w:b/>
          <w:sz w:val="24"/>
          <w:lang w:val="fr-FR"/>
        </w:rPr>
        <w:tab/>
        <w:t>Chapitre 6.12</w:t>
      </w:r>
    </w:p>
    <w:p w14:paraId="7CD57C00" w14:textId="55F39A40" w:rsidR="00CA3533" w:rsidRPr="00CA3533" w:rsidRDefault="00CA3533" w:rsidP="00CA3533">
      <w:pPr>
        <w:tabs>
          <w:tab w:val="left" w:pos="2268"/>
        </w:tabs>
        <w:spacing w:after="120"/>
        <w:ind w:left="2268" w:right="1134" w:hanging="1134"/>
        <w:jc w:val="both"/>
        <w:rPr>
          <w:i/>
          <w:iCs/>
          <w:lang w:val="fr-FR" w:eastAsia="en-US"/>
        </w:rPr>
      </w:pPr>
      <w:r w:rsidRPr="00CA3533">
        <w:rPr>
          <w:lang w:val="fr-FR" w:eastAsia="en-US"/>
        </w:rPr>
        <w:t xml:space="preserve">Dans le Nota 1 sous le titre, </w:t>
      </w:r>
      <w:r w:rsidR="003A2FB6">
        <w:rPr>
          <w:lang w:val="fr-FR" w:eastAsia="en-US"/>
        </w:rPr>
        <w:t>après</w:t>
      </w:r>
      <w:r w:rsidR="003A2FB6" w:rsidRPr="00CA3533">
        <w:rPr>
          <w:lang w:val="fr-FR" w:eastAsia="en-US"/>
        </w:rPr>
        <w:t xml:space="preserve"> </w:t>
      </w:r>
      <w:r w:rsidRPr="00CA3533">
        <w:rPr>
          <w:lang w:val="fr-FR" w:eastAsia="en-US"/>
        </w:rPr>
        <w:t xml:space="preserve">« chapitre 6.9 » </w:t>
      </w:r>
      <w:r w:rsidR="003A2FB6">
        <w:rPr>
          <w:lang w:val="fr-FR" w:eastAsia="en-US"/>
        </w:rPr>
        <w:t>ajouter</w:t>
      </w:r>
      <w:r w:rsidR="003A2FB6" w:rsidRPr="00CA3533">
        <w:rPr>
          <w:lang w:val="fr-FR" w:eastAsia="en-US"/>
        </w:rPr>
        <w:t xml:space="preserve"> </w:t>
      </w:r>
      <w:r w:rsidRPr="00CA3533">
        <w:rPr>
          <w:lang w:val="fr-FR" w:eastAsia="en-US"/>
        </w:rPr>
        <w:t>« ou chapitre 6.13 selon le cas ».</w:t>
      </w:r>
      <w:r w:rsidRPr="00CA3533">
        <w:rPr>
          <w:i/>
          <w:iCs/>
          <w:lang w:val="fr-FR" w:eastAsia="en-US"/>
        </w:rPr>
        <w:t xml:space="preserve"> </w:t>
      </w:r>
    </w:p>
    <w:p w14:paraId="0276475E" w14:textId="77777777" w:rsidR="00CA3533" w:rsidRPr="00CA3533" w:rsidRDefault="00CA3533" w:rsidP="00CA3533">
      <w:pPr>
        <w:spacing w:after="120"/>
        <w:ind w:left="2268" w:right="1134" w:hanging="1134"/>
        <w:jc w:val="both"/>
        <w:rPr>
          <w:lang w:val="fr-FR"/>
        </w:rPr>
      </w:pPr>
      <w:r w:rsidRPr="00CA3533">
        <w:rPr>
          <w:lang w:val="fr-FR"/>
        </w:rPr>
        <w:t>6.12.3.2.6</w:t>
      </w:r>
      <w:r w:rsidRPr="00CA3533">
        <w:rPr>
          <w:lang w:val="fr-FR"/>
        </w:rPr>
        <w:tab/>
        <w:t>Dans la dernière phrase, remplacer « au moins tous les trois ans » par « au plus tard tous les trois ans ».</w:t>
      </w:r>
    </w:p>
    <w:p w14:paraId="2646C397" w14:textId="77777777" w:rsidR="00CA3533" w:rsidRPr="00CA3533" w:rsidRDefault="00CA3533" w:rsidP="00CA3533">
      <w:pPr>
        <w:keepNext/>
        <w:keepLines/>
        <w:tabs>
          <w:tab w:val="right" w:pos="851"/>
        </w:tabs>
        <w:spacing w:before="360" w:after="240" w:line="270" w:lineRule="exact"/>
        <w:ind w:right="1133"/>
        <w:rPr>
          <w:b/>
          <w:sz w:val="24"/>
          <w:lang w:val="fr-FR"/>
        </w:rPr>
      </w:pPr>
      <w:r w:rsidRPr="00CA3533">
        <w:rPr>
          <w:b/>
          <w:sz w:val="24"/>
          <w:lang w:val="fr-FR"/>
        </w:rPr>
        <w:tab/>
      </w:r>
      <w:r w:rsidRPr="00CA3533">
        <w:rPr>
          <w:b/>
          <w:sz w:val="24"/>
          <w:lang w:val="fr-FR"/>
        </w:rPr>
        <w:tab/>
        <w:t>Chapitre 6.13 (auparavant 6.9)</w:t>
      </w:r>
    </w:p>
    <w:p w14:paraId="03CA2C3C" w14:textId="77777777" w:rsidR="00CA3533" w:rsidRPr="00CA3533" w:rsidRDefault="00CA3533" w:rsidP="00CA3533">
      <w:pPr>
        <w:tabs>
          <w:tab w:val="left" w:pos="2268"/>
        </w:tabs>
        <w:spacing w:after="120"/>
        <w:ind w:left="2268" w:right="1134" w:hanging="1134"/>
        <w:jc w:val="both"/>
        <w:rPr>
          <w:lang w:val="fr-FR" w:eastAsia="en-US"/>
        </w:rPr>
      </w:pPr>
      <w:r w:rsidRPr="00CA3533">
        <w:rPr>
          <w:lang w:val="fr-FR" w:eastAsia="en-US"/>
        </w:rPr>
        <w:t>Modifier pour lire comme suit :</w:t>
      </w:r>
    </w:p>
    <w:p w14:paraId="7E0FABFF" w14:textId="77777777" w:rsidR="00CA3533" w:rsidRPr="00CA3533" w:rsidRDefault="00CA3533" w:rsidP="00CA3533">
      <w:pPr>
        <w:tabs>
          <w:tab w:val="left" w:pos="2268"/>
        </w:tabs>
        <w:spacing w:after="120"/>
        <w:ind w:left="2268" w:right="1134" w:hanging="1134"/>
        <w:jc w:val="center"/>
        <w:rPr>
          <w:b/>
        </w:rPr>
      </w:pPr>
      <w:r w:rsidRPr="00CA3533">
        <w:rPr>
          <w:lang w:val="fr-FR" w:eastAsia="en-US"/>
        </w:rPr>
        <w:t>« </w:t>
      </w:r>
      <w:r w:rsidRPr="00CA3533">
        <w:rPr>
          <w:b/>
        </w:rPr>
        <w:t>CHAPITRE 6.13</w:t>
      </w:r>
      <w:r w:rsidRPr="00CA3533">
        <w:rPr>
          <w:b/>
        </w:rPr>
        <w:br/>
      </w:r>
      <w:r w:rsidRPr="00CA3533">
        <w:rPr>
          <w:b/>
        </w:rPr>
        <w:br/>
        <w:t xml:space="preserve">PRESCRIPTIONS RELATIVES À LA CONCEPTION, À LA CONSTRUCTION, AUX ÉQUIPEMENTS, À L'AGRÉMENT DE TYPE, AUX ÉPREUVES ET AU MARQUAGE DES CITERNES </w:t>
      </w:r>
      <w:r w:rsidRPr="00F2328F">
        <w:rPr>
          <w:b/>
        </w:rPr>
        <w:t>FIXES</w:t>
      </w:r>
      <w:r w:rsidRPr="00CA3533">
        <w:rPr>
          <w:b/>
        </w:rPr>
        <w:t xml:space="preserve"> (VÉHICULES-CITERNES) ET CITERNES DÉMONTABLES, EN MATIÈRE PLASTIQUE RENFORCÉE DE FIBRES</w:t>
      </w:r>
    </w:p>
    <w:p w14:paraId="3A464A4D" w14:textId="77777777" w:rsidR="00CA3533" w:rsidRPr="00CA3533" w:rsidRDefault="00CA3533" w:rsidP="00CA3533"/>
    <w:p w14:paraId="359D3EC5" w14:textId="77777777" w:rsidR="00CA3533" w:rsidRPr="00CA3533" w:rsidRDefault="00CA3533" w:rsidP="00CA3533">
      <w:pPr>
        <w:spacing w:after="120"/>
        <w:ind w:left="2268" w:right="1134" w:hanging="1134"/>
        <w:jc w:val="both"/>
        <w:rPr>
          <w:i/>
        </w:rPr>
      </w:pPr>
      <w:r w:rsidRPr="00CA3533">
        <w:rPr>
          <w:b/>
          <w:i/>
        </w:rPr>
        <w:t xml:space="preserve">NOTA: </w:t>
      </w:r>
      <w:r w:rsidRPr="00CA3533">
        <w:rPr>
          <w:b/>
          <w:i/>
        </w:rPr>
        <w:tab/>
      </w:r>
      <w:r w:rsidRPr="00CA3533">
        <w:rPr>
          <w:i/>
        </w:rPr>
        <w:t>Pour les citernes mobiles et les conteneurs à gaz à éléments multiples (CGEM) "UN", voir chapitre 6.7; pour les citernes mobiles en PRF, voir chapitre 6.9; pour les citernes fixes (véhicules-citernes), citernes démontables, conteneurs-citernes et caisses mobiles citernes dont les réservoirs sont construits en matériaux métalliques, ainsi que les véhicules-batteries et conteneurs à gaz à éléments multiples (CGEM) autres que les CGEM "UN", voir chapitre 6.8; pour les citernes à déchets opérant sous vide voir chapitre 6.10.</w:t>
      </w:r>
    </w:p>
    <w:p w14:paraId="6C7DDA63" w14:textId="77777777" w:rsidR="00CA3533" w:rsidRPr="00CA3533" w:rsidRDefault="00CA3533" w:rsidP="00CA3533">
      <w:pPr>
        <w:tabs>
          <w:tab w:val="left" w:pos="2268"/>
        </w:tabs>
        <w:spacing w:after="120"/>
        <w:ind w:left="2268" w:right="1134" w:hanging="1134"/>
        <w:jc w:val="both"/>
        <w:rPr>
          <w:b/>
        </w:rPr>
      </w:pPr>
      <w:r w:rsidRPr="00CA3533">
        <w:rPr>
          <w:b/>
        </w:rPr>
        <w:t>6.13.1</w:t>
      </w:r>
      <w:r w:rsidRPr="00CA3533">
        <w:rPr>
          <w:b/>
        </w:rPr>
        <w:tab/>
        <w:t>Généralités</w:t>
      </w:r>
    </w:p>
    <w:p w14:paraId="33300B77" w14:textId="77777777" w:rsidR="00CA3533" w:rsidRPr="00CA3533" w:rsidRDefault="00CA3533" w:rsidP="00CA3533">
      <w:pPr>
        <w:tabs>
          <w:tab w:val="left" w:pos="2268"/>
        </w:tabs>
        <w:spacing w:after="120"/>
        <w:ind w:left="2268" w:right="1134" w:hanging="1134"/>
        <w:jc w:val="both"/>
      </w:pPr>
      <w:r w:rsidRPr="00CA3533">
        <w:t>6.13.1.1</w:t>
      </w:r>
      <w:r w:rsidRPr="00CA3533">
        <w:tab/>
        <w:t>Les citernes en matière plastique renforcée de fibres (PRF) doivent être conçues, fabriquées et soumises à des épreuves conformément à un programme d'assurance de qualité conformément au 6.9.2.2.2, en particulier, le travail de stratification et de pose des traitements thermoplastiques ne doit être entrepris que par un personnel qualifié, selon une procédure reconnue par l'autorité compétente.</w:t>
      </w:r>
    </w:p>
    <w:p w14:paraId="5534A5AD"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.1.2</w:t>
      </w:r>
      <w:r w:rsidRPr="00CA3533">
        <w:tab/>
        <w:t>Pour la conception des citernes en PRF et les épreuves qu'elles doivent subir, les prescriptions des 6.8.2.1.1, 6.8.2.1.7, 6.8.2.1.13, 6.8.2.1.14 a) et b), 6.8.2.1.25, 6.8.2.1.27, 6.8.2.1.28 et 6.8.2.2.3 sont aussi applicables.</w:t>
      </w:r>
    </w:p>
    <w:p w14:paraId="5FC4C8B2"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.1.3</w:t>
      </w:r>
      <w:r w:rsidRPr="00CA3533">
        <w:tab/>
        <w:t>La stabilité des véhicules-citernes est soumise aux prescriptions du 9.7.5.1.</w:t>
      </w:r>
    </w:p>
    <w:p w14:paraId="1B542F41" w14:textId="77777777" w:rsidR="00CA3533" w:rsidRPr="00CA3533" w:rsidRDefault="00CA3533" w:rsidP="00CA3533">
      <w:pPr>
        <w:tabs>
          <w:tab w:val="left" w:pos="2268"/>
        </w:tabs>
        <w:spacing w:after="120"/>
        <w:ind w:left="2268" w:right="1134" w:hanging="1134"/>
        <w:jc w:val="both"/>
        <w:rPr>
          <w:b/>
        </w:rPr>
      </w:pPr>
      <w:r w:rsidRPr="00CA3533">
        <w:rPr>
          <w:b/>
        </w:rPr>
        <w:t>6.</w:t>
      </w:r>
      <w:r w:rsidRPr="00CA3533">
        <w:rPr>
          <w:rFonts w:eastAsiaTheme="minorHAnsi"/>
          <w:b/>
          <w:bCs/>
          <w:iCs/>
        </w:rPr>
        <w:t>13</w:t>
      </w:r>
      <w:r w:rsidRPr="00CA3533">
        <w:rPr>
          <w:b/>
        </w:rPr>
        <w:t>.2</w:t>
      </w:r>
      <w:r w:rsidRPr="00CA3533">
        <w:rPr>
          <w:b/>
        </w:rPr>
        <w:tab/>
        <w:t>Construction</w:t>
      </w:r>
    </w:p>
    <w:p w14:paraId="07A59B3F"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.2.1</w:t>
      </w:r>
      <w:r w:rsidRPr="00CA3533">
        <w:tab/>
        <w:t xml:space="preserve">Les réservoirs en PRF doivent être conçus et construits conformément aux prescriptions des 6.9.2.2.3.2 à 6.9.2.2.3.7 et 6.9.2.3.6. </w:t>
      </w:r>
    </w:p>
    <w:p w14:paraId="77417010"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.2.2</w:t>
      </w:r>
      <w:r w:rsidRPr="00CA3533">
        <w:tab/>
        <w:t>La couche structurale du réservoir est l'élément spécialement conçu selon les 6.</w:t>
      </w:r>
      <w:r w:rsidRPr="00CA3533">
        <w:rPr>
          <w:rFonts w:eastAsiaTheme="minorHAnsi"/>
          <w:bCs/>
          <w:iCs/>
        </w:rPr>
        <w:t>13</w:t>
      </w:r>
      <w:r w:rsidRPr="00CA3533">
        <w:t>.2.4 et 6.</w:t>
      </w:r>
      <w:r w:rsidRPr="00CA3533">
        <w:rPr>
          <w:rFonts w:eastAsiaTheme="minorHAnsi"/>
          <w:bCs/>
          <w:iCs/>
        </w:rPr>
        <w:t>13</w:t>
      </w:r>
      <w:r w:rsidRPr="00CA3533">
        <w:t>.2.5 pour résister aux contraintes mécaniques. Cette partie comprend normalement plusieurs couches renforcées par des fibres disposées selon des orientations déterminées.</w:t>
      </w:r>
    </w:p>
    <w:p w14:paraId="24750E26"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.2.2.1</w:t>
      </w:r>
      <w:r w:rsidRPr="00CA3533">
        <w:tab/>
        <w:t>La couche externe de résine ou de peinture est la partie du réservoir qui est directement exposée à l'atmosphère. Elle doit être capable de résister aux conditions extérieures, notamment à des contacts occasionnels avec la matière transportée. La résine doit contenir des charges ou adjuvants comme protection contre la détérioration de la couche structurale du réservoir par les rayons ultraviolets.</w:t>
      </w:r>
    </w:p>
    <w:p w14:paraId="39AC96DB" w14:textId="77777777" w:rsidR="00CA3533" w:rsidRPr="00CA3533" w:rsidRDefault="00CA3533" w:rsidP="00CA3533">
      <w:pPr>
        <w:tabs>
          <w:tab w:val="left" w:pos="2268"/>
        </w:tabs>
        <w:spacing w:after="120"/>
        <w:ind w:left="2268" w:right="1134" w:hanging="1134"/>
        <w:jc w:val="both"/>
        <w:rPr>
          <w:b/>
        </w:rPr>
      </w:pPr>
      <w:r w:rsidRPr="00CA3533">
        <w:rPr>
          <w:b/>
        </w:rPr>
        <w:t>6.</w:t>
      </w:r>
      <w:r w:rsidRPr="00CA3533">
        <w:rPr>
          <w:rFonts w:eastAsiaTheme="minorHAnsi"/>
          <w:b/>
          <w:bCs/>
          <w:iCs/>
        </w:rPr>
        <w:t>13</w:t>
      </w:r>
      <w:r w:rsidRPr="00CA3533">
        <w:rPr>
          <w:b/>
        </w:rPr>
        <w:t>.2.3</w:t>
      </w:r>
      <w:r w:rsidRPr="00CA3533">
        <w:rPr>
          <w:b/>
        </w:rPr>
        <w:tab/>
      </w:r>
      <w:r w:rsidRPr="00CA3533">
        <w:rPr>
          <w:b/>
          <w:i/>
        </w:rPr>
        <w:t>Matières premières</w:t>
      </w:r>
      <w:r w:rsidRPr="00CA3533">
        <w:rPr>
          <w:b/>
        </w:rPr>
        <w:t xml:space="preserve"> </w:t>
      </w:r>
    </w:p>
    <w:p w14:paraId="2D241B3D"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.2.3.1</w:t>
      </w:r>
      <w:r w:rsidRPr="00CA3533">
        <w:tab/>
        <w:t>Toutes les matières utilisées dans la fabrication de citernes en PRF doivent avoir une origine et des propriétés connues.</w:t>
      </w:r>
    </w:p>
    <w:p w14:paraId="5D35B82B" w14:textId="77777777" w:rsidR="00CA3533" w:rsidRPr="00CA3533" w:rsidRDefault="00CA3533" w:rsidP="00CA3533">
      <w:pPr>
        <w:tabs>
          <w:tab w:val="left" w:pos="2268"/>
        </w:tabs>
        <w:spacing w:after="120"/>
        <w:ind w:left="2268" w:right="1134" w:hanging="1134"/>
        <w:jc w:val="both"/>
        <w:rPr>
          <w:b/>
          <w:i/>
        </w:rPr>
      </w:pPr>
      <w:r w:rsidRPr="00CA3533">
        <w:lastRenderedPageBreak/>
        <w:t>6.</w:t>
      </w:r>
      <w:r w:rsidRPr="00CA3533">
        <w:rPr>
          <w:rFonts w:eastAsiaTheme="minorHAnsi"/>
          <w:bCs/>
          <w:iCs/>
        </w:rPr>
        <w:t>13</w:t>
      </w:r>
      <w:r w:rsidRPr="00CA3533">
        <w:t>.2.3.2</w:t>
      </w:r>
      <w:r w:rsidRPr="00CA3533">
        <w:rPr>
          <w:b/>
        </w:rPr>
        <w:tab/>
      </w:r>
      <w:r w:rsidRPr="00CA3533">
        <w:rPr>
          <w:i/>
        </w:rPr>
        <w:t>Résines</w:t>
      </w:r>
    </w:p>
    <w:p w14:paraId="70E72E9F" w14:textId="77777777" w:rsidR="00CA3533" w:rsidRPr="00CA3533" w:rsidRDefault="00CA3533" w:rsidP="00CA3533">
      <w:pPr>
        <w:tabs>
          <w:tab w:val="left" w:pos="2268"/>
        </w:tabs>
        <w:spacing w:after="120"/>
        <w:ind w:left="2268" w:right="1134" w:hanging="1134"/>
        <w:jc w:val="both"/>
        <w:rPr>
          <w:strike/>
        </w:rPr>
      </w:pPr>
      <w:r w:rsidRPr="00CA3533">
        <w:tab/>
        <w:t xml:space="preserve">Les prescriptions du 6.9.2.2.3.10 sont applicables. </w:t>
      </w:r>
    </w:p>
    <w:p w14:paraId="6FF48444"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.2.3.3</w:t>
      </w:r>
      <w:r w:rsidRPr="00CA3533">
        <w:tab/>
      </w:r>
      <w:r w:rsidRPr="00CA3533">
        <w:rPr>
          <w:i/>
        </w:rPr>
        <w:t>Fibres de renforcement</w:t>
      </w:r>
    </w:p>
    <w:p w14:paraId="1283244F" w14:textId="77777777" w:rsidR="00CA3533" w:rsidRPr="00CA3533" w:rsidRDefault="00CA3533" w:rsidP="00CA3533">
      <w:pPr>
        <w:tabs>
          <w:tab w:val="left" w:pos="2268"/>
        </w:tabs>
        <w:spacing w:after="120"/>
        <w:ind w:left="2268" w:right="1134" w:hanging="1134"/>
        <w:jc w:val="both"/>
      </w:pPr>
      <w:r w:rsidRPr="00CA3533">
        <w:tab/>
        <w:t>Les prescriptions du 6.9.2.2.3.11 sont applicables.</w:t>
      </w:r>
    </w:p>
    <w:p w14:paraId="4C14AB10" w14:textId="77777777" w:rsidR="00CA3533" w:rsidRPr="00CA3533" w:rsidRDefault="00CA3533" w:rsidP="00CA3533">
      <w:pPr>
        <w:tabs>
          <w:tab w:val="left" w:pos="2268"/>
        </w:tabs>
        <w:spacing w:after="120"/>
        <w:ind w:left="2268" w:right="1134" w:hanging="1134"/>
        <w:jc w:val="both"/>
        <w:rPr>
          <w:b/>
        </w:rPr>
      </w:pPr>
      <w:r w:rsidRPr="00CA3533">
        <w:t>6.</w:t>
      </w:r>
      <w:r w:rsidRPr="00CA3533">
        <w:rPr>
          <w:rFonts w:eastAsiaTheme="minorHAnsi"/>
          <w:bCs/>
          <w:iCs/>
        </w:rPr>
        <w:t>13</w:t>
      </w:r>
      <w:r w:rsidRPr="00CA3533">
        <w:t>.2.3.4</w:t>
      </w:r>
      <w:r w:rsidRPr="00CA3533">
        <w:rPr>
          <w:b/>
        </w:rPr>
        <w:tab/>
      </w:r>
      <w:r w:rsidRPr="00CA3533">
        <w:rPr>
          <w:i/>
        </w:rPr>
        <w:t>Matériaux servant au revêtement thermoplastique</w:t>
      </w:r>
    </w:p>
    <w:p w14:paraId="4FF35FC6" w14:textId="77777777" w:rsidR="00CA3533" w:rsidRPr="00CA3533" w:rsidRDefault="00CA3533" w:rsidP="00CA3533">
      <w:pPr>
        <w:tabs>
          <w:tab w:val="left" w:pos="2268"/>
        </w:tabs>
        <w:spacing w:after="120"/>
        <w:ind w:left="2268" w:right="1134" w:hanging="1134"/>
        <w:jc w:val="both"/>
      </w:pPr>
      <w:r w:rsidRPr="00CA3533">
        <w:tab/>
        <w:t>Les revêtements thermoplastiques, tels que le polychlorure de vinyle non plastifié (PVC</w:t>
      </w:r>
      <w:r w:rsidRPr="00CA3533">
        <w:noBreakHyphen/>
        <w:t xml:space="preserve">U), le polypropylène (PP), le fluorure de </w:t>
      </w:r>
      <w:proofErr w:type="spellStart"/>
      <w:r w:rsidRPr="00CA3533">
        <w:t>polyvinylidène</w:t>
      </w:r>
      <w:proofErr w:type="spellEnd"/>
      <w:r w:rsidRPr="00CA3533">
        <w:t xml:space="preserve"> (PVDF), le </w:t>
      </w:r>
      <w:proofErr w:type="spellStart"/>
      <w:r w:rsidRPr="00CA3533">
        <w:t>polytétrafluoroéthylène</w:t>
      </w:r>
      <w:proofErr w:type="spellEnd"/>
      <w:r w:rsidRPr="00CA3533">
        <w:t xml:space="preserve"> (PTFE), etc., peuvent être utilisés comme matériaux de revêtement.</w:t>
      </w:r>
    </w:p>
    <w:p w14:paraId="46AE1C66" w14:textId="77777777" w:rsidR="00CA3533" w:rsidRPr="00CA3533" w:rsidRDefault="00CA3533" w:rsidP="00CA3533">
      <w:pPr>
        <w:tabs>
          <w:tab w:val="left" w:pos="2268"/>
        </w:tabs>
        <w:spacing w:after="120"/>
        <w:ind w:left="2268" w:right="1134" w:hanging="1134"/>
        <w:jc w:val="both"/>
        <w:rPr>
          <w:i/>
        </w:rPr>
      </w:pPr>
      <w:r w:rsidRPr="00CA3533">
        <w:t>6.</w:t>
      </w:r>
      <w:r w:rsidRPr="00CA3533">
        <w:rPr>
          <w:rFonts w:eastAsiaTheme="minorHAnsi"/>
          <w:bCs/>
          <w:iCs/>
        </w:rPr>
        <w:t>13</w:t>
      </w:r>
      <w:r w:rsidRPr="00CA3533">
        <w:t xml:space="preserve">.2.3.5 </w:t>
      </w:r>
      <w:r w:rsidRPr="00CA3533">
        <w:tab/>
      </w:r>
      <w:r w:rsidRPr="00CA3533">
        <w:rPr>
          <w:i/>
        </w:rPr>
        <w:t>Adjuvants</w:t>
      </w:r>
    </w:p>
    <w:p w14:paraId="20845D5B" w14:textId="77777777" w:rsidR="00CA3533" w:rsidRPr="00CA3533" w:rsidRDefault="00CA3533" w:rsidP="00CA3533">
      <w:pPr>
        <w:tabs>
          <w:tab w:val="left" w:pos="2268"/>
        </w:tabs>
        <w:spacing w:after="120"/>
        <w:ind w:left="2268" w:right="1134" w:hanging="1134"/>
        <w:jc w:val="both"/>
      </w:pPr>
      <w:r w:rsidRPr="00CA3533">
        <w:tab/>
        <w:t xml:space="preserve">Les prescriptions du 6.9.2.2.3.12 sont applicables. </w:t>
      </w:r>
    </w:p>
    <w:p w14:paraId="10FE3FE8"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.2.4</w:t>
      </w:r>
      <w:r w:rsidRPr="00CA3533">
        <w:tab/>
        <w:t>Le réservoir, ses éléments de fixation et son équipement de service et de structure doivent être conçus de façon à résister sans aucune fuite (sauf pour les quantités de gaz s'échappant par les dispositifs de dégazage) pendant la durée de vie prévue selon le type :</w:t>
      </w:r>
    </w:p>
    <w:p w14:paraId="04E66494" w14:textId="77777777" w:rsidR="00CA3533" w:rsidRPr="00CA3533" w:rsidRDefault="00CA3533" w:rsidP="00CA3533">
      <w:pPr>
        <w:tabs>
          <w:tab w:val="left" w:pos="2268"/>
        </w:tabs>
        <w:spacing w:after="120"/>
        <w:ind w:left="2835" w:right="1134" w:hanging="567"/>
        <w:jc w:val="both"/>
      </w:pPr>
      <w:r w:rsidRPr="00CA3533">
        <w:t>-</w:t>
      </w:r>
      <w:r w:rsidRPr="00CA3533">
        <w:tab/>
        <w:t>aux charges statiques et dynamiques subies dans des conditions normales de transport ;</w:t>
      </w:r>
    </w:p>
    <w:p w14:paraId="15AD2536" w14:textId="3C617B96" w:rsidR="00CA3533" w:rsidRPr="00CA3533" w:rsidRDefault="00CA3533" w:rsidP="00CA3533">
      <w:pPr>
        <w:tabs>
          <w:tab w:val="left" w:pos="2268"/>
        </w:tabs>
        <w:spacing w:after="120"/>
        <w:ind w:left="2835" w:right="1134" w:hanging="567"/>
        <w:jc w:val="both"/>
      </w:pPr>
      <w:r w:rsidRPr="00CA3533">
        <w:t>-</w:t>
      </w:r>
      <w:r w:rsidRPr="00CA3533">
        <w:tab/>
        <w:t>aux charges minimales définies aux 6.</w:t>
      </w:r>
      <w:r w:rsidRPr="00CA3533">
        <w:rPr>
          <w:rFonts w:eastAsiaTheme="minorHAnsi"/>
          <w:bCs/>
          <w:iCs/>
        </w:rPr>
        <w:t>13</w:t>
      </w:r>
      <w:r w:rsidRPr="00CA3533">
        <w:t>.2.5 à 6.</w:t>
      </w:r>
      <w:r w:rsidRPr="00CA3533">
        <w:rPr>
          <w:rFonts w:eastAsiaTheme="minorHAnsi"/>
          <w:bCs/>
          <w:iCs/>
        </w:rPr>
        <w:t>13</w:t>
      </w:r>
      <w:r w:rsidRPr="00CA3533">
        <w:t>.2.9.</w:t>
      </w:r>
    </w:p>
    <w:p w14:paraId="2E7938DF"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.2.5</w:t>
      </w:r>
      <w:r w:rsidRPr="00CA3533">
        <w:tab/>
        <w:t xml:space="preserve">Aux pressions indiquées aux 6.8.2.1.14 a) et b) et aux forces de gravité statique, dues au contenu à une densité maximale spécifiée pour le modèle et à un taux de remplissage maximal, </w:t>
      </w:r>
      <w:r w:rsidRPr="00CA3533">
        <w:rPr>
          <w:rFonts w:eastAsiaTheme="minorHAnsi"/>
        </w:rPr>
        <w:t>les critères de défaillance (</w:t>
      </w:r>
      <w:r w:rsidRPr="00661B91">
        <w:rPr>
          <w:rFonts w:eastAsiaTheme="minorHAnsi"/>
          <w:i/>
          <w:iCs/>
        </w:rPr>
        <w:t>FC</w:t>
      </w:r>
      <w:r w:rsidRPr="00CA3533">
        <w:rPr>
          <w:rFonts w:eastAsiaTheme="minorHAnsi"/>
        </w:rPr>
        <w:t xml:space="preserve">) dans la direction longitudinale, dans la direction circonférentielle et dans toute autre direction dans le plan des différentes couches du matériau composite </w:t>
      </w:r>
      <w:r w:rsidRPr="00CA3533">
        <w:t xml:space="preserve">ne doivent pas dépasser la valeur suivante : </w:t>
      </w:r>
    </w:p>
    <w:p w14:paraId="7B879BF3" w14:textId="77777777" w:rsidR="00CA3533" w:rsidRPr="00CA3533" w:rsidRDefault="00CA3533" w:rsidP="00CA3533">
      <w:pPr>
        <w:tabs>
          <w:tab w:val="left" w:pos="1701"/>
          <w:tab w:val="left" w:pos="2268"/>
          <w:tab w:val="left" w:pos="2835"/>
        </w:tabs>
        <w:spacing w:after="120"/>
        <w:ind w:left="1134" w:right="849"/>
        <w:rPr>
          <w:rFonts w:eastAsiaTheme="minorHAnsi"/>
        </w:rPr>
      </w:pPr>
      <m:oMathPara>
        <m:oMath>
          <m:r>
            <w:rPr>
              <w:rFonts w:ascii="Cambria Math" w:eastAsiaTheme="minorHAnsi" w:hAnsi="Cambria Math"/>
            </w:rPr>
            <m:t>FC</m:t>
          </m:r>
          <m:r>
            <m:rPr>
              <m:sty m:val="p"/>
            </m:rPr>
            <w:rPr>
              <w:rFonts w:ascii="Cambria Math" w:eastAsiaTheme="minorHAnsi" w:hAnsi="Cambria Math"/>
            </w:rPr>
            <m:t>≤</m:t>
          </m:r>
          <m:f>
            <m:fPr>
              <m:ctrlPr>
                <w:rPr>
                  <w:rFonts w:ascii="Cambria Math" w:eastAsiaTheme="minorHAnsi" w:hAnsi="Cambria Math"/>
                </w:rPr>
              </m:ctrlPr>
            </m:fPr>
            <m:num>
              <m:r>
                <m:rPr>
                  <m:sty m:val="p"/>
                </m:rPr>
                <w:rPr>
                  <w:rFonts w:ascii="Cambria Math" w:eastAsiaTheme="minorHAnsi" w:hAnsi="Cambria Math"/>
                </w:rPr>
                <m:t>1</m:t>
              </m:r>
            </m:num>
            <m:den>
              <m:r>
                <w:rPr>
                  <w:rFonts w:ascii="Cambria Math" w:eastAsiaTheme="minorHAnsi" w:hAnsi="Cambria Math"/>
                </w:rPr>
                <m:t>K</m:t>
              </m:r>
            </m:den>
          </m:f>
          <m:r>
            <m:rPr>
              <m:sty m:val="p"/>
            </m:rPr>
            <w:rPr>
              <w:rFonts w:ascii="Cambria Math" w:eastAsiaTheme="minorHAnsi" w:hAnsi="Cambria Math"/>
            </w:rPr>
            <m:t xml:space="preserve"> </m:t>
          </m:r>
        </m:oMath>
      </m:oMathPara>
    </w:p>
    <w:p w14:paraId="1C76AA6C" w14:textId="77777777" w:rsidR="00CA3533" w:rsidRPr="00CA3533" w:rsidRDefault="00CA3533" w:rsidP="00CA3533">
      <w:pPr>
        <w:tabs>
          <w:tab w:val="left" w:pos="2268"/>
        </w:tabs>
        <w:spacing w:after="120"/>
        <w:ind w:left="2268" w:right="1134" w:hanging="1134"/>
        <w:jc w:val="both"/>
      </w:pPr>
      <w:r w:rsidRPr="00CA3533">
        <w:rPr>
          <w:rFonts w:eastAsiaTheme="minorHAnsi"/>
        </w:rPr>
        <w:tab/>
        <w:t>o</w:t>
      </w:r>
      <w:r w:rsidRPr="00CA3533">
        <w:t>ù :</w:t>
      </w:r>
    </w:p>
    <w:p w14:paraId="0F74AF81" w14:textId="671330D9" w:rsidR="00CA3533" w:rsidRPr="00CA3533" w:rsidRDefault="00CA3533" w:rsidP="00CA3533">
      <w:pPr>
        <w:tabs>
          <w:tab w:val="left" w:pos="2160"/>
          <w:tab w:val="left" w:pos="2304"/>
          <w:tab w:val="left" w:pos="2880"/>
          <w:tab w:val="left" w:pos="3600"/>
          <w:tab w:val="left" w:pos="4320"/>
          <w:tab w:val="left" w:pos="5040"/>
          <w:tab w:val="left" w:pos="5760"/>
          <w:tab w:val="left" w:pos="6361"/>
          <w:tab w:val="left" w:pos="6480"/>
          <w:tab w:val="left" w:pos="6939"/>
        </w:tabs>
        <w:spacing w:after="120"/>
        <w:ind w:left="1418" w:right="849"/>
        <w:jc w:val="center"/>
        <w:rPr>
          <w:iCs/>
        </w:rPr>
      </w:pPr>
      <w:r w:rsidRPr="002058F7">
        <w:rPr>
          <w:i/>
        </w:rPr>
        <w:t>K</w:t>
      </w:r>
      <w:r w:rsidRPr="00CA3533">
        <w:rPr>
          <w:iCs/>
        </w:rPr>
        <w:t xml:space="preserve"> = </w:t>
      </w:r>
      <w:r w:rsidRPr="00EB78EE">
        <w:rPr>
          <w:i/>
        </w:rPr>
        <w:t>S</w:t>
      </w:r>
      <w:r w:rsidRPr="00CA3533">
        <w:rPr>
          <w:iCs/>
        </w:rPr>
        <w:t xml:space="preserve"> × </w:t>
      </w:r>
      <w:r w:rsidRPr="002058F7">
        <w:rPr>
          <w:i/>
        </w:rPr>
        <w:t>K</w:t>
      </w:r>
      <w:r w:rsidR="002058F7">
        <w:rPr>
          <w:iCs/>
          <w:vertAlign w:val="subscript"/>
        </w:rPr>
        <w:t>₀</w:t>
      </w:r>
      <w:r w:rsidRPr="00CA3533">
        <w:rPr>
          <w:iCs/>
        </w:rPr>
        <w:t xml:space="preserve"> × </w:t>
      </w:r>
      <w:r w:rsidRPr="002058F7">
        <w:rPr>
          <w:i/>
        </w:rPr>
        <w:t>K</w:t>
      </w:r>
      <w:r w:rsidR="002058F7">
        <w:rPr>
          <w:iCs/>
          <w:vertAlign w:val="subscript"/>
        </w:rPr>
        <w:t>₁</w:t>
      </w:r>
      <w:r w:rsidRPr="00CA3533">
        <w:rPr>
          <w:iCs/>
        </w:rPr>
        <w:t xml:space="preserve"> × </w:t>
      </w:r>
      <w:r w:rsidRPr="002058F7">
        <w:rPr>
          <w:i/>
        </w:rPr>
        <w:t>K</w:t>
      </w:r>
      <w:r w:rsidR="002058F7">
        <w:rPr>
          <w:iCs/>
          <w:vertAlign w:val="subscript"/>
        </w:rPr>
        <w:t>₂</w:t>
      </w:r>
      <w:r w:rsidRPr="00CA3533">
        <w:rPr>
          <w:iCs/>
        </w:rPr>
        <w:t xml:space="preserve"> × </w:t>
      </w:r>
      <w:r w:rsidRPr="002058F7">
        <w:rPr>
          <w:i/>
        </w:rPr>
        <w:t>K</w:t>
      </w:r>
      <w:r w:rsidR="002058F7">
        <w:rPr>
          <w:iCs/>
          <w:vertAlign w:val="subscript"/>
        </w:rPr>
        <w:t>₃</w:t>
      </w:r>
    </w:p>
    <w:p w14:paraId="0A7D992B" w14:textId="77777777" w:rsidR="00CA3533" w:rsidRPr="00CA3533" w:rsidRDefault="00CA3533" w:rsidP="00CA3533">
      <w:pPr>
        <w:tabs>
          <w:tab w:val="left" w:pos="2268"/>
        </w:tabs>
        <w:spacing w:after="120"/>
        <w:ind w:left="2268" w:right="1134" w:hanging="1134"/>
        <w:jc w:val="both"/>
        <w:rPr>
          <w:rFonts w:eastAsiaTheme="minorHAnsi"/>
        </w:rPr>
      </w:pPr>
      <w:r w:rsidRPr="00CA3533">
        <w:rPr>
          <w:rFonts w:eastAsiaTheme="minorHAnsi"/>
        </w:rPr>
        <w:tab/>
        <w:t>où</w:t>
      </w:r>
    </w:p>
    <w:p w14:paraId="0F69CE08" w14:textId="7DC1EDA1" w:rsidR="00CA3533" w:rsidRPr="00CA3533" w:rsidRDefault="00CA3533" w:rsidP="00CA3533">
      <w:pPr>
        <w:tabs>
          <w:tab w:val="left" w:pos="2268"/>
        </w:tabs>
        <w:spacing w:after="120"/>
        <w:ind w:left="2268" w:right="1134" w:hanging="1134"/>
        <w:jc w:val="both"/>
      </w:pPr>
      <w:r w:rsidRPr="00CA3533">
        <w:rPr>
          <w:iCs/>
        </w:rPr>
        <w:tab/>
      </w:r>
      <w:r w:rsidRPr="00C4378C">
        <w:rPr>
          <w:i/>
        </w:rPr>
        <w:t>K</w:t>
      </w:r>
      <w:r w:rsidRPr="00CA3533">
        <w:t xml:space="preserve"> </w:t>
      </w:r>
      <w:r w:rsidR="003503B3">
        <w:tab/>
      </w:r>
      <w:r w:rsidRPr="00CA3533">
        <w:t>doit avoir une valeur minimale de 4</w:t>
      </w:r>
      <w:r w:rsidR="00C4378C">
        <w:t> ;</w:t>
      </w:r>
    </w:p>
    <w:p w14:paraId="6911C05A" w14:textId="78EED72E" w:rsidR="00CA3533" w:rsidRPr="00CA3533" w:rsidRDefault="00CA3533" w:rsidP="00CA3533">
      <w:pPr>
        <w:tabs>
          <w:tab w:val="left" w:pos="2268"/>
        </w:tabs>
        <w:spacing w:after="120"/>
        <w:ind w:left="2835" w:right="1134" w:hanging="567"/>
        <w:jc w:val="both"/>
      </w:pPr>
      <w:r w:rsidRPr="00EB78EE">
        <w:rPr>
          <w:i/>
        </w:rPr>
        <w:t>S</w:t>
      </w:r>
      <w:r w:rsidRPr="00CA3533">
        <w:rPr>
          <w:iCs/>
        </w:rPr>
        <w:t xml:space="preserve"> </w:t>
      </w:r>
      <w:r w:rsidR="003503B3">
        <w:tab/>
        <w:t xml:space="preserve">est </w:t>
      </w:r>
      <w:r w:rsidRPr="00CA3533">
        <w:t xml:space="preserve">le coefficient de sécurité. Pour la conception générale, si les citernes sont signalées dans le tableau A du chapitre 3.2, colonne (12) par un code-citerne qui comporte la lettre "G" dans la deuxième partie (voir sous 4.3.4.1.1), la valeur de S doit être égale ou supérieure à 1,5. Pour les citernes destinées au transport de matières exigeant un niveau de sécurité plus élevé, c'est-à-dire si les citernes sont signalées dans le tableau A du chapitre 3.2 colonne (12) par un code-citerne qui comporte le chiffre "4" dans la deuxième partie (voir sous 4.3.4.1.1), on appliquera la valeur de </w:t>
      </w:r>
      <w:r w:rsidRPr="00CA3533">
        <w:rPr>
          <w:iCs/>
        </w:rPr>
        <w:t>S</w:t>
      </w:r>
      <w:r w:rsidRPr="00CA3533">
        <w:rPr>
          <w:i/>
        </w:rPr>
        <w:t xml:space="preserve"> </w:t>
      </w:r>
      <w:r w:rsidRPr="00CA3533">
        <w:t>multipliée par un coefficient deux, à moins que le réservoir ne dispose d'une protection sous la forme d'une armature métallique complète, y compris des membrures structurales longitudinales et transversales ;</w:t>
      </w:r>
    </w:p>
    <w:p w14:paraId="690D266B" w14:textId="59EADE61" w:rsidR="00CA3533" w:rsidRPr="00CA3533" w:rsidRDefault="003503B3" w:rsidP="00CA3533">
      <w:pPr>
        <w:tabs>
          <w:tab w:val="left" w:pos="2268"/>
        </w:tabs>
        <w:spacing w:after="120"/>
        <w:ind w:left="2835" w:right="1134" w:hanging="567"/>
        <w:jc w:val="both"/>
      </w:pPr>
      <w:r w:rsidRPr="002058F7">
        <w:rPr>
          <w:i/>
        </w:rPr>
        <w:t>K</w:t>
      </w:r>
      <w:r>
        <w:rPr>
          <w:iCs/>
          <w:vertAlign w:val="subscript"/>
        </w:rPr>
        <w:t>₀</w:t>
      </w:r>
      <w:r w:rsidR="00CA3533" w:rsidRPr="00CA3533">
        <w:rPr>
          <w:iCs/>
        </w:rPr>
        <w:t xml:space="preserve"> </w:t>
      </w:r>
      <w:r>
        <w:tab/>
        <w:t xml:space="preserve">est </w:t>
      </w:r>
      <w:r w:rsidR="00CA3533" w:rsidRPr="00CA3533">
        <w:t>le facteur de détérioration des propriétés du matériau dû au fluage et au vieillissement et résultant de l'action chimique des matières à transporter ; il est déterminé par la formule :</w:t>
      </w:r>
    </w:p>
    <w:p w14:paraId="4A451443" w14:textId="40B8E508" w:rsidR="00CA3533" w:rsidRPr="00CA3533" w:rsidRDefault="00D55C34" w:rsidP="003C1AF0">
      <w:pPr>
        <w:tabs>
          <w:tab w:val="left" w:pos="2268"/>
        </w:tabs>
        <w:spacing w:after="120"/>
        <w:ind w:left="2835" w:right="1134" w:hanging="567"/>
        <w:jc w:val="both"/>
      </w:pPr>
      <m:oMathPara>
        <m:oMath>
          <m:sSub>
            <m:sSubPr>
              <m:ctrlPr>
                <w:rPr>
                  <w:rFonts w:ascii="Cambria Math" w:eastAsia="SimSun" w:hAnsi="Cambria Math"/>
                  <w:i/>
                  <w:noProof/>
                </w:rPr>
              </m:ctrlPr>
            </m:sSubPr>
            <m:e>
              <m:r>
                <w:rPr>
                  <w:rFonts w:ascii="Cambria Math" w:eastAsia="SimSun" w:hAnsi="Cambria Math"/>
                  <w:noProof/>
                </w:rPr>
                <m:t>K</m:t>
              </m:r>
            </m:e>
            <m:sub>
              <m:r>
                <w:rPr>
                  <w:rFonts w:ascii="Cambria Math" w:eastAsia="SimSun" w:hAnsi="Cambria Math"/>
                  <w:noProof/>
                </w:rPr>
                <m:t>0</m:t>
              </m:r>
            </m:sub>
          </m:sSub>
          <m:r>
            <w:rPr>
              <w:rFonts w:ascii="Cambria Math" w:eastAsia="SimSun" w:hAnsi="Cambria Math"/>
              <w:noProof/>
            </w:rPr>
            <m:t>=</m:t>
          </m:r>
          <m:f>
            <m:fPr>
              <m:ctrlPr>
                <w:rPr>
                  <w:rFonts w:ascii="Cambria Math" w:eastAsia="SimSun" w:hAnsi="Cambria Math"/>
                  <w:i/>
                  <w:noProof/>
                </w:rPr>
              </m:ctrlPr>
            </m:fPr>
            <m:num>
              <m:r>
                <w:rPr>
                  <w:rFonts w:ascii="Cambria Math" w:eastAsia="SimSun" w:hAnsi="Cambria Math"/>
                  <w:noProof/>
                </w:rPr>
                <m:t>1</m:t>
              </m:r>
            </m:num>
            <m:den>
              <m:r>
                <w:rPr>
                  <w:rFonts w:ascii="Cambria Math" w:eastAsia="SimSun" w:hAnsi="Cambria Math"/>
                  <w:noProof/>
                </w:rPr>
                <m:t>αβ</m:t>
              </m:r>
            </m:den>
          </m:f>
          <m:r>
            <m:rPr>
              <m:sty m:val="p"/>
            </m:rPr>
            <w:rPr>
              <w:rFonts w:eastAsia="SimSun"/>
              <w:noProof/>
            </w:rPr>
            <w:br/>
          </m:r>
        </m:oMath>
      </m:oMathPara>
      <w:r w:rsidR="00CA3533" w:rsidRPr="00CA3533">
        <w:tab/>
        <w:t xml:space="preserve">où </w:t>
      </w:r>
      <w:r w:rsidR="00CA3533" w:rsidRPr="003C1AF0">
        <w:rPr>
          <w:rFonts w:ascii="Symbol" w:eastAsia="Symbol" w:hAnsi="Symbol" w:cs="Symbol"/>
          <w:i/>
        </w:rPr>
        <w:sym w:font="Symbol" w:char="F061"/>
      </w:r>
      <w:r w:rsidR="00CA3533" w:rsidRPr="00CA3533">
        <w:t xml:space="preserve"> est le facteur de fluage et </w:t>
      </w:r>
      <w:r w:rsidR="00CA3533" w:rsidRPr="003C1AF0">
        <w:rPr>
          <w:rFonts w:ascii="Symbol" w:eastAsia="Symbol" w:hAnsi="Symbol" w:cs="Symbol"/>
          <w:i/>
        </w:rPr>
        <w:sym w:font="Symbol" w:char="F062"/>
      </w:r>
      <w:r w:rsidR="00CA3533" w:rsidRPr="00CA3533">
        <w:rPr>
          <w:iCs/>
        </w:rPr>
        <w:t xml:space="preserve"> </w:t>
      </w:r>
      <w:r w:rsidR="00CA3533" w:rsidRPr="00CA3533">
        <w:t xml:space="preserve">est le facteur de vieillissement déterminé conformément aux dispositions respectives des 6.13.4.2.2 e) et f). On peut aussi utiliser la valeur prudente de </w:t>
      </w:r>
      <w:r w:rsidR="003C1AF0" w:rsidRPr="002058F7">
        <w:rPr>
          <w:i/>
        </w:rPr>
        <w:t>K</w:t>
      </w:r>
      <w:r w:rsidR="003C1AF0">
        <w:rPr>
          <w:iCs/>
          <w:vertAlign w:val="subscript"/>
        </w:rPr>
        <w:t>₀</w:t>
      </w:r>
      <w:r w:rsidR="00CA3533" w:rsidRPr="00CA3533">
        <w:rPr>
          <w:iCs/>
        </w:rPr>
        <w:t xml:space="preserve"> </w:t>
      </w:r>
      <w:r w:rsidR="00CA3533" w:rsidRPr="00CA3533">
        <w:t xml:space="preserve">= 2. </w:t>
      </w:r>
      <w:r w:rsidR="00CA3533" w:rsidRPr="00CA3533">
        <w:rPr>
          <w:rFonts w:eastAsiaTheme="minorHAnsi"/>
        </w:rPr>
        <w:t xml:space="preserve">Lorsqu’ils sont </w:t>
      </w:r>
      <w:r w:rsidR="00CA3533" w:rsidRPr="00CA3533">
        <w:rPr>
          <w:rFonts w:eastAsiaTheme="minorHAnsi"/>
        </w:rPr>
        <w:lastRenderedPageBreak/>
        <w:t xml:space="preserve">utilisés dans le calcul, les facteurs </w:t>
      </w:r>
      <w:r w:rsidR="00CA3533" w:rsidRPr="00A67B54">
        <w:rPr>
          <w:rFonts w:eastAsiaTheme="minorHAnsi"/>
          <w:i/>
          <w:iCs/>
        </w:rPr>
        <w:t>α</w:t>
      </w:r>
      <w:r w:rsidR="00CA3533" w:rsidRPr="00CA3533">
        <w:rPr>
          <w:rFonts w:eastAsiaTheme="minorHAnsi"/>
        </w:rPr>
        <w:t xml:space="preserve"> et </w:t>
      </w:r>
      <w:r w:rsidR="00CA3533" w:rsidRPr="00A67B54">
        <w:rPr>
          <w:rFonts w:eastAsiaTheme="minorHAnsi"/>
          <w:i/>
          <w:iCs/>
        </w:rPr>
        <w:t>β</w:t>
      </w:r>
      <w:r w:rsidR="00CA3533" w:rsidRPr="00CA3533">
        <w:rPr>
          <w:rFonts w:eastAsiaTheme="minorHAnsi"/>
        </w:rPr>
        <w:t xml:space="preserve"> doivent être compris entre 0 et 1 </w:t>
      </w:r>
      <w:r w:rsidR="00CA3533" w:rsidRPr="00CA3533">
        <w:rPr>
          <w:iCs/>
        </w:rPr>
        <w:t>;</w:t>
      </w:r>
    </w:p>
    <w:p w14:paraId="57271F43" w14:textId="3A703EB2" w:rsidR="00CA3533" w:rsidRPr="00CA3533" w:rsidRDefault="00A67B54" w:rsidP="00CA3533">
      <w:pPr>
        <w:tabs>
          <w:tab w:val="left" w:pos="2268"/>
        </w:tabs>
        <w:spacing w:after="120"/>
        <w:ind w:left="2835" w:right="1134" w:hanging="567"/>
        <w:jc w:val="both"/>
      </w:pPr>
      <w:r w:rsidRPr="002058F7">
        <w:rPr>
          <w:i/>
        </w:rPr>
        <w:t>K</w:t>
      </w:r>
      <w:r>
        <w:rPr>
          <w:iCs/>
          <w:vertAlign w:val="subscript"/>
        </w:rPr>
        <w:t>₁</w:t>
      </w:r>
      <w:r w:rsidR="00CA3533" w:rsidRPr="00CA3533">
        <w:rPr>
          <w:i/>
        </w:rPr>
        <w:t xml:space="preserve"> </w:t>
      </w:r>
      <w:r>
        <w:tab/>
        <w:t xml:space="preserve">est </w:t>
      </w:r>
      <w:r w:rsidR="00CA3533" w:rsidRPr="00CA3533">
        <w:t>un facteur lié à la température de service et aux propriétés thermiques de la résine ; il est déterminé par l'équation suivante avec une valeur minimum de 1 :</w:t>
      </w:r>
    </w:p>
    <w:p w14:paraId="12E72DC7" w14:textId="56667822" w:rsidR="00CA3533" w:rsidRPr="00CA3533" w:rsidRDefault="00A67B54" w:rsidP="00CA3533">
      <w:pPr>
        <w:tabs>
          <w:tab w:val="left" w:pos="720"/>
          <w:tab w:val="left" w:pos="1276"/>
          <w:tab w:val="left" w:pos="1440"/>
          <w:tab w:val="left" w:pos="1701"/>
          <w:tab w:val="left" w:pos="2160"/>
          <w:tab w:val="left" w:pos="2304"/>
          <w:tab w:val="left" w:pos="3600"/>
          <w:tab w:val="left" w:pos="4320"/>
          <w:tab w:val="left" w:pos="5040"/>
          <w:tab w:val="left" w:pos="5760"/>
          <w:tab w:val="left" w:pos="6361"/>
          <w:tab w:val="left" w:pos="6480"/>
          <w:tab w:val="left" w:pos="6939"/>
        </w:tabs>
        <w:spacing w:after="200"/>
        <w:ind w:left="3119" w:firstLine="567"/>
        <w:rPr>
          <w:iCs/>
        </w:rPr>
      </w:pPr>
      <w:r w:rsidRPr="002058F7">
        <w:rPr>
          <w:i/>
        </w:rPr>
        <w:t>K</w:t>
      </w:r>
      <w:r>
        <w:rPr>
          <w:iCs/>
          <w:vertAlign w:val="subscript"/>
        </w:rPr>
        <w:t>₁</w:t>
      </w:r>
      <w:r w:rsidR="00CA3533" w:rsidRPr="00CA3533">
        <w:rPr>
          <w:iCs/>
        </w:rPr>
        <w:t xml:space="preserve"> = 1,25 - 0,0125 (</w:t>
      </w:r>
      <w:r w:rsidR="00CA3533" w:rsidRPr="00A67B54">
        <w:rPr>
          <w:i/>
        </w:rPr>
        <w:t>HDT</w:t>
      </w:r>
      <w:r w:rsidR="00CA3533" w:rsidRPr="00CA3533">
        <w:rPr>
          <w:iCs/>
        </w:rPr>
        <w:t xml:space="preserve"> - 70)</w:t>
      </w:r>
    </w:p>
    <w:p w14:paraId="49D3D600" w14:textId="77777777" w:rsidR="00CA3533" w:rsidRPr="00CA3533" w:rsidRDefault="00CA3533" w:rsidP="00CA3533">
      <w:pPr>
        <w:tabs>
          <w:tab w:val="left" w:pos="2268"/>
        </w:tabs>
        <w:spacing w:after="120"/>
        <w:ind w:left="2835" w:right="1134" w:hanging="567"/>
        <w:jc w:val="both"/>
      </w:pPr>
      <w:r w:rsidRPr="00CA3533">
        <w:tab/>
        <w:t xml:space="preserve">où </w:t>
      </w:r>
      <w:r w:rsidRPr="00A67B54">
        <w:rPr>
          <w:i/>
        </w:rPr>
        <w:t>HDT</w:t>
      </w:r>
      <w:r w:rsidRPr="00CA3533">
        <w:t xml:space="preserve"> est la température de déformation thermique de la résine, en ºC ;</w:t>
      </w:r>
    </w:p>
    <w:p w14:paraId="5EC5AC5E" w14:textId="540EBC64" w:rsidR="00CA3533" w:rsidRPr="00CA3533" w:rsidRDefault="00EB54F1" w:rsidP="00CA3533">
      <w:pPr>
        <w:tabs>
          <w:tab w:val="left" w:pos="2268"/>
        </w:tabs>
        <w:spacing w:after="120"/>
        <w:ind w:left="2835" w:right="1134" w:hanging="567"/>
        <w:jc w:val="both"/>
      </w:pPr>
      <w:r w:rsidRPr="002058F7">
        <w:rPr>
          <w:i/>
        </w:rPr>
        <w:t>K</w:t>
      </w:r>
      <w:r>
        <w:rPr>
          <w:iCs/>
          <w:vertAlign w:val="subscript"/>
        </w:rPr>
        <w:t>₂</w:t>
      </w:r>
      <w:r w:rsidR="00CA3533" w:rsidRPr="00CA3533">
        <w:t xml:space="preserve"> </w:t>
      </w:r>
      <w:r w:rsidR="00CA3533" w:rsidRPr="00CA3533">
        <w:tab/>
      </w:r>
      <w:r>
        <w:t xml:space="preserve">est </w:t>
      </w:r>
      <w:r w:rsidR="00CA3533" w:rsidRPr="00CA3533">
        <w:t xml:space="preserve">un facteur lié à la fatigue du matériau ; la valeur de </w:t>
      </w:r>
      <w:r w:rsidRPr="002058F7">
        <w:rPr>
          <w:i/>
        </w:rPr>
        <w:t>K</w:t>
      </w:r>
      <w:r>
        <w:rPr>
          <w:iCs/>
          <w:vertAlign w:val="subscript"/>
        </w:rPr>
        <w:t>₂</w:t>
      </w:r>
      <w:r w:rsidR="00CA3533" w:rsidRPr="00CA3533">
        <w:rPr>
          <w:i/>
        </w:rPr>
        <w:t xml:space="preserve"> </w:t>
      </w:r>
      <w:r w:rsidR="00CA3533" w:rsidRPr="00CA3533">
        <w:t xml:space="preserve">= 1,75 sera utilisée à défaut d'autres valeurs agréées avec l'autorité compétente. Pour la conception dynamique exposée au 6.8.2.1.2, on utilisera la valeur de </w:t>
      </w:r>
      <w:r w:rsidRPr="002058F7">
        <w:rPr>
          <w:i/>
        </w:rPr>
        <w:t>K</w:t>
      </w:r>
      <w:r>
        <w:rPr>
          <w:iCs/>
          <w:vertAlign w:val="subscript"/>
        </w:rPr>
        <w:t>₂</w:t>
      </w:r>
      <w:r w:rsidR="00CA3533" w:rsidRPr="00CA3533">
        <w:rPr>
          <w:i/>
        </w:rPr>
        <w:t xml:space="preserve"> </w:t>
      </w:r>
      <w:r w:rsidR="00CA3533" w:rsidRPr="00CA3533">
        <w:t>= 1,1 ;</w:t>
      </w:r>
    </w:p>
    <w:p w14:paraId="60728157" w14:textId="09B3B0DC" w:rsidR="00CA3533" w:rsidRPr="00CA3533" w:rsidRDefault="008D4E4A" w:rsidP="00CA3533">
      <w:pPr>
        <w:tabs>
          <w:tab w:val="left" w:pos="2268"/>
        </w:tabs>
        <w:spacing w:after="120"/>
        <w:ind w:left="2835" w:right="1134" w:hanging="567"/>
        <w:jc w:val="both"/>
      </w:pPr>
      <w:r w:rsidRPr="002058F7">
        <w:rPr>
          <w:i/>
        </w:rPr>
        <w:t>K</w:t>
      </w:r>
      <w:r>
        <w:rPr>
          <w:iCs/>
          <w:vertAlign w:val="subscript"/>
        </w:rPr>
        <w:t>₃</w:t>
      </w:r>
      <w:r w:rsidR="00CA3533" w:rsidRPr="00CA3533">
        <w:t xml:space="preserve"> </w:t>
      </w:r>
      <w:r w:rsidR="00CA3533" w:rsidRPr="00CA3533">
        <w:tab/>
      </w:r>
      <w:r>
        <w:t xml:space="preserve">est </w:t>
      </w:r>
      <w:r w:rsidR="00CA3533" w:rsidRPr="00CA3533">
        <w:t>un facteur lié à la réticulation de la résine avec les valeurs suivantes :</w:t>
      </w:r>
    </w:p>
    <w:p w14:paraId="23D8D5BA" w14:textId="17B4406D" w:rsidR="00CA3533" w:rsidRPr="00CA3533" w:rsidRDefault="00CA3533" w:rsidP="00CA3533">
      <w:pPr>
        <w:tabs>
          <w:tab w:val="left" w:pos="2268"/>
        </w:tabs>
        <w:spacing w:after="120"/>
        <w:ind w:left="3402" w:right="1134" w:hanging="567"/>
        <w:jc w:val="both"/>
      </w:pPr>
      <w:r w:rsidRPr="00CA3533">
        <w:t xml:space="preserve">1,0 </w:t>
      </w:r>
      <w:r w:rsidR="00DD1443">
        <w:tab/>
      </w:r>
      <w:r w:rsidRPr="00CA3533">
        <w:t xml:space="preserve">quand la réticulation est obtenue conformément à un procédé agréé et documenté, </w:t>
      </w:r>
      <w:r w:rsidRPr="00CA3533">
        <w:rPr>
          <w:rFonts w:eastAsiaTheme="minorHAnsi"/>
          <w:spacing w:val="-1"/>
        </w:rPr>
        <w:t xml:space="preserve">et que le système de gestion de la qualité décrit au 6.9.2.2.2 comprend le contrôle du degré de réticulation de chaque citerne en PRF en utilisant une méthode de mesure directe, comme indiqué au </w:t>
      </w:r>
      <w:r w:rsidRPr="00CA3533">
        <w:rPr>
          <w:rFonts w:eastAsiaTheme="minorHAnsi"/>
          <w:bCs/>
          <w:spacing w:val="-1"/>
        </w:rPr>
        <w:t>6.13.4.2.2 h) i), telle que</w:t>
      </w:r>
      <w:r w:rsidRPr="00CA3533">
        <w:rPr>
          <w:rFonts w:eastAsiaTheme="minorHAnsi"/>
          <w:spacing w:val="-1"/>
        </w:rPr>
        <w:t xml:space="preserve"> l’analyse calorimétrique différentielle (ACD) selon la norme EN ISO 11357-2:2016 </w:t>
      </w:r>
      <w:r w:rsidRPr="00CA3533">
        <w:t>;</w:t>
      </w:r>
    </w:p>
    <w:p w14:paraId="508C025B" w14:textId="3CCF576C" w:rsidR="00CA3533" w:rsidRPr="00CA3533" w:rsidRDefault="00CA3533" w:rsidP="00CA3533">
      <w:pPr>
        <w:tabs>
          <w:tab w:val="left" w:pos="2268"/>
        </w:tabs>
        <w:spacing w:after="120"/>
        <w:ind w:left="3402" w:right="1134" w:hanging="567"/>
        <w:jc w:val="both"/>
        <w:rPr>
          <w:rFonts w:eastAsiaTheme="minorHAnsi"/>
          <w:bCs/>
          <w:spacing w:val="-1"/>
        </w:rPr>
      </w:pPr>
      <w:r w:rsidRPr="00CA3533">
        <w:rPr>
          <w:rFonts w:eastAsiaTheme="minorHAnsi"/>
          <w:bCs/>
          <w:spacing w:val="-1"/>
        </w:rPr>
        <w:t>1,1</w:t>
      </w:r>
      <w:r w:rsidR="00DD1443">
        <w:rPr>
          <w:rFonts w:eastAsiaTheme="minorHAnsi"/>
          <w:bCs/>
          <w:spacing w:val="-1"/>
        </w:rPr>
        <w:tab/>
      </w:r>
      <w:r w:rsidRPr="00CA3533">
        <w:rPr>
          <w:rFonts w:eastAsiaTheme="minorHAnsi"/>
          <w:bCs/>
          <w:spacing w:val="-1"/>
        </w:rPr>
        <w:t xml:space="preserve">quand le formage de la résine thermoplastique ou la réticulation de la résine thermodurcissable est obtenu conformément à un procédé agréé et documenté, et que le système de gestion de la qualité décrit au 6.13.1.2 comprend le contrôle, selon le cas, des caractéristiques de la résine thermoplastique formée ou du degré de réticulation de la résine thermodurcissable, pour chaque citerne en PRF, en utilisant une méthode de mesure indirecte comme indiqué au 6.13.4.2.2 h) ii), telle que le test de </w:t>
      </w:r>
      <w:proofErr w:type="spellStart"/>
      <w:r w:rsidRPr="00CA3533">
        <w:rPr>
          <w:rFonts w:eastAsiaTheme="minorHAnsi"/>
          <w:bCs/>
          <w:spacing w:val="-1"/>
        </w:rPr>
        <w:t>Barcol</w:t>
      </w:r>
      <w:proofErr w:type="spellEnd"/>
      <w:r w:rsidRPr="00CA3533">
        <w:rPr>
          <w:rFonts w:eastAsiaTheme="minorHAnsi"/>
          <w:bCs/>
          <w:spacing w:val="-1"/>
        </w:rPr>
        <w:t xml:space="preserve"> selon la norme ASTM D2583:2013-03 ou EN 59:2016, la HDT selon la norme EN ISО 75</w:t>
      </w:r>
      <w:r w:rsidRPr="00CA3533">
        <w:rPr>
          <w:rFonts w:eastAsiaTheme="minorHAnsi"/>
          <w:bCs/>
          <w:spacing w:val="-1"/>
        </w:rPr>
        <w:noBreakHyphen/>
        <w:t>1:2020, l’analyse thermomécanique selon la norme ISO 11359</w:t>
      </w:r>
      <w:r w:rsidRPr="00CA3533">
        <w:rPr>
          <w:rFonts w:eastAsiaTheme="minorHAnsi"/>
          <w:bCs/>
          <w:spacing w:val="-1"/>
        </w:rPr>
        <w:noBreakHyphen/>
        <w:t>1:2014, ou l’analyse thermomécanique dynamique selon la norme ISO 6721-11:2019 ;</w:t>
      </w:r>
    </w:p>
    <w:p w14:paraId="26434955" w14:textId="18532F12" w:rsidR="00CA3533" w:rsidRPr="00CA3533" w:rsidRDefault="00CA3533" w:rsidP="00CA3533">
      <w:pPr>
        <w:tabs>
          <w:tab w:val="left" w:pos="2268"/>
        </w:tabs>
        <w:spacing w:after="120"/>
        <w:ind w:left="3402" w:right="1134" w:hanging="567"/>
        <w:jc w:val="both"/>
      </w:pPr>
      <w:r w:rsidRPr="00CA3533">
        <w:t>1,5</w:t>
      </w:r>
      <w:r w:rsidR="00DD1443">
        <w:tab/>
      </w:r>
      <w:r w:rsidRPr="00CA3533">
        <w:t>dans les autres cas.</w:t>
      </w:r>
    </w:p>
    <w:p w14:paraId="7E610769" w14:textId="77777777" w:rsidR="00CA3533" w:rsidRPr="00CA3533" w:rsidRDefault="00CA3533" w:rsidP="00CA3533">
      <w:pPr>
        <w:tabs>
          <w:tab w:val="left" w:pos="2268"/>
        </w:tabs>
        <w:spacing w:after="120"/>
        <w:ind w:left="2268" w:right="1134" w:hanging="1134"/>
        <w:jc w:val="both"/>
        <w:rPr>
          <w:rFonts w:eastAsiaTheme="minorHAnsi"/>
        </w:rPr>
      </w:pPr>
      <w:r w:rsidRPr="00CA3533">
        <w:rPr>
          <w:rFonts w:eastAsiaTheme="minorHAnsi"/>
        </w:rPr>
        <w:tab/>
        <w:t xml:space="preserve">Un exercice de validation de la conception s’appuyant sur une analyse numérique et sur des critères pertinents de défaillance des composites doit être entrepris pour vérifier que les contraintes dans les plis du réservoir sont inférieures aux valeurs admissibles. Les critères pertinents de défaillance des composites comprennent, entre autres, les critères </w:t>
      </w:r>
      <w:proofErr w:type="spellStart"/>
      <w:r w:rsidRPr="00CA3533">
        <w:rPr>
          <w:rFonts w:eastAsiaTheme="minorHAnsi"/>
        </w:rPr>
        <w:t>Tsai</w:t>
      </w:r>
      <w:proofErr w:type="spellEnd"/>
      <w:r w:rsidRPr="00CA3533">
        <w:rPr>
          <w:rFonts w:eastAsiaTheme="minorHAnsi"/>
        </w:rPr>
        <w:t xml:space="preserve">-Wu, </w:t>
      </w:r>
      <w:proofErr w:type="spellStart"/>
      <w:r w:rsidRPr="00CA3533">
        <w:rPr>
          <w:rFonts w:eastAsiaTheme="minorHAnsi"/>
        </w:rPr>
        <w:t>Tsai</w:t>
      </w:r>
      <w:proofErr w:type="spellEnd"/>
      <w:r w:rsidRPr="00CA3533">
        <w:rPr>
          <w:rFonts w:eastAsiaTheme="minorHAnsi"/>
        </w:rPr>
        <w:t xml:space="preserve">-Hill, </w:t>
      </w:r>
      <w:proofErr w:type="spellStart"/>
      <w:r w:rsidRPr="00CA3533">
        <w:rPr>
          <w:rFonts w:eastAsiaTheme="minorHAnsi"/>
        </w:rPr>
        <w:t>Hashin</w:t>
      </w:r>
      <w:proofErr w:type="spellEnd"/>
      <w:r w:rsidRPr="00CA3533">
        <w:rPr>
          <w:rFonts w:eastAsiaTheme="minorHAnsi"/>
        </w:rPr>
        <w:t>, et Yamada-Sun, la méthode SIFT (</w:t>
      </w:r>
      <w:proofErr w:type="spellStart"/>
      <w:r w:rsidRPr="00CA3533">
        <w:rPr>
          <w:rFonts w:eastAsiaTheme="minorHAnsi"/>
        </w:rPr>
        <w:t>Strain</w:t>
      </w:r>
      <w:proofErr w:type="spellEnd"/>
      <w:r w:rsidRPr="00CA3533">
        <w:rPr>
          <w:rFonts w:eastAsiaTheme="minorHAnsi"/>
        </w:rPr>
        <w:t xml:space="preserve"> Invariant Failure Theory), le critère de déformation maximale ou le critère de contrainte maximale. D’autres critères de résistance sont autorisés, après accord avec l’autorité compétente. La méthode de cet exercice de validation de la conception et ses résultats doivent être communiqués à l’autorité compétente.</w:t>
      </w:r>
    </w:p>
    <w:p w14:paraId="6B663690" w14:textId="2B819740" w:rsidR="00CA3533" w:rsidRPr="00CA3533" w:rsidRDefault="00CA3533" w:rsidP="00CA3533">
      <w:pPr>
        <w:tabs>
          <w:tab w:val="left" w:pos="2268"/>
        </w:tabs>
        <w:spacing w:after="120"/>
        <w:ind w:left="2268" w:right="1134" w:hanging="1134"/>
        <w:jc w:val="both"/>
        <w:rPr>
          <w:rFonts w:eastAsiaTheme="minorHAnsi"/>
        </w:rPr>
      </w:pPr>
      <w:r w:rsidRPr="00CA3533">
        <w:rPr>
          <w:rFonts w:eastAsiaTheme="minorHAnsi"/>
        </w:rPr>
        <w:tab/>
        <w:t>Les valeurs admissibles doivent être déterminées sur la base d’expériences visant à établir les paramètres requis en fonction des critères de défaillance choisis, associés au facteur de sécurité </w:t>
      </w:r>
      <w:r w:rsidRPr="00626B25">
        <w:rPr>
          <w:rFonts w:eastAsiaTheme="minorHAnsi"/>
          <w:i/>
          <w:iCs/>
        </w:rPr>
        <w:t>K</w:t>
      </w:r>
      <w:r w:rsidRPr="00CA3533">
        <w:rPr>
          <w:rFonts w:eastAsiaTheme="minorHAnsi"/>
        </w:rPr>
        <w:t>, aux valeurs de résistance mesurées conformément au </w:t>
      </w:r>
      <w:r w:rsidRPr="00CA3533">
        <w:rPr>
          <w:rFonts w:eastAsiaTheme="minorHAnsi"/>
          <w:bCs/>
          <w:iCs/>
        </w:rPr>
        <w:t>6.13.</w:t>
      </w:r>
      <w:r w:rsidRPr="00CA3533">
        <w:rPr>
          <w:rFonts w:eastAsiaTheme="minorHAnsi"/>
          <w:bCs/>
        </w:rPr>
        <w:t>4.2.2 c)</w:t>
      </w:r>
      <w:r w:rsidRPr="00CA3533">
        <w:rPr>
          <w:rFonts w:eastAsiaTheme="minorHAnsi"/>
        </w:rPr>
        <w:t xml:space="preserve">, et aux critères de déformation maximale prescrits au 6.13.2.6. L’analyse des joints doit être effectuée en fonction des valeurs admissibles déterminées conformément au 6.13.2.9 et des valeurs de résistance mesurées conformément au </w:t>
      </w:r>
      <w:r w:rsidRPr="00CA3533">
        <w:rPr>
          <w:rFonts w:eastAsiaTheme="minorHAnsi"/>
          <w:bCs/>
          <w:iCs/>
        </w:rPr>
        <w:t>6.13.</w:t>
      </w:r>
      <w:r w:rsidRPr="00CA3533">
        <w:rPr>
          <w:rFonts w:eastAsiaTheme="minorHAnsi"/>
          <w:bCs/>
        </w:rPr>
        <w:t>4.2.2 g)</w:t>
      </w:r>
      <w:r w:rsidRPr="00CA3533">
        <w:rPr>
          <w:rFonts w:eastAsiaTheme="minorHAnsi"/>
        </w:rPr>
        <w:t>. Le flambage doit être examiné conformément au 6.9.2.3.6. La conception des ouvertures et des inclusions métalliques doit être examinée conformément au 6.13.2.10.</w:t>
      </w:r>
    </w:p>
    <w:p w14:paraId="4B48100C" w14:textId="77777777" w:rsidR="00CA3533" w:rsidRPr="00CA3533" w:rsidRDefault="00CA3533" w:rsidP="00CA3533">
      <w:pPr>
        <w:tabs>
          <w:tab w:val="left" w:pos="2268"/>
        </w:tabs>
        <w:spacing w:after="120"/>
        <w:ind w:left="2268" w:right="1134" w:hanging="1134"/>
        <w:jc w:val="both"/>
        <w:rPr>
          <w:rFonts w:eastAsiaTheme="minorHAnsi"/>
        </w:rPr>
      </w:pPr>
      <w:r w:rsidRPr="00CA3533">
        <w:lastRenderedPageBreak/>
        <w:t>6.</w:t>
      </w:r>
      <w:r w:rsidRPr="00CA3533">
        <w:rPr>
          <w:rFonts w:eastAsiaTheme="minorHAnsi"/>
          <w:bCs/>
          <w:iCs/>
        </w:rPr>
        <w:t>13</w:t>
      </w:r>
      <w:r w:rsidRPr="00CA3533">
        <w:t>.2.6</w:t>
      </w:r>
      <w:r w:rsidRPr="00CA3533">
        <w:tab/>
      </w:r>
      <w:r w:rsidRPr="00CA3533">
        <w:rPr>
          <w:rFonts w:eastAsiaTheme="minorHAnsi"/>
        </w:rPr>
        <w:t>Pour l’une quelconque des contraintes définies aux 6.8.2.1.1 et 6.13.2.5, l’allongement qui en résulte dans une direction quelconque ne doit pas dépasser la plus faible des deux valeurs suivantes : la valeur indiquée dans le tableau ci-après ou un dixième de l’allongement à la rupture de la résine déterminé selon la norme EN ISO 527-2:2012.</w:t>
      </w:r>
    </w:p>
    <w:p w14:paraId="269C7F31" w14:textId="77777777" w:rsidR="00CA3533" w:rsidRPr="00CA3533" w:rsidRDefault="00CA3533" w:rsidP="00CA3533">
      <w:pPr>
        <w:tabs>
          <w:tab w:val="left" w:pos="2268"/>
        </w:tabs>
        <w:spacing w:after="120"/>
        <w:ind w:left="2268" w:right="1134" w:hanging="1134"/>
        <w:jc w:val="both"/>
        <w:rPr>
          <w:rFonts w:eastAsiaTheme="minorHAnsi"/>
        </w:rPr>
      </w:pPr>
      <w:r w:rsidRPr="00CA3533">
        <w:rPr>
          <w:rFonts w:eastAsiaTheme="minorHAnsi"/>
        </w:rPr>
        <w:tab/>
        <w:t>Des exemples de limites connues sont donnés dans le tableau ci-dessous.</w:t>
      </w:r>
    </w:p>
    <w:tbl>
      <w:tblPr>
        <w:tblW w:w="651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05"/>
        <w:gridCol w:w="3405"/>
      </w:tblGrid>
      <w:tr w:rsidR="00CA3533" w:rsidRPr="00CA3533" w14:paraId="2F61FAEE" w14:textId="77777777" w:rsidTr="00D56820">
        <w:trPr>
          <w:tblHeader/>
        </w:trPr>
        <w:tc>
          <w:tcPr>
            <w:tcW w:w="3103" w:type="dxa"/>
            <w:tcBorders>
              <w:top w:val="single" w:sz="4" w:space="0" w:color="auto"/>
              <w:left w:val="single" w:sz="4" w:space="0" w:color="auto"/>
              <w:bottom w:val="single" w:sz="4" w:space="0" w:color="auto"/>
              <w:right w:val="single" w:sz="4" w:space="0" w:color="auto"/>
            </w:tcBorders>
            <w:vAlign w:val="bottom"/>
            <w:hideMark/>
          </w:tcPr>
          <w:p w14:paraId="5CC844AE" w14:textId="77777777" w:rsidR="00CA3533" w:rsidRPr="00CA3533" w:rsidRDefault="00CA3533" w:rsidP="00CA3533">
            <w:pPr>
              <w:spacing w:line="220" w:lineRule="exact"/>
              <w:ind w:left="57" w:right="567"/>
              <w:rPr>
                <w:rFonts w:eastAsiaTheme="minorHAnsi"/>
                <w:b/>
                <w:bCs/>
                <w:iCs/>
                <w:sz w:val="18"/>
                <w:szCs w:val="18"/>
              </w:rPr>
            </w:pPr>
            <w:r w:rsidRPr="00CA3533">
              <w:rPr>
                <w:rFonts w:eastAsiaTheme="minorHAnsi"/>
                <w:b/>
                <w:bCs/>
                <w:iCs/>
                <w:sz w:val="18"/>
                <w:szCs w:val="18"/>
              </w:rPr>
              <w:t>Type de résine</w:t>
            </w:r>
          </w:p>
        </w:tc>
        <w:tc>
          <w:tcPr>
            <w:tcW w:w="3402" w:type="dxa"/>
            <w:tcBorders>
              <w:top w:val="single" w:sz="4" w:space="0" w:color="auto"/>
              <w:left w:val="single" w:sz="4" w:space="0" w:color="auto"/>
              <w:bottom w:val="single" w:sz="4" w:space="0" w:color="auto"/>
              <w:right w:val="single" w:sz="4" w:space="0" w:color="auto"/>
            </w:tcBorders>
            <w:vAlign w:val="bottom"/>
            <w:hideMark/>
          </w:tcPr>
          <w:p w14:paraId="09FFA4CD" w14:textId="77777777" w:rsidR="00CA3533" w:rsidRPr="00CA3533" w:rsidRDefault="00CA3533" w:rsidP="00CA3533">
            <w:pPr>
              <w:spacing w:line="220" w:lineRule="exact"/>
              <w:ind w:left="57" w:right="284"/>
              <w:rPr>
                <w:rFonts w:eastAsiaTheme="minorHAnsi"/>
                <w:b/>
                <w:bCs/>
                <w:iCs/>
                <w:sz w:val="18"/>
                <w:szCs w:val="18"/>
              </w:rPr>
            </w:pPr>
            <w:r w:rsidRPr="00CA3533">
              <w:rPr>
                <w:rFonts w:eastAsiaTheme="minorHAnsi"/>
                <w:b/>
                <w:bCs/>
                <w:iCs/>
                <w:sz w:val="18"/>
                <w:szCs w:val="18"/>
              </w:rPr>
              <w:t>Déformation maximale en tension (%)</w:t>
            </w:r>
          </w:p>
        </w:tc>
      </w:tr>
      <w:tr w:rsidR="00CA3533" w:rsidRPr="00CA3533" w14:paraId="4F5D15C3" w14:textId="77777777" w:rsidTr="00D56820">
        <w:tc>
          <w:tcPr>
            <w:tcW w:w="3103" w:type="dxa"/>
            <w:tcBorders>
              <w:top w:val="single" w:sz="4" w:space="0" w:color="auto"/>
              <w:left w:val="single" w:sz="4" w:space="0" w:color="auto"/>
              <w:bottom w:val="single" w:sz="4" w:space="0" w:color="auto"/>
              <w:right w:val="single" w:sz="4" w:space="0" w:color="auto"/>
            </w:tcBorders>
            <w:hideMark/>
          </w:tcPr>
          <w:p w14:paraId="5CE4479D" w14:textId="77777777" w:rsidR="00CA3533" w:rsidRPr="00CA3533" w:rsidRDefault="00CA3533" w:rsidP="00CA3533">
            <w:pPr>
              <w:spacing w:line="220" w:lineRule="exact"/>
              <w:ind w:left="57" w:right="280"/>
              <w:rPr>
                <w:rFonts w:eastAsiaTheme="minorHAnsi"/>
                <w:sz w:val="18"/>
                <w:szCs w:val="18"/>
              </w:rPr>
            </w:pPr>
            <w:r w:rsidRPr="00CA3533">
              <w:rPr>
                <w:rFonts w:eastAsiaTheme="minorHAnsi"/>
                <w:sz w:val="18"/>
                <w:szCs w:val="18"/>
              </w:rPr>
              <w:t>Polyester non saturée ou phénolique</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3C9C32FE" w14:textId="77777777" w:rsidR="00CA3533" w:rsidRPr="00CA3533" w:rsidRDefault="00CA3533" w:rsidP="00CA3533">
            <w:pPr>
              <w:spacing w:line="220" w:lineRule="exact"/>
              <w:ind w:left="57" w:right="567"/>
              <w:rPr>
                <w:rFonts w:eastAsiaTheme="minorHAnsi"/>
                <w:sz w:val="18"/>
                <w:szCs w:val="18"/>
              </w:rPr>
            </w:pPr>
            <w:r w:rsidRPr="00CA3533">
              <w:rPr>
                <w:rFonts w:eastAsiaTheme="minorHAnsi"/>
                <w:sz w:val="18"/>
                <w:szCs w:val="18"/>
              </w:rPr>
              <w:t>0,2</w:t>
            </w:r>
          </w:p>
        </w:tc>
      </w:tr>
      <w:tr w:rsidR="00CA3533" w:rsidRPr="00CA3533" w14:paraId="532B2CA0" w14:textId="77777777" w:rsidTr="00D56820">
        <w:tc>
          <w:tcPr>
            <w:tcW w:w="3103" w:type="dxa"/>
            <w:tcBorders>
              <w:top w:val="single" w:sz="4" w:space="0" w:color="auto"/>
              <w:left w:val="single" w:sz="4" w:space="0" w:color="auto"/>
              <w:bottom w:val="single" w:sz="4" w:space="0" w:color="auto"/>
              <w:right w:val="single" w:sz="4" w:space="0" w:color="auto"/>
            </w:tcBorders>
            <w:hideMark/>
          </w:tcPr>
          <w:p w14:paraId="4118AB5D" w14:textId="77777777" w:rsidR="00CA3533" w:rsidRPr="00CA3533" w:rsidRDefault="00CA3533" w:rsidP="00CA3533">
            <w:pPr>
              <w:spacing w:line="220" w:lineRule="exact"/>
              <w:ind w:left="57" w:right="567"/>
              <w:rPr>
                <w:rFonts w:eastAsiaTheme="minorHAnsi"/>
                <w:sz w:val="18"/>
                <w:szCs w:val="18"/>
              </w:rPr>
            </w:pPr>
            <w:proofErr w:type="spellStart"/>
            <w:r w:rsidRPr="00CA3533">
              <w:rPr>
                <w:rFonts w:eastAsiaTheme="minorHAnsi"/>
                <w:sz w:val="18"/>
                <w:szCs w:val="18"/>
              </w:rPr>
              <w:t>Vinylester</w:t>
            </w:r>
            <w:proofErr w:type="spellEnd"/>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6A72DA3C" w14:textId="77777777" w:rsidR="00CA3533" w:rsidRPr="00CA3533" w:rsidRDefault="00CA3533" w:rsidP="00CA3533">
            <w:pPr>
              <w:spacing w:line="220" w:lineRule="exact"/>
              <w:ind w:left="57" w:right="567"/>
              <w:rPr>
                <w:rFonts w:eastAsiaTheme="minorHAnsi"/>
                <w:sz w:val="18"/>
                <w:szCs w:val="18"/>
              </w:rPr>
            </w:pPr>
            <w:r w:rsidRPr="00CA3533">
              <w:rPr>
                <w:rFonts w:eastAsiaTheme="minorHAnsi"/>
                <w:sz w:val="18"/>
                <w:szCs w:val="18"/>
              </w:rPr>
              <w:t>0,25</w:t>
            </w:r>
          </w:p>
        </w:tc>
      </w:tr>
      <w:tr w:rsidR="00CA3533" w:rsidRPr="00CA3533" w14:paraId="2F1B127A" w14:textId="77777777" w:rsidTr="00D56820">
        <w:tc>
          <w:tcPr>
            <w:tcW w:w="3103" w:type="dxa"/>
            <w:tcBorders>
              <w:top w:val="single" w:sz="4" w:space="0" w:color="auto"/>
              <w:left w:val="single" w:sz="4" w:space="0" w:color="auto"/>
              <w:bottom w:val="single" w:sz="4" w:space="0" w:color="auto"/>
              <w:right w:val="single" w:sz="4" w:space="0" w:color="auto"/>
            </w:tcBorders>
            <w:hideMark/>
          </w:tcPr>
          <w:p w14:paraId="3A5BE77E" w14:textId="77777777" w:rsidR="00CA3533" w:rsidRPr="00CA3533" w:rsidRDefault="00CA3533" w:rsidP="00CA3533">
            <w:pPr>
              <w:spacing w:line="220" w:lineRule="exact"/>
              <w:ind w:left="57" w:right="567"/>
              <w:rPr>
                <w:rFonts w:eastAsiaTheme="minorHAnsi"/>
                <w:sz w:val="18"/>
                <w:szCs w:val="18"/>
              </w:rPr>
            </w:pPr>
            <w:r w:rsidRPr="00CA3533">
              <w:rPr>
                <w:rFonts w:eastAsiaTheme="minorHAnsi"/>
                <w:sz w:val="18"/>
                <w:szCs w:val="18"/>
              </w:rPr>
              <w:t>Époxy</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2CC9FCB" w14:textId="77777777" w:rsidR="00CA3533" w:rsidRPr="00CA3533" w:rsidRDefault="00CA3533" w:rsidP="00CA3533">
            <w:pPr>
              <w:spacing w:line="220" w:lineRule="exact"/>
              <w:ind w:left="57" w:right="567"/>
              <w:rPr>
                <w:rFonts w:eastAsiaTheme="minorHAnsi"/>
                <w:sz w:val="18"/>
                <w:szCs w:val="18"/>
              </w:rPr>
            </w:pPr>
            <w:r w:rsidRPr="00CA3533">
              <w:rPr>
                <w:rFonts w:eastAsiaTheme="minorHAnsi"/>
                <w:sz w:val="18"/>
                <w:szCs w:val="18"/>
              </w:rPr>
              <w:t>0,3</w:t>
            </w:r>
          </w:p>
        </w:tc>
      </w:tr>
      <w:tr w:rsidR="00CA3533" w:rsidRPr="00CA3533" w14:paraId="1DAB5B30" w14:textId="77777777" w:rsidTr="00D56820">
        <w:tc>
          <w:tcPr>
            <w:tcW w:w="3103" w:type="dxa"/>
            <w:tcBorders>
              <w:top w:val="single" w:sz="4" w:space="0" w:color="auto"/>
              <w:left w:val="single" w:sz="4" w:space="0" w:color="auto"/>
              <w:bottom w:val="single" w:sz="4" w:space="0" w:color="auto"/>
              <w:right w:val="single" w:sz="4" w:space="0" w:color="auto"/>
            </w:tcBorders>
            <w:hideMark/>
          </w:tcPr>
          <w:p w14:paraId="3CA0A32B" w14:textId="77777777" w:rsidR="00CA3533" w:rsidRPr="00CA3533" w:rsidRDefault="00CA3533" w:rsidP="00CA3533">
            <w:pPr>
              <w:spacing w:line="220" w:lineRule="exact"/>
              <w:ind w:left="57" w:right="567"/>
              <w:rPr>
                <w:rFonts w:eastAsiaTheme="minorHAnsi"/>
                <w:sz w:val="18"/>
                <w:szCs w:val="18"/>
              </w:rPr>
            </w:pPr>
            <w:r w:rsidRPr="00CA3533">
              <w:rPr>
                <w:rFonts w:eastAsiaTheme="minorHAnsi"/>
                <w:sz w:val="18"/>
                <w:szCs w:val="18"/>
              </w:rPr>
              <w:t>Thermoplastique</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9A08215" w14:textId="72B57E6A" w:rsidR="00CA3533" w:rsidRPr="00CA3533" w:rsidRDefault="00CA3533" w:rsidP="00CA3533">
            <w:pPr>
              <w:spacing w:line="220" w:lineRule="exact"/>
              <w:ind w:left="57" w:right="567"/>
              <w:rPr>
                <w:rFonts w:eastAsiaTheme="minorHAnsi"/>
                <w:sz w:val="18"/>
                <w:szCs w:val="18"/>
              </w:rPr>
            </w:pPr>
            <w:r w:rsidRPr="00CA3533">
              <w:rPr>
                <w:rFonts w:eastAsiaTheme="minorHAnsi"/>
                <w:sz w:val="18"/>
                <w:szCs w:val="18"/>
              </w:rPr>
              <w:t>Voir 6.13.2.7</w:t>
            </w:r>
          </w:p>
        </w:tc>
      </w:tr>
    </w:tbl>
    <w:p w14:paraId="1B0346C4" w14:textId="04F87DFE" w:rsidR="00CA3533" w:rsidRPr="00CA3533" w:rsidRDefault="00CA3533" w:rsidP="00CA3533">
      <w:pPr>
        <w:tabs>
          <w:tab w:val="left" w:pos="2268"/>
        </w:tabs>
        <w:spacing w:before="120" w:after="120"/>
        <w:ind w:left="2268" w:right="1134" w:hanging="1134"/>
        <w:jc w:val="both"/>
      </w:pPr>
      <w:r w:rsidRPr="00CA3533">
        <w:t>6.</w:t>
      </w:r>
      <w:r w:rsidRPr="00CA3533">
        <w:rPr>
          <w:rFonts w:eastAsiaTheme="minorHAnsi"/>
          <w:bCs/>
          <w:iCs/>
        </w:rPr>
        <w:t>13</w:t>
      </w:r>
      <w:r w:rsidRPr="00CA3533">
        <w:t>.2.7</w:t>
      </w:r>
      <w:r w:rsidRPr="00CA3533">
        <w:tab/>
        <w:t>À la pression d'épreuve prescrite qui ne doit pas être inférieure à la pression de calcul selon les 6.8.2.1.14 a) et b), l’allongement maximal dans le réservoir ne doit pas être supérieur à l'allongement à la rupture de la résine.</w:t>
      </w:r>
    </w:p>
    <w:p w14:paraId="67BE8014" w14:textId="4C062FE5"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.2.8</w:t>
      </w:r>
      <w:r w:rsidRPr="00CA3533">
        <w:tab/>
        <w:t>Le réservoir doit pouvoir résister à l'épreuve de chute de bille, comme spécifié au 6.13.4.3.3, sans aucun dommage visible, interne ou externe.</w:t>
      </w:r>
      <w:r w:rsidRPr="00CA3533">
        <w:rPr>
          <w:strike/>
        </w:rPr>
        <w:t xml:space="preserve"> </w:t>
      </w:r>
    </w:p>
    <w:p w14:paraId="124465EC" w14:textId="24684DFE"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.2.9</w:t>
      </w:r>
      <w:r w:rsidRPr="00CA3533">
        <w:tab/>
        <w:t>Les liaisons adhésives et les éléments superposés dans les joints d'assemblage, y compris ceux des fonds et les joints entre le réservoir et les brise-flots et les cloisons doivent pouvoir résister aux contraintes statiques et dynamiques indiquées ci-dessus. Pour éviter une concentration de contraintes dans les éléments superposés, les pièces raccordées doivent être chanfreinées dans un rapport d'au plus 1/6.</w:t>
      </w:r>
    </w:p>
    <w:p w14:paraId="4E752D60" w14:textId="7E541A44" w:rsidR="00CA3533" w:rsidRPr="00CA3533" w:rsidRDefault="00CA3533" w:rsidP="002D4BE7">
      <w:pPr>
        <w:tabs>
          <w:tab w:val="left" w:pos="2268"/>
        </w:tabs>
        <w:spacing w:after="120"/>
        <w:ind w:left="2268" w:right="1134" w:hanging="1134"/>
        <w:jc w:val="both"/>
      </w:pPr>
      <w:r w:rsidRPr="00CA3533">
        <w:tab/>
      </w:r>
      <w:r w:rsidRPr="00CA3533">
        <w:tab/>
        <w:t xml:space="preserve">La résistance au cisaillement entre les éléments superposés et les composants de la citerne auxquels ils sont fixés ne doit pas être inférieure à </w:t>
      </w:r>
    </w:p>
    <w:p w14:paraId="005AA3CE" w14:textId="77777777" w:rsidR="00CA3533" w:rsidRPr="00CA3533" w:rsidRDefault="00CA3533" w:rsidP="00CA3533">
      <w:pPr>
        <w:tabs>
          <w:tab w:val="left" w:pos="283"/>
          <w:tab w:val="left" w:pos="720"/>
          <w:tab w:val="left" w:pos="1003"/>
          <w:tab w:val="left" w:pos="1276"/>
          <w:tab w:val="left" w:pos="1440"/>
          <w:tab w:val="left" w:pos="1701"/>
          <w:tab w:val="left" w:pos="2160"/>
          <w:tab w:val="left" w:pos="2664"/>
          <w:tab w:val="left" w:pos="3174"/>
          <w:tab w:val="left" w:pos="4320"/>
        </w:tabs>
        <w:spacing w:after="120"/>
        <w:ind w:left="1985" w:right="2267" w:hanging="567"/>
      </w:pPr>
      <m:oMathPara>
        <m:oMath>
          <m:r>
            <w:rPr>
              <w:rFonts w:ascii="Cambria Math" w:eastAsiaTheme="minorHAnsi" w:hAnsi="Cambria Math"/>
            </w:rPr>
            <m:t>τ</m:t>
          </m:r>
          <m:r>
            <m:rPr>
              <m:sty m:val="p"/>
            </m:rPr>
            <w:rPr>
              <w:rFonts w:ascii="Cambria Math" w:eastAsiaTheme="minorHAnsi" w:hAnsi="Cambria Math"/>
            </w:rPr>
            <m:t>=γ</m:t>
          </m:r>
          <m:f>
            <m:fPr>
              <m:ctrlPr>
                <w:rPr>
                  <w:rFonts w:ascii="Cambria Math" w:eastAsiaTheme="minorHAnsi" w:hAnsi="Cambria Math"/>
                </w:rPr>
              </m:ctrlPr>
            </m:fPr>
            <m:num>
              <m:r>
                <w:rPr>
                  <w:rFonts w:ascii="Cambria Math" w:eastAsiaTheme="minorHAnsi" w:hAnsi="Cambria Math"/>
                </w:rPr>
                <m:t>Q</m:t>
              </m:r>
            </m:num>
            <m:den>
              <m:r>
                <w:rPr>
                  <w:rFonts w:ascii="Cambria Math" w:eastAsiaTheme="minorHAnsi" w:hAnsi="Cambria Math"/>
                </w:rPr>
                <m:t>l</m:t>
              </m:r>
            </m:den>
          </m:f>
          <m:r>
            <m:rPr>
              <m:sty m:val="p"/>
            </m:rPr>
            <w:rPr>
              <w:rFonts w:ascii="Cambria Math" w:eastAsiaTheme="minorHAnsi" w:hAnsi="Cambria Math"/>
            </w:rPr>
            <m:t>≤</m:t>
          </m:r>
          <m:f>
            <m:fPr>
              <m:ctrlPr>
                <w:rPr>
                  <w:rFonts w:ascii="Cambria Math" w:eastAsiaTheme="minorHAnsi" w:hAnsi="Cambria Math"/>
                </w:rPr>
              </m:ctrlPr>
            </m:fPr>
            <m:num>
              <m:sSub>
                <m:sSubPr>
                  <m:ctrlPr>
                    <w:rPr>
                      <w:rFonts w:ascii="Cambria Math" w:eastAsiaTheme="minorHAnsi" w:hAnsi="Cambria Math"/>
                    </w:rPr>
                  </m:ctrlPr>
                </m:sSubPr>
                <m:e>
                  <m:r>
                    <w:rPr>
                      <w:rFonts w:ascii="Cambria Math" w:eastAsiaTheme="minorHAnsi" w:hAnsi="Cambria Math"/>
                    </w:rPr>
                    <m:t>τ</m:t>
                  </m:r>
                </m:e>
                <m:sub>
                  <m:r>
                    <w:rPr>
                      <w:rFonts w:ascii="Cambria Math" w:eastAsiaTheme="minorHAnsi" w:hAnsi="Cambria Math"/>
                    </w:rPr>
                    <m:t>R</m:t>
                  </m:r>
                </m:sub>
              </m:sSub>
            </m:num>
            <m:den>
              <m:r>
                <w:rPr>
                  <w:rFonts w:ascii="Cambria Math" w:eastAsiaTheme="minorHAnsi" w:hAnsi="Cambria Math"/>
                </w:rPr>
                <m:t>K</m:t>
              </m:r>
            </m:den>
          </m:f>
        </m:oMath>
      </m:oMathPara>
    </w:p>
    <w:p w14:paraId="304AC6D7" w14:textId="77777777" w:rsidR="00CA3533" w:rsidRPr="00CA3533" w:rsidRDefault="00CA3533" w:rsidP="00CA3533">
      <w:pPr>
        <w:tabs>
          <w:tab w:val="left" w:pos="2268"/>
        </w:tabs>
        <w:spacing w:after="120"/>
        <w:ind w:left="2268" w:right="1134" w:hanging="1134"/>
        <w:jc w:val="both"/>
      </w:pPr>
      <w:r w:rsidRPr="00CA3533">
        <w:tab/>
        <w:t>où :</w:t>
      </w:r>
    </w:p>
    <w:p w14:paraId="3FBAF801" w14:textId="7B80A320" w:rsidR="00CA3533" w:rsidRPr="00CA3533" w:rsidRDefault="00CA3533" w:rsidP="00CA3533">
      <w:pPr>
        <w:tabs>
          <w:tab w:val="left" w:pos="2268"/>
        </w:tabs>
        <w:spacing w:after="120"/>
        <w:ind w:left="2835" w:right="1134" w:hanging="567"/>
        <w:jc w:val="both"/>
      </w:pPr>
      <w:r w:rsidRPr="005F44BA">
        <w:rPr>
          <w:rFonts w:ascii="Symbol" w:eastAsia="Symbol" w:hAnsi="Symbol" w:cs="Symbol"/>
          <w:i/>
        </w:rPr>
        <w:sym w:font="Symbol" w:char="F074"/>
      </w:r>
      <w:r w:rsidRPr="005F44BA">
        <w:rPr>
          <w:bCs/>
          <w:i/>
          <w:vertAlign w:val="subscript"/>
        </w:rPr>
        <w:t>R</w:t>
      </w:r>
      <w:r w:rsidRPr="005F44BA">
        <w:rPr>
          <w:i/>
        </w:rPr>
        <w:t xml:space="preserve"> </w:t>
      </w:r>
      <w:r w:rsidRPr="00CA3533">
        <w:rPr>
          <w:iCs/>
        </w:rPr>
        <w:tab/>
      </w:r>
      <w:r w:rsidRPr="00CA3533">
        <w:tab/>
        <w:t xml:space="preserve">est la résistance </w:t>
      </w:r>
      <w:proofErr w:type="spellStart"/>
      <w:r w:rsidRPr="00CA3533">
        <w:rPr>
          <w:rFonts w:eastAsiaTheme="minorHAnsi"/>
        </w:rPr>
        <w:t>interlaminaire</w:t>
      </w:r>
      <w:proofErr w:type="spellEnd"/>
      <w:r w:rsidRPr="00CA3533">
        <w:rPr>
          <w:rFonts w:eastAsiaTheme="minorHAnsi"/>
        </w:rPr>
        <w:t xml:space="preserve"> au cisaillement conformément à la norme ISO 14130:1997 et Cor 1:2003</w:t>
      </w:r>
      <w:r w:rsidR="002D4BE7">
        <w:rPr>
          <w:rFonts w:eastAsiaTheme="minorHAnsi"/>
        </w:rPr>
        <w:t> </w:t>
      </w:r>
      <w:r w:rsidRPr="00CA3533">
        <w:t>;</w:t>
      </w:r>
    </w:p>
    <w:p w14:paraId="02C914AF" w14:textId="10FF0FB8" w:rsidR="00CA3533" w:rsidRPr="00CA3533" w:rsidRDefault="00CA3533" w:rsidP="00CA3533">
      <w:pPr>
        <w:tabs>
          <w:tab w:val="left" w:pos="2268"/>
        </w:tabs>
        <w:spacing w:after="120"/>
        <w:ind w:left="2835" w:right="1134" w:hanging="567"/>
        <w:jc w:val="both"/>
      </w:pPr>
      <w:r w:rsidRPr="005F44BA">
        <w:rPr>
          <w:i/>
        </w:rPr>
        <w:t>Q</w:t>
      </w:r>
      <w:r w:rsidRPr="00CA3533">
        <w:tab/>
      </w:r>
      <w:r w:rsidRPr="00CA3533">
        <w:tab/>
        <w:t>est la charge par longueur d'unité que le joint doit pouvoir supporter pour les charges statiques et dynamiques</w:t>
      </w:r>
      <w:r w:rsidR="002D4BE7">
        <w:t> </w:t>
      </w:r>
      <w:r w:rsidRPr="00CA3533">
        <w:t>;</w:t>
      </w:r>
    </w:p>
    <w:p w14:paraId="772B3AA3" w14:textId="240ABA85" w:rsidR="00CA3533" w:rsidRPr="00CA3533" w:rsidRDefault="00CA3533" w:rsidP="00CA3533">
      <w:pPr>
        <w:tabs>
          <w:tab w:val="left" w:pos="2268"/>
        </w:tabs>
        <w:spacing w:after="120"/>
        <w:ind w:left="2835" w:right="1134" w:hanging="567"/>
        <w:jc w:val="both"/>
      </w:pPr>
      <w:r w:rsidRPr="005F44BA">
        <w:rPr>
          <w:i/>
        </w:rPr>
        <w:t>K</w:t>
      </w:r>
      <w:r w:rsidRPr="00CA3533">
        <w:tab/>
      </w:r>
      <w:r w:rsidRPr="00CA3533">
        <w:tab/>
        <w:t>est le facteur calculé conformément au 6.</w:t>
      </w:r>
      <w:r w:rsidRPr="00CA3533">
        <w:rPr>
          <w:rFonts w:eastAsiaTheme="minorHAnsi"/>
          <w:bCs/>
          <w:iCs/>
        </w:rPr>
        <w:t>13</w:t>
      </w:r>
      <w:r w:rsidRPr="00CA3533">
        <w:t>.2.5 pour les contraintes statiques et dynamiques</w:t>
      </w:r>
      <w:r w:rsidR="002D4BE7">
        <w:t> </w:t>
      </w:r>
      <w:r w:rsidRPr="00CA3533">
        <w:t>;</w:t>
      </w:r>
    </w:p>
    <w:p w14:paraId="507580D8" w14:textId="4AA24E64" w:rsidR="00CA3533" w:rsidRPr="00CA3533" w:rsidRDefault="00CA3533" w:rsidP="00CA3533">
      <w:pPr>
        <w:tabs>
          <w:tab w:val="left" w:pos="2268"/>
        </w:tabs>
        <w:spacing w:after="120"/>
        <w:ind w:left="2835" w:right="1134" w:hanging="567"/>
        <w:jc w:val="both"/>
      </w:pPr>
      <w:r w:rsidRPr="005F44BA">
        <w:rPr>
          <w:i/>
        </w:rPr>
        <w:t>l</w:t>
      </w:r>
      <w:r w:rsidRPr="00CA3533">
        <w:tab/>
      </w:r>
      <w:r w:rsidRPr="00CA3533">
        <w:tab/>
        <w:t>est la longueur des éléments superposés</w:t>
      </w:r>
      <w:r w:rsidR="002D4BE7">
        <w:t> </w:t>
      </w:r>
      <w:r w:rsidRPr="00CA3533">
        <w:t>;</w:t>
      </w:r>
    </w:p>
    <w:p w14:paraId="46DCB22A" w14:textId="77777777" w:rsidR="00CA3533" w:rsidRPr="00CA3533" w:rsidRDefault="00CA3533" w:rsidP="00CA3533">
      <w:pPr>
        <w:tabs>
          <w:tab w:val="left" w:pos="2268"/>
        </w:tabs>
        <w:spacing w:after="120"/>
        <w:ind w:left="2835" w:right="1134" w:hanging="567"/>
        <w:jc w:val="both"/>
      </w:pPr>
      <w:r w:rsidRPr="005F44BA">
        <w:rPr>
          <w:rFonts w:eastAsiaTheme="minorHAnsi"/>
          <w:i/>
          <w:iCs/>
        </w:rPr>
        <w:t>γ</w:t>
      </w:r>
      <w:r w:rsidRPr="00CA3533">
        <w:rPr>
          <w:rFonts w:eastAsiaTheme="minorHAnsi"/>
        </w:rPr>
        <w:tab/>
      </w:r>
      <w:r w:rsidRPr="00CA3533">
        <w:rPr>
          <w:rFonts w:eastAsiaTheme="minorHAnsi"/>
        </w:rPr>
        <w:tab/>
        <w:t>est le facteur d’entaille rapportant la contrainte moyenne s’exerçant sur le joint à la contrainte maximale sur le joint au point d’initiation de la rupture</w:t>
      </w:r>
      <w:r w:rsidRPr="00CA3533">
        <w:t>.</w:t>
      </w:r>
    </w:p>
    <w:p w14:paraId="1BABCAFA" w14:textId="3BC36CF2"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.2.10</w:t>
      </w:r>
      <w:r w:rsidRPr="00CA3533">
        <w:tab/>
      </w:r>
      <w:r w:rsidRPr="00CA3533">
        <w:rPr>
          <w:rFonts w:eastAsiaTheme="minorHAnsi"/>
          <w:bCs/>
          <w:iCs/>
        </w:rPr>
        <w:t xml:space="preserve">L’utilisation de brides métalliques et de leurs fermetures est autorisée pour les réservoirs en PRF, conformément aux prescriptions relatives à la conception énoncées au 6.8.2. </w:t>
      </w:r>
      <w:r w:rsidRPr="00CA3533">
        <w:t>Les ouvertures dans le réservoir doivent être renforcées de façon à assurer les mêmes marges de sécurité contre les contraintes statiques et dynamiques spécifiées aux 6.</w:t>
      </w:r>
      <w:r w:rsidRPr="00CA3533">
        <w:rPr>
          <w:rFonts w:eastAsiaTheme="minorHAnsi"/>
          <w:bCs/>
          <w:iCs/>
        </w:rPr>
        <w:t>13</w:t>
      </w:r>
      <w:r w:rsidRPr="00CA3533">
        <w:t>.2.5 que celles spécifiées pour le réservoir lui-même. Il doit y avoir aussi peu d'ouvertures que possible. Le rapport des axes des ouvertures ovales ne doit pas être supérieur à 2.</w:t>
      </w:r>
    </w:p>
    <w:p w14:paraId="2896AADE" w14:textId="6ED377EC" w:rsidR="00CA3533" w:rsidRPr="00CA3533" w:rsidRDefault="00CA3533" w:rsidP="00CA3533">
      <w:pPr>
        <w:tabs>
          <w:tab w:val="left" w:pos="2268"/>
        </w:tabs>
        <w:spacing w:after="120"/>
        <w:ind w:left="2268" w:right="1134" w:hanging="1134"/>
        <w:jc w:val="both"/>
        <w:rPr>
          <w:rFonts w:eastAsiaTheme="minorHAnsi"/>
        </w:rPr>
      </w:pPr>
      <w:r w:rsidRPr="00CA3533">
        <w:rPr>
          <w:rFonts w:eastAsiaTheme="minorHAnsi"/>
          <w:bCs/>
          <w:iCs/>
        </w:rPr>
        <w:tab/>
      </w:r>
      <w:r w:rsidRPr="00CA3533">
        <w:rPr>
          <w:rFonts w:eastAsiaTheme="minorHAnsi"/>
        </w:rPr>
        <w:tab/>
        <w:t>Lorsque les brides ou les composants métalliques sont intégrés au réservoir en PRF par collage, la méthode de caractérisation énoncée au 6.13.2.9 doit alors s’appliquer au joint placé entre le métal et la matière PRF. Lorsque les brides ou les composants métalliques sont fixés d’une autre manière, par exemple au moyen d’éléments de fixation filetés, les dispositions pertinentes de la norme relative aux récipients à pression doivent alors s’appliquer.</w:t>
      </w:r>
    </w:p>
    <w:p w14:paraId="3725DC84" w14:textId="28155FB8" w:rsidR="00CA3533" w:rsidRPr="00CA3533" w:rsidRDefault="00CA3533" w:rsidP="00CA3533">
      <w:pPr>
        <w:tabs>
          <w:tab w:val="left" w:pos="2268"/>
        </w:tabs>
        <w:spacing w:after="120"/>
        <w:ind w:left="2268" w:right="1134" w:hanging="1134"/>
        <w:jc w:val="both"/>
      </w:pPr>
      <w:r w:rsidRPr="00CA3533">
        <w:lastRenderedPageBreak/>
        <w:t>6.</w:t>
      </w:r>
      <w:r w:rsidRPr="00CA3533">
        <w:rPr>
          <w:rFonts w:eastAsiaTheme="minorHAnsi"/>
          <w:bCs/>
          <w:iCs/>
        </w:rPr>
        <w:t>13</w:t>
      </w:r>
      <w:r w:rsidRPr="00CA3533">
        <w:t>.2.11</w:t>
      </w:r>
      <w:r w:rsidRPr="00CA3533">
        <w:tab/>
        <w:t>La conception des brides et des tuyauteries fixées au réservoir doit aussi tenir compte des forces de manutention et du serrage des boulons.</w:t>
      </w:r>
    </w:p>
    <w:p w14:paraId="428993F0" w14:textId="5705CC51" w:rsidR="00CA3533" w:rsidRPr="00CA3533" w:rsidRDefault="00CA3533" w:rsidP="00CA3533">
      <w:pPr>
        <w:tabs>
          <w:tab w:val="left" w:pos="2268"/>
        </w:tabs>
        <w:spacing w:after="120"/>
        <w:ind w:left="2268" w:right="1134" w:hanging="1134"/>
        <w:jc w:val="both"/>
        <w:rPr>
          <w:rFonts w:eastAsiaTheme="minorHAnsi"/>
        </w:rPr>
      </w:pPr>
      <w:r w:rsidRPr="00CA3533">
        <w:rPr>
          <w:rFonts w:eastAsiaTheme="minorHAnsi"/>
          <w:bCs/>
          <w:iCs/>
        </w:rPr>
        <w:t>6.13.2.12</w:t>
      </w:r>
      <w:r w:rsidRPr="00CA3533">
        <w:rPr>
          <w:rFonts w:eastAsiaTheme="minorHAnsi"/>
          <w:b/>
          <w:bCs/>
          <w:iCs/>
        </w:rPr>
        <w:tab/>
      </w:r>
      <w:r w:rsidRPr="00CA3533">
        <w:rPr>
          <w:rFonts w:eastAsiaTheme="minorHAnsi"/>
        </w:rPr>
        <w:t>La résistance du réservoir doit être calculée au moyen de la méthode des éléments finis en simulant les différentes couches du réservoir, les joints entre le réservoir en PRF, les attaches, les équipements de structure et les ouvertures.</w:t>
      </w:r>
    </w:p>
    <w:p w14:paraId="32FD2BD0" w14:textId="147C1B4A"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.2.13</w:t>
      </w:r>
      <w:r w:rsidRPr="00CA3533">
        <w:tab/>
        <w:t>La citerne doit être conçue pour résister, sans fuite conséquente, aux effets d'une immersion totale dans les flammes pendant 30 minutes comme stipulé dans les dispositions relatives aux épreuves du 6.</w:t>
      </w:r>
      <w:r w:rsidRPr="00CA3533">
        <w:rPr>
          <w:rFonts w:eastAsiaTheme="minorHAnsi"/>
          <w:bCs/>
          <w:iCs/>
        </w:rPr>
        <w:t>13</w:t>
      </w:r>
      <w:r w:rsidRPr="00CA3533">
        <w:t>.4.3.4. Il n'est pas nécessaire de procéder aux épreuves, avec l'accord de l'autorité compétente, lorsqu'une preuve suffisante peut être apportée par des épreuves avec des modèles de citernes comparables.</w:t>
      </w:r>
    </w:p>
    <w:p w14:paraId="3586AB4C" w14:textId="782FB3E1" w:rsidR="00CA3533" w:rsidRPr="00CA3533" w:rsidRDefault="00CA3533" w:rsidP="00CA3533">
      <w:pPr>
        <w:tabs>
          <w:tab w:val="left" w:pos="2268"/>
        </w:tabs>
        <w:spacing w:after="120"/>
        <w:ind w:left="2268" w:right="1134" w:hanging="1134"/>
        <w:jc w:val="both"/>
        <w:rPr>
          <w:b/>
        </w:rPr>
      </w:pPr>
      <w:r w:rsidRPr="00CA3533">
        <w:rPr>
          <w:b/>
        </w:rPr>
        <w:t>6.</w:t>
      </w:r>
      <w:r w:rsidRPr="00CA3533">
        <w:rPr>
          <w:rFonts w:eastAsiaTheme="minorHAnsi"/>
          <w:b/>
          <w:bCs/>
          <w:iCs/>
        </w:rPr>
        <w:t>13</w:t>
      </w:r>
      <w:r w:rsidRPr="00CA3533">
        <w:rPr>
          <w:b/>
        </w:rPr>
        <w:t>.2.14</w:t>
      </w:r>
      <w:r w:rsidRPr="00CA3533">
        <w:rPr>
          <w:b/>
        </w:rPr>
        <w:tab/>
      </w:r>
      <w:r w:rsidRPr="00CA3533">
        <w:rPr>
          <w:b/>
          <w:i/>
        </w:rPr>
        <w:t>Prescriptions particulières pour le transport de matières ayant un point d'éclair ne dépassant pas 60 °C</w:t>
      </w:r>
    </w:p>
    <w:p w14:paraId="0A664932" w14:textId="5914C250"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.2.14.1</w:t>
      </w:r>
      <w:r w:rsidRPr="00CA3533">
        <w:tab/>
        <w:t xml:space="preserve">Les citernes en PRF pour le transport de matières ayant un point d'éclair ne dépassant pas 60 °C doivent répondre aux prescriptions du 6.9.2.2.3.14. </w:t>
      </w:r>
    </w:p>
    <w:p w14:paraId="1112BAB0" w14:textId="0C6F4F68"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.2.14.2</w:t>
      </w:r>
      <w:r w:rsidRPr="00CA3533">
        <w:tab/>
        <w:t>La résistance électrique en surface et la résistance de déchargement doivent être mesurées une première fois sur toute citerne fabriquée ou sur un échantillon du réservoir selon une procédure reconnue par l'autorité compétente.</w:t>
      </w:r>
    </w:p>
    <w:p w14:paraId="1690BC45" w14:textId="2546022E"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.2.14.3</w:t>
      </w:r>
      <w:r w:rsidRPr="00CA3533">
        <w:tab/>
        <w:t>La résistance de déchargement à la terre doit être mesurée sur chaque citerne dans le cadre du contrôle périodique selon une procédure reconnue par l'autorité compétente.</w:t>
      </w:r>
    </w:p>
    <w:p w14:paraId="49935DBC" w14:textId="77777777" w:rsidR="00CA3533" w:rsidRPr="00CA3533" w:rsidRDefault="00CA3533" w:rsidP="00CA3533">
      <w:pPr>
        <w:tabs>
          <w:tab w:val="left" w:pos="2268"/>
        </w:tabs>
        <w:spacing w:after="120"/>
        <w:ind w:left="2268" w:right="1134" w:hanging="1134"/>
        <w:jc w:val="both"/>
        <w:rPr>
          <w:b/>
        </w:rPr>
      </w:pPr>
      <w:r w:rsidRPr="00CA3533">
        <w:rPr>
          <w:b/>
        </w:rPr>
        <w:t>6.</w:t>
      </w:r>
      <w:r w:rsidRPr="00CA3533">
        <w:rPr>
          <w:rFonts w:eastAsiaTheme="minorHAnsi"/>
          <w:b/>
          <w:bCs/>
          <w:iCs/>
        </w:rPr>
        <w:t>13</w:t>
      </w:r>
      <w:r w:rsidRPr="00CA3533">
        <w:rPr>
          <w:b/>
        </w:rPr>
        <w:t>.3</w:t>
      </w:r>
      <w:r w:rsidRPr="00CA3533">
        <w:rPr>
          <w:b/>
        </w:rPr>
        <w:tab/>
        <w:t>Équipements</w:t>
      </w:r>
    </w:p>
    <w:p w14:paraId="357FD7C1"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.3.1</w:t>
      </w:r>
      <w:r w:rsidRPr="00CA3533">
        <w:tab/>
        <w:t>Les prescriptions des 6.8.2.2.1, 6.8.2.2.2, 6.8.2.2.4 et 6.8.2.2.6 à 6.8.2.2.8 sont applicables.</w:t>
      </w:r>
    </w:p>
    <w:p w14:paraId="0484D485"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.3.2</w:t>
      </w:r>
      <w:r w:rsidRPr="00CA3533">
        <w:tab/>
        <w:t>En outre, lorsqu'elles sont indiquées en regard d'une rubrique dans la colonne (13) du tableau A du Chapitre 3.2, les dispositions spéciales du 6.8.4 b) (TE) sont aussi applicables.</w:t>
      </w:r>
    </w:p>
    <w:p w14:paraId="76D997C7" w14:textId="77777777" w:rsidR="00CA3533" w:rsidRPr="00CA3533" w:rsidRDefault="00CA3533" w:rsidP="00CA3533">
      <w:pPr>
        <w:tabs>
          <w:tab w:val="left" w:pos="2268"/>
        </w:tabs>
        <w:spacing w:after="120"/>
        <w:ind w:left="2268" w:right="1134" w:hanging="1134"/>
        <w:jc w:val="both"/>
        <w:rPr>
          <w:b/>
        </w:rPr>
      </w:pPr>
      <w:r w:rsidRPr="00CA3533">
        <w:rPr>
          <w:b/>
        </w:rPr>
        <w:t>6.</w:t>
      </w:r>
      <w:r w:rsidRPr="00CA3533">
        <w:rPr>
          <w:rFonts w:eastAsiaTheme="minorHAnsi"/>
          <w:b/>
          <w:bCs/>
          <w:iCs/>
        </w:rPr>
        <w:t>13</w:t>
      </w:r>
      <w:r w:rsidRPr="00CA3533">
        <w:rPr>
          <w:b/>
        </w:rPr>
        <w:t>.4</w:t>
      </w:r>
      <w:r w:rsidRPr="00CA3533">
        <w:rPr>
          <w:b/>
        </w:rPr>
        <w:tab/>
        <w:t>Épreuves et agrément du type</w:t>
      </w:r>
    </w:p>
    <w:p w14:paraId="14A0A69B"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.4.1</w:t>
      </w:r>
      <w:r w:rsidRPr="00CA3533">
        <w:tab/>
        <w:t>Pour tout modèle de citerne en PRF, les matériaux servant à sa construction et un prototype représentatif de la citerne doivent être soumis à des épreuves selon les indications ci-après.</w:t>
      </w:r>
    </w:p>
    <w:p w14:paraId="72243EC7" w14:textId="77777777" w:rsidR="00CA3533" w:rsidRPr="00CA3533" w:rsidRDefault="00CA3533" w:rsidP="00CA3533">
      <w:pPr>
        <w:tabs>
          <w:tab w:val="left" w:pos="2268"/>
        </w:tabs>
        <w:spacing w:after="120"/>
        <w:ind w:left="2268" w:right="1134" w:hanging="1134"/>
        <w:jc w:val="both"/>
        <w:rPr>
          <w:b/>
        </w:rPr>
      </w:pPr>
      <w:r w:rsidRPr="00CA3533">
        <w:rPr>
          <w:b/>
        </w:rPr>
        <w:t>6.</w:t>
      </w:r>
      <w:r w:rsidRPr="00CA3533">
        <w:rPr>
          <w:rFonts w:eastAsiaTheme="minorHAnsi"/>
          <w:b/>
          <w:bCs/>
          <w:iCs/>
        </w:rPr>
        <w:t>13</w:t>
      </w:r>
      <w:r w:rsidRPr="00CA3533">
        <w:rPr>
          <w:b/>
        </w:rPr>
        <w:t>.4.2</w:t>
      </w:r>
      <w:r w:rsidRPr="00CA3533">
        <w:rPr>
          <w:b/>
        </w:rPr>
        <w:tab/>
      </w:r>
      <w:r w:rsidRPr="00CA3533">
        <w:rPr>
          <w:b/>
          <w:i/>
        </w:rPr>
        <w:t>Essai des matériaux</w:t>
      </w:r>
    </w:p>
    <w:p w14:paraId="73895A84"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.4.2.1</w:t>
      </w:r>
      <w:r w:rsidRPr="00CA3533">
        <w:tab/>
        <w:t xml:space="preserve">Pour toute résine utilisée, il convient de déterminer l'allongement à la rupture selon la norme </w:t>
      </w:r>
      <w:r w:rsidRPr="00CA3533">
        <w:rPr>
          <w:bCs/>
        </w:rPr>
        <w:t xml:space="preserve">EN ISO 527-2:2012 </w:t>
      </w:r>
      <w:r w:rsidRPr="00CA3533">
        <w:t xml:space="preserve">et la température de déformation thermique selon la norme </w:t>
      </w:r>
      <w:r w:rsidRPr="00CA3533">
        <w:rPr>
          <w:bCs/>
        </w:rPr>
        <w:t>EN ISO 75-1:2020</w:t>
      </w:r>
      <w:r w:rsidRPr="00CA3533">
        <w:t>.</w:t>
      </w:r>
    </w:p>
    <w:p w14:paraId="77626E77"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.4.2.2</w:t>
      </w:r>
      <w:r w:rsidRPr="00CA3533">
        <w:tab/>
        <w:t>Les caractéristiques suivantes doivent être déterminées avec des échantillons découpés dans le réservoir. Des échantillons fabriqués parallèlement ne peuvent être utilisés que s'il n'est pas possible de découper des échantillons dans le réservoir. Tout revêtement doit être préalablement retiré.</w:t>
      </w:r>
    </w:p>
    <w:p w14:paraId="1634B675" w14:textId="77777777" w:rsidR="00CA3533" w:rsidRPr="00CA3533" w:rsidRDefault="00CA3533" w:rsidP="00CA3533">
      <w:pPr>
        <w:tabs>
          <w:tab w:val="left" w:pos="2268"/>
        </w:tabs>
        <w:spacing w:after="120"/>
        <w:ind w:left="2268" w:right="1134" w:hanging="1134"/>
        <w:jc w:val="both"/>
      </w:pPr>
      <w:r w:rsidRPr="00CA3533">
        <w:tab/>
        <w:t>Les essais doivent porter sur :</w:t>
      </w:r>
    </w:p>
    <w:p w14:paraId="7F485747" w14:textId="77777777" w:rsidR="00CA3533" w:rsidRPr="00CA3533" w:rsidRDefault="00CA3533" w:rsidP="00CA3533">
      <w:pPr>
        <w:tabs>
          <w:tab w:val="left" w:pos="2268"/>
        </w:tabs>
        <w:spacing w:after="120"/>
        <w:ind w:left="2835" w:right="1134" w:hanging="567"/>
        <w:jc w:val="both"/>
      </w:pPr>
      <w:r w:rsidRPr="00CA3533">
        <w:t>a)</w:t>
      </w:r>
      <w:r w:rsidRPr="00CA3533">
        <w:tab/>
        <w:t>l'épaisseur des couches de la paroi centrale du réservoir et des fonds ;</w:t>
      </w:r>
    </w:p>
    <w:p w14:paraId="15494884" w14:textId="77777777" w:rsidR="00CA3533" w:rsidRPr="00CA3533" w:rsidRDefault="00CA3533" w:rsidP="00CA3533">
      <w:pPr>
        <w:tabs>
          <w:tab w:val="left" w:pos="2268"/>
        </w:tabs>
        <w:spacing w:after="120"/>
        <w:ind w:left="2835" w:right="1134" w:hanging="567"/>
        <w:jc w:val="both"/>
      </w:pPr>
      <w:r w:rsidRPr="00CA3533">
        <w:t>b)</w:t>
      </w:r>
      <w:r w:rsidRPr="00CA3533">
        <w:tab/>
        <w:t>la teneur en masse, la composition du renfort composite selon la norme EN ISO 1172:1998 ou ISO 14127:2008 ainsi que l'orientation et la disposition des couches de renforcement ;</w:t>
      </w:r>
    </w:p>
    <w:p w14:paraId="376F9E09" w14:textId="77777777" w:rsidR="00CA3533" w:rsidRPr="00CA3533" w:rsidRDefault="00CA3533" w:rsidP="00CA3533">
      <w:pPr>
        <w:tabs>
          <w:tab w:val="left" w:pos="2268"/>
        </w:tabs>
        <w:spacing w:after="120"/>
        <w:ind w:left="2835" w:right="1134" w:hanging="567"/>
        <w:jc w:val="both"/>
      </w:pPr>
      <w:r w:rsidRPr="00CA3533">
        <w:t>c)</w:t>
      </w:r>
      <w:r w:rsidRPr="00CA3533">
        <w:tab/>
        <w:t xml:space="preserve">la résistance à la traction, l'allongement à la rupture et les modules d'élasticité selon la norme </w:t>
      </w:r>
      <w:r w:rsidRPr="00CA3533">
        <w:rPr>
          <w:bCs/>
        </w:rPr>
        <w:t>EN ISO 527-4:1997 ou EN ISO 527-5:2009</w:t>
      </w:r>
      <w:r w:rsidRPr="00CA3533">
        <w:t xml:space="preserve"> </w:t>
      </w:r>
      <w:r w:rsidRPr="00CA3533">
        <w:rPr>
          <w:rFonts w:eastAsiaTheme="minorHAnsi"/>
        </w:rPr>
        <w:t>pour les orientations longitudinale et circonférentielle du réservoir</w:t>
      </w:r>
      <w:r w:rsidRPr="00CA3533">
        <w:t xml:space="preserve">. </w:t>
      </w:r>
      <w:r w:rsidRPr="00CA3533">
        <w:rPr>
          <w:rFonts w:eastAsiaTheme="minorHAnsi"/>
        </w:rPr>
        <w:t xml:space="preserve">Pour les parties du réservoir en PRF, les essais doivent être effectués sur des laminés représentatifs, conformément aux normes EN </w:t>
      </w:r>
      <w:r w:rsidRPr="00CA3533">
        <w:rPr>
          <w:rFonts w:eastAsiaTheme="minorHAnsi"/>
        </w:rPr>
        <w:lastRenderedPageBreak/>
        <w:t>ISO 527</w:t>
      </w:r>
      <w:r w:rsidRPr="00CA3533">
        <w:rPr>
          <w:rFonts w:eastAsiaTheme="minorHAnsi"/>
        </w:rPr>
        <w:noBreakHyphen/>
        <w:t>4:1997 ou EN ISO 527-5:2009, afin de pouvoir évaluer la pertinence du facteur de sécurité (K). Au moins six éprouvettes doivent être utilisées par mesure de la résistance à la traction, la résistance à la traction à retenir étant la moyenne moins deux écarts types ;</w:t>
      </w:r>
    </w:p>
    <w:p w14:paraId="500E8DF2" w14:textId="77777777" w:rsidR="00CA3533" w:rsidRPr="00CA3533" w:rsidRDefault="00CA3533" w:rsidP="00CA3533">
      <w:pPr>
        <w:tabs>
          <w:tab w:val="left" w:pos="2268"/>
        </w:tabs>
        <w:spacing w:after="120"/>
        <w:ind w:left="2835" w:right="1134" w:hanging="567"/>
        <w:jc w:val="both"/>
      </w:pPr>
      <w:r w:rsidRPr="00CA3533">
        <w:t>d)</w:t>
      </w:r>
      <w:r w:rsidRPr="00CA3533">
        <w:tab/>
        <w:t xml:space="preserve">la résistance à la flexion et à la déformation établies par l'essai de fluage à la flexion selon la norme </w:t>
      </w:r>
      <w:r w:rsidRPr="00CA3533">
        <w:rPr>
          <w:bCs/>
          <w:lang w:eastAsia="de-DE"/>
        </w:rPr>
        <w:t>EN ISO 14125:1998 + AC:2002 + A1:2011</w:t>
      </w:r>
      <w:r w:rsidRPr="00CA3533">
        <w:t xml:space="preserve"> pendant 1 000 heures avec un échantillon d'au moins 50 mm de largeur et une distance entre les supports d'au moins 20 fois l'épaisseur de la paroi ;</w:t>
      </w:r>
    </w:p>
    <w:p w14:paraId="59684C1D" w14:textId="77777777" w:rsidR="00CA3533" w:rsidRPr="00CA3533" w:rsidRDefault="00CA3533" w:rsidP="00CA3533">
      <w:pPr>
        <w:tabs>
          <w:tab w:val="left" w:pos="2268"/>
        </w:tabs>
        <w:spacing w:after="120"/>
        <w:ind w:left="2835" w:right="1134" w:hanging="567"/>
        <w:jc w:val="both"/>
        <w:rPr>
          <w:rFonts w:eastAsiaTheme="minorHAnsi"/>
        </w:rPr>
      </w:pPr>
      <w:r w:rsidRPr="00CA3533">
        <w:rPr>
          <w:rFonts w:eastAsiaTheme="minorHAnsi"/>
        </w:rPr>
        <w:t>e)</w:t>
      </w:r>
      <w:r w:rsidRPr="00CA3533">
        <w:rPr>
          <w:rFonts w:eastAsiaTheme="minorHAnsi"/>
        </w:rPr>
        <w:tab/>
      </w:r>
      <w:r w:rsidRPr="00CA3533">
        <w:t xml:space="preserve">le facteur de fluage </w:t>
      </w:r>
      <w:r w:rsidRPr="00CA3533">
        <w:rPr>
          <w:rFonts w:ascii="Symbol" w:eastAsia="Symbol" w:hAnsi="Symbol" w:cs="Symbol"/>
          <w:iCs/>
        </w:rPr>
        <w:sym w:font="Symbol" w:char="F061"/>
      </w:r>
      <w:r w:rsidRPr="00CA3533">
        <w:t xml:space="preserve"> </w:t>
      </w:r>
      <w:r w:rsidRPr="00CA3533">
        <w:rPr>
          <w:rFonts w:eastAsiaTheme="minorHAnsi"/>
        </w:rPr>
        <w:t xml:space="preserve">déterminé en prenant le résultat moyen d’au moins deux éprouvettes de la configuration décrite en d), soumis au fluage dans un dispositif de flexion en trois points ou en quatre points à la température maximale de calcul prescrite au 6.13.2.1, </w:t>
      </w:r>
      <w:r w:rsidRPr="00CA3533">
        <w:rPr>
          <w:rFonts w:eastAsiaTheme="minorHAnsi"/>
          <w:lang w:eastAsia="ru-RU"/>
        </w:rPr>
        <w:t>pendant</w:t>
      </w:r>
      <w:r w:rsidRPr="00CA3533">
        <w:rPr>
          <w:rFonts w:eastAsiaTheme="minorHAnsi"/>
        </w:rPr>
        <w:t xml:space="preserve"> 1 000 heures. Chaque éprouvette doit être soumise à l’essai suivant :</w:t>
      </w:r>
    </w:p>
    <w:p w14:paraId="113CCE27" w14:textId="77777777" w:rsidR="00CA3533" w:rsidRPr="00CA3533" w:rsidRDefault="00CA3533" w:rsidP="00CA3533">
      <w:pPr>
        <w:tabs>
          <w:tab w:val="left" w:pos="2268"/>
        </w:tabs>
        <w:spacing w:after="120"/>
        <w:ind w:left="3402" w:right="1134" w:hanging="567"/>
        <w:jc w:val="both"/>
        <w:rPr>
          <w:rFonts w:eastAsiaTheme="minorHAnsi"/>
        </w:rPr>
      </w:pPr>
      <w:r w:rsidRPr="00CA3533">
        <w:rPr>
          <w:rFonts w:eastAsiaTheme="minorHAnsi"/>
        </w:rPr>
        <w:t>i)</w:t>
      </w:r>
      <w:r w:rsidRPr="00CA3533">
        <w:rPr>
          <w:rFonts w:eastAsiaTheme="minorHAnsi"/>
        </w:rPr>
        <w:tab/>
        <w:t xml:space="preserve">Placer l’éprouvette dans le dispositif de flexion, sans charge, dans un four réglé à la température </w:t>
      </w:r>
      <w:r w:rsidRPr="00CA3533">
        <w:rPr>
          <w:rFonts w:eastAsiaTheme="minorHAnsi"/>
          <w:lang w:eastAsia="ru-RU"/>
        </w:rPr>
        <w:t>maximale</w:t>
      </w:r>
      <w:r w:rsidRPr="00CA3533">
        <w:rPr>
          <w:rFonts w:eastAsiaTheme="minorHAnsi"/>
        </w:rPr>
        <w:t xml:space="preserve"> de calcul et la laisser s’acclimater pendant au moins 60 minutes ;</w:t>
      </w:r>
    </w:p>
    <w:p w14:paraId="64BD6AEF" w14:textId="77777777" w:rsidR="00CA3533" w:rsidRPr="00CA3533" w:rsidRDefault="00CA3533" w:rsidP="00CA3533">
      <w:pPr>
        <w:tabs>
          <w:tab w:val="left" w:pos="2268"/>
        </w:tabs>
        <w:spacing w:after="120"/>
        <w:ind w:left="3402" w:right="1134" w:hanging="567"/>
        <w:jc w:val="both"/>
        <w:rPr>
          <w:rFonts w:eastAsiaTheme="minorHAnsi"/>
        </w:rPr>
      </w:pPr>
      <w:r w:rsidRPr="00CA3533">
        <w:rPr>
          <w:rFonts w:eastAsiaTheme="minorHAnsi"/>
        </w:rPr>
        <w:t>ii)</w:t>
      </w:r>
      <w:r w:rsidRPr="00CA3533">
        <w:rPr>
          <w:rFonts w:eastAsiaTheme="minorHAnsi"/>
        </w:rPr>
        <w:tab/>
        <w:t xml:space="preserve">Ajouter une charge à l’éprouvette soumise à l’essai conformément à la norme EN ISO 14125:1998 </w:t>
      </w:r>
      <w:r w:rsidRPr="00CA3533">
        <w:rPr>
          <w:bCs/>
          <w:lang w:eastAsia="de-DE"/>
        </w:rPr>
        <w:t xml:space="preserve">+ AC:2002 </w:t>
      </w:r>
      <w:r w:rsidRPr="00CA3533">
        <w:rPr>
          <w:rFonts w:eastAsiaTheme="minorHAnsi"/>
        </w:rPr>
        <w:t>+ A1:2011, à une contrainte de flexion égale à la contrainte à la rupture déterminée en d) divisée par quatre. Maintenir la charge mécanique à la température maximale de calcul pendant au moins 1 000 heures sans interruption ;</w:t>
      </w:r>
    </w:p>
    <w:p w14:paraId="51BC3893" w14:textId="77777777" w:rsidR="00CA3533" w:rsidRPr="00CA3533" w:rsidRDefault="00CA3533" w:rsidP="00CA3533">
      <w:pPr>
        <w:tabs>
          <w:tab w:val="left" w:pos="2268"/>
        </w:tabs>
        <w:spacing w:after="120"/>
        <w:ind w:left="3402" w:right="1134" w:hanging="567"/>
        <w:jc w:val="both"/>
        <w:rPr>
          <w:rFonts w:eastAsiaTheme="minorHAnsi"/>
        </w:rPr>
      </w:pPr>
      <w:r w:rsidRPr="00CA3533">
        <w:rPr>
          <w:rFonts w:eastAsiaTheme="minorHAnsi"/>
        </w:rPr>
        <w:t>iii)</w:t>
      </w:r>
      <w:r w:rsidRPr="00CA3533">
        <w:rPr>
          <w:rFonts w:eastAsiaTheme="minorHAnsi"/>
        </w:rPr>
        <w:tab/>
        <w:t>Mesurer la déformation initiale six minutes après l’application de la pleine charge prescrite en e) ii). L’éprouvette doit rester sous charge dans l’appareillage d’essai ;</w:t>
      </w:r>
    </w:p>
    <w:p w14:paraId="3CD352DE" w14:textId="77777777" w:rsidR="00CA3533" w:rsidRPr="00CA3533" w:rsidRDefault="00CA3533" w:rsidP="00CA3533">
      <w:pPr>
        <w:tabs>
          <w:tab w:val="left" w:pos="2268"/>
        </w:tabs>
        <w:spacing w:after="120"/>
        <w:ind w:left="3402" w:right="1134" w:hanging="567"/>
        <w:jc w:val="both"/>
        <w:rPr>
          <w:rFonts w:eastAsiaTheme="minorHAnsi"/>
        </w:rPr>
      </w:pPr>
      <w:r w:rsidRPr="00CA3533">
        <w:rPr>
          <w:rFonts w:eastAsiaTheme="minorHAnsi"/>
        </w:rPr>
        <w:t>iv)</w:t>
      </w:r>
      <w:r w:rsidRPr="00CA3533">
        <w:rPr>
          <w:rFonts w:eastAsiaTheme="minorHAnsi"/>
        </w:rPr>
        <w:tab/>
        <w:t>Mesurer la déformation finale 1 000 heures après l’application de la pleine charge prescrite en e) ii) ; et</w:t>
      </w:r>
    </w:p>
    <w:p w14:paraId="121EE4F8" w14:textId="77777777" w:rsidR="00CA3533" w:rsidRPr="00CA3533" w:rsidRDefault="00CA3533" w:rsidP="00CA3533">
      <w:pPr>
        <w:tabs>
          <w:tab w:val="left" w:pos="2268"/>
        </w:tabs>
        <w:spacing w:after="120"/>
        <w:ind w:left="3402" w:right="1134" w:hanging="567"/>
        <w:jc w:val="both"/>
        <w:rPr>
          <w:rFonts w:eastAsiaTheme="minorHAnsi"/>
        </w:rPr>
      </w:pPr>
      <w:r w:rsidRPr="00CA3533">
        <w:rPr>
          <w:rFonts w:eastAsiaTheme="minorHAnsi"/>
        </w:rPr>
        <w:t>v)</w:t>
      </w:r>
      <w:r w:rsidRPr="00CA3533">
        <w:rPr>
          <w:rFonts w:eastAsiaTheme="minorHAnsi"/>
        </w:rPr>
        <w:tab/>
        <w:t>Calculer le facteur de fluage α en divisant la déformation initiale décrite en e) iii) par la déformation finale décrite en e) iv) ;</w:t>
      </w:r>
    </w:p>
    <w:p w14:paraId="4642BB29" w14:textId="77777777" w:rsidR="00CA3533" w:rsidRPr="00CA3533" w:rsidRDefault="00CA3533" w:rsidP="00CA3533">
      <w:pPr>
        <w:tabs>
          <w:tab w:val="left" w:pos="2268"/>
        </w:tabs>
        <w:spacing w:after="120"/>
        <w:ind w:left="2835" w:right="1134" w:hanging="567"/>
        <w:jc w:val="both"/>
        <w:rPr>
          <w:rFonts w:eastAsiaTheme="minorHAnsi"/>
        </w:rPr>
      </w:pPr>
      <w:r w:rsidRPr="00CA3533">
        <w:rPr>
          <w:rFonts w:eastAsiaTheme="minorHAnsi"/>
        </w:rPr>
        <w:t>f)</w:t>
      </w:r>
      <w:r w:rsidRPr="00CA3533">
        <w:rPr>
          <w:rFonts w:eastAsiaTheme="minorHAnsi"/>
        </w:rPr>
        <w:tab/>
      </w:r>
      <w:r w:rsidRPr="00CA3533">
        <w:t xml:space="preserve">le facteur de vieillissement </w:t>
      </w:r>
      <w:r w:rsidRPr="00CA3533">
        <w:rPr>
          <w:rFonts w:ascii="Symbol" w:eastAsia="Symbol" w:hAnsi="Symbol" w:cs="Symbol"/>
          <w:iCs/>
        </w:rPr>
        <w:sym w:font="Symbol" w:char="F062"/>
      </w:r>
      <w:r w:rsidRPr="00CA3533">
        <w:rPr>
          <w:rFonts w:eastAsiaTheme="minorHAnsi"/>
        </w:rPr>
        <w:t xml:space="preserve"> déterminé en prenant le résultat moyen d’au moins deux éprouvettes de la configuration décrite en d), soumises à une charge statique dans un dispositif de flexion en trois points ou en quatre points consécutivement à une immersion dans l’eau à la température maximale de calcul prescrite au 6.13.2.1 pendant 1 000 heures. Chaque éprouvette doit être soumise à l’essai suivant :</w:t>
      </w:r>
    </w:p>
    <w:p w14:paraId="0912EF29" w14:textId="77777777" w:rsidR="00CA3533" w:rsidRPr="00CA3533" w:rsidRDefault="00CA3533" w:rsidP="00CA3533">
      <w:pPr>
        <w:tabs>
          <w:tab w:val="left" w:pos="2268"/>
        </w:tabs>
        <w:spacing w:after="120"/>
        <w:ind w:left="3402" w:right="1134" w:hanging="567"/>
        <w:jc w:val="both"/>
        <w:rPr>
          <w:rFonts w:eastAsiaTheme="minorHAnsi"/>
        </w:rPr>
      </w:pPr>
      <w:r w:rsidRPr="00CA3533">
        <w:rPr>
          <w:rFonts w:eastAsiaTheme="minorHAnsi"/>
        </w:rPr>
        <w:t>i)</w:t>
      </w:r>
      <w:r w:rsidRPr="00CA3533">
        <w:rPr>
          <w:rFonts w:eastAsiaTheme="minorHAnsi"/>
        </w:rPr>
        <w:tab/>
        <w:t>Avant l’essai ou le conditionnement, les éprouvettes doivent être séchées dans un four à 80 °C pendant 24 heures ;</w:t>
      </w:r>
    </w:p>
    <w:p w14:paraId="366DB483" w14:textId="77777777" w:rsidR="00CA3533" w:rsidRPr="00CA3533" w:rsidRDefault="00CA3533" w:rsidP="00CA3533">
      <w:pPr>
        <w:tabs>
          <w:tab w:val="left" w:pos="2268"/>
        </w:tabs>
        <w:spacing w:after="120"/>
        <w:ind w:left="3402" w:right="1134" w:hanging="567"/>
        <w:jc w:val="both"/>
        <w:rPr>
          <w:rFonts w:eastAsiaTheme="minorHAnsi"/>
        </w:rPr>
      </w:pPr>
      <w:r w:rsidRPr="00CA3533">
        <w:rPr>
          <w:rFonts w:eastAsiaTheme="minorHAnsi"/>
        </w:rPr>
        <w:t>ii)</w:t>
      </w:r>
      <w:r w:rsidRPr="00CA3533">
        <w:rPr>
          <w:rFonts w:eastAsiaTheme="minorHAnsi"/>
        </w:rPr>
        <w:tab/>
        <w:t>L’éprouvette doit être soumise à une charge dans un dispositif de flexion en trois points ou en quatre points à température ambiante, conformément à la norme EN ISO 14125:1998 + AC:2002 + A1:2011, à une contrainte de flexion égale à la contrainte maximale déterminée en d) divisée par quatre. Mesurer la déformation initiale six minutes après l’application de la pleine charge. Retirer l’éprouvette de l’appareillage d’essai ;</w:t>
      </w:r>
    </w:p>
    <w:p w14:paraId="29B2DD68" w14:textId="77777777" w:rsidR="00CA3533" w:rsidRPr="00CA3533" w:rsidRDefault="00CA3533" w:rsidP="00CA3533">
      <w:pPr>
        <w:tabs>
          <w:tab w:val="left" w:pos="2268"/>
        </w:tabs>
        <w:spacing w:after="120"/>
        <w:ind w:left="3402" w:right="1134" w:hanging="567"/>
        <w:jc w:val="both"/>
        <w:rPr>
          <w:rFonts w:eastAsiaTheme="minorHAnsi"/>
        </w:rPr>
      </w:pPr>
      <w:r w:rsidRPr="00CA3533">
        <w:rPr>
          <w:rFonts w:eastAsiaTheme="minorHAnsi"/>
        </w:rPr>
        <w:t>iii)</w:t>
      </w:r>
      <w:r w:rsidRPr="00CA3533">
        <w:rPr>
          <w:rFonts w:eastAsiaTheme="minorHAnsi"/>
        </w:rPr>
        <w:tab/>
        <w:t>Immerger l’éprouvette sans charge dans l’eau à la température maximale de calcul pendant au moins 1 000 heures sans interruption. À l’issue de cette période de conditionnement, retirer les éprouvettes, les maintenir humides à température ambiante et achever la procédure décrite en f) iv) dans les trois jours ;</w:t>
      </w:r>
    </w:p>
    <w:p w14:paraId="4DE4B420" w14:textId="77777777" w:rsidR="00CA3533" w:rsidRPr="00CA3533" w:rsidRDefault="00CA3533" w:rsidP="00CA3533">
      <w:pPr>
        <w:tabs>
          <w:tab w:val="left" w:pos="2268"/>
        </w:tabs>
        <w:spacing w:after="120"/>
        <w:ind w:left="3402" w:right="1134" w:hanging="567"/>
        <w:jc w:val="both"/>
        <w:rPr>
          <w:rFonts w:eastAsiaTheme="minorHAnsi"/>
          <w:spacing w:val="-1"/>
        </w:rPr>
      </w:pPr>
      <w:r w:rsidRPr="00CA3533">
        <w:rPr>
          <w:rFonts w:eastAsiaTheme="minorHAnsi"/>
        </w:rPr>
        <w:lastRenderedPageBreak/>
        <w:t>iv)</w:t>
      </w:r>
      <w:r w:rsidRPr="00CA3533">
        <w:rPr>
          <w:rFonts w:eastAsiaTheme="minorHAnsi"/>
        </w:rPr>
        <w:tab/>
        <w:t>L’éprouvette doit être soumise à une deuxième série de charges statiques, dans les mêmes conditions qu’en f) ii). Mesurer la déformation finale six minutes après l’application de la pleine charge. Retirer l’éprouvette de l’appareillage d’essai </w:t>
      </w:r>
      <w:r w:rsidRPr="00CA3533">
        <w:rPr>
          <w:rFonts w:eastAsiaTheme="minorHAnsi"/>
          <w:spacing w:val="-1"/>
        </w:rPr>
        <w:t>;</w:t>
      </w:r>
    </w:p>
    <w:p w14:paraId="59DF0531" w14:textId="77777777" w:rsidR="00CA3533" w:rsidRPr="00CA3533" w:rsidRDefault="00CA3533" w:rsidP="00CA3533">
      <w:pPr>
        <w:tabs>
          <w:tab w:val="left" w:pos="2268"/>
        </w:tabs>
        <w:spacing w:after="120"/>
        <w:ind w:left="3402" w:right="1134" w:hanging="567"/>
        <w:jc w:val="both"/>
        <w:rPr>
          <w:rFonts w:eastAsiaTheme="minorHAnsi"/>
        </w:rPr>
      </w:pPr>
      <w:r w:rsidRPr="00CA3533">
        <w:rPr>
          <w:rFonts w:eastAsiaTheme="minorHAnsi"/>
        </w:rPr>
        <w:t>v)</w:t>
      </w:r>
      <w:r w:rsidRPr="00CA3533">
        <w:rPr>
          <w:rFonts w:eastAsiaTheme="minorHAnsi"/>
        </w:rPr>
        <w:tab/>
      </w:r>
      <w:r w:rsidRPr="00CA3533">
        <w:rPr>
          <w:rFonts w:eastAsiaTheme="minorHAnsi"/>
          <w:lang w:eastAsia="ru-RU"/>
        </w:rPr>
        <w:t>Calculer</w:t>
      </w:r>
      <w:r w:rsidRPr="00CA3533">
        <w:rPr>
          <w:rFonts w:eastAsiaTheme="minorHAnsi"/>
        </w:rPr>
        <w:t xml:space="preserve"> le facteur de vieillissement β en divisant la déformation initiale décrite en f) ii) par la déformation finale décrite en f) iv) ;</w:t>
      </w:r>
    </w:p>
    <w:p w14:paraId="5BD71346" w14:textId="46A817CA" w:rsidR="00CA3533" w:rsidRPr="00CA3533" w:rsidRDefault="00CA3533" w:rsidP="00CA3533">
      <w:pPr>
        <w:tabs>
          <w:tab w:val="left" w:pos="2268"/>
        </w:tabs>
        <w:spacing w:after="120"/>
        <w:ind w:left="2835" w:right="1134" w:hanging="567"/>
        <w:jc w:val="both"/>
      </w:pPr>
      <w:r w:rsidRPr="00CA3533">
        <w:rPr>
          <w:rFonts w:eastAsiaTheme="minorHAnsi"/>
        </w:rPr>
        <w:t>g)</w:t>
      </w:r>
      <w:r w:rsidRPr="00CA3533">
        <w:rPr>
          <w:rFonts w:eastAsiaTheme="minorHAnsi"/>
        </w:rPr>
        <w:tab/>
        <w:t>l</w:t>
      </w:r>
      <w:r w:rsidRPr="00CA3533">
        <w:t>a résistance au cisaillement entre les couches mesurée en soumettant des échantillons représentatifs à essai selon la norme EN ISO 14130:1997 </w:t>
      </w:r>
      <w:r w:rsidRPr="00CA3533">
        <w:rPr>
          <w:rFonts w:eastAsiaTheme="minorHAnsi"/>
        </w:rPr>
        <w:t>;</w:t>
      </w:r>
    </w:p>
    <w:p w14:paraId="650B428A" w14:textId="10BEEA00" w:rsidR="00CA3533" w:rsidRPr="00CA3533" w:rsidRDefault="00CA3533" w:rsidP="00CA3533">
      <w:pPr>
        <w:tabs>
          <w:tab w:val="left" w:pos="2268"/>
        </w:tabs>
        <w:spacing w:after="120"/>
        <w:ind w:left="2835" w:right="1134" w:hanging="567"/>
        <w:jc w:val="both"/>
        <w:rPr>
          <w:rFonts w:eastAsiaTheme="minorHAnsi"/>
        </w:rPr>
      </w:pPr>
      <w:r w:rsidRPr="00CA3533">
        <w:rPr>
          <w:rFonts w:eastAsiaTheme="minorHAnsi"/>
        </w:rPr>
        <w:t>h)</w:t>
      </w:r>
      <w:r w:rsidRPr="00CA3533">
        <w:rPr>
          <w:rFonts w:eastAsiaTheme="minorHAnsi"/>
        </w:rPr>
        <w:tab/>
      </w:r>
      <w:r w:rsidRPr="00CA3533">
        <w:rPr>
          <w:rFonts w:eastAsiaTheme="minorHAnsi"/>
          <w:lang w:eastAsia="ru-RU"/>
        </w:rPr>
        <w:t>l’efficacité,</w:t>
      </w:r>
      <w:r w:rsidRPr="00CA3533">
        <w:rPr>
          <w:rFonts w:eastAsiaTheme="minorHAnsi"/>
        </w:rPr>
        <w:t xml:space="preserve"> </w:t>
      </w:r>
      <w:r w:rsidRPr="00CA3533">
        <w:rPr>
          <w:rFonts w:eastAsiaTheme="minorHAnsi"/>
          <w:lang w:eastAsia="ru-RU"/>
        </w:rPr>
        <w:t xml:space="preserve">selon le cas, </w:t>
      </w:r>
      <w:r w:rsidRPr="00CA3533">
        <w:rPr>
          <w:rFonts w:eastAsiaTheme="minorHAnsi"/>
        </w:rPr>
        <w:t xml:space="preserve">des procédés </w:t>
      </w:r>
      <w:r w:rsidRPr="00CA3533">
        <w:rPr>
          <w:rFonts w:eastAsiaTheme="minorHAnsi"/>
          <w:lang w:eastAsia="ru-RU"/>
        </w:rPr>
        <w:t xml:space="preserve">de formage de la résine thermoplastique ou </w:t>
      </w:r>
      <w:r w:rsidRPr="00CA3533">
        <w:rPr>
          <w:rFonts w:eastAsiaTheme="minorHAnsi"/>
        </w:rPr>
        <w:t xml:space="preserve">de réticulation et de post-cuisson </w:t>
      </w:r>
      <w:r w:rsidRPr="00CA3533">
        <w:rPr>
          <w:rFonts w:eastAsiaTheme="minorHAnsi"/>
          <w:lang w:eastAsia="ru-RU"/>
        </w:rPr>
        <w:t>de la résine thermodurcissable</w:t>
      </w:r>
      <w:r w:rsidRPr="00CA3533">
        <w:rPr>
          <w:rFonts w:eastAsiaTheme="minorHAnsi"/>
        </w:rPr>
        <w:t xml:space="preserve"> des laminés déterminée au moyen d’une ou plusieurs des méthodes suivantes :</w:t>
      </w:r>
    </w:p>
    <w:p w14:paraId="7C04875D" w14:textId="37ABE289" w:rsidR="00CA3533" w:rsidRPr="00CA3533" w:rsidRDefault="00CA3533" w:rsidP="00CA3533">
      <w:pPr>
        <w:tabs>
          <w:tab w:val="left" w:pos="2268"/>
        </w:tabs>
        <w:spacing w:after="120"/>
        <w:ind w:left="3402" w:right="1134" w:hanging="567"/>
        <w:jc w:val="both"/>
        <w:rPr>
          <w:rFonts w:eastAsiaTheme="minorHAnsi"/>
        </w:rPr>
      </w:pPr>
      <w:r w:rsidRPr="00CA3533">
        <w:rPr>
          <w:rFonts w:eastAsiaTheme="minorHAnsi"/>
        </w:rPr>
        <w:t>i)</w:t>
      </w:r>
      <w:r w:rsidRPr="00CA3533">
        <w:rPr>
          <w:rFonts w:eastAsiaTheme="minorHAnsi"/>
        </w:rPr>
        <w:tab/>
        <w:t xml:space="preserve">Mesure directe, </w:t>
      </w:r>
      <w:r w:rsidRPr="00CA3533">
        <w:rPr>
          <w:rFonts w:eastAsiaTheme="minorHAnsi"/>
          <w:lang w:eastAsia="ru-RU"/>
        </w:rPr>
        <w:t xml:space="preserve">selon le cas, des caractéristiques de la résine thermoplastique formée ou </w:t>
      </w:r>
      <w:r w:rsidRPr="00CA3533">
        <w:rPr>
          <w:rFonts w:eastAsiaTheme="minorHAnsi"/>
        </w:rPr>
        <w:t>du degré de réticulation</w:t>
      </w:r>
      <w:r w:rsidRPr="00CA3533">
        <w:rPr>
          <w:rFonts w:eastAsiaTheme="minorHAnsi"/>
          <w:lang w:eastAsia="ru-RU"/>
        </w:rPr>
        <w:t xml:space="preserve"> de la résine thermodurcissable</w:t>
      </w:r>
      <w:r w:rsidRPr="00CA3533">
        <w:rPr>
          <w:rFonts w:eastAsiaTheme="minorHAnsi"/>
        </w:rPr>
        <w:t xml:space="preserve"> : température de transition </w:t>
      </w:r>
      <w:r w:rsidRPr="00CA3533">
        <w:rPr>
          <w:rFonts w:eastAsiaTheme="minorHAnsi"/>
          <w:lang w:eastAsia="ru-RU"/>
        </w:rPr>
        <w:t>vitreuse</w:t>
      </w:r>
      <w:r w:rsidRPr="00CA3533">
        <w:rPr>
          <w:rFonts w:eastAsiaTheme="minorHAnsi"/>
        </w:rPr>
        <w:t xml:space="preserve"> (</w:t>
      </w:r>
      <w:r w:rsidR="00E84C1F">
        <w:rPr>
          <w:rFonts w:eastAsiaTheme="minorHAnsi"/>
        </w:rPr>
        <w:t>T</w:t>
      </w:r>
      <w:r w:rsidR="00E84C1F" w:rsidRPr="00E84C1F">
        <w:rPr>
          <w:rFonts w:eastAsiaTheme="minorHAnsi"/>
          <w:vertAlign w:val="subscript"/>
        </w:rPr>
        <w:t>g</w:t>
      </w:r>
      <w:r w:rsidRPr="00CA3533">
        <w:rPr>
          <w:rFonts w:eastAsiaTheme="minorHAnsi"/>
        </w:rPr>
        <w:t>) ou température de fusion (T</w:t>
      </w:r>
      <w:r w:rsidRPr="00CA3533">
        <w:rPr>
          <w:rFonts w:eastAsiaTheme="minorHAnsi"/>
          <w:vertAlign w:val="subscript"/>
        </w:rPr>
        <w:t>m</w:t>
      </w:r>
      <w:r w:rsidRPr="00CA3533">
        <w:rPr>
          <w:rFonts w:eastAsiaTheme="minorHAnsi"/>
        </w:rPr>
        <w:t xml:space="preserve">) </w:t>
      </w:r>
      <w:r w:rsidRPr="00CA3533">
        <w:rPr>
          <w:rFonts w:eastAsiaTheme="minorHAnsi"/>
          <w:lang w:eastAsia="ru-RU"/>
        </w:rPr>
        <w:t>déterminée</w:t>
      </w:r>
      <w:r w:rsidRPr="00CA3533">
        <w:rPr>
          <w:rFonts w:eastAsiaTheme="minorHAnsi"/>
        </w:rPr>
        <w:t xml:space="preserve"> au moyen de l’analyse calorimétrique différentielle (ACD) selon la norme EN ISO 11357</w:t>
      </w:r>
      <w:r w:rsidRPr="00CA3533">
        <w:rPr>
          <w:rFonts w:eastAsiaTheme="minorHAnsi"/>
        </w:rPr>
        <w:noBreakHyphen/>
        <w:t>2:2020 ;</w:t>
      </w:r>
    </w:p>
    <w:p w14:paraId="54C9F5D1" w14:textId="77777777" w:rsidR="00CA3533" w:rsidRPr="00CA3533" w:rsidRDefault="00CA3533" w:rsidP="00CA3533">
      <w:pPr>
        <w:tabs>
          <w:tab w:val="left" w:pos="2268"/>
        </w:tabs>
        <w:spacing w:after="120"/>
        <w:ind w:left="3402" w:right="1134" w:hanging="567"/>
        <w:jc w:val="both"/>
        <w:rPr>
          <w:rFonts w:eastAsiaTheme="minorHAnsi"/>
        </w:rPr>
      </w:pPr>
      <w:r w:rsidRPr="00CA3533">
        <w:rPr>
          <w:rFonts w:eastAsiaTheme="minorHAnsi"/>
        </w:rPr>
        <w:t>ii)</w:t>
      </w:r>
      <w:r w:rsidRPr="00CA3533">
        <w:rPr>
          <w:rFonts w:eastAsiaTheme="minorHAnsi"/>
        </w:rPr>
        <w:tab/>
      </w:r>
      <w:r w:rsidRPr="00CA3533">
        <w:rPr>
          <w:rFonts w:eastAsiaTheme="minorHAnsi"/>
          <w:lang w:eastAsia="ru-RU"/>
        </w:rPr>
        <w:t>Mesure</w:t>
      </w:r>
      <w:r w:rsidRPr="00CA3533">
        <w:rPr>
          <w:rFonts w:eastAsiaTheme="minorHAnsi"/>
        </w:rPr>
        <w:t xml:space="preserve"> indirecte </w:t>
      </w:r>
      <w:r w:rsidRPr="00CA3533">
        <w:rPr>
          <w:rFonts w:eastAsiaTheme="minorHAnsi"/>
          <w:lang w:eastAsia="ru-RU"/>
        </w:rPr>
        <w:t>de la résine thermoplastique formée ou</w:t>
      </w:r>
      <w:r w:rsidRPr="00CA3533">
        <w:rPr>
          <w:rFonts w:eastAsiaTheme="minorHAnsi"/>
        </w:rPr>
        <w:t xml:space="preserve"> </w:t>
      </w:r>
      <w:r w:rsidRPr="00CA3533">
        <w:rPr>
          <w:rFonts w:eastAsiaTheme="minorHAnsi"/>
          <w:lang w:eastAsia="ru-RU"/>
        </w:rPr>
        <w:t>du degré de réticulation de la résine thermodurcissable</w:t>
      </w:r>
      <w:r w:rsidRPr="00CA3533">
        <w:rPr>
          <w:rFonts w:eastAsiaTheme="minorHAnsi"/>
        </w:rPr>
        <w:t> :</w:t>
      </w:r>
    </w:p>
    <w:p w14:paraId="62E836A7" w14:textId="77777777" w:rsidR="00CA3533" w:rsidRPr="00CA3533" w:rsidRDefault="00CA3533" w:rsidP="00CA3533">
      <w:pPr>
        <w:tabs>
          <w:tab w:val="left" w:pos="2268"/>
        </w:tabs>
        <w:spacing w:after="120"/>
        <w:ind w:left="3969" w:right="1134" w:hanging="567"/>
        <w:jc w:val="both"/>
        <w:rPr>
          <w:rFonts w:eastAsiaTheme="minorHAnsi"/>
          <w:bCs/>
        </w:rPr>
      </w:pPr>
      <w:r w:rsidRPr="00CA3533">
        <w:rPr>
          <w:rFonts w:eastAsiaTheme="minorHAnsi"/>
          <w:bCs/>
        </w:rPr>
        <w:t>-</w:t>
      </w:r>
      <w:r w:rsidRPr="00CA3533">
        <w:rPr>
          <w:rFonts w:eastAsiaTheme="minorHAnsi"/>
          <w:bCs/>
        </w:rPr>
        <w:tab/>
        <w:t>HDT déterminée selon la norme EN ISО 75-1:2020 ;</w:t>
      </w:r>
    </w:p>
    <w:p w14:paraId="01859BCF" w14:textId="4949D2EF" w:rsidR="00CA3533" w:rsidRPr="00CA3533" w:rsidRDefault="00CA3533" w:rsidP="00CA3533">
      <w:pPr>
        <w:tabs>
          <w:tab w:val="left" w:pos="2268"/>
        </w:tabs>
        <w:spacing w:after="120"/>
        <w:ind w:left="3969" w:right="1134" w:hanging="567"/>
        <w:jc w:val="both"/>
        <w:rPr>
          <w:rFonts w:eastAsiaTheme="minorHAnsi"/>
          <w:bCs/>
        </w:rPr>
      </w:pPr>
      <w:r w:rsidRPr="00CA3533">
        <w:rPr>
          <w:rFonts w:eastAsiaTheme="minorHAnsi"/>
          <w:bCs/>
        </w:rPr>
        <w:t>-</w:t>
      </w:r>
      <w:r w:rsidRPr="00CA3533">
        <w:rPr>
          <w:rFonts w:eastAsiaTheme="minorHAnsi"/>
          <w:bCs/>
        </w:rPr>
        <w:tab/>
      </w:r>
      <w:r w:rsidR="00E84C1F">
        <w:rPr>
          <w:rFonts w:eastAsiaTheme="minorHAnsi"/>
          <w:bCs/>
        </w:rPr>
        <w:t>T</w:t>
      </w:r>
      <w:r w:rsidR="00E84C1F" w:rsidRPr="00E84C1F">
        <w:rPr>
          <w:rFonts w:eastAsiaTheme="minorHAnsi"/>
          <w:bCs/>
          <w:vertAlign w:val="subscript"/>
        </w:rPr>
        <w:t>g</w:t>
      </w:r>
      <w:r w:rsidR="00E84C1F" w:rsidRPr="00CA3533">
        <w:rPr>
          <w:rFonts w:eastAsiaTheme="minorHAnsi"/>
          <w:bCs/>
        </w:rPr>
        <w:t xml:space="preserve"> </w:t>
      </w:r>
      <w:r w:rsidRPr="00CA3533">
        <w:rPr>
          <w:rFonts w:eastAsiaTheme="minorHAnsi"/>
          <w:bCs/>
        </w:rPr>
        <w:t xml:space="preserve">ou </w:t>
      </w:r>
      <w:r w:rsidRPr="00CA3533">
        <w:rPr>
          <w:rFonts w:eastAsiaTheme="minorHAnsi"/>
        </w:rPr>
        <w:t>T</w:t>
      </w:r>
      <w:r w:rsidRPr="00CA3533">
        <w:rPr>
          <w:rFonts w:eastAsiaTheme="minorHAnsi"/>
          <w:vertAlign w:val="subscript"/>
        </w:rPr>
        <w:t>m</w:t>
      </w:r>
      <w:r w:rsidRPr="00CA3533">
        <w:rPr>
          <w:rFonts w:eastAsiaTheme="minorHAnsi"/>
          <w:bCs/>
        </w:rPr>
        <w:t xml:space="preserve"> déterminée en utilisant l’analyse thermomécanique selon la norme ISO 11359-1:2014 ;</w:t>
      </w:r>
    </w:p>
    <w:p w14:paraId="7DB70054" w14:textId="77777777" w:rsidR="00CA3533" w:rsidRPr="00CA3533" w:rsidRDefault="00CA3533" w:rsidP="00CA3533">
      <w:pPr>
        <w:tabs>
          <w:tab w:val="left" w:pos="2268"/>
        </w:tabs>
        <w:spacing w:after="120"/>
        <w:ind w:left="3969" w:right="1134" w:hanging="567"/>
        <w:jc w:val="both"/>
        <w:rPr>
          <w:rFonts w:eastAsiaTheme="minorHAnsi"/>
          <w:bCs/>
        </w:rPr>
      </w:pPr>
      <w:r w:rsidRPr="00CA3533">
        <w:rPr>
          <w:rFonts w:eastAsiaTheme="minorHAnsi"/>
          <w:bCs/>
        </w:rPr>
        <w:t>-</w:t>
      </w:r>
      <w:r w:rsidRPr="00CA3533">
        <w:rPr>
          <w:rFonts w:eastAsiaTheme="minorHAnsi"/>
          <w:bCs/>
        </w:rPr>
        <w:tab/>
        <w:t>Analyse thermomécanique dynamique selon la norme ISO 6721-11:2019 ;</w:t>
      </w:r>
    </w:p>
    <w:p w14:paraId="70949631" w14:textId="77777777" w:rsidR="00CA3533" w:rsidRPr="00CA3533" w:rsidRDefault="00CA3533" w:rsidP="00CA3533">
      <w:pPr>
        <w:tabs>
          <w:tab w:val="left" w:pos="2268"/>
        </w:tabs>
        <w:spacing w:after="120"/>
        <w:ind w:left="3969" w:right="1134" w:hanging="567"/>
        <w:jc w:val="both"/>
      </w:pPr>
      <w:r w:rsidRPr="00CA3533">
        <w:rPr>
          <w:rFonts w:eastAsiaTheme="minorHAnsi"/>
          <w:bCs/>
        </w:rPr>
        <w:t>-</w:t>
      </w:r>
      <w:r w:rsidRPr="00CA3533">
        <w:rPr>
          <w:rFonts w:eastAsiaTheme="minorHAnsi"/>
          <w:bCs/>
        </w:rPr>
        <w:tab/>
        <w:t xml:space="preserve">Test de </w:t>
      </w:r>
      <w:proofErr w:type="spellStart"/>
      <w:r w:rsidRPr="00CA3533">
        <w:rPr>
          <w:rFonts w:eastAsiaTheme="minorHAnsi"/>
          <w:bCs/>
        </w:rPr>
        <w:t>Barcol</w:t>
      </w:r>
      <w:proofErr w:type="spellEnd"/>
      <w:r w:rsidRPr="00CA3533">
        <w:rPr>
          <w:rFonts w:eastAsiaTheme="minorHAnsi"/>
          <w:bCs/>
        </w:rPr>
        <w:t xml:space="preserve"> selon la norme ASTM D2583:2013-03 ou EN 59:2016.</w:t>
      </w:r>
    </w:p>
    <w:p w14:paraId="0F52CEF7" w14:textId="77777777" w:rsidR="00CA3533" w:rsidRPr="00CA3533" w:rsidRDefault="00CA3533" w:rsidP="00CA3533">
      <w:pPr>
        <w:tabs>
          <w:tab w:val="left" w:pos="2268"/>
        </w:tabs>
        <w:spacing w:after="120"/>
        <w:ind w:left="2268" w:right="1134" w:hanging="1134"/>
        <w:jc w:val="both"/>
        <w:rPr>
          <w:strike/>
        </w:rPr>
      </w:pPr>
      <w:r w:rsidRPr="00CA3533">
        <w:t>6.</w:t>
      </w:r>
      <w:r w:rsidRPr="00CA3533">
        <w:rPr>
          <w:rFonts w:eastAsiaTheme="minorHAnsi"/>
          <w:bCs/>
          <w:iCs/>
        </w:rPr>
        <w:t>13</w:t>
      </w:r>
      <w:r w:rsidRPr="00CA3533">
        <w:t>.4.2.3</w:t>
      </w:r>
      <w:r w:rsidRPr="00CA3533">
        <w:tab/>
        <w:t xml:space="preserve">Les prescriptions du 6.9.2.7.1.3 sur la compatibilité chimique sont applicables. </w:t>
      </w:r>
    </w:p>
    <w:p w14:paraId="76DA8243" w14:textId="77777777" w:rsidR="00CA3533" w:rsidRPr="00CA3533" w:rsidRDefault="00CA3533" w:rsidP="00CA3533">
      <w:pPr>
        <w:tabs>
          <w:tab w:val="left" w:pos="2268"/>
        </w:tabs>
        <w:spacing w:after="120"/>
        <w:ind w:left="2268" w:right="1134" w:hanging="1134"/>
        <w:jc w:val="both"/>
        <w:rPr>
          <w:b/>
        </w:rPr>
      </w:pPr>
      <w:r w:rsidRPr="00CA3533">
        <w:rPr>
          <w:b/>
        </w:rPr>
        <w:t>6.</w:t>
      </w:r>
      <w:r w:rsidRPr="00CA3533">
        <w:rPr>
          <w:rFonts w:eastAsiaTheme="minorHAnsi"/>
          <w:b/>
          <w:bCs/>
          <w:iCs/>
        </w:rPr>
        <w:t>13</w:t>
      </w:r>
      <w:r w:rsidRPr="00CA3533">
        <w:rPr>
          <w:b/>
        </w:rPr>
        <w:t>.4.3</w:t>
      </w:r>
      <w:r w:rsidRPr="00CA3533">
        <w:rPr>
          <w:b/>
        </w:rPr>
        <w:tab/>
      </w:r>
      <w:r w:rsidRPr="00CA3533">
        <w:rPr>
          <w:b/>
          <w:i/>
        </w:rPr>
        <w:t>Épreuve du prototype</w:t>
      </w:r>
    </w:p>
    <w:p w14:paraId="37C44ECF" w14:textId="77777777" w:rsidR="00CA3533" w:rsidRPr="00CA3533" w:rsidRDefault="00CA3533" w:rsidP="00CA3533">
      <w:pPr>
        <w:tabs>
          <w:tab w:val="left" w:pos="2268"/>
        </w:tabs>
        <w:spacing w:after="120"/>
        <w:ind w:left="2268" w:right="1134" w:hanging="1134"/>
        <w:jc w:val="both"/>
      </w:pPr>
      <w:r w:rsidRPr="00CA3533">
        <w:tab/>
        <w:t>Un prototype représentatif de la citerne doit être soumis aux épreuves spécifiées ci-après. À cette fin, l'équipement de service peut être remplacé par d'autres éléments si nécessaire.</w:t>
      </w:r>
    </w:p>
    <w:p w14:paraId="01102874"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.4.3.1</w:t>
      </w:r>
      <w:r w:rsidRPr="00CA3533">
        <w:tab/>
        <w:t>Le prototype doit être inspecté pour en déterminer la conformité avec les spécifications du modèle. Cette inspection doit comprendre une inspection visuelle interne et externe et la mesure des principales dimensions.</w:t>
      </w:r>
    </w:p>
    <w:p w14:paraId="63ECA808"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.4.3.2</w:t>
      </w:r>
      <w:r w:rsidRPr="00CA3533">
        <w:tab/>
        <w:t>Le prototype, muni de jauges de contrainte à tous les endroits où une comparaison avec les valeurs théoriques de calcul est nécessaire, doit être soumis aux charges suivantes et les contraintes qui en résultent doivent être enregistrées :</w:t>
      </w:r>
    </w:p>
    <w:p w14:paraId="08F71619" w14:textId="25FE5CC4" w:rsidR="00CA3533" w:rsidRPr="00CA3533" w:rsidRDefault="00CA3533" w:rsidP="00CA3533">
      <w:pPr>
        <w:tabs>
          <w:tab w:val="left" w:pos="2268"/>
        </w:tabs>
        <w:spacing w:after="120"/>
        <w:ind w:left="2835" w:right="1134" w:hanging="567"/>
        <w:jc w:val="both"/>
      </w:pPr>
      <w:r w:rsidRPr="00CA3533">
        <w:t>a)</w:t>
      </w:r>
      <w:r w:rsidRPr="00CA3533">
        <w:tab/>
        <w:t>La citerne doit être remplie d'eau au taux maximal de remplissage. Les résultats des mesures serviront à étalonner les valeurs théoriques conformément au 6.</w:t>
      </w:r>
      <w:r w:rsidRPr="00CA3533">
        <w:rPr>
          <w:rFonts w:eastAsiaTheme="minorHAnsi"/>
          <w:bCs/>
          <w:iCs/>
        </w:rPr>
        <w:t>13</w:t>
      </w:r>
      <w:r w:rsidRPr="00CA3533">
        <w:t>.2.5 ;</w:t>
      </w:r>
    </w:p>
    <w:p w14:paraId="0A177E33" w14:textId="2A39995B" w:rsidR="00CA3533" w:rsidRPr="00CA3533" w:rsidRDefault="00CA3533" w:rsidP="00CA3533">
      <w:pPr>
        <w:tabs>
          <w:tab w:val="left" w:pos="2268"/>
        </w:tabs>
        <w:spacing w:after="120"/>
        <w:ind w:left="2835" w:right="1134" w:hanging="567"/>
        <w:jc w:val="both"/>
      </w:pPr>
      <w:r w:rsidRPr="00CA3533">
        <w:t>b)</w:t>
      </w:r>
      <w:r w:rsidRPr="00CA3533">
        <w:tab/>
        <w:t>La citerne doit être remplie d'eau au taux maximal de remplissage et soumise à des accélérations dans les trois directions imprimées par les essais de conduite et de freinage, le prototype étant fixé à un véhicule. Pour comparer les résultats effectifs aux valeurs théoriques de calcul selon 6.</w:t>
      </w:r>
      <w:r w:rsidRPr="00CA3533">
        <w:rPr>
          <w:rFonts w:eastAsiaTheme="minorHAnsi"/>
          <w:bCs/>
          <w:iCs/>
        </w:rPr>
        <w:t>13</w:t>
      </w:r>
      <w:r w:rsidRPr="00CA3533">
        <w:t>.2.5, les contraintes enregistrées doivent être extrapolées en fonction du coefficient des accélérations exigées au 6.8.2.1.2 et mesurées ;</w:t>
      </w:r>
    </w:p>
    <w:p w14:paraId="42511815" w14:textId="7D6BE93D" w:rsidR="00CA3533" w:rsidRPr="00CA3533" w:rsidRDefault="00CA3533" w:rsidP="00CA3533">
      <w:pPr>
        <w:tabs>
          <w:tab w:val="left" w:pos="2268"/>
        </w:tabs>
        <w:spacing w:after="120"/>
        <w:ind w:left="2835" w:right="1134" w:hanging="567"/>
        <w:jc w:val="both"/>
      </w:pPr>
      <w:r w:rsidRPr="00CA3533">
        <w:lastRenderedPageBreak/>
        <w:t>c)</w:t>
      </w:r>
      <w:r w:rsidRPr="00CA3533">
        <w:tab/>
        <w:t>La citerne doit être remplie d'eau et soumise à la pression d'épreuve stipulée. Sous cette charge, la citerne ne doit présenter aucun dommage visible et aucune fuite.</w:t>
      </w:r>
    </w:p>
    <w:p w14:paraId="3C15C841"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.4.3.3</w:t>
      </w:r>
      <w:r w:rsidRPr="00CA3533">
        <w:tab/>
        <w:t xml:space="preserve">Les prescriptions du 6.9.2.7.1.4 sur l’épreuve de chute de bille sont applicables. </w:t>
      </w:r>
    </w:p>
    <w:p w14:paraId="2AB02B4C"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.4.3.4</w:t>
      </w:r>
      <w:r w:rsidRPr="00CA3533">
        <w:tab/>
        <w:t xml:space="preserve">Les prescriptions du 6.9.2.7.1.5 sur l’épreuve de résistance au feu sont applicables. </w:t>
      </w:r>
    </w:p>
    <w:p w14:paraId="4379D99A" w14:textId="77777777" w:rsidR="00CA3533" w:rsidRPr="00CA3533" w:rsidRDefault="00CA3533" w:rsidP="00CA3533">
      <w:pPr>
        <w:tabs>
          <w:tab w:val="left" w:pos="2268"/>
        </w:tabs>
        <w:spacing w:after="120"/>
        <w:ind w:left="2268" w:right="1134" w:hanging="1134"/>
        <w:jc w:val="both"/>
        <w:rPr>
          <w:b/>
          <w:i/>
        </w:rPr>
      </w:pPr>
      <w:r w:rsidRPr="00CA3533">
        <w:rPr>
          <w:b/>
        </w:rPr>
        <w:t>6.</w:t>
      </w:r>
      <w:r w:rsidRPr="00CA3533">
        <w:rPr>
          <w:rFonts w:eastAsiaTheme="minorHAnsi"/>
          <w:b/>
          <w:bCs/>
          <w:iCs/>
        </w:rPr>
        <w:t>13</w:t>
      </w:r>
      <w:r w:rsidRPr="00CA3533">
        <w:rPr>
          <w:b/>
        </w:rPr>
        <w:t>.4.4</w:t>
      </w:r>
      <w:r w:rsidRPr="00CA3533">
        <w:rPr>
          <w:b/>
          <w:i/>
        </w:rPr>
        <w:tab/>
        <w:t>Agrément du type</w:t>
      </w:r>
    </w:p>
    <w:p w14:paraId="349DBE5D"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.4.4.1</w:t>
      </w:r>
      <w:r w:rsidRPr="00CA3533">
        <w:tab/>
        <w:t>L'autorité compétente doit délivrer, pour chaque nouveau type de citerne, un agrément de type attestant que le modèle est approprié pour l'utilisation à laquelle il est destiné et répond aux prescriptions concernant la construction et les équipements ainsi qu'aux dispositions spéciales applicables aux matières à transporter.</w:t>
      </w:r>
    </w:p>
    <w:p w14:paraId="229CD253"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.4.4.2</w:t>
      </w:r>
      <w:r w:rsidRPr="00CA3533">
        <w:tab/>
        <w:t>L'agrément de type doit être établi sur la base des calculs et du procès-verbal d'épreuve, y compris tous les résultats d'essai des matériaux et du prototype et de sa comparaison avec les valeurs théoriques de calcul, et doit mentionner les spécifications relatives au modèle et le programme d'assurance de qualité.</w:t>
      </w:r>
    </w:p>
    <w:p w14:paraId="753D7A23"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.4.4.3</w:t>
      </w:r>
      <w:r w:rsidRPr="00CA3533">
        <w:tab/>
        <w:t>L'agrément de type doit porter sur les matières ou groupes de matières dont la compatibilité avec la citerne est assurée. Leur dénomination chimique ou la rubrique collective correspondante (voir sous 2.1.1.2), leur classe et leur code de classification doivent être indiqués.</w:t>
      </w:r>
    </w:p>
    <w:p w14:paraId="52839590"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.4.4.4</w:t>
      </w:r>
      <w:r w:rsidRPr="00CA3533">
        <w:tab/>
        <w:t>Il doit comprendre également les valeurs de calcul théoriques et limites garanties (telles que la durée de vie, la gamme des températures de service, les pressions de service et d'épreuve, les caractéristiques du matériau énoncées et toutes les précautions à prendre pour la fabrication, l'épreuve, l'agrément de type, le marquage et l'utilisation de toute citerne fabriquée conformément au prototype homologué.</w:t>
      </w:r>
    </w:p>
    <w:p w14:paraId="1D0D911A" w14:textId="77777777" w:rsidR="00CA3533" w:rsidRPr="00CA3533" w:rsidRDefault="00CA3533" w:rsidP="00CA3533">
      <w:pPr>
        <w:tabs>
          <w:tab w:val="left" w:pos="2268"/>
        </w:tabs>
        <w:spacing w:after="120"/>
        <w:ind w:left="2268" w:right="1134" w:hanging="1134"/>
        <w:jc w:val="both"/>
      </w:pPr>
      <w:r w:rsidRPr="00CA3533">
        <w:t>6.13.4.4.5</w:t>
      </w:r>
      <w:r w:rsidRPr="00CA3533">
        <w:rPr>
          <w:rFonts w:eastAsiaTheme="minorHAnsi"/>
          <w:lang w:val="fr-FR" w:eastAsia="ru-RU"/>
        </w:rPr>
        <w:tab/>
      </w:r>
      <w:r w:rsidRPr="00CA3533">
        <w:t xml:space="preserve">Un programme d’inspection de la durée de vie doit être mis en place et prévu dans le manuel d’exploitation, afin de surveiller l’état du réservoir lors des contrôles périodiques. Le programme d’inspection doit mettre l’accent sur les principaux points de contrainte recensés dans l’analyse de la conception effectuée conformément au 6.13.2.5. La méthode d’inspection doit tenir compte du mode de détérioration auquel sont potentiellement exposés les principaux points de contrainte (par exemple, contrainte de traction ou contrainte </w:t>
      </w:r>
      <w:proofErr w:type="spellStart"/>
      <w:r w:rsidRPr="00CA3533">
        <w:t>interlaminaire</w:t>
      </w:r>
      <w:proofErr w:type="spellEnd"/>
      <w:r w:rsidRPr="00CA3533">
        <w:t>). L’inspection doit s’effectuer sous forme d’une combinaison de tests visuels et non-destructifs (par exemple, émissions acoustiques, évaluations par ultrasons, analyses thermographiques). Lorsque des éléments chauffants sont utilisés, le programme d’inspection de la durée de vie doit permettre un examen du réservoir ou des points représentatifs pour tenir compte des effets de la surchauffe.</w:t>
      </w:r>
    </w:p>
    <w:p w14:paraId="2C84597B" w14:textId="77777777" w:rsidR="00CA3533" w:rsidRPr="00CA3533" w:rsidRDefault="00CA3533" w:rsidP="00CA3533">
      <w:pPr>
        <w:tabs>
          <w:tab w:val="left" w:pos="2268"/>
        </w:tabs>
        <w:spacing w:after="120"/>
        <w:ind w:left="2268" w:right="1134" w:hanging="1134"/>
        <w:jc w:val="both"/>
        <w:rPr>
          <w:b/>
        </w:rPr>
      </w:pPr>
      <w:r w:rsidRPr="00CA3533">
        <w:rPr>
          <w:b/>
        </w:rPr>
        <w:t>6.</w:t>
      </w:r>
      <w:r w:rsidRPr="00CA3533">
        <w:rPr>
          <w:rFonts w:eastAsiaTheme="minorHAnsi"/>
          <w:b/>
          <w:bCs/>
          <w:iCs/>
        </w:rPr>
        <w:t>13</w:t>
      </w:r>
      <w:r w:rsidRPr="00CA3533">
        <w:rPr>
          <w:b/>
        </w:rPr>
        <w:t>.5</w:t>
      </w:r>
      <w:r w:rsidRPr="00CA3533">
        <w:rPr>
          <w:b/>
        </w:rPr>
        <w:tab/>
        <w:t xml:space="preserve">Contrôles </w:t>
      </w:r>
    </w:p>
    <w:p w14:paraId="6C697EA6"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.5.1</w:t>
      </w:r>
      <w:r w:rsidRPr="00CA3533">
        <w:tab/>
        <w:t>Pour toute citerne fabriquée conformément au modèle agréé, les essais de matériaux et les contrôles doivent être effectués comme indiqué ci-après.</w:t>
      </w:r>
    </w:p>
    <w:p w14:paraId="262CA4A3"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.5.1.1</w:t>
      </w:r>
      <w:r w:rsidRPr="00CA3533">
        <w:tab/>
        <w:t>Les essais de matériaux selon 6.</w:t>
      </w:r>
      <w:r w:rsidRPr="00CA3533">
        <w:rPr>
          <w:rFonts w:eastAsiaTheme="minorHAnsi"/>
          <w:bCs/>
          <w:iCs/>
        </w:rPr>
        <w:t>13</w:t>
      </w:r>
      <w:r w:rsidRPr="00CA3533">
        <w:t>.4.2.2, à l'exception de l'essai de résistance en traction et d'une réduction à 100 heures de la durée d'essai de résistance à la flexion, doivent être effectués avec des échantillons pris sur le réservoir. Des échantillons fabriqués en parallèle ne doivent être utilisés que s'il n'est pas possible de découper des échantillons dans le réservoir. Les valeurs théoriques de calcul approuvées doivent être respectées.</w:t>
      </w:r>
    </w:p>
    <w:p w14:paraId="19B4BE49"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.5.1.2</w:t>
      </w:r>
      <w:r w:rsidRPr="00CA3533">
        <w:tab/>
        <w:t>Le contrôle et l’épreuve initiaux visent à vérifier que la construction de la citerne est conforme au système de gestion de la qualité prescrit au 6.9.2.2.2. Les réservoirs et leurs équipements doivent subir, ensemble ou séparément, un contrôle initial avant leur mise en service. Ce contrôle comprend :</w:t>
      </w:r>
    </w:p>
    <w:p w14:paraId="45F4AB6B" w14:textId="4DAF05F1" w:rsidR="00CA3533" w:rsidRPr="00CA3533" w:rsidRDefault="00CA3533" w:rsidP="00CA3533">
      <w:pPr>
        <w:tabs>
          <w:tab w:val="left" w:pos="2268"/>
        </w:tabs>
        <w:spacing w:after="120"/>
        <w:ind w:left="2835" w:right="1134" w:hanging="567"/>
        <w:jc w:val="both"/>
      </w:pPr>
      <w:r w:rsidRPr="00CA3533">
        <w:t>a)</w:t>
      </w:r>
      <w:r w:rsidRPr="00CA3533">
        <w:tab/>
        <w:t>une vérification de la conformité au modèle homologué ;</w:t>
      </w:r>
    </w:p>
    <w:p w14:paraId="56610ADA" w14:textId="4E83C458" w:rsidR="00CA3533" w:rsidRPr="00CA3533" w:rsidRDefault="00CA3533" w:rsidP="00CA3533">
      <w:pPr>
        <w:tabs>
          <w:tab w:val="left" w:pos="2268"/>
        </w:tabs>
        <w:spacing w:after="120"/>
        <w:ind w:left="2835" w:right="1134" w:hanging="567"/>
        <w:jc w:val="both"/>
      </w:pPr>
      <w:r w:rsidRPr="00CA3533">
        <w:lastRenderedPageBreak/>
        <w:t>b)</w:t>
      </w:r>
      <w:r w:rsidRPr="00CA3533">
        <w:tab/>
        <w:t>une vérification des caractéristiques de conception ;</w:t>
      </w:r>
    </w:p>
    <w:p w14:paraId="63EA2502" w14:textId="30103CFC" w:rsidR="00CA3533" w:rsidRPr="00CA3533" w:rsidRDefault="00CA3533" w:rsidP="00CA3533">
      <w:pPr>
        <w:tabs>
          <w:tab w:val="left" w:pos="2268"/>
        </w:tabs>
        <w:spacing w:after="120"/>
        <w:ind w:left="2835" w:right="1134" w:hanging="567"/>
        <w:jc w:val="both"/>
      </w:pPr>
      <w:r w:rsidRPr="00CA3533">
        <w:t>c)</w:t>
      </w:r>
      <w:r w:rsidRPr="00CA3533">
        <w:tab/>
        <w:t>un examen intérieur et extérieur ;</w:t>
      </w:r>
    </w:p>
    <w:p w14:paraId="289AB96F" w14:textId="7A00614A" w:rsidR="00CA3533" w:rsidRPr="00CA3533" w:rsidRDefault="00CA3533" w:rsidP="00CA3533">
      <w:pPr>
        <w:tabs>
          <w:tab w:val="left" w:pos="2268"/>
        </w:tabs>
        <w:spacing w:after="120"/>
        <w:ind w:left="2835" w:right="1134" w:hanging="567"/>
        <w:jc w:val="both"/>
      </w:pPr>
      <w:r w:rsidRPr="00CA3533">
        <w:t>d)</w:t>
      </w:r>
      <w:r w:rsidRPr="00CA3533">
        <w:tab/>
        <w:t>une épreuve de pression hydraulique à la pression d'épreuve indiquée sur la plaque prescrite au 6.8.2.5.1 ;</w:t>
      </w:r>
    </w:p>
    <w:p w14:paraId="52C8ACE4" w14:textId="7BA15A9A" w:rsidR="00CA3533" w:rsidRPr="00CA3533" w:rsidRDefault="00CA3533" w:rsidP="00CA3533">
      <w:pPr>
        <w:tabs>
          <w:tab w:val="left" w:pos="2268"/>
        </w:tabs>
        <w:spacing w:after="120"/>
        <w:ind w:left="2835" w:right="1134" w:hanging="567"/>
        <w:jc w:val="both"/>
      </w:pPr>
      <w:r w:rsidRPr="00CA3533">
        <w:t>e)</w:t>
      </w:r>
      <w:r w:rsidRPr="00CA3533">
        <w:tab/>
        <w:t>une vérification du fonctionnement de l'équipement ;</w:t>
      </w:r>
    </w:p>
    <w:p w14:paraId="779D914C" w14:textId="781DB68F" w:rsidR="00CA3533" w:rsidRPr="00CA3533" w:rsidRDefault="00CA3533" w:rsidP="00CA3533">
      <w:pPr>
        <w:tabs>
          <w:tab w:val="left" w:pos="2268"/>
        </w:tabs>
        <w:spacing w:after="120"/>
        <w:ind w:left="2835" w:right="1134" w:hanging="567"/>
        <w:jc w:val="both"/>
      </w:pPr>
      <w:r w:rsidRPr="00CA3533">
        <w:t>f)</w:t>
      </w:r>
      <w:r w:rsidRPr="00CA3533">
        <w:tab/>
        <w:t>une épreuve d'étanchéité si le réservoir et son équipement ont été soumis séparément à une épreuve de pression.</w:t>
      </w:r>
    </w:p>
    <w:p w14:paraId="72DC1514"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.5.2</w:t>
      </w:r>
      <w:r w:rsidRPr="00CA3533">
        <w:tab/>
        <w:t>Les prescriptions des 6.8.2.4.2 à 6.8.2.4.4 sont applicables au contrôle périodique des citernes. En outre, le contrôle prévu au 6.8.2.4.3 doit comprendre un examen de l'état intérieur du réservoir.</w:t>
      </w:r>
    </w:p>
    <w:p w14:paraId="0021A5DE" w14:textId="77777777" w:rsidR="00CA3533" w:rsidRPr="00CA3533" w:rsidRDefault="00CA3533" w:rsidP="00CA3533">
      <w:pPr>
        <w:tabs>
          <w:tab w:val="left" w:pos="2268"/>
        </w:tabs>
        <w:spacing w:after="120"/>
        <w:ind w:left="2268" w:right="1134" w:hanging="1134"/>
        <w:jc w:val="both"/>
      </w:pPr>
      <w:r w:rsidRPr="00CA3533">
        <w:t>6.13.5.3</w:t>
      </w:r>
      <w:r w:rsidRPr="00CA3533">
        <w:tab/>
        <w:t>En outre, les contrôles initiaux et périodiques doivent être effectués en application du programme d’inspection de la durée de service et de toute méthode d’inspection associée selon le 6.13.4.4.5.</w:t>
      </w:r>
    </w:p>
    <w:p w14:paraId="25E4E408" w14:textId="6036C851"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.5.4</w:t>
      </w:r>
      <w:r w:rsidRPr="00CA3533">
        <w:tab/>
        <w:t>Les contrôles et épreuves, conformes aux 6.</w:t>
      </w:r>
      <w:r w:rsidRPr="00CA3533">
        <w:rPr>
          <w:rFonts w:eastAsiaTheme="minorHAnsi"/>
          <w:bCs/>
          <w:iCs/>
        </w:rPr>
        <w:t>13</w:t>
      </w:r>
      <w:r w:rsidRPr="00CA3533">
        <w:t>.5.1 et 6.</w:t>
      </w:r>
      <w:r w:rsidRPr="00CA3533">
        <w:rPr>
          <w:rFonts w:eastAsiaTheme="minorHAnsi"/>
          <w:bCs/>
          <w:iCs/>
        </w:rPr>
        <w:t>13</w:t>
      </w:r>
      <w:r w:rsidRPr="00CA3533">
        <w:t>.5.2 doivent être exécutés par l’organisme de contrôle. Des certificats indiquant les résultats de ces opérations doivent être délivrés. Ils doivent renvoyer à la liste des matières dont le transport est autorisé dans cette citerne conformément au 6.</w:t>
      </w:r>
      <w:r w:rsidRPr="00CA3533">
        <w:rPr>
          <w:rFonts w:eastAsiaTheme="minorHAnsi"/>
          <w:bCs/>
          <w:iCs/>
        </w:rPr>
        <w:t>13</w:t>
      </w:r>
      <w:r w:rsidRPr="00CA3533">
        <w:t>.4.4.</w:t>
      </w:r>
    </w:p>
    <w:p w14:paraId="590CCB17" w14:textId="77777777" w:rsidR="00CA3533" w:rsidRPr="00CA3533" w:rsidRDefault="00CA3533" w:rsidP="00CA3533">
      <w:pPr>
        <w:tabs>
          <w:tab w:val="left" w:pos="2268"/>
        </w:tabs>
        <w:spacing w:after="120"/>
        <w:ind w:left="2268" w:right="1134" w:hanging="1134"/>
        <w:jc w:val="both"/>
        <w:rPr>
          <w:b/>
        </w:rPr>
      </w:pPr>
      <w:r w:rsidRPr="00CA3533">
        <w:rPr>
          <w:b/>
        </w:rPr>
        <w:t>6.</w:t>
      </w:r>
      <w:r w:rsidRPr="00CA3533">
        <w:rPr>
          <w:rFonts w:eastAsiaTheme="minorHAnsi"/>
          <w:b/>
          <w:bCs/>
          <w:iCs/>
        </w:rPr>
        <w:t>13</w:t>
      </w:r>
      <w:r w:rsidRPr="00CA3533">
        <w:rPr>
          <w:b/>
        </w:rPr>
        <w:t>.6</w:t>
      </w:r>
      <w:r w:rsidRPr="00CA3533">
        <w:rPr>
          <w:b/>
        </w:rPr>
        <w:tab/>
        <w:t>Marquage</w:t>
      </w:r>
    </w:p>
    <w:p w14:paraId="5AD824D2"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.6.1</w:t>
      </w:r>
      <w:r w:rsidRPr="00CA3533">
        <w:tab/>
        <w:t>Les prescriptions du 6.8.2.5 sont applicables au marquage des citernes en PRF avec les modifications suivantes :</w:t>
      </w:r>
    </w:p>
    <w:p w14:paraId="3109629C" w14:textId="7DA572ED" w:rsidR="00CA3533" w:rsidRPr="00CA3533" w:rsidRDefault="00CA3533" w:rsidP="00CA3533">
      <w:pPr>
        <w:tabs>
          <w:tab w:val="left" w:pos="2268"/>
        </w:tabs>
        <w:spacing w:after="120"/>
        <w:ind w:left="2835" w:right="1134" w:hanging="567"/>
        <w:jc w:val="both"/>
      </w:pPr>
      <w:r w:rsidRPr="00CA3533">
        <w:t>a)</w:t>
      </w:r>
      <w:r w:rsidRPr="00CA3533">
        <w:tab/>
        <w:t>la plaque des citernes peut aussi être intégrée au réservoir par stratification ou faite en matières plastiques adéquates ;</w:t>
      </w:r>
    </w:p>
    <w:p w14:paraId="5018B7BD" w14:textId="4F36DBA4" w:rsidR="00CA3533" w:rsidRPr="00CA3533" w:rsidRDefault="00CA3533" w:rsidP="00CA3533">
      <w:pPr>
        <w:tabs>
          <w:tab w:val="left" w:pos="2268"/>
        </w:tabs>
        <w:spacing w:after="120"/>
        <w:ind w:left="2835" w:right="1134" w:hanging="567"/>
        <w:jc w:val="both"/>
      </w:pPr>
      <w:r w:rsidRPr="00CA3533">
        <w:t>b)</w:t>
      </w:r>
      <w:r w:rsidRPr="00CA3533">
        <w:tab/>
        <w:t>la gamme des températures de calcul doit toujours être indiquée ;</w:t>
      </w:r>
    </w:p>
    <w:p w14:paraId="5F4DA8EC" w14:textId="06951200" w:rsidR="00CA3533" w:rsidRPr="00CA3533" w:rsidRDefault="00CA3533" w:rsidP="00CA3533">
      <w:pPr>
        <w:tabs>
          <w:tab w:val="left" w:pos="2268"/>
        </w:tabs>
        <w:spacing w:after="120"/>
        <w:ind w:left="2835" w:right="1134" w:hanging="567"/>
        <w:jc w:val="both"/>
      </w:pPr>
      <w:r w:rsidRPr="00CA3533">
        <w:t>c)</w:t>
      </w:r>
      <w:r w:rsidRPr="00CA3533">
        <w:tab/>
        <w:t>lorsqu’un code-citerne est requis conformément au 6.8.2.5.2, la deuxième partie du code-citerne doit indiquer la valeur la plus élevée de la pression de calcul pour la ou les matières dont le transport est autorisé conformément au certificat d’agrément de type.</w:t>
      </w:r>
    </w:p>
    <w:p w14:paraId="415648B7" w14:textId="77777777" w:rsidR="00CA3533" w:rsidRPr="00CA3533" w:rsidRDefault="00CA3533" w:rsidP="00CA3533">
      <w:pPr>
        <w:tabs>
          <w:tab w:val="left" w:pos="2268"/>
        </w:tabs>
        <w:spacing w:after="120"/>
        <w:ind w:left="2268" w:right="1134" w:hanging="1134"/>
        <w:jc w:val="both"/>
        <w:rPr>
          <w:rFonts w:eastAsiaTheme="minorHAnsi"/>
          <w:strike/>
        </w:rPr>
      </w:pPr>
      <w:r w:rsidRPr="00CA3533">
        <w:rPr>
          <w:rFonts w:eastAsiaTheme="minorHAnsi"/>
          <w:bCs/>
          <w:iCs/>
        </w:rPr>
        <w:t>6.13.6.2</w:t>
      </w:r>
      <w:r w:rsidRPr="00CA3533">
        <w:rPr>
          <w:rFonts w:eastAsiaTheme="minorHAnsi"/>
          <w:b/>
          <w:bCs/>
          <w:iCs/>
        </w:rPr>
        <w:tab/>
      </w:r>
      <w:r w:rsidRPr="00CA3533">
        <w:rPr>
          <w:rFonts w:eastAsiaTheme="minorHAnsi"/>
        </w:rPr>
        <w:t xml:space="preserve">Les informations à fournir sur les matériaux sont les suivantes : “Matière de la structure du réservoir : matière plastique renforcée de </w:t>
      </w:r>
      <w:proofErr w:type="spellStart"/>
      <w:r w:rsidRPr="00CA3533">
        <w:rPr>
          <w:rFonts w:eastAsiaTheme="minorHAnsi"/>
        </w:rPr>
        <w:t>fibresˮ</w:t>
      </w:r>
      <w:proofErr w:type="spellEnd"/>
      <w:r w:rsidRPr="00CA3533">
        <w:rPr>
          <w:rFonts w:eastAsiaTheme="minorHAnsi"/>
        </w:rPr>
        <w:t xml:space="preserve">, le type de fibre de renforcement (par </w:t>
      </w:r>
      <w:r w:rsidRPr="00CA3533">
        <w:t>exemple</w:t>
      </w:r>
      <w:r w:rsidRPr="00CA3533">
        <w:rPr>
          <w:rFonts w:eastAsiaTheme="minorHAnsi"/>
        </w:rPr>
        <w:t>, “Renforcement : verre </w:t>
      </w:r>
      <w:proofErr w:type="spellStart"/>
      <w:r w:rsidRPr="00CA3533">
        <w:rPr>
          <w:rFonts w:eastAsiaTheme="minorHAnsi"/>
        </w:rPr>
        <w:t>Eˮ</w:t>
      </w:r>
      <w:proofErr w:type="spellEnd"/>
      <w:r w:rsidRPr="00CA3533">
        <w:rPr>
          <w:rFonts w:eastAsiaTheme="minorHAnsi"/>
        </w:rPr>
        <w:t xml:space="preserve">), et le type de résine (par exemple, “Résine </w:t>
      </w:r>
      <w:proofErr w:type="spellStart"/>
      <w:r w:rsidRPr="00CA3533">
        <w:rPr>
          <w:rFonts w:eastAsiaTheme="minorHAnsi"/>
        </w:rPr>
        <w:t>vinylesterˮ</w:t>
      </w:r>
      <w:proofErr w:type="spellEnd"/>
      <w:r w:rsidRPr="00CA3533">
        <w:rPr>
          <w:rFonts w:eastAsiaTheme="minorHAnsi"/>
        </w:rPr>
        <w:t>).</w:t>
      </w:r>
    </w:p>
    <w:p w14:paraId="26306C4C" w14:textId="77777777" w:rsidR="00CA3533" w:rsidRPr="00CA3533" w:rsidRDefault="00CA3533" w:rsidP="00CA3533">
      <w:pPr>
        <w:tabs>
          <w:tab w:val="left" w:pos="2268"/>
        </w:tabs>
        <w:spacing w:after="120"/>
        <w:ind w:left="2268" w:right="1134" w:hanging="1134"/>
        <w:jc w:val="both"/>
      </w:pPr>
      <w:r w:rsidRPr="00CA3533">
        <w:t>6.</w:t>
      </w:r>
      <w:r w:rsidRPr="00CA3533">
        <w:rPr>
          <w:rFonts w:eastAsiaTheme="minorHAnsi"/>
          <w:bCs/>
          <w:iCs/>
        </w:rPr>
        <w:t>13</w:t>
      </w:r>
      <w:r w:rsidRPr="00CA3533">
        <w:t>.6.3</w:t>
      </w:r>
      <w:r w:rsidRPr="00CA3533">
        <w:tab/>
        <w:t xml:space="preserve">En outre, lorsqu'elles sont indiquées en regard d'une rubrique dans la colonne (13) du tableau A du Chapitre 3.2, les dispositions spéciales du 6.8.4 e) </w:t>
      </w:r>
      <w:r w:rsidRPr="00755B0A">
        <w:t>(TM)</w:t>
      </w:r>
      <w:r w:rsidRPr="00CA3533">
        <w:t xml:space="preserve"> sont aussi applicables. »</w:t>
      </w:r>
    </w:p>
    <w:p w14:paraId="5B0E8A35" w14:textId="77777777" w:rsidR="00CA3533" w:rsidRPr="00CA3533" w:rsidRDefault="00CA3533" w:rsidP="00CA3533">
      <w:pPr>
        <w:keepNext/>
        <w:keepLines/>
        <w:tabs>
          <w:tab w:val="right" w:pos="851"/>
        </w:tabs>
        <w:spacing w:before="360" w:after="240" w:line="270" w:lineRule="exact"/>
        <w:ind w:left="1134" w:right="1134" w:hanging="1134"/>
        <w:rPr>
          <w:b/>
          <w:sz w:val="24"/>
          <w:lang w:val="fr-FR"/>
        </w:rPr>
      </w:pPr>
      <w:r w:rsidRPr="00CA3533">
        <w:rPr>
          <w:b/>
          <w:sz w:val="24"/>
          <w:lang w:val="fr-FR"/>
        </w:rPr>
        <w:tab/>
      </w:r>
      <w:r w:rsidRPr="00CA3533">
        <w:rPr>
          <w:b/>
          <w:sz w:val="24"/>
          <w:lang w:val="fr-FR"/>
        </w:rPr>
        <w:tab/>
        <w:t>Chapitre 7.1</w:t>
      </w:r>
    </w:p>
    <w:p w14:paraId="4523399B" w14:textId="77777777" w:rsidR="00B7745B" w:rsidRDefault="00B7745B" w:rsidP="00B7745B">
      <w:pPr>
        <w:pStyle w:val="SingleTxtG"/>
        <w:rPr>
          <w:lang w:val="fr-FR"/>
        </w:rPr>
      </w:pPr>
      <w:r>
        <w:rPr>
          <w:lang w:val="fr-FR"/>
        </w:rPr>
        <w:t>Dans le titre, supprimer « </w:t>
      </w:r>
      <w:r w:rsidRPr="00C647FA">
        <w:rPr>
          <w:lang w:val="fr-FR"/>
        </w:rPr>
        <w:t>ET DISPOSITIONS SPÉCIALES RELATIVES À LA RÉGULATION DE TEMPÉRATURE</w:t>
      </w:r>
      <w:r>
        <w:rPr>
          <w:lang w:val="fr-FR"/>
        </w:rPr>
        <w:t> ».</w:t>
      </w:r>
    </w:p>
    <w:p w14:paraId="57D8FDBA" w14:textId="01DF438D" w:rsidR="00CA3533" w:rsidRPr="00CA3533" w:rsidRDefault="00CA3533" w:rsidP="00CA3533">
      <w:pPr>
        <w:spacing w:before="120" w:after="120"/>
        <w:ind w:left="2268" w:right="1134" w:hanging="1134"/>
        <w:jc w:val="both"/>
        <w:rPr>
          <w:shd w:val="clear" w:color="auto" w:fill="FFFFFF"/>
          <w:lang w:val="fr-FR"/>
        </w:rPr>
      </w:pPr>
      <w:r w:rsidRPr="00CA3533">
        <w:rPr>
          <w:shd w:val="clear" w:color="auto" w:fill="FFFFFF"/>
          <w:lang w:val="fr-FR"/>
        </w:rPr>
        <w:t>7.1.4</w:t>
      </w:r>
      <w:r w:rsidRPr="00CA3533">
        <w:rPr>
          <w:shd w:val="clear" w:color="auto" w:fill="FFFFFF"/>
          <w:lang w:val="fr-FR"/>
        </w:rPr>
        <w:tab/>
        <w:t>Supprimer et ajouter « 7.1.4</w:t>
      </w:r>
      <w:r w:rsidRPr="00CA3533">
        <w:rPr>
          <w:shd w:val="clear" w:color="auto" w:fill="FFFFFF"/>
          <w:lang w:val="fr-FR"/>
        </w:rPr>
        <w:tab/>
      </w:r>
      <w:r w:rsidRPr="00CA3533">
        <w:rPr>
          <w:shd w:val="clear" w:color="auto" w:fill="FFFFFF"/>
          <w:lang w:val="fr-FR"/>
        </w:rPr>
        <w:tab/>
      </w:r>
      <w:r w:rsidRPr="00CA3533">
        <w:rPr>
          <w:i/>
          <w:iCs/>
          <w:shd w:val="clear" w:color="auto" w:fill="FFFFFF"/>
          <w:lang w:val="fr-FR"/>
        </w:rPr>
        <w:t>(Supprimé)</w:t>
      </w:r>
      <w:r w:rsidRPr="00CA3533">
        <w:rPr>
          <w:shd w:val="clear" w:color="auto" w:fill="FFFFFF"/>
          <w:lang w:val="fr-FR"/>
        </w:rPr>
        <w:t> ».</w:t>
      </w:r>
    </w:p>
    <w:p w14:paraId="3A8AA6AE" w14:textId="77777777" w:rsidR="00CA3533" w:rsidRPr="00CA3533" w:rsidRDefault="00CA3533" w:rsidP="00CA3533">
      <w:pPr>
        <w:tabs>
          <w:tab w:val="left" w:pos="2268"/>
        </w:tabs>
        <w:kinsoku/>
        <w:overflowPunct/>
        <w:autoSpaceDE/>
        <w:autoSpaceDN/>
        <w:adjustRightInd/>
        <w:snapToGrid/>
        <w:spacing w:after="120"/>
        <w:ind w:left="2268" w:right="1134" w:hanging="1134"/>
        <w:jc w:val="both"/>
        <w:rPr>
          <w:lang w:val="fr-FR" w:eastAsia="en-US"/>
        </w:rPr>
      </w:pPr>
      <w:r w:rsidRPr="00CA3533">
        <w:rPr>
          <w:rFonts w:eastAsia="SimSun"/>
          <w:lang w:val="fr-FR"/>
        </w:rPr>
        <w:t>7.1.7.3.2</w:t>
      </w:r>
      <w:r w:rsidRPr="00CA3533">
        <w:rPr>
          <w:lang w:val="fr-FR" w:eastAsia="en-US"/>
        </w:rPr>
        <w:t xml:space="preserve"> a)</w:t>
      </w:r>
      <w:r w:rsidRPr="00CA3533">
        <w:rPr>
          <w:lang w:val="fr-FR" w:eastAsia="en-US"/>
        </w:rPr>
        <w:tab/>
        <w:t>Remplacer « contient la mention "STABILISÉ" » par « contient la mention "AVEC RÉGULATION DE TEMPÉRATURE" ».</w:t>
      </w:r>
    </w:p>
    <w:p w14:paraId="1BB1CA25" w14:textId="77777777" w:rsidR="00CD4066" w:rsidRDefault="00CD4066" w:rsidP="00CD4066">
      <w:pPr>
        <w:pStyle w:val="SingleTxtG"/>
        <w:ind w:left="2268" w:hanging="1134"/>
        <w:rPr>
          <w:lang w:val="fr-FR"/>
        </w:rPr>
      </w:pPr>
      <w:r>
        <w:rPr>
          <w:lang w:val="fr-FR"/>
        </w:rPr>
        <w:t>7.1.7.4.5</w:t>
      </w:r>
      <w:r>
        <w:rPr>
          <w:lang w:val="fr-FR"/>
        </w:rPr>
        <w:tab/>
        <w:t>Au début de a) et b), remplacer « Isolation thermique » par « </w:t>
      </w:r>
      <w:r w:rsidRPr="00DC5A40">
        <w:rPr>
          <w:lang w:val="fr-FR"/>
        </w:rPr>
        <w:t>Véhicule, conteneur</w:t>
      </w:r>
      <w:r>
        <w:rPr>
          <w:lang w:val="fr-FR"/>
        </w:rPr>
        <w:t>,</w:t>
      </w:r>
      <w:r w:rsidRPr="00DC5A40">
        <w:rPr>
          <w:lang w:val="fr-FR"/>
        </w:rPr>
        <w:t xml:space="preserve"> emballage </w:t>
      </w:r>
      <w:r>
        <w:rPr>
          <w:lang w:val="fr-FR"/>
        </w:rPr>
        <w:t>ou</w:t>
      </w:r>
      <w:r w:rsidRPr="00DC5A40">
        <w:rPr>
          <w:lang w:val="fr-FR"/>
        </w:rPr>
        <w:t xml:space="preserve"> suremballage avec isolation thermique</w:t>
      </w:r>
      <w:r>
        <w:rPr>
          <w:lang w:val="fr-FR"/>
        </w:rPr>
        <w:t> ».</w:t>
      </w:r>
    </w:p>
    <w:p w14:paraId="0EA4A724" w14:textId="77777777" w:rsidR="00CD4066" w:rsidRPr="00476248" w:rsidRDefault="00CD4066" w:rsidP="00CD4066">
      <w:pPr>
        <w:pStyle w:val="SingleTxtG"/>
        <w:ind w:left="2268" w:hanging="1134"/>
        <w:rPr>
          <w:lang w:val="fr-FR"/>
        </w:rPr>
      </w:pPr>
      <w:r>
        <w:rPr>
          <w:lang w:val="fr-FR"/>
        </w:rPr>
        <w:tab/>
        <w:t>Dans b), remplacer « avec système de refroidissement » par « et système de refroidissement ».</w:t>
      </w:r>
    </w:p>
    <w:p w14:paraId="6D9A2A15" w14:textId="30FA4639" w:rsidR="00CA3533" w:rsidRPr="00CA3533" w:rsidRDefault="00083455" w:rsidP="00CA3533">
      <w:pPr>
        <w:spacing w:after="120"/>
        <w:ind w:left="2268" w:right="1134" w:hanging="1134"/>
        <w:jc w:val="both"/>
        <w:rPr>
          <w:lang w:val="fr-FR"/>
        </w:rPr>
      </w:pPr>
      <w:r>
        <w:rPr>
          <w:lang w:val="fr-FR"/>
        </w:rPr>
        <w:t xml:space="preserve"> </w:t>
      </w:r>
      <w:r w:rsidR="00CA3533" w:rsidRPr="00CA3533">
        <w:rPr>
          <w:lang w:val="fr-FR"/>
        </w:rPr>
        <w:tab/>
        <w:t>Au début de c), d) et e), remplacer « Isolation thermique » par « Véhicule ou conteneur avec isolation thermique ».</w:t>
      </w:r>
    </w:p>
    <w:p w14:paraId="18EFB075" w14:textId="77777777" w:rsidR="002A7665" w:rsidRDefault="002A7665" w:rsidP="002A7665">
      <w:pPr>
        <w:pStyle w:val="SingleTxtG"/>
        <w:ind w:left="2268" w:hanging="1134"/>
        <w:rPr>
          <w:lang w:val="fr-FR"/>
        </w:rPr>
      </w:pPr>
      <w:r>
        <w:rPr>
          <w:lang w:val="fr-FR"/>
        </w:rPr>
        <w:lastRenderedPageBreak/>
        <w:t>7.1.7.4.7</w:t>
      </w:r>
      <w:r>
        <w:rPr>
          <w:lang w:val="fr-FR"/>
        </w:rPr>
        <w:tab/>
        <w:t>Avant le texte existant, ajouter le nouveau texte suivant :</w:t>
      </w:r>
    </w:p>
    <w:p w14:paraId="3E51314D" w14:textId="77777777" w:rsidR="002A7665" w:rsidRPr="00AA518C" w:rsidRDefault="002A7665" w:rsidP="002A7665">
      <w:pPr>
        <w:pStyle w:val="SingleTxtG"/>
        <w:ind w:left="2268" w:hanging="1134"/>
        <w:rPr>
          <w:lang w:val="fr-FR"/>
        </w:rPr>
      </w:pPr>
      <w:r>
        <w:rPr>
          <w:lang w:val="fr-FR"/>
        </w:rPr>
        <w:tab/>
        <w:t>« </w:t>
      </w:r>
      <w:r w:rsidRPr="00AA518C">
        <w:rPr>
          <w:lang w:val="fr-FR"/>
        </w:rPr>
        <w:t>Les conteneurs isothermes, réfrigérants ou frigorifiques destinés au transport de matières stabilisées par régulation de température doivent être conformes aux dispositions suivantes :</w:t>
      </w:r>
    </w:p>
    <w:p w14:paraId="4BDD24AC" w14:textId="77777777" w:rsidR="002A7665" w:rsidRPr="00AA518C" w:rsidRDefault="002A7665" w:rsidP="00416B98">
      <w:pPr>
        <w:pStyle w:val="SingleTxtG"/>
        <w:tabs>
          <w:tab w:val="left" w:pos="2268"/>
        </w:tabs>
        <w:ind w:left="2835" w:hanging="1701"/>
        <w:rPr>
          <w:lang w:val="fr-FR"/>
        </w:rPr>
      </w:pPr>
      <w:r>
        <w:rPr>
          <w:lang w:val="fr-FR"/>
        </w:rPr>
        <w:tab/>
      </w:r>
      <w:r w:rsidRPr="00AA518C">
        <w:rPr>
          <w:lang w:val="fr-FR"/>
        </w:rPr>
        <w:t>a)</w:t>
      </w:r>
      <w:r w:rsidRPr="00AA518C">
        <w:rPr>
          <w:lang w:val="fr-FR"/>
        </w:rPr>
        <w:tab/>
        <w:t>Le coefficient global de la transmission de chaleur d’un conteneur isotherme ne doit pas dépasser 0,4 W/m</w:t>
      </w:r>
      <w:r>
        <w:rPr>
          <w:lang w:val="fr-FR"/>
        </w:rPr>
        <w:t>²</w:t>
      </w:r>
      <w:r w:rsidRPr="00AA518C">
        <w:rPr>
          <w:lang w:val="fr-FR"/>
        </w:rPr>
        <w:t>/K ;</w:t>
      </w:r>
    </w:p>
    <w:p w14:paraId="7DD4C22F" w14:textId="77777777" w:rsidR="002A7665" w:rsidRPr="00AA518C" w:rsidRDefault="002A7665" w:rsidP="00416B98">
      <w:pPr>
        <w:pStyle w:val="SingleTxtG"/>
        <w:tabs>
          <w:tab w:val="left" w:pos="2268"/>
        </w:tabs>
        <w:ind w:left="2835" w:hanging="1701"/>
        <w:rPr>
          <w:lang w:val="fr-FR"/>
        </w:rPr>
      </w:pPr>
      <w:r>
        <w:rPr>
          <w:lang w:val="fr-FR"/>
        </w:rPr>
        <w:tab/>
      </w:r>
      <w:r w:rsidRPr="00AA518C">
        <w:rPr>
          <w:lang w:val="fr-FR"/>
        </w:rPr>
        <w:t>b)</w:t>
      </w:r>
      <w:r w:rsidRPr="00AA518C">
        <w:rPr>
          <w:lang w:val="fr-FR"/>
        </w:rPr>
        <w:tab/>
        <w:t>L’agent frigorigène utilisé ne doit pas être inflammable ; et</w:t>
      </w:r>
    </w:p>
    <w:p w14:paraId="662A6DE6" w14:textId="77777777" w:rsidR="002A7665" w:rsidRDefault="002A7665" w:rsidP="00416B98">
      <w:pPr>
        <w:pStyle w:val="SingleTxtG"/>
        <w:tabs>
          <w:tab w:val="left" w:pos="2268"/>
        </w:tabs>
        <w:ind w:left="2835" w:hanging="1701"/>
        <w:rPr>
          <w:lang w:val="fr-FR"/>
        </w:rPr>
      </w:pPr>
      <w:r>
        <w:rPr>
          <w:lang w:val="fr-FR"/>
        </w:rPr>
        <w:tab/>
      </w:r>
      <w:r w:rsidRPr="00AA518C">
        <w:rPr>
          <w:lang w:val="fr-FR"/>
        </w:rPr>
        <w:t>c)</w:t>
      </w:r>
      <w:r w:rsidRPr="00AA518C">
        <w:rPr>
          <w:lang w:val="fr-FR"/>
        </w:rPr>
        <w:tab/>
        <w:t>Lorsque les conteneurs sont munis d’évents ou de soupapes de ventilation, il faut veiller à ce que la réfrigération ne soit pas entravée par ces évents ou soupapes.</w:t>
      </w:r>
      <w:r>
        <w:rPr>
          <w:lang w:val="fr-FR"/>
        </w:rPr>
        <w:t> »</w:t>
      </w:r>
    </w:p>
    <w:p w14:paraId="04C6EEE5" w14:textId="77777777" w:rsidR="002A7665" w:rsidRPr="00476248" w:rsidRDefault="002A7665" w:rsidP="002A7665">
      <w:pPr>
        <w:pStyle w:val="SingleTxtG"/>
        <w:ind w:left="2268" w:hanging="1134"/>
        <w:rPr>
          <w:lang w:val="fr-FR"/>
        </w:rPr>
      </w:pPr>
      <w:r>
        <w:rPr>
          <w:lang w:val="fr-FR"/>
        </w:rPr>
        <w:tab/>
        <w:t>Dans le texte existant, supprimer « ou conteneurs » (deux fois).</w:t>
      </w:r>
    </w:p>
    <w:p w14:paraId="0650D946" w14:textId="77777777" w:rsidR="00CA3533" w:rsidRPr="00CA3533" w:rsidRDefault="00CA3533" w:rsidP="00CA3533">
      <w:pPr>
        <w:keepNext/>
        <w:keepLines/>
        <w:tabs>
          <w:tab w:val="right" w:pos="851"/>
        </w:tabs>
        <w:spacing w:before="360" w:after="240" w:line="270" w:lineRule="exact"/>
        <w:ind w:left="1134" w:right="1134" w:hanging="1134"/>
        <w:rPr>
          <w:b/>
          <w:sz w:val="24"/>
          <w:lang w:val="fr-FR"/>
        </w:rPr>
      </w:pPr>
      <w:r w:rsidRPr="00CA3533">
        <w:rPr>
          <w:b/>
          <w:sz w:val="24"/>
          <w:lang w:val="fr-FR"/>
        </w:rPr>
        <w:tab/>
      </w:r>
      <w:r w:rsidRPr="00CA3533">
        <w:rPr>
          <w:b/>
          <w:sz w:val="24"/>
          <w:lang w:val="fr-FR"/>
        </w:rPr>
        <w:tab/>
        <w:t>Chapitre 7.2</w:t>
      </w:r>
    </w:p>
    <w:p w14:paraId="66AC0587" w14:textId="77777777" w:rsidR="00CA3533" w:rsidRPr="00CA3533" w:rsidRDefault="00CA3533" w:rsidP="00CA3533">
      <w:pPr>
        <w:spacing w:after="120"/>
        <w:ind w:left="2268" w:right="1134" w:hanging="1134"/>
        <w:jc w:val="both"/>
        <w:rPr>
          <w:lang w:val="fr-FR"/>
        </w:rPr>
      </w:pPr>
      <w:r w:rsidRPr="00CA3533">
        <w:rPr>
          <w:lang w:val="fr-FR"/>
        </w:rPr>
        <w:t>7.2.4, V6</w:t>
      </w:r>
      <w:r w:rsidRPr="00CA3533">
        <w:rPr>
          <w:lang w:val="fr-FR"/>
        </w:rPr>
        <w:tab/>
        <w:t>Supprimer le texte dans V6 et ajouter « </w:t>
      </w:r>
      <w:r w:rsidRPr="00CA3533">
        <w:rPr>
          <w:i/>
          <w:iCs/>
          <w:lang w:val="fr-FR"/>
        </w:rPr>
        <w:t>(Supprimé)</w:t>
      </w:r>
      <w:r w:rsidRPr="00CA3533">
        <w:rPr>
          <w:lang w:val="fr-FR"/>
        </w:rPr>
        <w:t> »</w:t>
      </w:r>
    </w:p>
    <w:p w14:paraId="3BF96694" w14:textId="6D19A296" w:rsidR="00CA3533" w:rsidRPr="00CA3533" w:rsidRDefault="00CA3533" w:rsidP="00CA3533">
      <w:pPr>
        <w:spacing w:before="120" w:after="120"/>
        <w:ind w:left="2268" w:right="1134" w:hanging="1134"/>
        <w:jc w:val="both"/>
        <w:rPr>
          <w:shd w:val="clear" w:color="auto" w:fill="FFFFFF"/>
          <w:lang w:val="fr-FR"/>
        </w:rPr>
      </w:pPr>
      <w:r w:rsidRPr="00CA3533">
        <w:rPr>
          <w:shd w:val="clear" w:color="auto" w:fill="FFFFFF"/>
          <w:lang w:val="fr-FR"/>
        </w:rPr>
        <w:t>7.2.4</w:t>
      </w:r>
      <w:r w:rsidRPr="00CA3533">
        <w:rPr>
          <w:shd w:val="clear" w:color="auto" w:fill="FFFFFF"/>
          <w:lang w:val="fr-FR"/>
        </w:rPr>
        <w:tab/>
        <w:t>Ajouter la nouvelle disposition spéciale suivante :</w:t>
      </w:r>
    </w:p>
    <w:p w14:paraId="69E1081E" w14:textId="1133EAF6" w:rsidR="00CA3533" w:rsidRPr="00CA3533" w:rsidRDefault="00CA3533" w:rsidP="00CA3533">
      <w:pPr>
        <w:spacing w:before="120" w:after="120"/>
        <w:ind w:left="2268" w:right="1134" w:hanging="1134"/>
        <w:jc w:val="both"/>
        <w:rPr>
          <w:shd w:val="clear" w:color="auto" w:fill="FFFFFF"/>
          <w:lang w:val="fr-FR"/>
        </w:rPr>
      </w:pPr>
      <w:r w:rsidRPr="00CA3533">
        <w:rPr>
          <w:shd w:val="clear" w:color="auto" w:fill="FFFFFF"/>
          <w:lang w:val="fr-FR"/>
        </w:rPr>
        <w:t>« V15</w:t>
      </w:r>
      <w:r w:rsidRPr="00CA3533">
        <w:rPr>
          <w:shd w:val="clear" w:color="auto" w:fill="FFFFFF"/>
          <w:lang w:val="fr-FR"/>
        </w:rPr>
        <w:tab/>
        <w:t>Les GRV doivent être transportés dans des véhicules ou conteneurs fermés. »</w:t>
      </w:r>
    </w:p>
    <w:p w14:paraId="40A47E41" w14:textId="77777777" w:rsidR="00CA3533" w:rsidRPr="00CA3533" w:rsidRDefault="00CA3533" w:rsidP="00CA3533">
      <w:pPr>
        <w:keepNext/>
        <w:keepLines/>
        <w:tabs>
          <w:tab w:val="right" w:pos="851"/>
        </w:tabs>
        <w:spacing w:before="360" w:after="240" w:line="270" w:lineRule="exact"/>
        <w:ind w:right="1134"/>
        <w:rPr>
          <w:b/>
          <w:sz w:val="24"/>
          <w:lang w:val="fr-FR"/>
        </w:rPr>
      </w:pPr>
      <w:r w:rsidRPr="00CA3533">
        <w:rPr>
          <w:b/>
          <w:sz w:val="24"/>
          <w:lang w:val="fr-FR"/>
        </w:rPr>
        <w:tab/>
      </w:r>
      <w:r w:rsidRPr="00CA3533">
        <w:rPr>
          <w:b/>
          <w:sz w:val="24"/>
          <w:lang w:val="fr-FR"/>
        </w:rPr>
        <w:tab/>
        <w:t>Chapitre 7.3</w:t>
      </w:r>
    </w:p>
    <w:p w14:paraId="018C5B35" w14:textId="0EF5A187" w:rsidR="00CA3533" w:rsidRPr="00CA3533" w:rsidRDefault="00CA3533" w:rsidP="00CA3533">
      <w:pPr>
        <w:spacing w:before="120" w:after="120"/>
        <w:ind w:left="2268" w:right="1134" w:hanging="1134"/>
        <w:jc w:val="both"/>
        <w:rPr>
          <w:iCs/>
          <w:lang w:val="fr-FR"/>
        </w:rPr>
      </w:pPr>
      <w:r w:rsidRPr="00CA3533">
        <w:rPr>
          <w:iCs/>
          <w:lang w:val="fr-FR"/>
        </w:rPr>
        <w:t>7.3.1.13</w:t>
      </w:r>
      <w:r w:rsidRPr="00CA3533">
        <w:rPr>
          <w:iCs/>
          <w:lang w:val="fr-FR"/>
        </w:rPr>
        <w:tab/>
        <w:t>Remplacer les alinéas a) à i) par les alinéas a) à c) suivants :</w:t>
      </w:r>
    </w:p>
    <w:p w14:paraId="0093C0B2" w14:textId="0FD0173B" w:rsidR="00CA3533" w:rsidRPr="00CA3533" w:rsidRDefault="00CA3533" w:rsidP="00CA3533">
      <w:pPr>
        <w:spacing w:after="120"/>
        <w:ind w:left="2835" w:right="1134" w:hanging="567"/>
        <w:jc w:val="both"/>
        <w:rPr>
          <w:lang w:val="fr-FR"/>
        </w:rPr>
      </w:pPr>
      <w:r w:rsidRPr="00CA3533">
        <w:rPr>
          <w:iCs/>
          <w:lang w:val="fr-FR"/>
        </w:rPr>
        <w:t>« a)</w:t>
      </w:r>
      <w:r w:rsidRPr="00CA3533">
        <w:rPr>
          <w:iCs/>
          <w:lang w:val="fr-FR"/>
        </w:rPr>
        <w:tab/>
      </w:r>
      <w:r w:rsidRPr="00CA3533">
        <w:rPr>
          <w:lang w:val="fr-FR"/>
        </w:rPr>
        <w:t>Les pliures, fissures ou ruptures dans un élément structural ou de soutien, ou tout dommage causé à l’équipement de service ou au matériel d’exploitation, qui affectent l’intégrité du conteneur pour vrac, conteneur ou la caisse du véhicule ;</w:t>
      </w:r>
    </w:p>
    <w:p w14:paraId="3F54283C" w14:textId="4E9C4EDB" w:rsidR="00CA3533" w:rsidRPr="00CA3533" w:rsidRDefault="00CA3533" w:rsidP="00CA3533">
      <w:pPr>
        <w:spacing w:after="120"/>
        <w:ind w:left="2835" w:right="1134" w:hanging="567"/>
        <w:jc w:val="both"/>
        <w:rPr>
          <w:lang w:val="fr-FR"/>
        </w:rPr>
      </w:pPr>
      <w:r w:rsidRPr="00CA3533">
        <w:rPr>
          <w:lang w:val="fr-FR"/>
        </w:rPr>
        <w:t>b)</w:t>
      </w:r>
      <w:r w:rsidRPr="00CA3533">
        <w:rPr>
          <w:lang w:val="fr-FR"/>
        </w:rPr>
        <w:tab/>
        <w:t>Tout désalignement d’ensemble et tout dommage causé aux attaches de levage ou à l’interface de l’équipement de manutention suffisant pour empêcher le positionnement correct du matériel de manutention, le montage et l’assujettissement sur les châssis ou sur les wagons ou véhicules, ou l’insertion dans les cellules du navire ; et, le cas échéant</w:t>
      </w:r>
    </w:p>
    <w:p w14:paraId="1A985449" w14:textId="77777777" w:rsidR="00CA3533" w:rsidRPr="00CA3533" w:rsidRDefault="00CA3533" w:rsidP="00CA3533">
      <w:pPr>
        <w:spacing w:after="120"/>
        <w:ind w:left="2835" w:right="1134" w:hanging="567"/>
        <w:jc w:val="both"/>
        <w:rPr>
          <w:iCs/>
          <w:lang w:val="fr-FR"/>
        </w:rPr>
      </w:pPr>
      <w:r w:rsidRPr="00CA3533">
        <w:rPr>
          <w:lang w:val="fr-FR"/>
        </w:rPr>
        <w:t>c)</w:t>
      </w:r>
      <w:r w:rsidRPr="00CA3533">
        <w:rPr>
          <w:lang w:val="fr-FR"/>
        </w:rPr>
        <w:tab/>
        <w:t>Les charnières de porte, joints de porte et ferrures grippés, tordus, cassés, hors d’usage ou manquants. ».</w:t>
      </w:r>
    </w:p>
    <w:p w14:paraId="7993480E" w14:textId="77777777" w:rsidR="00CA3533" w:rsidRPr="00CA3533" w:rsidRDefault="00CA3533" w:rsidP="00CA3533">
      <w:pPr>
        <w:keepNext/>
        <w:keepLines/>
        <w:tabs>
          <w:tab w:val="right" w:pos="851"/>
        </w:tabs>
        <w:spacing w:before="360" w:after="240" w:line="270" w:lineRule="exact"/>
        <w:ind w:right="1134"/>
        <w:rPr>
          <w:b/>
          <w:sz w:val="24"/>
          <w:lang w:val="fr-FR"/>
        </w:rPr>
      </w:pPr>
      <w:r w:rsidRPr="00CA3533">
        <w:rPr>
          <w:b/>
          <w:sz w:val="24"/>
          <w:lang w:val="fr-FR"/>
        </w:rPr>
        <w:tab/>
      </w:r>
      <w:r w:rsidRPr="00CA3533">
        <w:rPr>
          <w:b/>
          <w:sz w:val="24"/>
          <w:lang w:val="fr-FR"/>
        </w:rPr>
        <w:tab/>
        <w:t>Chapitre 7.4</w:t>
      </w:r>
    </w:p>
    <w:p w14:paraId="22403394" w14:textId="0843377D" w:rsidR="00CA3533" w:rsidRPr="00CA3533" w:rsidRDefault="00CA3533" w:rsidP="00CA3533">
      <w:pPr>
        <w:spacing w:after="120"/>
        <w:ind w:left="2268" w:right="1134" w:hanging="1134"/>
        <w:jc w:val="both"/>
        <w:rPr>
          <w:lang w:val="fr-FR"/>
        </w:rPr>
      </w:pPr>
      <w:r w:rsidRPr="00CA3533">
        <w:rPr>
          <w:lang w:val="fr-FR"/>
        </w:rPr>
        <w:t>7.4.1</w:t>
      </w:r>
      <w:r w:rsidRPr="00CA3533">
        <w:rPr>
          <w:lang w:val="fr-FR"/>
        </w:rPr>
        <w:tab/>
        <w:t xml:space="preserve">Modifier la première phrase comme suit : « Une marchandise dangereuse ne peut être transportée en citernes que lorsqu’une instruction de transport en citernes mobiles est indiquée dans la colonne (10) ou un code-citerne est indiqué dans la colonne (12) du tableau A du chapitre 3.2 ou lorsqu’une autorité compétente a délivré </w:t>
      </w:r>
      <w:r w:rsidRPr="001E4F94">
        <w:rPr>
          <w:lang w:val="fr-FR"/>
        </w:rPr>
        <w:t>un agrément</w:t>
      </w:r>
      <w:r w:rsidRPr="00CA3533">
        <w:rPr>
          <w:lang w:val="fr-FR"/>
        </w:rPr>
        <w:t xml:space="preserve"> dans les conditions précisées au 6.7.1.3. ».</w:t>
      </w:r>
    </w:p>
    <w:p w14:paraId="7E5BBFFB" w14:textId="77777777" w:rsidR="00CA3533" w:rsidRPr="00CA3533" w:rsidRDefault="00CA3533" w:rsidP="00CA3533">
      <w:pPr>
        <w:keepNext/>
        <w:keepLines/>
        <w:tabs>
          <w:tab w:val="right" w:pos="851"/>
        </w:tabs>
        <w:spacing w:before="360" w:after="240" w:line="270" w:lineRule="exact"/>
        <w:ind w:right="1134"/>
        <w:rPr>
          <w:b/>
          <w:sz w:val="24"/>
          <w:lang w:val="fr-FR"/>
        </w:rPr>
      </w:pPr>
      <w:r w:rsidRPr="00CA3533">
        <w:rPr>
          <w:b/>
          <w:sz w:val="24"/>
          <w:lang w:val="fr-FR"/>
        </w:rPr>
        <w:tab/>
      </w:r>
      <w:r w:rsidRPr="00CA3533">
        <w:rPr>
          <w:b/>
          <w:sz w:val="24"/>
          <w:lang w:val="fr-FR"/>
        </w:rPr>
        <w:tab/>
        <w:t>Chapitre 7.5</w:t>
      </w:r>
    </w:p>
    <w:p w14:paraId="20E0FCF1" w14:textId="77777777" w:rsidR="00CA3533" w:rsidRPr="00CA3533" w:rsidRDefault="00CA3533" w:rsidP="00CA3533">
      <w:pPr>
        <w:spacing w:before="120" w:after="120"/>
        <w:ind w:left="2268" w:right="1134" w:hanging="1134"/>
        <w:jc w:val="both"/>
        <w:rPr>
          <w:lang w:val="fr-FR"/>
        </w:rPr>
      </w:pPr>
      <w:r w:rsidRPr="00CA3533">
        <w:rPr>
          <w:lang w:val="fr-FR"/>
        </w:rPr>
        <w:t>7.5.1.2</w:t>
      </w:r>
      <w:r w:rsidRPr="00CA3533">
        <w:rPr>
          <w:lang w:val="fr-FR"/>
        </w:rPr>
        <w:tab/>
      </w:r>
      <w:r w:rsidRPr="00CA3533">
        <w:rPr>
          <w:lang w:val="fr-FR"/>
        </w:rPr>
        <w:tab/>
        <w:t xml:space="preserve">La première modification ne s’applique pas au texte français. Dans la dernière phrase, remplacer « des colis devant y être chargés » par « de la cargaison devant y être chargée ». </w:t>
      </w:r>
    </w:p>
    <w:p w14:paraId="72546DA8" w14:textId="61C2AE84" w:rsidR="00CA3533" w:rsidRPr="00CA3533" w:rsidRDefault="00CA3533" w:rsidP="00CA3533">
      <w:pPr>
        <w:spacing w:before="120" w:after="120"/>
        <w:ind w:left="3402" w:right="1134" w:hanging="1134"/>
        <w:jc w:val="both"/>
        <w:rPr>
          <w:lang w:val="fr-FR"/>
        </w:rPr>
      </w:pPr>
      <w:r w:rsidRPr="00CA3533">
        <w:rPr>
          <w:lang w:val="fr-FR"/>
        </w:rPr>
        <w:t>Ajouter le nouveau texte suivant à la fin :</w:t>
      </w:r>
    </w:p>
    <w:p w14:paraId="2BFFCA82" w14:textId="77777777" w:rsidR="00CA3533" w:rsidRPr="00CA3533" w:rsidRDefault="00CA3533" w:rsidP="00CA3533">
      <w:pPr>
        <w:spacing w:after="120"/>
        <w:ind w:left="2268" w:right="1134"/>
        <w:jc w:val="both"/>
        <w:rPr>
          <w:lang w:val="fr-FR"/>
        </w:rPr>
      </w:pPr>
      <w:r w:rsidRPr="00CA3533">
        <w:rPr>
          <w:lang w:val="fr-FR"/>
        </w:rPr>
        <w:t xml:space="preserve">« L’engin de transport doit être examiné afin de s’assurer qu’il est structurellement propre à l’emploi, qu’il est exempt de résidus incompatibles avec le chargement, que le plancher, les parois intérieures et le plafond, le cas </w:t>
      </w:r>
      <w:r w:rsidRPr="00CA3533">
        <w:rPr>
          <w:lang w:val="fr-FR"/>
        </w:rPr>
        <w:lastRenderedPageBreak/>
        <w:t>échéant, ne présentent pas de saillies susceptibles d’affecter le chargement qui se trouve à l’intérieur et que les grands conteneurs sont exempts de dommages susceptibles d’affecter l’étanchéité aux intempéries du conteneur, lorsque cela est exigé.</w:t>
      </w:r>
    </w:p>
    <w:p w14:paraId="0F08961A" w14:textId="14788F8D" w:rsidR="00CA3533" w:rsidRPr="00CA3533" w:rsidRDefault="00CA3533" w:rsidP="00CA3533">
      <w:pPr>
        <w:spacing w:after="120"/>
        <w:ind w:left="2268" w:right="1134"/>
        <w:jc w:val="both"/>
        <w:rPr>
          <w:lang w:val="fr-FR"/>
        </w:rPr>
      </w:pPr>
      <w:r w:rsidRPr="00CA3533">
        <w:rPr>
          <w:lang w:val="fr-FR"/>
        </w:rPr>
        <w:t>L’expression « structurellement propre à l’emploi » s’entend d’un engin de transport qui ne présente pas de défauts importants affectant ses éléments structuraux. Pour les engins de transport multimodaux, les éléments structuraux sont notamment les longerons supérieurs et inférieurs, les traverses supérieures et inférieures, les montants d’angles et les pièces de coin et, pour les conteneurs, les seuils et linteaux de portes et les traverses de plancher. On entend par « défauts importants » :</w:t>
      </w:r>
    </w:p>
    <w:p w14:paraId="577311C0" w14:textId="7ABAE383" w:rsidR="00CA3533" w:rsidRPr="00CA3533" w:rsidRDefault="00CA3533" w:rsidP="001E4F94">
      <w:pPr>
        <w:spacing w:after="120"/>
        <w:ind w:left="2835" w:right="1134" w:hanging="567"/>
        <w:jc w:val="both"/>
        <w:rPr>
          <w:lang w:val="fr-FR"/>
        </w:rPr>
      </w:pPr>
      <w:r w:rsidRPr="00CA3533">
        <w:rPr>
          <w:lang w:val="fr-FR"/>
        </w:rPr>
        <w:t>a)</w:t>
      </w:r>
      <w:r w:rsidRPr="00CA3533">
        <w:rPr>
          <w:lang w:val="fr-FR"/>
        </w:rPr>
        <w:tab/>
        <w:t>Les pliures, fissures ou ruptures dans un élément structural ou de soutien, ou tout ou tout dommage causé à l’équipement de service ou au matériel d’exploitation, qui affectent l’intégrité de l’engin de transport ;</w:t>
      </w:r>
    </w:p>
    <w:p w14:paraId="747CD654" w14:textId="52892557" w:rsidR="00CA3533" w:rsidRPr="00CA3533" w:rsidRDefault="00CA3533" w:rsidP="001E4F94">
      <w:pPr>
        <w:spacing w:after="120"/>
        <w:ind w:left="2835" w:right="1134" w:hanging="567"/>
        <w:jc w:val="both"/>
        <w:rPr>
          <w:lang w:val="fr-FR"/>
        </w:rPr>
      </w:pPr>
      <w:r w:rsidRPr="00CA3533">
        <w:rPr>
          <w:lang w:val="fr-FR"/>
        </w:rPr>
        <w:t>b)</w:t>
      </w:r>
      <w:r w:rsidRPr="00CA3533">
        <w:rPr>
          <w:lang w:val="fr-FR"/>
        </w:rPr>
        <w:tab/>
        <w:t>Tout désalignement d’ensemble ou tout dommage causé aux attaches de levage ou à l’interface de l’équipement de manutention suffisant pour empêcher le positionnement correct du matériel de manutention, le montage et l’arrimage sur les châssis ou sur les wagons ou véhicules, ou l’insertion dans les cellules du navire, et, le cas échéant ;</w:t>
      </w:r>
    </w:p>
    <w:p w14:paraId="74373DB6" w14:textId="72148ABD" w:rsidR="00CA3533" w:rsidRPr="00CA3533" w:rsidRDefault="00CA3533" w:rsidP="001E4F94">
      <w:pPr>
        <w:spacing w:after="120"/>
        <w:ind w:left="2835" w:right="1134" w:hanging="567"/>
        <w:jc w:val="both"/>
        <w:rPr>
          <w:lang w:val="fr-FR"/>
        </w:rPr>
      </w:pPr>
      <w:r w:rsidRPr="00CA3533">
        <w:rPr>
          <w:lang w:val="fr-FR"/>
        </w:rPr>
        <w:t>c)</w:t>
      </w:r>
      <w:r w:rsidRPr="00CA3533">
        <w:rPr>
          <w:lang w:val="fr-FR"/>
        </w:rPr>
        <w:tab/>
        <w:t>Les charnières de porte, joints de porte et ferrures grippés, tordus, cassés, hors d’usage ou manquants.</w:t>
      </w:r>
      <w:r w:rsidR="001E4F94">
        <w:rPr>
          <w:lang w:val="fr-FR"/>
        </w:rPr>
        <w:t> »</w:t>
      </w:r>
    </w:p>
    <w:p w14:paraId="7DA8ECFB" w14:textId="77777777" w:rsidR="00CA3533" w:rsidRPr="00CA3533" w:rsidRDefault="00CA3533" w:rsidP="00CA3533">
      <w:pPr>
        <w:keepNext/>
        <w:keepLines/>
        <w:tabs>
          <w:tab w:val="right" w:pos="851"/>
        </w:tabs>
        <w:spacing w:before="360" w:after="240" w:line="270" w:lineRule="exact"/>
        <w:ind w:right="1134"/>
        <w:rPr>
          <w:b/>
          <w:sz w:val="24"/>
          <w:lang w:val="fr-FR"/>
        </w:rPr>
      </w:pPr>
      <w:r w:rsidRPr="00CA3533">
        <w:rPr>
          <w:b/>
          <w:sz w:val="24"/>
          <w:lang w:val="fr-FR"/>
        </w:rPr>
        <w:tab/>
      </w:r>
      <w:r w:rsidRPr="00CA3533">
        <w:rPr>
          <w:b/>
          <w:sz w:val="24"/>
          <w:lang w:val="fr-FR"/>
        </w:rPr>
        <w:tab/>
        <w:t>Chapitre 8.1</w:t>
      </w:r>
    </w:p>
    <w:p w14:paraId="549854D0" w14:textId="77777777" w:rsidR="00CA3533" w:rsidRPr="00CA3533" w:rsidRDefault="00CA3533" w:rsidP="00CA3533">
      <w:pPr>
        <w:spacing w:after="120"/>
        <w:ind w:left="2268" w:right="1134" w:hanging="1134"/>
        <w:jc w:val="both"/>
        <w:rPr>
          <w:lang w:val="fr-FR"/>
        </w:rPr>
      </w:pPr>
      <w:r w:rsidRPr="00CA3533">
        <w:rPr>
          <w:lang w:val="fr-FR"/>
        </w:rPr>
        <w:t>8.1.2.1</w:t>
      </w:r>
      <w:r w:rsidRPr="00CA3533">
        <w:rPr>
          <w:lang w:val="fr-FR"/>
        </w:rPr>
        <w:tab/>
        <w:t>À l’alinéa a), supprimer « et, le cas échéant, le "certificat d’empotage du conteneur ou du véhicule" ».</w:t>
      </w:r>
    </w:p>
    <w:p w14:paraId="148C5705" w14:textId="77777777" w:rsidR="00CA3533" w:rsidRPr="00CA3533" w:rsidRDefault="00CA3533" w:rsidP="00CA3533">
      <w:pPr>
        <w:keepNext/>
        <w:keepLines/>
        <w:tabs>
          <w:tab w:val="right" w:pos="851"/>
        </w:tabs>
        <w:spacing w:before="360" w:after="240" w:line="270" w:lineRule="exact"/>
        <w:ind w:right="1134"/>
        <w:rPr>
          <w:b/>
          <w:sz w:val="24"/>
          <w:lang w:val="fr-FR"/>
        </w:rPr>
      </w:pPr>
      <w:r w:rsidRPr="00CA3533">
        <w:rPr>
          <w:b/>
          <w:sz w:val="24"/>
          <w:lang w:val="fr-FR"/>
        </w:rPr>
        <w:tab/>
      </w:r>
      <w:r w:rsidRPr="00CA3533">
        <w:rPr>
          <w:b/>
          <w:sz w:val="24"/>
          <w:lang w:val="fr-FR"/>
        </w:rPr>
        <w:tab/>
        <w:t>Chapitre 8.5</w:t>
      </w:r>
    </w:p>
    <w:p w14:paraId="66F30A18" w14:textId="425164F8" w:rsidR="00CA3533" w:rsidRPr="00CA3533" w:rsidRDefault="00CA3533" w:rsidP="00CA3533">
      <w:pPr>
        <w:keepNext/>
        <w:spacing w:after="120"/>
        <w:ind w:left="2268" w:right="1134" w:hanging="1134"/>
        <w:jc w:val="both"/>
        <w:rPr>
          <w:lang w:val="fr-FR"/>
        </w:rPr>
      </w:pPr>
      <w:r w:rsidRPr="00CA3533">
        <w:rPr>
          <w:lang w:val="fr-FR"/>
        </w:rPr>
        <w:t>S1 (6)</w:t>
      </w:r>
      <w:r w:rsidRPr="00CA3533">
        <w:rPr>
          <w:lang w:val="fr-FR"/>
        </w:rPr>
        <w:tab/>
        <w:t>Dans la liste du premier paragraphe</w:t>
      </w:r>
      <w:r w:rsidR="00FB22B1">
        <w:rPr>
          <w:lang w:val="fr-FR"/>
        </w:rPr>
        <w:t>, dans la dernière ligne,</w:t>
      </w:r>
      <w:r w:rsidRPr="00CA3533">
        <w:rPr>
          <w:lang w:val="fr-FR"/>
        </w:rPr>
        <w:t xml:space="preserve"> remplacer «</w:t>
      </w:r>
      <w:r w:rsidR="00B449F7">
        <w:rPr>
          <w:lang w:val="fr-FR"/>
        </w:rPr>
        <w:t> </w:t>
      </w:r>
      <w:r w:rsidRPr="00CA3533">
        <w:rPr>
          <w:lang w:val="fr-FR"/>
        </w:rPr>
        <w:t>et 0500</w:t>
      </w:r>
      <w:r w:rsidR="00B449F7">
        <w:rPr>
          <w:lang w:val="fr-FR"/>
        </w:rPr>
        <w:t> </w:t>
      </w:r>
      <w:r w:rsidRPr="00CA3533">
        <w:rPr>
          <w:lang w:val="fr-FR"/>
        </w:rPr>
        <w:t>» par «</w:t>
      </w:r>
      <w:r w:rsidR="00B449F7">
        <w:rPr>
          <w:lang w:val="fr-FR"/>
        </w:rPr>
        <w:t> </w:t>
      </w:r>
      <w:r w:rsidRPr="00CA3533">
        <w:rPr>
          <w:lang w:val="fr-FR"/>
        </w:rPr>
        <w:t>, 0500, 0512 et 0513</w:t>
      </w:r>
      <w:r w:rsidR="00B449F7">
        <w:rPr>
          <w:lang w:val="fr-FR"/>
        </w:rPr>
        <w:t> </w:t>
      </w:r>
      <w:r w:rsidRPr="00CA3533">
        <w:rPr>
          <w:lang w:val="fr-FR"/>
        </w:rPr>
        <w:t>».</w:t>
      </w:r>
    </w:p>
    <w:p w14:paraId="1DC5FAE3" w14:textId="77777777" w:rsidR="00CA3533" w:rsidRPr="00CA3533" w:rsidRDefault="00CA3533" w:rsidP="00CA3533">
      <w:pPr>
        <w:keepNext/>
        <w:keepLines/>
        <w:tabs>
          <w:tab w:val="right" w:pos="851"/>
        </w:tabs>
        <w:spacing w:before="360" w:after="240" w:line="270" w:lineRule="exact"/>
        <w:ind w:left="1134" w:right="1134" w:hanging="1134"/>
        <w:rPr>
          <w:b/>
          <w:sz w:val="24"/>
          <w:lang w:val="fr-FR"/>
        </w:rPr>
      </w:pPr>
      <w:r w:rsidRPr="00CA3533">
        <w:rPr>
          <w:b/>
          <w:sz w:val="24"/>
          <w:lang w:val="fr-FR"/>
        </w:rPr>
        <w:tab/>
      </w:r>
      <w:r w:rsidRPr="00CA3533">
        <w:rPr>
          <w:b/>
          <w:sz w:val="24"/>
          <w:lang w:val="fr-FR"/>
        </w:rPr>
        <w:tab/>
        <w:t>Chapitre 9.1</w:t>
      </w:r>
    </w:p>
    <w:p w14:paraId="19382DCD" w14:textId="12946035" w:rsidR="004B4412" w:rsidRDefault="004B4412" w:rsidP="004B4412">
      <w:pPr>
        <w:pStyle w:val="SingleTxtG"/>
        <w:ind w:left="2268" w:hanging="1134"/>
        <w:jc w:val="left"/>
        <w:rPr>
          <w:lang w:val="fr-FR"/>
        </w:rPr>
      </w:pPr>
      <w:r>
        <w:rPr>
          <w:lang w:val="fr-FR"/>
        </w:rPr>
        <w:t>9.1.3.1</w:t>
      </w:r>
      <w:r>
        <w:rPr>
          <w:lang w:val="fr-FR"/>
        </w:rPr>
        <w:tab/>
        <w:t>Dans la note de bas de page 4, remplacer</w:t>
      </w:r>
      <w:r w:rsidR="00E83D63">
        <w:rPr>
          <w:lang w:val="fr-FR"/>
        </w:rPr>
        <w:t xml:space="preserve"> </w:t>
      </w:r>
      <w:r>
        <w:rPr>
          <w:lang w:val="fr-FR"/>
        </w:rPr>
        <w:t>« </w:t>
      </w:r>
      <w:r w:rsidRPr="006C7694">
        <w:rPr>
          <w:i/>
          <w:iCs/>
        </w:rPr>
        <w:t>(http://www.unece.org/trans/danger/danger.htm</w:t>
      </w:r>
      <w:r>
        <w:rPr>
          <w:i/>
          <w:iCs/>
        </w:rPr>
        <w:t>l</w:t>
      </w:r>
      <w:r w:rsidRPr="006C7694">
        <w:rPr>
          <w:i/>
          <w:iCs/>
        </w:rPr>
        <w:t>)</w:t>
      </w:r>
      <w:r>
        <w:rPr>
          <w:lang w:val="fr-FR"/>
        </w:rPr>
        <w:t> » par « </w:t>
      </w:r>
      <w:r w:rsidRPr="009B585A">
        <w:rPr>
          <w:i/>
          <w:iCs/>
        </w:rPr>
        <w:t>(</w:t>
      </w:r>
      <w:r w:rsidRPr="003D76A9">
        <w:rPr>
          <w:i/>
          <w:iCs/>
        </w:rPr>
        <w:t>https://unece.org/guidelines-telematics-application-standards-construction-and-approval-vehicles-calculation-risks)</w:t>
      </w:r>
      <w:r>
        <w:rPr>
          <w:lang w:val="fr-FR"/>
        </w:rPr>
        <w:t> ».</w:t>
      </w:r>
    </w:p>
    <w:p w14:paraId="2B4724A9" w14:textId="77777777" w:rsidR="00FC7C55" w:rsidRPr="00476248" w:rsidRDefault="00FC7C55" w:rsidP="00FC7C55">
      <w:pPr>
        <w:pStyle w:val="SingleTxtG"/>
        <w:ind w:left="2268" w:hanging="1134"/>
        <w:rPr>
          <w:lang w:val="fr-FR"/>
        </w:rPr>
      </w:pPr>
      <w:r w:rsidRPr="00476248">
        <w:rPr>
          <w:lang w:val="fr-FR"/>
        </w:rPr>
        <w:t>9.1.3.3</w:t>
      </w:r>
      <w:r w:rsidRPr="00476248">
        <w:rPr>
          <w:lang w:val="fr-FR"/>
        </w:rPr>
        <w:tab/>
        <w:t>Dans le quatrième paragraphe, remplacer « EX/III » par « FL ou EX/III », supprimer « destiné au transport des matières explosibles en citerne, » et, à la fin, supprimer « pour le transport de matières explosibles en citerne ».</w:t>
      </w:r>
    </w:p>
    <w:p w14:paraId="4F368FB6" w14:textId="77777777" w:rsidR="00CA3533" w:rsidRPr="00CA3533" w:rsidRDefault="00CA3533" w:rsidP="00CA3533">
      <w:pPr>
        <w:spacing w:after="120"/>
        <w:ind w:left="2268" w:right="1134" w:hanging="1134"/>
        <w:jc w:val="both"/>
        <w:rPr>
          <w:lang w:val="fr-FR"/>
        </w:rPr>
      </w:pPr>
      <w:r w:rsidRPr="00CA3533">
        <w:rPr>
          <w:lang w:val="fr-FR"/>
        </w:rPr>
        <w:t>9.1.3.4</w:t>
      </w:r>
      <w:r w:rsidRPr="00CA3533">
        <w:rPr>
          <w:lang w:val="fr-FR"/>
        </w:rPr>
        <w:tab/>
        <w:t>Modifier le dernier paragraphe pour lire comme suit :</w:t>
      </w:r>
    </w:p>
    <w:p w14:paraId="7B340A43" w14:textId="42A2A385" w:rsidR="00CA3533" w:rsidRPr="00CA3533" w:rsidRDefault="001E4F94" w:rsidP="001E4F94">
      <w:pPr>
        <w:spacing w:after="120"/>
        <w:ind w:left="2268" w:right="1134" w:hanging="1134"/>
        <w:jc w:val="both"/>
        <w:rPr>
          <w:lang w:val="fr-FR"/>
        </w:rPr>
      </w:pPr>
      <w:r>
        <w:rPr>
          <w:lang w:val="fr-FR"/>
        </w:rPr>
        <w:tab/>
      </w:r>
      <w:r w:rsidR="00CA3533" w:rsidRPr="00CA3533">
        <w:rPr>
          <w:lang w:val="fr-FR"/>
        </w:rPr>
        <w:t>« Ces dispositions n'impliquent toutefois pas que les contrôles des citernes doivent être effectués à des intervalles plus courts que ceux prévus aux chapitres 6.8, 6.10 ou 6.13. »</w:t>
      </w:r>
    </w:p>
    <w:p w14:paraId="79995511" w14:textId="77777777" w:rsidR="00CA3533" w:rsidRPr="00CA3533" w:rsidRDefault="00CA3533" w:rsidP="00CA3533">
      <w:pPr>
        <w:keepNext/>
        <w:keepLines/>
        <w:tabs>
          <w:tab w:val="right" w:pos="851"/>
        </w:tabs>
        <w:spacing w:before="360" w:after="240" w:line="270" w:lineRule="exact"/>
        <w:ind w:right="1134"/>
        <w:rPr>
          <w:b/>
          <w:sz w:val="24"/>
          <w:lang w:val="fr-FR"/>
        </w:rPr>
      </w:pPr>
      <w:r w:rsidRPr="00CA3533">
        <w:rPr>
          <w:b/>
          <w:sz w:val="24"/>
          <w:lang w:val="fr-FR"/>
        </w:rPr>
        <w:tab/>
      </w:r>
      <w:r w:rsidRPr="00CA3533">
        <w:rPr>
          <w:b/>
          <w:sz w:val="24"/>
          <w:lang w:val="fr-FR"/>
        </w:rPr>
        <w:tab/>
        <w:t>Chapitre 9.7</w:t>
      </w:r>
    </w:p>
    <w:p w14:paraId="0A616A9C" w14:textId="41196BAF" w:rsidR="00CA3533" w:rsidRPr="00CA3533" w:rsidRDefault="00CA3533" w:rsidP="00CA3533">
      <w:pPr>
        <w:spacing w:after="120"/>
        <w:ind w:left="2268" w:right="1134" w:hanging="1134"/>
        <w:jc w:val="both"/>
        <w:rPr>
          <w:lang w:val="fr-FR"/>
        </w:rPr>
      </w:pPr>
      <w:r w:rsidRPr="00CA3533">
        <w:rPr>
          <w:lang w:val="fr-FR"/>
        </w:rPr>
        <w:t xml:space="preserve">9.7.2.4 </w:t>
      </w:r>
      <w:r w:rsidR="001B4BCE">
        <w:rPr>
          <w:lang w:val="fr-FR"/>
        </w:rPr>
        <w:tab/>
      </w:r>
      <w:r w:rsidR="003C042A">
        <w:rPr>
          <w:lang w:val="fr-FR"/>
        </w:rPr>
        <w:t>Après</w:t>
      </w:r>
      <w:r w:rsidR="003C042A" w:rsidRPr="00CA3533">
        <w:rPr>
          <w:lang w:val="fr-FR"/>
        </w:rPr>
        <w:t xml:space="preserve"> </w:t>
      </w:r>
      <w:r w:rsidRPr="00CA3533">
        <w:rPr>
          <w:lang w:val="fr-FR"/>
        </w:rPr>
        <w:t xml:space="preserve">« chapitre 6.9 » </w:t>
      </w:r>
      <w:r w:rsidR="003C042A">
        <w:rPr>
          <w:lang w:val="fr-FR"/>
        </w:rPr>
        <w:t>ajouter</w:t>
      </w:r>
      <w:r w:rsidR="003C042A" w:rsidRPr="00CA3533">
        <w:rPr>
          <w:lang w:val="fr-FR"/>
        </w:rPr>
        <w:t xml:space="preserve"> </w:t>
      </w:r>
      <w:r w:rsidRPr="00CA3533">
        <w:rPr>
          <w:lang w:val="fr-FR"/>
        </w:rPr>
        <w:t>« ou chapitre 6.13 selon le cas ».</w:t>
      </w:r>
    </w:p>
    <w:p w14:paraId="564398D8" w14:textId="49F0B7C8" w:rsidR="00CA3533" w:rsidRPr="00CA3533" w:rsidRDefault="00CA3533" w:rsidP="00CA3533">
      <w:pPr>
        <w:spacing w:after="120"/>
        <w:ind w:left="2268" w:right="1134" w:hanging="1134"/>
        <w:jc w:val="both"/>
        <w:rPr>
          <w:lang w:val="fr-FR"/>
        </w:rPr>
      </w:pPr>
      <w:r w:rsidRPr="00CA3533">
        <w:rPr>
          <w:lang w:val="fr-FR"/>
        </w:rPr>
        <w:t xml:space="preserve">9.7.4 </w:t>
      </w:r>
      <w:r w:rsidR="001B4BCE">
        <w:rPr>
          <w:lang w:val="fr-FR"/>
        </w:rPr>
        <w:tab/>
      </w:r>
      <w:r w:rsidRPr="00CA3533">
        <w:rPr>
          <w:lang w:val="fr-FR"/>
        </w:rPr>
        <w:t>Dans le Nota, remplacer « 6.9.1.2 et 6.9.2.14.3 » par « 6.13.1.2 et 6.13.2.14.3 ».</w:t>
      </w:r>
    </w:p>
    <w:p w14:paraId="58D300C8" w14:textId="77777777" w:rsidR="009D310D" w:rsidRPr="00E641AF" w:rsidRDefault="009D310D" w:rsidP="009D310D">
      <w:pPr>
        <w:pStyle w:val="SingleTxtG"/>
        <w:ind w:left="2268" w:hanging="1134"/>
      </w:pPr>
      <w:r w:rsidRPr="00E641AF">
        <w:lastRenderedPageBreak/>
        <w:t>9.7.5.1</w:t>
      </w:r>
      <w:r>
        <w:tab/>
        <w:t>Dans la première phrase, après « essieu) », insérer « </w:t>
      </w:r>
      <w:r w:rsidRPr="00E1622C">
        <w:t>de l’essieu le plus large</w:t>
      </w:r>
      <w:r>
        <w:t> ».</w:t>
      </w:r>
    </w:p>
    <w:p w14:paraId="0A462768" w14:textId="77777777" w:rsidR="0028016A" w:rsidRDefault="0028016A" w:rsidP="0028016A">
      <w:pPr>
        <w:pStyle w:val="SingleTxtG"/>
        <w:ind w:left="2268" w:hanging="1134"/>
        <w:rPr>
          <w:lang w:val="fr-FR"/>
        </w:rPr>
      </w:pPr>
      <w:r>
        <w:rPr>
          <w:lang w:val="fr-FR"/>
        </w:rPr>
        <w:t>9.7.9</w:t>
      </w:r>
      <w:r>
        <w:rPr>
          <w:lang w:val="fr-FR"/>
        </w:rPr>
        <w:tab/>
        <w:t>Modifier pour lire comme suit :</w:t>
      </w:r>
    </w:p>
    <w:p w14:paraId="40628830" w14:textId="77777777" w:rsidR="0028016A" w:rsidRPr="00476248" w:rsidRDefault="0028016A" w:rsidP="0028016A">
      <w:pPr>
        <w:pStyle w:val="SingleTxtG"/>
        <w:ind w:left="2268" w:hanging="1134"/>
        <w:rPr>
          <w:lang w:val="fr-FR"/>
        </w:rPr>
      </w:pPr>
      <w:r w:rsidRPr="00476248">
        <w:rPr>
          <w:lang w:val="fr-FR"/>
        </w:rPr>
        <w:t>«</w:t>
      </w:r>
      <w:r w:rsidRPr="00476248">
        <w:rPr>
          <w:b/>
          <w:bCs/>
          <w:lang w:val="fr-FR"/>
        </w:rPr>
        <w:t> 9.7.9</w:t>
      </w:r>
      <w:r w:rsidRPr="00476248">
        <w:rPr>
          <w:b/>
          <w:bCs/>
          <w:lang w:val="fr-FR"/>
        </w:rPr>
        <w:tab/>
        <w:t>Prescriptions supplémentaires en matière de sécurité concernant les véhicules FL et EX/III</w:t>
      </w:r>
    </w:p>
    <w:p w14:paraId="1F0F7740" w14:textId="77777777" w:rsidR="0028016A" w:rsidRPr="00476248" w:rsidRDefault="0028016A" w:rsidP="0028016A">
      <w:pPr>
        <w:pStyle w:val="SingleTxtG"/>
        <w:ind w:left="2268" w:hanging="1134"/>
        <w:rPr>
          <w:lang w:val="fr-FR"/>
        </w:rPr>
      </w:pPr>
      <w:r w:rsidRPr="00476248">
        <w:rPr>
          <w:lang w:val="fr-FR"/>
        </w:rPr>
        <w:t>9.7.9.1</w:t>
      </w:r>
      <w:r w:rsidRPr="00476248">
        <w:rPr>
          <w:lang w:val="fr-FR"/>
        </w:rPr>
        <w:tab/>
      </w:r>
      <w:r w:rsidRPr="00476248">
        <w:rPr>
          <w:lang w:val="fr-FR"/>
        </w:rPr>
        <w:tab/>
        <w:t xml:space="preserve">Les véhicules suivants doivent être équipés d’extincteurs automatiques pour le compartiment où se trouve le moteur à combustion interne servant à la propulsion du véhicule : </w:t>
      </w:r>
    </w:p>
    <w:p w14:paraId="2F5E959D" w14:textId="5FD6639F" w:rsidR="0028016A" w:rsidRPr="00476248" w:rsidRDefault="0028016A" w:rsidP="001B4BCE">
      <w:pPr>
        <w:pStyle w:val="SingleTxtG"/>
        <w:ind w:left="2835" w:hanging="567"/>
        <w:rPr>
          <w:lang w:val="fr-FR"/>
        </w:rPr>
      </w:pPr>
      <w:r w:rsidRPr="00476248">
        <w:rPr>
          <w:lang w:val="fr-FR"/>
        </w:rPr>
        <w:t>a)</w:t>
      </w:r>
      <w:r w:rsidRPr="00476248">
        <w:rPr>
          <w:lang w:val="fr-FR"/>
        </w:rPr>
        <w:tab/>
        <w:t>Les véhicules FL transportant des gaz inflammables liquéfiés et comprimés avec un code de classification comprenant un F ;</w:t>
      </w:r>
    </w:p>
    <w:p w14:paraId="5A9E66D3" w14:textId="757E5030" w:rsidR="0028016A" w:rsidRPr="00476248" w:rsidRDefault="0028016A" w:rsidP="001B4BCE">
      <w:pPr>
        <w:pStyle w:val="SingleTxtG"/>
        <w:ind w:left="2835" w:hanging="567"/>
        <w:rPr>
          <w:lang w:val="fr-FR"/>
        </w:rPr>
      </w:pPr>
      <w:r w:rsidRPr="00476248">
        <w:rPr>
          <w:lang w:val="fr-FR"/>
        </w:rPr>
        <w:t>b)</w:t>
      </w:r>
      <w:r w:rsidRPr="00476248">
        <w:rPr>
          <w:lang w:val="fr-FR"/>
        </w:rPr>
        <w:tab/>
        <w:t xml:space="preserve">Les véhicules FL transportant des liquides inflammables du groupe d’emballage I ou du groupe d’emballage II ; </w:t>
      </w:r>
      <w:r w:rsidR="005B7A04">
        <w:rPr>
          <w:lang w:val="fr-FR"/>
        </w:rPr>
        <w:t>et</w:t>
      </w:r>
    </w:p>
    <w:p w14:paraId="09DB8EBD" w14:textId="16C9F13A" w:rsidR="0028016A" w:rsidRPr="00476248" w:rsidRDefault="0028016A" w:rsidP="001B4BCE">
      <w:pPr>
        <w:pStyle w:val="SingleTxtG"/>
        <w:ind w:left="2835" w:hanging="567"/>
        <w:rPr>
          <w:lang w:val="fr-FR"/>
        </w:rPr>
      </w:pPr>
      <w:r w:rsidRPr="00476248">
        <w:rPr>
          <w:lang w:val="fr-FR"/>
        </w:rPr>
        <w:t>c)</w:t>
      </w:r>
      <w:r w:rsidRPr="00476248">
        <w:rPr>
          <w:lang w:val="fr-FR"/>
        </w:rPr>
        <w:tab/>
        <w:t>Les véhicules EX/III.</w:t>
      </w:r>
    </w:p>
    <w:p w14:paraId="46FF9338" w14:textId="77777777" w:rsidR="0028016A" w:rsidRPr="00476248" w:rsidRDefault="0028016A" w:rsidP="0028016A">
      <w:pPr>
        <w:pStyle w:val="SingleTxtG"/>
        <w:ind w:left="2268" w:hanging="1134"/>
        <w:rPr>
          <w:lang w:val="fr-FR"/>
        </w:rPr>
      </w:pPr>
      <w:r w:rsidRPr="00476248">
        <w:rPr>
          <w:lang w:val="fr-FR"/>
        </w:rPr>
        <w:t>9.7.9.2</w:t>
      </w:r>
      <w:r w:rsidRPr="00476248">
        <w:rPr>
          <w:lang w:val="fr-FR"/>
        </w:rPr>
        <w:tab/>
      </w:r>
      <w:r w:rsidRPr="00476248">
        <w:rPr>
          <w:lang w:val="fr-FR"/>
        </w:rPr>
        <w:tab/>
        <w:t xml:space="preserve">Les véhicules suivants doivent être équipés d’une protection thermique capable de freiner la propagation d’un feu à partir de toutes les roues : </w:t>
      </w:r>
    </w:p>
    <w:p w14:paraId="55BFABC7" w14:textId="5C37FCC9" w:rsidR="0028016A" w:rsidRPr="00476248" w:rsidRDefault="0028016A" w:rsidP="001B4BCE">
      <w:pPr>
        <w:pStyle w:val="SingleTxtG"/>
        <w:ind w:left="2835" w:hanging="567"/>
        <w:rPr>
          <w:lang w:val="fr-FR"/>
        </w:rPr>
      </w:pPr>
      <w:r w:rsidRPr="00476248">
        <w:rPr>
          <w:lang w:val="fr-FR"/>
        </w:rPr>
        <w:t>a)</w:t>
      </w:r>
      <w:r w:rsidRPr="00476248">
        <w:rPr>
          <w:lang w:val="fr-FR"/>
        </w:rPr>
        <w:tab/>
        <w:t>Les véhicules FL transportant des gaz inflammables liquéfiés et comprimés avec un code de classification comprenant un F ;</w:t>
      </w:r>
    </w:p>
    <w:p w14:paraId="352DC25E" w14:textId="229C1B4A" w:rsidR="0028016A" w:rsidRPr="00476248" w:rsidRDefault="0028016A" w:rsidP="001B4BCE">
      <w:pPr>
        <w:pStyle w:val="SingleTxtG"/>
        <w:ind w:left="2835" w:hanging="567"/>
        <w:rPr>
          <w:lang w:val="fr-FR"/>
        </w:rPr>
      </w:pPr>
      <w:r w:rsidRPr="00476248">
        <w:rPr>
          <w:lang w:val="fr-FR"/>
        </w:rPr>
        <w:t>b)</w:t>
      </w:r>
      <w:r w:rsidRPr="00476248">
        <w:rPr>
          <w:lang w:val="fr-FR"/>
        </w:rPr>
        <w:tab/>
        <w:t xml:space="preserve">Les véhicules FL transportant des liquides inflammables du groupe d’emballage I ou du groupe d’emballage II ; </w:t>
      </w:r>
      <w:r w:rsidR="005B7A04">
        <w:rPr>
          <w:lang w:val="fr-FR"/>
        </w:rPr>
        <w:t>et</w:t>
      </w:r>
    </w:p>
    <w:p w14:paraId="37865828" w14:textId="1BCB9B66" w:rsidR="0028016A" w:rsidRPr="00476248" w:rsidRDefault="0028016A" w:rsidP="001B4BCE">
      <w:pPr>
        <w:pStyle w:val="SingleTxtG"/>
        <w:ind w:left="2835" w:hanging="567"/>
        <w:rPr>
          <w:lang w:val="fr-FR"/>
        </w:rPr>
      </w:pPr>
      <w:r w:rsidRPr="00476248">
        <w:rPr>
          <w:lang w:val="fr-FR"/>
        </w:rPr>
        <w:t>c)</w:t>
      </w:r>
      <w:r w:rsidRPr="00476248">
        <w:rPr>
          <w:lang w:val="fr-FR"/>
        </w:rPr>
        <w:tab/>
        <w:t>Les véhicules EX/III.</w:t>
      </w:r>
    </w:p>
    <w:p w14:paraId="37F0BF5D" w14:textId="32C74E3F" w:rsidR="0028016A" w:rsidRPr="00476248" w:rsidRDefault="0028016A" w:rsidP="0028016A">
      <w:pPr>
        <w:pStyle w:val="SingleTxtG"/>
        <w:ind w:left="2268" w:hanging="1134"/>
        <w:rPr>
          <w:i/>
          <w:iCs/>
          <w:lang w:val="fr-FR"/>
        </w:rPr>
      </w:pPr>
      <w:r>
        <w:rPr>
          <w:b/>
          <w:bCs/>
          <w:i/>
          <w:iCs/>
          <w:lang w:val="fr-FR"/>
        </w:rPr>
        <w:tab/>
      </w:r>
      <w:r w:rsidRPr="00476248">
        <w:rPr>
          <w:b/>
          <w:bCs/>
          <w:i/>
          <w:iCs/>
          <w:lang w:val="fr-FR"/>
        </w:rPr>
        <w:t>NOTA</w:t>
      </w:r>
      <w:r w:rsidR="001B4BCE">
        <w:rPr>
          <w:b/>
          <w:bCs/>
          <w:i/>
          <w:iCs/>
          <w:lang w:val="fr-FR"/>
        </w:rPr>
        <w:t> </w:t>
      </w:r>
      <w:r w:rsidRPr="00476248">
        <w:rPr>
          <w:b/>
          <w:bCs/>
          <w:i/>
          <w:iCs/>
          <w:lang w:val="fr-FR"/>
        </w:rPr>
        <w:t>:</w:t>
      </w:r>
      <w:r w:rsidRPr="00476248">
        <w:rPr>
          <w:i/>
          <w:iCs/>
          <w:lang w:val="fr-FR"/>
        </w:rPr>
        <w:tab/>
        <w:t>L’objectif est d’éviter, par exemple au moyen d’écrans thermiques ou d’autres dispositifs équivalents, la propagation du feu vers le chargement :</w:t>
      </w:r>
    </w:p>
    <w:p w14:paraId="29EA1B8B" w14:textId="77777777" w:rsidR="0028016A" w:rsidRPr="00476248" w:rsidRDefault="0028016A" w:rsidP="0028016A">
      <w:pPr>
        <w:pStyle w:val="SingleTxtG"/>
        <w:ind w:left="2268" w:hanging="1134"/>
        <w:rPr>
          <w:i/>
          <w:iCs/>
          <w:lang w:val="fr-FR"/>
        </w:rPr>
      </w:pPr>
      <w:r w:rsidRPr="00476248">
        <w:rPr>
          <w:i/>
          <w:iCs/>
          <w:lang w:val="fr-FR"/>
        </w:rPr>
        <w:tab/>
        <w:t>a)</w:t>
      </w:r>
      <w:r w:rsidRPr="00476248">
        <w:rPr>
          <w:i/>
          <w:iCs/>
          <w:lang w:val="fr-FR"/>
        </w:rPr>
        <w:tab/>
        <w:t xml:space="preserve">Soit par propagation directe de la roue au chargement ; </w:t>
      </w:r>
    </w:p>
    <w:p w14:paraId="152F6549" w14:textId="77777777" w:rsidR="0028016A" w:rsidRPr="00476248" w:rsidRDefault="0028016A" w:rsidP="0028016A">
      <w:pPr>
        <w:pStyle w:val="SingleTxtG"/>
        <w:ind w:left="2268" w:hanging="1134"/>
        <w:rPr>
          <w:lang w:val="fr-FR"/>
        </w:rPr>
      </w:pPr>
      <w:r w:rsidRPr="00476248">
        <w:rPr>
          <w:i/>
          <w:iCs/>
          <w:lang w:val="fr-FR"/>
        </w:rPr>
        <w:tab/>
        <w:t>b)</w:t>
      </w:r>
      <w:r w:rsidRPr="00476248">
        <w:rPr>
          <w:i/>
          <w:iCs/>
          <w:lang w:val="fr-FR"/>
        </w:rPr>
        <w:tab/>
        <w:t>Soit par propagation indirecte de la roue à la cabine puis au chargement</w:t>
      </w:r>
      <w:r w:rsidRPr="00476248">
        <w:rPr>
          <w:lang w:val="fr-FR"/>
        </w:rPr>
        <w:t>. »</w:t>
      </w:r>
    </w:p>
    <w:p w14:paraId="52DA21B7" w14:textId="77777777" w:rsidR="00CA3533" w:rsidRPr="00CA3533" w:rsidRDefault="00CA3533" w:rsidP="00CA3533">
      <w:pPr>
        <w:kinsoku/>
        <w:overflowPunct/>
        <w:autoSpaceDE/>
        <w:autoSpaceDN/>
        <w:adjustRightInd/>
        <w:snapToGrid/>
        <w:spacing w:before="240"/>
        <w:jc w:val="center"/>
        <w:rPr>
          <w:u w:val="single"/>
          <w:lang w:val="fr-FR" w:eastAsia="en-US"/>
        </w:rPr>
      </w:pPr>
      <w:r w:rsidRPr="00CA3533">
        <w:rPr>
          <w:u w:val="single"/>
          <w:lang w:val="fr-FR" w:eastAsia="en-US"/>
        </w:rPr>
        <w:tab/>
      </w:r>
      <w:r w:rsidRPr="00CA3533">
        <w:rPr>
          <w:u w:val="single"/>
          <w:lang w:val="fr-FR" w:eastAsia="en-US"/>
        </w:rPr>
        <w:tab/>
      </w:r>
      <w:r w:rsidRPr="00CA3533">
        <w:rPr>
          <w:u w:val="single"/>
          <w:lang w:val="fr-FR" w:eastAsia="en-US"/>
        </w:rPr>
        <w:tab/>
      </w:r>
    </w:p>
    <w:p w14:paraId="16A46305" w14:textId="32E802A7" w:rsidR="00C1626B" w:rsidRPr="00CA3533" w:rsidRDefault="00C1626B" w:rsidP="00F06ED4">
      <w:pPr>
        <w:rPr>
          <w:b/>
        </w:rPr>
      </w:pPr>
    </w:p>
    <w:p w14:paraId="09BA8980" w14:textId="77777777" w:rsidR="00010065" w:rsidRPr="00CA3533" w:rsidRDefault="00010065" w:rsidP="00F06ED4"/>
    <w:sectPr w:rsidR="00010065" w:rsidRPr="00CA3533" w:rsidSect="00F263FE">
      <w:headerReference w:type="even" r:id="rId22"/>
      <w:headerReference w:type="default" r:id="rId23"/>
      <w:footerReference w:type="even" r:id="rId24"/>
      <w:footerReference w:type="default" r:id="rId25"/>
      <w:footerReference w:type="first" r:id="rId2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81B4" w14:textId="77777777" w:rsidR="00F119CB" w:rsidRDefault="00F119CB" w:rsidP="00F95C08">
      <w:pPr>
        <w:spacing w:line="240" w:lineRule="auto"/>
      </w:pPr>
    </w:p>
  </w:endnote>
  <w:endnote w:type="continuationSeparator" w:id="0">
    <w:p w14:paraId="5798C3A3" w14:textId="77777777" w:rsidR="00F119CB" w:rsidRPr="00AC3823" w:rsidRDefault="00F119CB" w:rsidP="00AC3823">
      <w:pPr>
        <w:pStyle w:val="Footer"/>
      </w:pPr>
    </w:p>
  </w:endnote>
  <w:endnote w:type="continuationNotice" w:id="1">
    <w:p w14:paraId="0CF1C66A" w14:textId="77777777" w:rsidR="00F119CB" w:rsidRDefault="00F119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8715" w14:textId="77777777" w:rsidR="00F263FE" w:rsidRPr="00F263FE" w:rsidRDefault="00F263FE" w:rsidP="00F263FE">
    <w:pPr>
      <w:pStyle w:val="Footer"/>
      <w:tabs>
        <w:tab w:val="right" w:pos="9638"/>
      </w:tabs>
      <w:rPr>
        <w:sz w:val="18"/>
      </w:rPr>
    </w:pPr>
    <w:r w:rsidRPr="00F263FE">
      <w:rPr>
        <w:b/>
        <w:sz w:val="18"/>
      </w:rPr>
      <w:fldChar w:fldCharType="begin"/>
    </w:r>
    <w:r w:rsidRPr="00F263FE">
      <w:rPr>
        <w:b/>
        <w:sz w:val="18"/>
      </w:rPr>
      <w:instrText xml:space="preserve"> PAGE  \* MERGEFORMAT </w:instrText>
    </w:r>
    <w:r w:rsidRPr="00F263FE">
      <w:rPr>
        <w:b/>
        <w:sz w:val="18"/>
      </w:rPr>
      <w:fldChar w:fldCharType="separate"/>
    </w:r>
    <w:r w:rsidRPr="00F263FE">
      <w:rPr>
        <w:b/>
        <w:noProof/>
        <w:sz w:val="18"/>
      </w:rPr>
      <w:t>2</w:t>
    </w:r>
    <w:r w:rsidRPr="00F263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DA0F" w14:textId="77777777" w:rsidR="00F263FE" w:rsidRPr="00F263FE" w:rsidRDefault="00F263FE" w:rsidP="00F263FE">
    <w:pPr>
      <w:pStyle w:val="Footer"/>
      <w:tabs>
        <w:tab w:val="right" w:pos="9638"/>
      </w:tabs>
      <w:rPr>
        <w:b/>
        <w:sz w:val="18"/>
      </w:rPr>
    </w:pPr>
    <w:r>
      <w:tab/>
    </w:r>
    <w:r w:rsidRPr="00F263FE">
      <w:rPr>
        <w:b/>
        <w:sz w:val="18"/>
      </w:rPr>
      <w:fldChar w:fldCharType="begin"/>
    </w:r>
    <w:r w:rsidRPr="00F263FE">
      <w:rPr>
        <w:b/>
        <w:sz w:val="18"/>
      </w:rPr>
      <w:instrText xml:space="preserve"> PAGE  \* MERGEFORMAT </w:instrText>
    </w:r>
    <w:r w:rsidRPr="00F263FE">
      <w:rPr>
        <w:b/>
        <w:sz w:val="18"/>
      </w:rPr>
      <w:fldChar w:fldCharType="separate"/>
    </w:r>
    <w:r w:rsidRPr="00F263FE">
      <w:rPr>
        <w:b/>
        <w:noProof/>
        <w:sz w:val="18"/>
      </w:rPr>
      <w:t>3</w:t>
    </w:r>
    <w:r w:rsidRPr="00F263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50F1" w14:textId="77777777" w:rsidR="000D3EE9" w:rsidRPr="00F263FE" w:rsidRDefault="000942EE" w:rsidP="0001207F">
    <w:pPr>
      <w:pStyle w:val="Footer"/>
      <w:spacing w:before="120"/>
      <w:rPr>
        <w:sz w:val="20"/>
      </w:rPr>
    </w:pPr>
    <w:r w:rsidRPr="000942EE">
      <w:rPr>
        <w:noProof/>
        <w:lang w:eastAsia="fr-CH"/>
      </w:rPr>
      <w:drawing>
        <wp:anchor distT="0" distB="0" distL="114300" distR="114300" simplePos="0" relativeHeight="251658240" behindDoc="0" locked="0" layoutInCell="1" allowOverlap="0" wp14:anchorId="24BE8AC4" wp14:editId="3CDE4E01">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774D" w14:textId="77777777" w:rsidR="00F119CB" w:rsidRPr="00AC3823" w:rsidRDefault="00F119CB" w:rsidP="00AC3823">
      <w:pPr>
        <w:pStyle w:val="Footer"/>
        <w:tabs>
          <w:tab w:val="right" w:pos="2155"/>
        </w:tabs>
        <w:spacing w:after="80" w:line="240" w:lineRule="atLeast"/>
        <w:ind w:left="680"/>
        <w:rPr>
          <w:u w:val="single"/>
        </w:rPr>
      </w:pPr>
      <w:r>
        <w:rPr>
          <w:u w:val="single"/>
        </w:rPr>
        <w:tab/>
      </w:r>
    </w:p>
  </w:footnote>
  <w:footnote w:type="continuationSeparator" w:id="0">
    <w:p w14:paraId="57D0BF6D" w14:textId="77777777" w:rsidR="00F119CB" w:rsidRPr="00AC3823" w:rsidRDefault="00F119CB" w:rsidP="00AC3823">
      <w:pPr>
        <w:pStyle w:val="Footer"/>
        <w:tabs>
          <w:tab w:val="right" w:pos="2155"/>
        </w:tabs>
        <w:spacing w:after="80" w:line="240" w:lineRule="atLeast"/>
        <w:ind w:left="680"/>
        <w:rPr>
          <w:u w:val="single"/>
        </w:rPr>
      </w:pPr>
      <w:r>
        <w:rPr>
          <w:u w:val="single"/>
        </w:rPr>
        <w:tab/>
      </w:r>
    </w:p>
  </w:footnote>
  <w:footnote w:type="continuationNotice" w:id="1">
    <w:p w14:paraId="5CF08975" w14:textId="77777777" w:rsidR="00F119CB" w:rsidRPr="00AC3823" w:rsidRDefault="00F119C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0223" w14:textId="77777777" w:rsidR="00F263FE" w:rsidRPr="00F263FE" w:rsidRDefault="00EB0542">
    <w:pPr>
      <w:pStyle w:val="Header"/>
    </w:pPr>
    <w:fldSimple w:instr=" TITLE  \* MERGEFORMAT ">
      <w:r w:rsidR="00F263FE">
        <w:t>ECE/TRANS/WP.15/256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6562" w14:textId="77777777" w:rsidR="00F263FE" w:rsidRPr="00F263FE" w:rsidRDefault="00EB0542" w:rsidP="00F263FE">
    <w:pPr>
      <w:pStyle w:val="Header"/>
      <w:jc w:val="right"/>
    </w:pPr>
    <w:fldSimple w:instr=" TITLE  \* MERGEFORMAT ">
      <w:r w:rsidR="00F263FE">
        <w:t>ECE/TRANS/WP.15/256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3"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5"/>
  </w:num>
  <w:num w:numId="3">
    <w:abstractNumId w:val="1"/>
  </w:num>
  <w:num w:numId="4">
    <w:abstractNumId w:val="6"/>
  </w:num>
  <w:num w:numId="5">
    <w:abstractNumId w:val="2"/>
  </w:num>
  <w:num w:numId="6">
    <w:abstractNumId w:val="0"/>
  </w:num>
  <w:num w:numId="7">
    <w:abstractNumId w:val="8"/>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F263FE"/>
    <w:rsid w:val="000023A7"/>
    <w:rsid w:val="00002A18"/>
    <w:rsid w:val="00007E48"/>
    <w:rsid w:val="00010065"/>
    <w:rsid w:val="0001207F"/>
    <w:rsid w:val="0001241D"/>
    <w:rsid w:val="00017F94"/>
    <w:rsid w:val="0002140D"/>
    <w:rsid w:val="00021983"/>
    <w:rsid w:val="00022892"/>
    <w:rsid w:val="00023842"/>
    <w:rsid w:val="0002463E"/>
    <w:rsid w:val="00024D6F"/>
    <w:rsid w:val="00030476"/>
    <w:rsid w:val="000334F9"/>
    <w:rsid w:val="00043361"/>
    <w:rsid w:val="00044A86"/>
    <w:rsid w:val="0004639C"/>
    <w:rsid w:val="00051C0A"/>
    <w:rsid w:val="0005229B"/>
    <w:rsid w:val="00056171"/>
    <w:rsid w:val="000629C2"/>
    <w:rsid w:val="00065485"/>
    <w:rsid w:val="0006559A"/>
    <w:rsid w:val="0007796D"/>
    <w:rsid w:val="00083455"/>
    <w:rsid w:val="00093363"/>
    <w:rsid w:val="000942EE"/>
    <w:rsid w:val="00094A27"/>
    <w:rsid w:val="000A3220"/>
    <w:rsid w:val="000A4143"/>
    <w:rsid w:val="000A52BF"/>
    <w:rsid w:val="000B55C1"/>
    <w:rsid w:val="000B7790"/>
    <w:rsid w:val="000C16AC"/>
    <w:rsid w:val="000C47EA"/>
    <w:rsid w:val="000D3EE9"/>
    <w:rsid w:val="000D608D"/>
    <w:rsid w:val="000D62F3"/>
    <w:rsid w:val="000D67FA"/>
    <w:rsid w:val="000E01DF"/>
    <w:rsid w:val="000E02AE"/>
    <w:rsid w:val="000E1D9F"/>
    <w:rsid w:val="000E47A3"/>
    <w:rsid w:val="000E6BF6"/>
    <w:rsid w:val="00100122"/>
    <w:rsid w:val="001014B0"/>
    <w:rsid w:val="00104B1C"/>
    <w:rsid w:val="00106436"/>
    <w:rsid w:val="00106A1A"/>
    <w:rsid w:val="001104F1"/>
    <w:rsid w:val="00111F2F"/>
    <w:rsid w:val="001146F4"/>
    <w:rsid w:val="00114768"/>
    <w:rsid w:val="001209B1"/>
    <w:rsid w:val="0012400E"/>
    <w:rsid w:val="00125EBF"/>
    <w:rsid w:val="00126F5E"/>
    <w:rsid w:val="001327AA"/>
    <w:rsid w:val="00134569"/>
    <w:rsid w:val="00137200"/>
    <w:rsid w:val="001433FD"/>
    <w:rsid w:val="0014365E"/>
    <w:rsid w:val="00144B30"/>
    <w:rsid w:val="00146BF7"/>
    <w:rsid w:val="00147482"/>
    <w:rsid w:val="00147F28"/>
    <w:rsid w:val="00152740"/>
    <w:rsid w:val="001541D3"/>
    <w:rsid w:val="0015440A"/>
    <w:rsid w:val="00156B77"/>
    <w:rsid w:val="001571EA"/>
    <w:rsid w:val="00157A69"/>
    <w:rsid w:val="001604A9"/>
    <w:rsid w:val="001626F0"/>
    <w:rsid w:val="00162DBD"/>
    <w:rsid w:val="001675F2"/>
    <w:rsid w:val="00171316"/>
    <w:rsid w:val="00172921"/>
    <w:rsid w:val="00176178"/>
    <w:rsid w:val="00177140"/>
    <w:rsid w:val="00185A3B"/>
    <w:rsid w:val="0018740B"/>
    <w:rsid w:val="0019329E"/>
    <w:rsid w:val="0019488F"/>
    <w:rsid w:val="00195439"/>
    <w:rsid w:val="00196805"/>
    <w:rsid w:val="00197A0A"/>
    <w:rsid w:val="001A3D0C"/>
    <w:rsid w:val="001A4E68"/>
    <w:rsid w:val="001A5758"/>
    <w:rsid w:val="001A5872"/>
    <w:rsid w:val="001B04E1"/>
    <w:rsid w:val="001B4BCE"/>
    <w:rsid w:val="001B4EC2"/>
    <w:rsid w:val="001B51B4"/>
    <w:rsid w:val="001C1842"/>
    <w:rsid w:val="001C377B"/>
    <w:rsid w:val="001C3E50"/>
    <w:rsid w:val="001C5C22"/>
    <w:rsid w:val="001D10B9"/>
    <w:rsid w:val="001D3FD7"/>
    <w:rsid w:val="001D400F"/>
    <w:rsid w:val="001D5E42"/>
    <w:rsid w:val="001D7B1F"/>
    <w:rsid w:val="001E2233"/>
    <w:rsid w:val="001E3EAA"/>
    <w:rsid w:val="001E430D"/>
    <w:rsid w:val="001E4F94"/>
    <w:rsid w:val="001F5191"/>
    <w:rsid w:val="001F525A"/>
    <w:rsid w:val="001F70AA"/>
    <w:rsid w:val="00200CB6"/>
    <w:rsid w:val="00201B4D"/>
    <w:rsid w:val="00203700"/>
    <w:rsid w:val="002058F7"/>
    <w:rsid w:val="002061F4"/>
    <w:rsid w:val="0021116A"/>
    <w:rsid w:val="002154F7"/>
    <w:rsid w:val="00223272"/>
    <w:rsid w:val="00227792"/>
    <w:rsid w:val="00227930"/>
    <w:rsid w:val="0023540E"/>
    <w:rsid w:val="00240333"/>
    <w:rsid w:val="0024779E"/>
    <w:rsid w:val="00247C48"/>
    <w:rsid w:val="00252D94"/>
    <w:rsid w:val="00252EF0"/>
    <w:rsid w:val="00253AAA"/>
    <w:rsid w:val="00256AFC"/>
    <w:rsid w:val="002578DE"/>
    <w:rsid w:val="00261252"/>
    <w:rsid w:val="00262778"/>
    <w:rsid w:val="00262BEF"/>
    <w:rsid w:val="00263992"/>
    <w:rsid w:val="0026444D"/>
    <w:rsid w:val="00266264"/>
    <w:rsid w:val="0027497E"/>
    <w:rsid w:val="00277774"/>
    <w:rsid w:val="0028016A"/>
    <w:rsid w:val="002815AF"/>
    <w:rsid w:val="00281B37"/>
    <w:rsid w:val="0028261E"/>
    <w:rsid w:val="002829C0"/>
    <w:rsid w:val="002832AC"/>
    <w:rsid w:val="00287F00"/>
    <w:rsid w:val="00291658"/>
    <w:rsid w:val="002A6B34"/>
    <w:rsid w:val="002A7665"/>
    <w:rsid w:val="002B5341"/>
    <w:rsid w:val="002C2714"/>
    <w:rsid w:val="002C4AA8"/>
    <w:rsid w:val="002C5347"/>
    <w:rsid w:val="002C68F0"/>
    <w:rsid w:val="002C6917"/>
    <w:rsid w:val="002D4BE7"/>
    <w:rsid w:val="002D4C0A"/>
    <w:rsid w:val="002D6702"/>
    <w:rsid w:val="002D7C93"/>
    <w:rsid w:val="002E58EB"/>
    <w:rsid w:val="002E71B0"/>
    <w:rsid w:val="002F110B"/>
    <w:rsid w:val="002F1D01"/>
    <w:rsid w:val="002F5E49"/>
    <w:rsid w:val="00311A83"/>
    <w:rsid w:val="00323A96"/>
    <w:rsid w:val="00327616"/>
    <w:rsid w:val="00330793"/>
    <w:rsid w:val="00332332"/>
    <w:rsid w:val="003326DD"/>
    <w:rsid w:val="00340CB1"/>
    <w:rsid w:val="003503B3"/>
    <w:rsid w:val="00351A60"/>
    <w:rsid w:val="00352FEA"/>
    <w:rsid w:val="003570EB"/>
    <w:rsid w:val="003615BC"/>
    <w:rsid w:val="0037241C"/>
    <w:rsid w:val="00373DC6"/>
    <w:rsid w:val="003819FF"/>
    <w:rsid w:val="00383D86"/>
    <w:rsid w:val="00394D15"/>
    <w:rsid w:val="003960E8"/>
    <w:rsid w:val="003A08AF"/>
    <w:rsid w:val="003A2FB6"/>
    <w:rsid w:val="003A56EB"/>
    <w:rsid w:val="003A583E"/>
    <w:rsid w:val="003C042A"/>
    <w:rsid w:val="003C0A3D"/>
    <w:rsid w:val="003C0C97"/>
    <w:rsid w:val="003C10C5"/>
    <w:rsid w:val="003C1AF0"/>
    <w:rsid w:val="003C5439"/>
    <w:rsid w:val="003D2603"/>
    <w:rsid w:val="003E00A1"/>
    <w:rsid w:val="003E0F28"/>
    <w:rsid w:val="003E3B4D"/>
    <w:rsid w:val="003E3CC9"/>
    <w:rsid w:val="003E3EB4"/>
    <w:rsid w:val="003E402C"/>
    <w:rsid w:val="003E6C9A"/>
    <w:rsid w:val="003E74AD"/>
    <w:rsid w:val="003F3A96"/>
    <w:rsid w:val="00405B6B"/>
    <w:rsid w:val="00405E7C"/>
    <w:rsid w:val="004062C2"/>
    <w:rsid w:val="004150DC"/>
    <w:rsid w:val="00416B98"/>
    <w:rsid w:val="00416FE3"/>
    <w:rsid w:val="00417734"/>
    <w:rsid w:val="00425790"/>
    <w:rsid w:val="00430BD4"/>
    <w:rsid w:val="00431475"/>
    <w:rsid w:val="00433AD3"/>
    <w:rsid w:val="00440B34"/>
    <w:rsid w:val="00441B98"/>
    <w:rsid w:val="00441C3B"/>
    <w:rsid w:val="00443CBE"/>
    <w:rsid w:val="00444C70"/>
    <w:rsid w:val="00446B0A"/>
    <w:rsid w:val="00446FE5"/>
    <w:rsid w:val="00452396"/>
    <w:rsid w:val="00471288"/>
    <w:rsid w:val="0047145F"/>
    <w:rsid w:val="00486CB0"/>
    <w:rsid w:val="00494A2C"/>
    <w:rsid w:val="00495A02"/>
    <w:rsid w:val="0049687C"/>
    <w:rsid w:val="004A2E0E"/>
    <w:rsid w:val="004A3EDF"/>
    <w:rsid w:val="004A4865"/>
    <w:rsid w:val="004B3763"/>
    <w:rsid w:val="004B4412"/>
    <w:rsid w:val="004B549C"/>
    <w:rsid w:val="004C74D9"/>
    <w:rsid w:val="004D15C9"/>
    <w:rsid w:val="004D601F"/>
    <w:rsid w:val="004E0760"/>
    <w:rsid w:val="004E3F07"/>
    <w:rsid w:val="004E468C"/>
    <w:rsid w:val="004E7FDC"/>
    <w:rsid w:val="004F30EB"/>
    <w:rsid w:val="004F3DD7"/>
    <w:rsid w:val="004F77A5"/>
    <w:rsid w:val="0050153C"/>
    <w:rsid w:val="00510B3E"/>
    <w:rsid w:val="00512959"/>
    <w:rsid w:val="00520EA8"/>
    <w:rsid w:val="00522FB6"/>
    <w:rsid w:val="0052695D"/>
    <w:rsid w:val="005316B0"/>
    <w:rsid w:val="0053196A"/>
    <w:rsid w:val="005323CB"/>
    <w:rsid w:val="005406CC"/>
    <w:rsid w:val="00543C68"/>
    <w:rsid w:val="0054591F"/>
    <w:rsid w:val="005505B7"/>
    <w:rsid w:val="005515AD"/>
    <w:rsid w:val="005536F7"/>
    <w:rsid w:val="0055632C"/>
    <w:rsid w:val="00565BB0"/>
    <w:rsid w:val="00567DFE"/>
    <w:rsid w:val="005714B9"/>
    <w:rsid w:val="0057273F"/>
    <w:rsid w:val="00572CC3"/>
    <w:rsid w:val="0057366F"/>
    <w:rsid w:val="00573BE5"/>
    <w:rsid w:val="0057507D"/>
    <w:rsid w:val="005754DB"/>
    <w:rsid w:val="00586ED3"/>
    <w:rsid w:val="0059266D"/>
    <w:rsid w:val="005933C0"/>
    <w:rsid w:val="00596AA9"/>
    <w:rsid w:val="005A37BA"/>
    <w:rsid w:val="005B2268"/>
    <w:rsid w:val="005B2885"/>
    <w:rsid w:val="005B4606"/>
    <w:rsid w:val="005B4D0F"/>
    <w:rsid w:val="005B6879"/>
    <w:rsid w:val="005B7A04"/>
    <w:rsid w:val="005B7B20"/>
    <w:rsid w:val="005C20C8"/>
    <w:rsid w:val="005C5931"/>
    <w:rsid w:val="005C72C7"/>
    <w:rsid w:val="005D108D"/>
    <w:rsid w:val="005E0D15"/>
    <w:rsid w:val="005E118A"/>
    <w:rsid w:val="005E198C"/>
    <w:rsid w:val="005E3AF9"/>
    <w:rsid w:val="005E41DE"/>
    <w:rsid w:val="005E4561"/>
    <w:rsid w:val="005E48CE"/>
    <w:rsid w:val="005E4D78"/>
    <w:rsid w:val="005F44BA"/>
    <w:rsid w:val="006108C4"/>
    <w:rsid w:val="00626B25"/>
    <w:rsid w:val="00640A87"/>
    <w:rsid w:val="00645DD1"/>
    <w:rsid w:val="00647F4F"/>
    <w:rsid w:val="00661B91"/>
    <w:rsid w:val="006648D5"/>
    <w:rsid w:val="00665D86"/>
    <w:rsid w:val="00674121"/>
    <w:rsid w:val="00674335"/>
    <w:rsid w:val="00681D98"/>
    <w:rsid w:val="00684A9E"/>
    <w:rsid w:val="00685B31"/>
    <w:rsid w:val="00693AF1"/>
    <w:rsid w:val="0069666F"/>
    <w:rsid w:val="00697E91"/>
    <w:rsid w:val="006A24E0"/>
    <w:rsid w:val="006A2A93"/>
    <w:rsid w:val="006A2D22"/>
    <w:rsid w:val="006A382D"/>
    <w:rsid w:val="006A3D16"/>
    <w:rsid w:val="006B0691"/>
    <w:rsid w:val="006B30A0"/>
    <w:rsid w:val="006C2EA4"/>
    <w:rsid w:val="006C3370"/>
    <w:rsid w:val="006C6321"/>
    <w:rsid w:val="006D570F"/>
    <w:rsid w:val="006D5A66"/>
    <w:rsid w:val="006D7919"/>
    <w:rsid w:val="006E12BB"/>
    <w:rsid w:val="006E25EB"/>
    <w:rsid w:val="006E5AF4"/>
    <w:rsid w:val="006E76CB"/>
    <w:rsid w:val="006F15AA"/>
    <w:rsid w:val="006F18DE"/>
    <w:rsid w:val="006F5D6B"/>
    <w:rsid w:val="00703D0F"/>
    <w:rsid w:val="00706363"/>
    <w:rsid w:val="0071054C"/>
    <w:rsid w:val="007107F3"/>
    <w:rsid w:val="00711F6A"/>
    <w:rsid w:val="00714E48"/>
    <w:rsid w:val="00715122"/>
    <w:rsid w:val="007158BB"/>
    <w:rsid w:val="0071601D"/>
    <w:rsid w:val="00717F98"/>
    <w:rsid w:val="007200CA"/>
    <w:rsid w:val="0072620C"/>
    <w:rsid w:val="00726B00"/>
    <w:rsid w:val="00735E35"/>
    <w:rsid w:val="00743091"/>
    <w:rsid w:val="00744BBF"/>
    <w:rsid w:val="0075410D"/>
    <w:rsid w:val="00755B0A"/>
    <w:rsid w:val="00764E4A"/>
    <w:rsid w:val="0077447C"/>
    <w:rsid w:val="00776187"/>
    <w:rsid w:val="00777156"/>
    <w:rsid w:val="00780A22"/>
    <w:rsid w:val="00783830"/>
    <w:rsid w:val="007859E7"/>
    <w:rsid w:val="00785F67"/>
    <w:rsid w:val="00786487"/>
    <w:rsid w:val="00792077"/>
    <w:rsid w:val="0079477B"/>
    <w:rsid w:val="007978FE"/>
    <w:rsid w:val="007A0A37"/>
    <w:rsid w:val="007A1ABB"/>
    <w:rsid w:val="007A2036"/>
    <w:rsid w:val="007A4E96"/>
    <w:rsid w:val="007A62E6"/>
    <w:rsid w:val="007B0AA8"/>
    <w:rsid w:val="007B295A"/>
    <w:rsid w:val="007B433A"/>
    <w:rsid w:val="007B756A"/>
    <w:rsid w:val="007B76ED"/>
    <w:rsid w:val="007C49EC"/>
    <w:rsid w:val="007C6795"/>
    <w:rsid w:val="007C786F"/>
    <w:rsid w:val="007C7D27"/>
    <w:rsid w:val="007D5472"/>
    <w:rsid w:val="007D721F"/>
    <w:rsid w:val="007E0765"/>
    <w:rsid w:val="007E34CC"/>
    <w:rsid w:val="007E7129"/>
    <w:rsid w:val="007F0394"/>
    <w:rsid w:val="007F465D"/>
    <w:rsid w:val="007F596E"/>
    <w:rsid w:val="0080304F"/>
    <w:rsid w:val="008045E4"/>
    <w:rsid w:val="0080684C"/>
    <w:rsid w:val="00815D22"/>
    <w:rsid w:val="008204DA"/>
    <w:rsid w:val="00826B2D"/>
    <w:rsid w:val="00830995"/>
    <w:rsid w:val="00831D00"/>
    <w:rsid w:val="00850402"/>
    <w:rsid w:val="00850AA9"/>
    <w:rsid w:val="00852543"/>
    <w:rsid w:val="008535AD"/>
    <w:rsid w:val="00853D96"/>
    <w:rsid w:val="008562BB"/>
    <w:rsid w:val="008578F3"/>
    <w:rsid w:val="008610E3"/>
    <w:rsid w:val="00871C75"/>
    <w:rsid w:val="0087209D"/>
    <w:rsid w:val="008735A1"/>
    <w:rsid w:val="0087368F"/>
    <w:rsid w:val="00876304"/>
    <w:rsid w:val="008767E8"/>
    <w:rsid w:val="008776DC"/>
    <w:rsid w:val="00877DEB"/>
    <w:rsid w:val="00883605"/>
    <w:rsid w:val="0088769B"/>
    <w:rsid w:val="00890F40"/>
    <w:rsid w:val="0089776F"/>
    <w:rsid w:val="00897EE6"/>
    <w:rsid w:val="008A0322"/>
    <w:rsid w:val="008A4333"/>
    <w:rsid w:val="008A55FF"/>
    <w:rsid w:val="008C09A4"/>
    <w:rsid w:val="008C3327"/>
    <w:rsid w:val="008C5162"/>
    <w:rsid w:val="008D0033"/>
    <w:rsid w:val="008D0230"/>
    <w:rsid w:val="008D06BA"/>
    <w:rsid w:val="008D246C"/>
    <w:rsid w:val="008D37B7"/>
    <w:rsid w:val="008D4E4A"/>
    <w:rsid w:val="008D57D6"/>
    <w:rsid w:val="008E280E"/>
    <w:rsid w:val="008E4E3E"/>
    <w:rsid w:val="008E6043"/>
    <w:rsid w:val="009029EF"/>
    <w:rsid w:val="009052C2"/>
    <w:rsid w:val="00907EC1"/>
    <w:rsid w:val="0091056C"/>
    <w:rsid w:val="00910AA2"/>
    <w:rsid w:val="00912852"/>
    <w:rsid w:val="0091288C"/>
    <w:rsid w:val="00920709"/>
    <w:rsid w:val="009212DD"/>
    <w:rsid w:val="00925D03"/>
    <w:rsid w:val="00932746"/>
    <w:rsid w:val="009343A0"/>
    <w:rsid w:val="00934D89"/>
    <w:rsid w:val="0093687A"/>
    <w:rsid w:val="00936FAF"/>
    <w:rsid w:val="0093741E"/>
    <w:rsid w:val="009438E7"/>
    <w:rsid w:val="00944A54"/>
    <w:rsid w:val="00951E4D"/>
    <w:rsid w:val="00954486"/>
    <w:rsid w:val="00960048"/>
    <w:rsid w:val="00961E7B"/>
    <w:rsid w:val="00964F15"/>
    <w:rsid w:val="00966C19"/>
    <w:rsid w:val="009700D6"/>
    <w:rsid w:val="009705C8"/>
    <w:rsid w:val="009738F1"/>
    <w:rsid w:val="00975E7D"/>
    <w:rsid w:val="00976A14"/>
    <w:rsid w:val="0098459B"/>
    <w:rsid w:val="009939C5"/>
    <w:rsid w:val="009940A0"/>
    <w:rsid w:val="009978DE"/>
    <w:rsid w:val="009A123B"/>
    <w:rsid w:val="009A1FBC"/>
    <w:rsid w:val="009A5CF9"/>
    <w:rsid w:val="009B046D"/>
    <w:rsid w:val="009C092F"/>
    <w:rsid w:val="009C1CF4"/>
    <w:rsid w:val="009C2555"/>
    <w:rsid w:val="009C365E"/>
    <w:rsid w:val="009C6FF1"/>
    <w:rsid w:val="009C7583"/>
    <w:rsid w:val="009D187D"/>
    <w:rsid w:val="009D310D"/>
    <w:rsid w:val="009D795F"/>
    <w:rsid w:val="009E04C2"/>
    <w:rsid w:val="009E7903"/>
    <w:rsid w:val="009E7ECC"/>
    <w:rsid w:val="009F02C9"/>
    <w:rsid w:val="009F7787"/>
    <w:rsid w:val="009F7DFC"/>
    <w:rsid w:val="00A01EF6"/>
    <w:rsid w:val="00A02EDB"/>
    <w:rsid w:val="00A078DA"/>
    <w:rsid w:val="00A07AA0"/>
    <w:rsid w:val="00A21EBB"/>
    <w:rsid w:val="00A2208E"/>
    <w:rsid w:val="00A22C92"/>
    <w:rsid w:val="00A24166"/>
    <w:rsid w:val="00A26BF1"/>
    <w:rsid w:val="00A30353"/>
    <w:rsid w:val="00A31229"/>
    <w:rsid w:val="00A31CA5"/>
    <w:rsid w:val="00A36A7B"/>
    <w:rsid w:val="00A40466"/>
    <w:rsid w:val="00A42E44"/>
    <w:rsid w:val="00A44CBD"/>
    <w:rsid w:val="00A468CD"/>
    <w:rsid w:val="00A52DAF"/>
    <w:rsid w:val="00A542DE"/>
    <w:rsid w:val="00A62D91"/>
    <w:rsid w:val="00A67B54"/>
    <w:rsid w:val="00A77811"/>
    <w:rsid w:val="00A802F4"/>
    <w:rsid w:val="00A8274D"/>
    <w:rsid w:val="00A84CE4"/>
    <w:rsid w:val="00A90D54"/>
    <w:rsid w:val="00A92301"/>
    <w:rsid w:val="00A95695"/>
    <w:rsid w:val="00AA02EA"/>
    <w:rsid w:val="00AA113A"/>
    <w:rsid w:val="00AA20D9"/>
    <w:rsid w:val="00AA3CB1"/>
    <w:rsid w:val="00AC1260"/>
    <w:rsid w:val="00AC3823"/>
    <w:rsid w:val="00AC4237"/>
    <w:rsid w:val="00AD35F7"/>
    <w:rsid w:val="00AD3894"/>
    <w:rsid w:val="00AD4909"/>
    <w:rsid w:val="00AE323C"/>
    <w:rsid w:val="00AE3602"/>
    <w:rsid w:val="00AE7CD8"/>
    <w:rsid w:val="00AF1966"/>
    <w:rsid w:val="00AF59BB"/>
    <w:rsid w:val="00AF774C"/>
    <w:rsid w:val="00B00181"/>
    <w:rsid w:val="00B00B0D"/>
    <w:rsid w:val="00B055DB"/>
    <w:rsid w:val="00B07380"/>
    <w:rsid w:val="00B07841"/>
    <w:rsid w:val="00B136BD"/>
    <w:rsid w:val="00B157B2"/>
    <w:rsid w:val="00B16BCA"/>
    <w:rsid w:val="00B17359"/>
    <w:rsid w:val="00B17F1E"/>
    <w:rsid w:val="00B22418"/>
    <w:rsid w:val="00B2541E"/>
    <w:rsid w:val="00B31269"/>
    <w:rsid w:val="00B34CE9"/>
    <w:rsid w:val="00B40927"/>
    <w:rsid w:val="00B42B4D"/>
    <w:rsid w:val="00B449F7"/>
    <w:rsid w:val="00B50E25"/>
    <w:rsid w:val="00B516E0"/>
    <w:rsid w:val="00B567CE"/>
    <w:rsid w:val="00B62A29"/>
    <w:rsid w:val="00B64918"/>
    <w:rsid w:val="00B746E0"/>
    <w:rsid w:val="00B7493E"/>
    <w:rsid w:val="00B765F7"/>
    <w:rsid w:val="00B7745B"/>
    <w:rsid w:val="00B831C4"/>
    <w:rsid w:val="00B852C5"/>
    <w:rsid w:val="00B854B0"/>
    <w:rsid w:val="00B87776"/>
    <w:rsid w:val="00B90F78"/>
    <w:rsid w:val="00B91648"/>
    <w:rsid w:val="00B94885"/>
    <w:rsid w:val="00B94FE4"/>
    <w:rsid w:val="00BA0CA9"/>
    <w:rsid w:val="00BA2458"/>
    <w:rsid w:val="00BA718A"/>
    <w:rsid w:val="00BB002C"/>
    <w:rsid w:val="00BB47E7"/>
    <w:rsid w:val="00BC2872"/>
    <w:rsid w:val="00BC4FF4"/>
    <w:rsid w:val="00BC6114"/>
    <w:rsid w:val="00BD0417"/>
    <w:rsid w:val="00BD776A"/>
    <w:rsid w:val="00BD7FEC"/>
    <w:rsid w:val="00BE5CC8"/>
    <w:rsid w:val="00BE6F9C"/>
    <w:rsid w:val="00BF0E25"/>
    <w:rsid w:val="00BF3360"/>
    <w:rsid w:val="00BF629A"/>
    <w:rsid w:val="00BF7470"/>
    <w:rsid w:val="00C00616"/>
    <w:rsid w:val="00C00ED2"/>
    <w:rsid w:val="00C02897"/>
    <w:rsid w:val="00C0326F"/>
    <w:rsid w:val="00C03A17"/>
    <w:rsid w:val="00C0673F"/>
    <w:rsid w:val="00C111D2"/>
    <w:rsid w:val="00C16088"/>
    <w:rsid w:val="00C1626B"/>
    <w:rsid w:val="00C165FD"/>
    <w:rsid w:val="00C200A5"/>
    <w:rsid w:val="00C21CBD"/>
    <w:rsid w:val="00C230DB"/>
    <w:rsid w:val="00C2393D"/>
    <w:rsid w:val="00C239A5"/>
    <w:rsid w:val="00C32E3C"/>
    <w:rsid w:val="00C33180"/>
    <w:rsid w:val="00C343E2"/>
    <w:rsid w:val="00C351BA"/>
    <w:rsid w:val="00C42701"/>
    <w:rsid w:val="00C4378C"/>
    <w:rsid w:val="00C4510F"/>
    <w:rsid w:val="00C56560"/>
    <w:rsid w:val="00C61104"/>
    <w:rsid w:val="00C6113D"/>
    <w:rsid w:val="00C6342C"/>
    <w:rsid w:val="00C66A47"/>
    <w:rsid w:val="00C713A5"/>
    <w:rsid w:val="00C75CBD"/>
    <w:rsid w:val="00C7616F"/>
    <w:rsid w:val="00C7640C"/>
    <w:rsid w:val="00C76898"/>
    <w:rsid w:val="00C77628"/>
    <w:rsid w:val="00C92AE7"/>
    <w:rsid w:val="00CA3533"/>
    <w:rsid w:val="00CA4B3F"/>
    <w:rsid w:val="00CB16B5"/>
    <w:rsid w:val="00CB5554"/>
    <w:rsid w:val="00CB56CC"/>
    <w:rsid w:val="00CB5E47"/>
    <w:rsid w:val="00CB76B0"/>
    <w:rsid w:val="00CC4F5A"/>
    <w:rsid w:val="00CC51F5"/>
    <w:rsid w:val="00CC7860"/>
    <w:rsid w:val="00CC7D33"/>
    <w:rsid w:val="00CD1F11"/>
    <w:rsid w:val="00CD1FFF"/>
    <w:rsid w:val="00CD2702"/>
    <w:rsid w:val="00CD2E6E"/>
    <w:rsid w:val="00CD33D1"/>
    <w:rsid w:val="00CD4066"/>
    <w:rsid w:val="00CE0608"/>
    <w:rsid w:val="00CE0A76"/>
    <w:rsid w:val="00CE30F7"/>
    <w:rsid w:val="00CE6C4E"/>
    <w:rsid w:val="00CE7A86"/>
    <w:rsid w:val="00CF63A3"/>
    <w:rsid w:val="00D1140E"/>
    <w:rsid w:val="00D222E8"/>
    <w:rsid w:val="00D24868"/>
    <w:rsid w:val="00D31915"/>
    <w:rsid w:val="00D3439C"/>
    <w:rsid w:val="00D3583D"/>
    <w:rsid w:val="00D362B9"/>
    <w:rsid w:val="00D4397B"/>
    <w:rsid w:val="00D44CF3"/>
    <w:rsid w:val="00D46C8C"/>
    <w:rsid w:val="00D54503"/>
    <w:rsid w:val="00D54A97"/>
    <w:rsid w:val="00D55C34"/>
    <w:rsid w:val="00D55D0E"/>
    <w:rsid w:val="00D62929"/>
    <w:rsid w:val="00D62A67"/>
    <w:rsid w:val="00D65F29"/>
    <w:rsid w:val="00D66A87"/>
    <w:rsid w:val="00D70B0C"/>
    <w:rsid w:val="00D8014D"/>
    <w:rsid w:val="00D80C07"/>
    <w:rsid w:val="00D812EF"/>
    <w:rsid w:val="00D83DE0"/>
    <w:rsid w:val="00D91980"/>
    <w:rsid w:val="00D91EB0"/>
    <w:rsid w:val="00D93744"/>
    <w:rsid w:val="00D95B88"/>
    <w:rsid w:val="00D96260"/>
    <w:rsid w:val="00DA2368"/>
    <w:rsid w:val="00DA2FE1"/>
    <w:rsid w:val="00DA4048"/>
    <w:rsid w:val="00DA7DA5"/>
    <w:rsid w:val="00DB081E"/>
    <w:rsid w:val="00DB1831"/>
    <w:rsid w:val="00DB2183"/>
    <w:rsid w:val="00DB27C5"/>
    <w:rsid w:val="00DB3F27"/>
    <w:rsid w:val="00DC24C1"/>
    <w:rsid w:val="00DC7C9C"/>
    <w:rsid w:val="00DD1443"/>
    <w:rsid w:val="00DD3BFD"/>
    <w:rsid w:val="00DE239D"/>
    <w:rsid w:val="00DE2C1C"/>
    <w:rsid w:val="00DE4736"/>
    <w:rsid w:val="00DF431C"/>
    <w:rsid w:val="00DF5681"/>
    <w:rsid w:val="00DF62CA"/>
    <w:rsid w:val="00DF6678"/>
    <w:rsid w:val="00E02E9D"/>
    <w:rsid w:val="00E05237"/>
    <w:rsid w:val="00E12691"/>
    <w:rsid w:val="00E27B0E"/>
    <w:rsid w:val="00E33A32"/>
    <w:rsid w:val="00E37637"/>
    <w:rsid w:val="00E428C8"/>
    <w:rsid w:val="00E460F4"/>
    <w:rsid w:val="00E4752A"/>
    <w:rsid w:val="00E57292"/>
    <w:rsid w:val="00E605F8"/>
    <w:rsid w:val="00E61E33"/>
    <w:rsid w:val="00E733E2"/>
    <w:rsid w:val="00E77BA3"/>
    <w:rsid w:val="00E83D63"/>
    <w:rsid w:val="00E84C1F"/>
    <w:rsid w:val="00E87454"/>
    <w:rsid w:val="00E92465"/>
    <w:rsid w:val="00EA09B5"/>
    <w:rsid w:val="00EA1DFD"/>
    <w:rsid w:val="00EB0542"/>
    <w:rsid w:val="00EB54F1"/>
    <w:rsid w:val="00EB78EE"/>
    <w:rsid w:val="00EC0C24"/>
    <w:rsid w:val="00EC1D08"/>
    <w:rsid w:val="00EC59E7"/>
    <w:rsid w:val="00EC7652"/>
    <w:rsid w:val="00ED0533"/>
    <w:rsid w:val="00EE53E7"/>
    <w:rsid w:val="00EF2E22"/>
    <w:rsid w:val="00EF5392"/>
    <w:rsid w:val="00EF5975"/>
    <w:rsid w:val="00EF693E"/>
    <w:rsid w:val="00EF7488"/>
    <w:rsid w:val="00EF7D33"/>
    <w:rsid w:val="00F00858"/>
    <w:rsid w:val="00F0592C"/>
    <w:rsid w:val="00F06D42"/>
    <w:rsid w:val="00F06ED4"/>
    <w:rsid w:val="00F1095F"/>
    <w:rsid w:val="00F119CB"/>
    <w:rsid w:val="00F14664"/>
    <w:rsid w:val="00F21B73"/>
    <w:rsid w:val="00F223A4"/>
    <w:rsid w:val="00F2328F"/>
    <w:rsid w:val="00F25221"/>
    <w:rsid w:val="00F25871"/>
    <w:rsid w:val="00F25C07"/>
    <w:rsid w:val="00F2607D"/>
    <w:rsid w:val="00F263FE"/>
    <w:rsid w:val="00F33D90"/>
    <w:rsid w:val="00F351C7"/>
    <w:rsid w:val="00F36656"/>
    <w:rsid w:val="00F36B0E"/>
    <w:rsid w:val="00F426FE"/>
    <w:rsid w:val="00F43289"/>
    <w:rsid w:val="00F47D33"/>
    <w:rsid w:val="00F55231"/>
    <w:rsid w:val="00F55A54"/>
    <w:rsid w:val="00F638D2"/>
    <w:rsid w:val="00F654EC"/>
    <w:rsid w:val="00F660DF"/>
    <w:rsid w:val="00F71DE5"/>
    <w:rsid w:val="00F73291"/>
    <w:rsid w:val="00F76F84"/>
    <w:rsid w:val="00F80401"/>
    <w:rsid w:val="00F829CF"/>
    <w:rsid w:val="00F869E0"/>
    <w:rsid w:val="00F95C08"/>
    <w:rsid w:val="00FA20F4"/>
    <w:rsid w:val="00FA26F2"/>
    <w:rsid w:val="00FB22B1"/>
    <w:rsid w:val="00FB4156"/>
    <w:rsid w:val="00FB739F"/>
    <w:rsid w:val="00FC3755"/>
    <w:rsid w:val="00FC4040"/>
    <w:rsid w:val="00FC5FEF"/>
    <w:rsid w:val="00FC7C55"/>
    <w:rsid w:val="00FD1581"/>
    <w:rsid w:val="00FD3DC3"/>
    <w:rsid w:val="00FD6C78"/>
    <w:rsid w:val="00FE0393"/>
    <w:rsid w:val="00FE044A"/>
    <w:rsid w:val="00FE6530"/>
    <w:rsid w:val="00FE7619"/>
    <w:rsid w:val="00FF1029"/>
    <w:rsid w:val="00FF16ED"/>
    <w:rsid w:val="00FF6323"/>
    <w:rsid w:val="00FF65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35D2C"/>
  <w15:docId w15:val="{B58FC821-2380-4621-88C1-807302F5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5"/>
      </w:numPr>
      <w:outlineLvl w:val="1"/>
    </w:pPr>
  </w:style>
  <w:style w:type="paragraph" w:styleId="Heading3">
    <w:name w:val="heading 3"/>
    <w:basedOn w:val="Normal"/>
    <w:next w:val="Normal"/>
    <w:link w:val="Heading3Char"/>
    <w:qFormat/>
    <w:rsid w:val="00023842"/>
    <w:pPr>
      <w:numPr>
        <w:ilvl w:val="2"/>
        <w:numId w:val="5"/>
      </w:numPr>
      <w:outlineLvl w:val="2"/>
    </w:pPr>
  </w:style>
  <w:style w:type="paragraph" w:styleId="Heading4">
    <w:name w:val="heading 4"/>
    <w:basedOn w:val="Normal"/>
    <w:next w:val="Normal"/>
    <w:link w:val="Heading4Char"/>
    <w:qFormat/>
    <w:rsid w:val="00023842"/>
    <w:pPr>
      <w:numPr>
        <w:ilvl w:val="3"/>
        <w:numId w:val="5"/>
      </w:numPr>
      <w:outlineLvl w:val="3"/>
    </w:pPr>
  </w:style>
  <w:style w:type="paragraph" w:styleId="Heading5">
    <w:name w:val="heading 5"/>
    <w:basedOn w:val="Normal"/>
    <w:next w:val="Normal"/>
    <w:link w:val="Heading5Char"/>
    <w:qFormat/>
    <w:rsid w:val="00023842"/>
    <w:pPr>
      <w:numPr>
        <w:ilvl w:val="4"/>
        <w:numId w:val="5"/>
      </w:numPr>
      <w:outlineLvl w:val="4"/>
    </w:pPr>
  </w:style>
  <w:style w:type="paragraph" w:styleId="Heading6">
    <w:name w:val="heading 6"/>
    <w:basedOn w:val="Normal"/>
    <w:next w:val="Normal"/>
    <w:link w:val="Heading6Char"/>
    <w:qFormat/>
    <w:rsid w:val="00023842"/>
    <w:pPr>
      <w:numPr>
        <w:ilvl w:val="5"/>
        <w:numId w:val="5"/>
      </w:numPr>
      <w:outlineLvl w:val="5"/>
    </w:pPr>
  </w:style>
  <w:style w:type="paragraph" w:styleId="Heading7">
    <w:name w:val="heading 7"/>
    <w:basedOn w:val="Normal"/>
    <w:next w:val="Normal"/>
    <w:link w:val="Heading7Char"/>
    <w:qFormat/>
    <w:rsid w:val="00023842"/>
    <w:pPr>
      <w:numPr>
        <w:ilvl w:val="6"/>
        <w:numId w:val="5"/>
      </w:numPr>
      <w:outlineLvl w:val="6"/>
    </w:pPr>
  </w:style>
  <w:style w:type="paragraph" w:styleId="Heading8">
    <w:name w:val="heading 8"/>
    <w:basedOn w:val="Normal"/>
    <w:next w:val="Normal"/>
    <w:link w:val="Heading8Char"/>
    <w:qFormat/>
    <w:rsid w:val="00023842"/>
    <w:pPr>
      <w:numPr>
        <w:ilvl w:val="7"/>
        <w:numId w:val="5"/>
      </w:numPr>
      <w:outlineLvl w:val="7"/>
    </w:pPr>
  </w:style>
  <w:style w:type="paragraph" w:styleId="Heading9">
    <w:name w:val="heading 9"/>
    <w:basedOn w:val="Normal"/>
    <w:next w:val="Normal"/>
    <w:link w:val="Heading9Char"/>
    <w:qFormat/>
    <w:rsid w:val="0002384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style>
  <w:style w:type="character" w:customStyle="1" w:styleId="Heading2Char">
    <w:name w:val="Heading 2 Char"/>
    <w:basedOn w:val="DefaultParagraphFont"/>
    <w:link w:val="Heading2"/>
    <w:rsid w:val="00023842"/>
  </w:style>
  <w:style w:type="character" w:customStyle="1" w:styleId="Heading3Char">
    <w:name w:val="Heading 3 Char"/>
    <w:basedOn w:val="DefaultParagraphFont"/>
    <w:link w:val="Heading3"/>
    <w:rsid w:val="00023842"/>
  </w:style>
  <w:style w:type="character" w:customStyle="1" w:styleId="Heading4Char">
    <w:name w:val="Heading 4 Char"/>
    <w:basedOn w:val="DefaultParagraphFont"/>
    <w:link w:val="Heading4"/>
    <w:rsid w:val="00023842"/>
  </w:style>
  <w:style w:type="character" w:customStyle="1" w:styleId="Heading5Char">
    <w:name w:val="Heading 5 Char"/>
    <w:basedOn w:val="DefaultParagraphFont"/>
    <w:link w:val="Heading5"/>
    <w:rsid w:val="00023842"/>
  </w:style>
  <w:style w:type="character" w:customStyle="1" w:styleId="Heading6Char">
    <w:name w:val="Heading 6 Char"/>
    <w:basedOn w:val="DefaultParagraphFont"/>
    <w:link w:val="Heading6"/>
    <w:rsid w:val="00023842"/>
  </w:style>
  <w:style w:type="character" w:customStyle="1" w:styleId="Heading7Char">
    <w:name w:val="Heading 7 Char"/>
    <w:basedOn w:val="DefaultParagraphFont"/>
    <w:link w:val="Heading7"/>
    <w:rsid w:val="00023842"/>
  </w:style>
  <w:style w:type="character" w:customStyle="1" w:styleId="Heading8Char">
    <w:name w:val="Heading 8 Char"/>
    <w:basedOn w:val="DefaultParagraphFont"/>
    <w:link w:val="Heading8"/>
    <w:rsid w:val="00023842"/>
  </w:style>
  <w:style w:type="character" w:customStyle="1" w:styleId="Heading9Char">
    <w:name w:val="Heading 9 Char"/>
    <w:basedOn w:val="DefaultParagraphFont"/>
    <w:link w:val="Heading9"/>
    <w:rsid w:val="00023842"/>
  </w:style>
  <w:style w:type="paragraph" w:styleId="BalloonText">
    <w:name w:val="Balloon Text"/>
    <w:basedOn w:val="Normal"/>
    <w:link w:val="BalloonTextChar"/>
    <w:uiPriority w:val="99"/>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styleId="CommentReference">
    <w:name w:val="annotation reference"/>
    <w:basedOn w:val="DefaultParagraphFont"/>
    <w:semiHidden/>
    <w:unhideWhenUsed/>
    <w:rsid w:val="005536F7"/>
    <w:rPr>
      <w:sz w:val="16"/>
      <w:szCs w:val="16"/>
    </w:rPr>
  </w:style>
  <w:style w:type="paragraph" w:styleId="CommentText">
    <w:name w:val="annotation text"/>
    <w:basedOn w:val="Normal"/>
    <w:link w:val="CommentTextChar"/>
    <w:uiPriority w:val="99"/>
    <w:semiHidden/>
    <w:unhideWhenUsed/>
    <w:rsid w:val="005536F7"/>
    <w:pPr>
      <w:kinsoku/>
      <w:overflowPunct/>
      <w:autoSpaceDE/>
      <w:autoSpaceDN/>
      <w:adjustRightInd/>
      <w:snapToGrid/>
      <w:spacing w:line="240" w:lineRule="auto"/>
    </w:pPr>
    <w:rPr>
      <w:lang w:val="en-GB" w:eastAsia="fr-FR"/>
    </w:rPr>
  </w:style>
  <w:style w:type="character" w:customStyle="1" w:styleId="CommentTextChar">
    <w:name w:val="Comment Text Char"/>
    <w:basedOn w:val="DefaultParagraphFont"/>
    <w:link w:val="CommentText"/>
    <w:uiPriority w:val="99"/>
    <w:semiHidden/>
    <w:rsid w:val="005536F7"/>
    <w:rPr>
      <w:lang w:val="en-GB" w:eastAsia="fr-FR"/>
    </w:rPr>
  </w:style>
  <w:style w:type="numbering" w:customStyle="1" w:styleId="NoList1">
    <w:name w:val="No List1"/>
    <w:next w:val="NoList"/>
    <w:uiPriority w:val="99"/>
    <w:semiHidden/>
    <w:unhideWhenUsed/>
    <w:rsid w:val="00CA3533"/>
  </w:style>
  <w:style w:type="table" w:customStyle="1" w:styleId="TableGrid1">
    <w:name w:val="Table Grid1"/>
    <w:basedOn w:val="TableNormal"/>
    <w:next w:val="TableGrid"/>
    <w:uiPriority w:val="59"/>
    <w:rsid w:val="00CA3533"/>
    <w:pPr>
      <w:suppressAutoHyphens/>
      <w:spacing w:after="0"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CA3533"/>
    <w:rPr>
      <w:b/>
      <w:sz w:val="24"/>
    </w:rPr>
  </w:style>
  <w:style w:type="character" w:customStyle="1" w:styleId="H23GChar">
    <w:name w:val="_ H_2/3_G Char"/>
    <w:link w:val="H23G"/>
    <w:rsid w:val="00CA3533"/>
    <w:rPr>
      <w:b/>
    </w:rPr>
  </w:style>
  <w:style w:type="paragraph" w:styleId="PlainText">
    <w:name w:val="Plain Text"/>
    <w:basedOn w:val="Normal"/>
    <w:link w:val="PlainTextChar"/>
    <w:rsid w:val="00CA3533"/>
    <w:pPr>
      <w:kinsoku/>
      <w:overflowPunct/>
      <w:autoSpaceDE/>
      <w:autoSpaceDN/>
      <w:adjustRightInd/>
      <w:snapToGrid/>
    </w:pPr>
    <w:rPr>
      <w:rFonts w:cs="Courier New"/>
      <w:lang w:val="en-GB" w:eastAsia="en-US"/>
    </w:rPr>
  </w:style>
  <w:style w:type="character" w:customStyle="1" w:styleId="PlainTextChar">
    <w:name w:val="Plain Text Char"/>
    <w:basedOn w:val="DefaultParagraphFont"/>
    <w:link w:val="PlainText"/>
    <w:rsid w:val="00CA3533"/>
    <w:rPr>
      <w:rFonts w:cs="Courier New"/>
      <w:lang w:val="en-GB" w:eastAsia="en-US"/>
    </w:rPr>
  </w:style>
  <w:style w:type="paragraph" w:styleId="BodyText">
    <w:name w:val="Body Text"/>
    <w:basedOn w:val="Normal"/>
    <w:next w:val="Normal"/>
    <w:link w:val="BodyTextChar"/>
    <w:rsid w:val="00CA3533"/>
    <w:pPr>
      <w:kinsoku/>
      <w:overflowPunct/>
      <w:autoSpaceDE/>
      <w:autoSpaceDN/>
      <w:adjustRightInd/>
      <w:snapToGrid/>
    </w:pPr>
    <w:rPr>
      <w:lang w:val="en-GB" w:eastAsia="en-US"/>
    </w:rPr>
  </w:style>
  <w:style w:type="character" w:customStyle="1" w:styleId="BodyTextChar">
    <w:name w:val="Body Text Char"/>
    <w:basedOn w:val="DefaultParagraphFont"/>
    <w:link w:val="BodyText"/>
    <w:rsid w:val="00CA3533"/>
    <w:rPr>
      <w:lang w:val="en-GB" w:eastAsia="en-US"/>
    </w:rPr>
  </w:style>
  <w:style w:type="paragraph" w:styleId="BodyTextIndent">
    <w:name w:val="Body Text Indent"/>
    <w:basedOn w:val="Normal"/>
    <w:link w:val="BodyTextIndentChar"/>
    <w:rsid w:val="00CA3533"/>
    <w:pPr>
      <w:kinsoku/>
      <w:overflowPunct/>
      <w:autoSpaceDE/>
      <w:autoSpaceDN/>
      <w:adjustRightInd/>
      <w:snapToGrid/>
      <w:spacing w:after="120"/>
      <w:ind w:left="283"/>
    </w:pPr>
    <w:rPr>
      <w:lang w:val="en-GB" w:eastAsia="en-US"/>
    </w:rPr>
  </w:style>
  <w:style w:type="character" w:customStyle="1" w:styleId="BodyTextIndentChar">
    <w:name w:val="Body Text Indent Char"/>
    <w:basedOn w:val="DefaultParagraphFont"/>
    <w:link w:val="BodyTextIndent"/>
    <w:rsid w:val="00CA3533"/>
    <w:rPr>
      <w:lang w:val="en-GB" w:eastAsia="en-US"/>
    </w:rPr>
  </w:style>
  <w:style w:type="paragraph" w:styleId="BlockText">
    <w:name w:val="Block Text"/>
    <w:basedOn w:val="Normal"/>
    <w:rsid w:val="00CA3533"/>
    <w:pPr>
      <w:kinsoku/>
      <w:overflowPunct/>
      <w:autoSpaceDE/>
      <w:autoSpaceDN/>
      <w:adjustRightInd/>
      <w:snapToGrid/>
      <w:ind w:left="1440" w:right="1440"/>
    </w:pPr>
    <w:rPr>
      <w:lang w:val="en-GB" w:eastAsia="en-US"/>
    </w:rPr>
  </w:style>
  <w:style w:type="character" w:styleId="LineNumber">
    <w:name w:val="line number"/>
    <w:basedOn w:val="DefaultParagraphFont"/>
    <w:rsid w:val="00CA3533"/>
    <w:rPr>
      <w:sz w:val="14"/>
    </w:rPr>
  </w:style>
  <w:style w:type="numbering" w:styleId="111111">
    <w:name w:val="Outline List 2"/>
    <w:basedOn w:val="NoList"/>
    <w:semiHidden/>
    <w:rsid w:val="00CA3533"/>
    <w:pPr>
      <w:numPr>
        <w:numId w:val="4"/>
      </w:numPr>
    </w:pPr>
  </w:style>
  <w:style w:type="numbering" w:styleId="1ai">
    <w:name w:val="Outline List 1"/>
    <w:basedOn w:val="NoList"/>
    <w:semiHidden/>
    <w:rsid w:val="00CA3533"/>
    <w:pPr>
      <w:numPr>
        <w:numId w:val="5"/>
      </w:numPr>
    </w:pPr>
  </w:style>
  <w:style w:type="numbering" w:styleId="ArticleSection">
    <w:name w:val="Outline List 3"/>
    <w:basedOn w:val="NoList"/>
    <w:semiHidden/>
    <w:rsid w:val="00CA3533"/>
    <w:pPr>
      <w:numPr>
        <w:numId w:val="6"/>
      </w:numPr>
    </w:pPr>
  </w:style>
  <w:style w:type="paragraph" w:styleId="BodyText2">
    <w:name w:val="Body Text 2"/>
    <w:basedOn w:val="Normal"/>
    <w:link w:val="BodyText2Char"/>
    <w:rsid w:val="00CA3533"/>
    <w:pPr>
      <w:kinsoku/>
      <w:overflowPunct/>
      <w:autoSpaceDE/>
      <w:autoSpaceDN/>
      <w:adjustRightInd/>
      <w:snapToGrid/>
      <w:spacing w:after="120" w:line="480" w:lineRule="auto"/>
    </w:pPr>
    <w:rPr>
      <w:lang w:val="en-GB" w:eastAsia="en-US"/>
    </w:rPr>
  </w:style>
  <w:style w:type="character" w:customStyle="1" w:styleId="BodyText2Char">
    <w:name w:val="Body Text 2 Char"/>
    <w:basedOn w:val="DefaultParagraphFont"/>
    <w:link w:val="BodyText2"/>
    <w:rsid w:val="00CA3533"/>
    <w:rPr>
      <w:lang w:val="en-GB" w:eastAsia="en-US"/>
    </w:rPr>
  </w:style>
  <w:style w:type="paragraph" w:styleId="BodyText3">
    <w:name w:val="Body Text 3"/>
    <w:basedOn w:val="Normal"/>
    <w:link w:val="BodyText3Char"/>
    <w:rsid w:val="00CA3533"/>
    <w:pPr>
      <w:kinsoku/>
      <w:overflowPunct/>
      <w:autoSpaceDE/>
      <w:autoSpaceDN/>
      <w:adjustRightInd/>
      <w:snapToGrid/>
      <w:spacing w:after="120"/>
    </w:pPr>
    <w:rPr>
      <w:sz w:val="16"/>
      <w:szCs w:val="16"/>
      <w:lang w:val="en-GB" w:eastAsia="en-US"/>
    </w:rPr>
  </w:style>
  <w:style w:type="character" w:customStyle="1" w:styleId="BodyText3Char">
    <w:name w:val="Body Text 3 Char"/>
    <w:basedOn w:val="DefaultParagraphFont"/>
    <w:link w:val="BodyText3"/>
    <w:rsid w:val="00CA3533"/>
    <w:rPr>
      <w:sz w:val="16"/>
      <w:szCs w:val="16"/>
      <w:lang w:val="en-GB" w:eastAsia="en-US"/>
    </w:rPr>
  </w:style>
  <w:style w:type="paragraph" w:styleId="BodyTextFirstIndent">
    <w:name w:val="Body Text First Indent"/>
    <w:basedOn w:val="BodyText"/>
    <w:link w:val="BodyTextFirstIndentChar"/>
    <w:rsid w:val="00CA3533"/>
    <w:pPr>
      <w:spacing w:after="120"/>
      <w:ind w:firstLine="210"/>
    </w:pPr>
  </w:style>
  <w:style w:type="character" w:customStyle="1" w:styleId="BodyTextFirstIndentChar">
    <w:name w:val="Body Text First Indent Char"/>
    <w:basedOn w:val="BodyTextChar"/>
    <w:link w:val="BodyTextFirstIndent"/>
    <w:rsid w:val="00CA3533"/>
    <w:rPr>
      <w:lang w:val="en-GB" w:eastAsia="en-US"/>
    </w:rPr>
  </w:style>
  <w:style w:type="paragraph" w:styleId="BodyTextFirstIndent2">
    <w:name w:val="Body Text First Indent 2"/>
    <w:basedOn w:val="BodyTextIndent"/>
    <w:link w:val="BodyTextFirstIndent2Char"/>
    <w:rsid w:val="00CA3533"/>
    <w:pPr>
      <w:ind w:firstLine="210"/>
    </w:pPr>
  </w:style>
  <w:style w:type="character" w:customStyle="1" w:styleId="BodyTextFirstIndent2Char">
    <w:name w:val="Body Text First Indent 2 Char"/>
    <w:basedOn w:val="BodyTextIndentChar"/>
    <w:link w:val="BodyTextFirstIndent2"/>
    <w:rsid w:val="00CA3533"/>
    <w:rPr>
      <w:lang w:val="en-GB" w:eastAsia="en-US"/>
    </w:rPr>
  </w:style>
  <w:style w:type="paragraph" w:styleId="BodyTextIndent2">
    <w:name w:val="Body Text Indent 2"/>
    <w:basedOn w:val="Normal"/>
    <w:link w:val="BodyTextIndent2Char"/>
    <w:rsid w:val="00CA3533"/>
    <w:pPr>
      <w:kinsoku/>
      <w:overflowPunct/>
      <w:autoSpaceDE/>
      <w:autoSpaceDN/>
      <w:adjustRightInd/>
      <w:snapToGrid/>
      <w:spacing w:after="120" w:line="480" w:lineRule="auto"/>
      <w:ind w:left="283"/>
    </w:pPr>
    <w:rPr>
      <w:lang w:val="en-GB" w:eastAsia="en-US"/>
    </w:rPr>
  </w:style>
  <w:style w:type="character" w:customStyle="1" w:styleId="BodyTextIndent2Char">
    <w:name w:val="Body Text Indent 2 Char"/>
    <w:basedOn w:val="DefaultParagraphFont"/>
    <w:link w:val="BodyTextIndent2"/>
    <w:rsid w:val="00CA3533"/>
    <w:rPr>
      <w:lang w:val="en-GB" w:eastAsia="en-US"/>
    </w:rPr>
  </w:style>
  <w:style w:type="paragraph" w:styleId="BodyTextIndent3">
    <w:name w:val="Body Text Indent 3"/>
    <w:basedOn w:val="Normal"/>
    <w:link w:val="BodyTextIndent3Char"/>
    <w:rsid w:val="00CA3533"/>
    <w:pPr>
      <w:kinsoku/>
      <w:overflowPunct/>
      <w:autoSpaceDE/>
      <w:autoSpaceDN/>
      <w:adjustRightInd/>
      <w:snapToGrid/>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A3533"/>
    <w:rPr>
      <w:sz w:val="16"/>
      <w:szCs w:val="16"/>
      <w:lang w:val="en-GB" w:eastAsia="en-US"/>
    </w:rPr>
  </w:style>
  <w:style w:type="paragraph" w:styleId="Closing">
    <w:name w:val="Closing"/>
    <w:basedOn w:val="Normal"/>
    <w:link w:val="ClosingChar"/>
    <w:rsid w:val="00CA3533"/>
    <w:pPr>
      <w:kinsoku/>
      <w:overflowPunct/>
      <w:autoSpaceDE/>
      <w:autoSpaceDN/>
      <w:adjustRightInd/>
      <w:snapToGrid/>
      <w:ind w:left="4252"/>
    </w:pPr>
    <w:rPr>
      <w:lang w:val="en-GB" w:eastAsia="en-US"/>
    </w:rPr>
  </w:style>
  <w:style w:type="character" w:customStyle="1" w:styleId="ClosingChar">
    <w:name w:val="Closing Char"/>
    <w:basedOn w:val="DefaultParagraphFont"/>
    <w:link w:val="Closing"/>
    <w:rsid w:val="00CA3533"/>
    <w:rPr>
      <w:lang w:val="en-GB" w:eastAsia="en-US"/>
    </w:rPr>
  </w:style>
  <w:style w:type="paragraph" w:styleId="Date">
    <w:name w:val="Date"/>
    <w:basedOn w:val="Normal"/>
    <w:next w:val="Normal"/>
    <w:link w:val="DateChar"/>
    <w:rsid w:val="00CA3533"/>
    <w:pPr>
      <w:kinsoku/>
      <w:overflowPunct/>
      <w:autoSpaceDE/>
      <w:autoSpaceDN/>
      <w:adjustRightInd/>
      <w:snapToGrid/>
    </w:pPr>
    <w:rPr>
      <w:lang w:val="en-GB" w:eastAsia="en-US"/>
    </w:rPr>
  </w:style>
  <w:style w:type="character" w:customStyle="1" w:styleId="DateChar">
    <w:name w:val="Date Char"/>
    <w:basedOn w:val="DefaultParagraphFont"/>
    <w:link w:val="Date"/>
    <w:rsid w:val="00CA3533"/>
    <w:rPr>
      <w:lang w:val="en-GB" w:eastAsia="en-US"/>
    </w:rPr>
  </w:style>
  <w:style w:type="paragraph" w:styleId="E-mailSignature">
    <w:name w:val="E-mail Signature"/>
    <w:basedOn w:val="Normal"/>
    <w:link w:val="E-mailSignatureChar"/>
    <w:rsid w:val="00CA3533"/>
    <w:pPr>
      <w:kinsoku/>
      <w:overflowPunct/>
      <w:autoSpaceDE/>
      <w:autoSpaceDN/>
      <w:adjustRightInd/>
      <w:snapToGrid/>
    </w:pPr>
    <w:rPr>
      <w:lang w:val="en-GB" w:eastAsia="en-US"/>
    </w:rPr>
  </w:style>
  <w:style w:type="character" w:customStyle="1" w:styleId="E-mailSignatureChar">
    <w:name w:val="E-mail Signature Char"/>
    <w:basedOn w:val="DefaultParagraphFont"/>
    <w:link w:val="E-mailSignature"/>
    <w:rsid w:val="00CA3533"/>
    <w:rPr>
      <w:lang w:val="en-GB" w:eastAsia="en-US"/>
    </w:rPr>
  </w:style>
  <w:style w:type="character" w:styleId="Emphasis">
    <w:name w:val="Emphasis"/>
    <w:basedOn w:val="DefaultParagraphFont"/>
    <w:qFormat/>
    <w:rsid w:val="00CA3533"/>
    <w:rPr>
      <w:i/>
      <w:iCs/>
    </w:rPr>
  </w:style>
  <w:style w:type="paragraph" w:styleId="EnvelopeReturn">
    <w:name w:val="envelope return"/>
    <w:basedOn w:val="Normal"/>
    <w:rsid w:val="00CA3533"/>
    <w:pPr>
      <w:kinsoku/>
      <w:overflowPunct/>
      <w:autoSpaceDE/>
      <w:autoSpaceDN/>
      <w:adjustRightInd/>
      <w:snapToGrid/>
    </w:pPr>
    <w:rPr>
      <w:rFonts w:ascii="Arial" w:hAnsi="Arial" w:cs="Arial"/>
      <w:lang w:val="en-GB" w:eastAsia="en-US"/>
    </w:rPr>
  </w:style>
  <w:style w:type="character" w:styleId="HTMLAcronym">
    <w:name w:val="HTML Acronym"/>
    <w:basedOn w:val="DefaultParagraphFont"/>
    <w:rsid w:val="00CA3533"/>
  </w:style>
  <w:style w:type="paragraph" w:styleId="HTMLAddress">
    <w:name w:val="HTML Address"/>
    <w:basedOn w:val="Normal"/>
    <w:link w:val="HTMLAddressChar"/>
    <w:rsid w:val="00CA3533"/>
    <w:pPr>
      <w:kinsoku/>
      <w:overflowPunct/>
      <w:autoSpaceDE/>
      <w:autoSpaceDN/>
      <w:adjustRightInd/>
      <w:snapToGrid/>
    </w:pPr>
    <w:rPr>
      <w:i/>
      <w:iCs/>
      <w:lang w:val="en-GB" w:eastAsia="en-US"/>
    </w:rPr>
  </w:style>
  <w:style w:type="character" w:customStyle="1" w:styleId="HTMLAddressChar">
    <w:name w:val="HTML Address Char"/>
    <w:basedOn w:val="DefaultParagraphFont"/>
    <w:link w:val="HTMLAddress"/>
    <w:rsid w:val="00CA3533"/>
    <w:rPr>
      <w:i/>
      <w:iCs/>
      <w:lang w:val="en-GB" w:eastAsia="en-US"/>
    </w:rPr>
  </w:style>
  <w:style w:type="character" w:styleId="HTMLCite">
    <w:name w:val="HTML Cite"/>
    <w:basedOn w:val="DefaultParagraphFont"/>
    <w:rsid w:val="00CA3533"/>
    <w:rPr>
      <w:i/>
      <w:iCs/>
    </w:rPr>
  </w:style>
  <w:style w:type="character" w:styleId="HTMLCode">
    <w:name w:val="HTML Code"/>
    <w:basedOn w:val="DefaultParagraphFont"/>
    <w:rsid w:val="00CA3533"/>
    <w:rPr>
      <w:rFonts w:ascii="Courier New" w:hAnsi="Courier New" w:cs="Courier New"/>
      <w:sz w:val="20"/>
      <w:szCs w:val="20"/>
    </w:rPr>
  </w:style>
  <w:style w:type="character" w:styleId="HTMLDefinition">
    <w:name w:val="HTML Definition"/>
    <w:basedOn w:val="DefaultParagraphFont"/>
    <w:rsid w:val="00CA3533"/>
    <w:rPr>
      <w:i/>
      <w:iCs/>
    </w:rPr>
  </w:style>
  <w:style w:type="character" w:styleId="HTMLKeyboard">
    <w:name w:val="HTML Keyboard"/>
    <w:basedOn w:val="DefaultParagraphFont"/>
    <w:rsid w:val="00CA3533"/>
    <w:rPr>
      <w:rFonts w:ascii="Courier New" w:hAnsi="Courier New" w:cs="Courier New"/>
      <w:sz w:val="20"/>
      <w:szCs w:val="20"/>
    </w:rPr>
  </w:style>
  <w:style w:type="paragraph" w:styleId="HTMLPreformatted">
    <w:name w:val="HTML Preformatted"/>
    <w:basedOn w:val="Normal"/>
    <w:link w:val="HTMLPreformattedChar"/>
    <w:semiHidden/>
    <w:rsid w:val="00CA3533"/>
    <w:pPr>
      <w:kinsoku/>
      <w:overflowPunct/>
      <w:autoSpaceDE/>
      <w:autoSpaceDN/>
      <w:adjustRightInd/>
      <w:snapToGrid/>
    </w:pPr>
    <w:rPr>
      <w:rFonts w:ascii="Courier New" w:hAnsi="Courier New" w:cs="Courier New"/>
      <w:lang w:val="en-GB" w:eastAsia="en-US"/>
    </w:rPr>
  </w:style>
  <w:style w:type="character" w:customStyle="1" w:styleId="HTMLPreformattedChar">
    <w:name w:val="HTML Preformatted Char"/>
    <w:basedOn w:val="DefaultParagraphFont"/>
    <w:link w:val="HTMLPreformatted"/>
    <w:semiHidden/>
    <w:rsid w:val="00CA3533"/>
    <w:rPr>
      <w:rFonts w:ascii="Courier New" w:hAnsi="Courier New" w:cs="Courier New"/>
      <w:lang w:val="en-GB" w:eastAsia="en-US"/>
    </w:rPr>
  </w:style>
  <w:style w:type="character" w:styleId="HTMLSample">
    <w:name w:val="HTML Sample"/>
    <w:basedOn w:val="DefaultParagraphFont"/>
    <w:rsid w:val="00CA3533"/>
    <w:rPr>
      <w:rFonts w:ascii="Courier New" w:hAnsi="Courier New" w:cs="Courier New"/>
    </w:rPr>
  </w:style>
  <w:style w:type="character" w:styleId="HTMLTypewriter">
    <w:name w:val="HTML Typewriter"/>
    <w:basedOn w:val="DefaultParagraphFont"/>
    <w:rsid w:val="00CA3533"/>
    <w:rPr>
      <w:rFonts w:ascii="Courier New" w:hAnsi="Courier New" w:cs="Courier New"/>
      <w:sz w:val="20"/>
      <w:szCs w:val="20"/>
    </w:rPr>
  </w:style>
  <w:style w:type="character" w:styleId="HTMLVariable">
    <w:name w:val="HTML Variable"/>
    <w:basedOn w:val="DefaultParagraphFont"/>
    <w:rsid w:val="00CA3533"/>
    <w:rPr>
      <w:i/>
      <w:iCs/>
    </w:rPr>
  </w:style>
  <w:style w:type="paragraph" w:styleId="List">
    <w:name w:val="List"/>
    <w:basedOn w:val="Normal"/>
    <w:rsid w:val="00CA3533"/>
    <w:pPr>
      <w:kinsoku/>
      <w:overflowPunct/>
      <w:autoSpaceDE/>
      <w:autoSpaceDN/>
      <w:adjustRightInd/>
      <w:snapToGrid/>
      <w:ind w:left="283" w:hanging="283"/>
    </w:pPr>
    <w:rPr>
      <w:lang w:val="en-GB" w:eastAsia="en-US"/>
    </w:rPr>
  </w:style>
  <w:style w:type="paragraph" w:styleId="List2">
    <w:name w:val="List 2"/>
    <w:basedOn w:val="Normal"/>
    <w:rsid w:val="00CA3533"/>
    <w:pPr>
      <w:kinsoku/>
      <w:overflowPunct/>
      <w:autoSpaceDE/>
      <w:autoSpaceDN/>
      <w:adjustRightInd/>
      <w:snapToGrid/>
      <w:ind w:left="566" w:hanging="283"/>
    </w:pPr>
    <w:rPr>
      <w:lang w:val="en-GB" w:eastAsia="en-US"/>
    </w:rPr>
  </w:style>
  <w:style w:type="paragraph" w:styleId="List3">
    <w:name w:val="List 3"/>
    <w:basedOn w:val="Normal"/>
    <w:rsid w:val="00CA3533"/>
    <w:pPr>
      <w:kinsoku/>
      <w:overflowPunct/>
      <w:autoSpaceDE/>
      <w:autoSpaceDN/>
      <w:adjustRightInd/>
      <w:snapToGrid/>
      <w:ind w:left="849" w:hanging="283"/>
    </w:pPr>
    <w:rPr>
      <w:lang w:val="en-GB" w:eastAsia="en-US"/>
    </w:rPr>
  </w:style>
  <w:style w:type="paragraph" w:styleId="List4">
    <w:name w:val="List 4"/>
    <w:basedOn w:val="Normal"/>
    <w:rsid w:val="00CA3533"/>
    <w:pPr>
      <w:kinsoku/>
      <w:overflowPunct/>
      <w:autoSpaceDE/>
      <w:autoSpaceDN/>
      <w:adjustRightInd/>
      <w:snapToGrid/>
      <w:ind w:left="1132" w:hanging="283"/>
    </w:pPr>
    <w:rPr>
      <w:lang w:val="en-GB" w:eastAsia="en-US"/>
    </w:rPr>
  </w:style>
  <w:style w:type="paragraph" w:styleId="List5">
    <w:name w:val="List 5"/>
    <w:basedOn w:val="Normal"/>
    <w:rsid w:val="00CA3533"/>
    <w:pPr>
      <w:kinsoku/>
      <w:overflowPunct/>
      <w:autoSpaceDE/>
      <w:autoSpaceDN/>
      <w:adjustRightInd/>
      <w:snapToGrid/>
      <w:ind w:left="1415" w:hanging="283"/>
    </w:pPr>
    <w:rPr>
      <w:lang w:val="en-GB" w:eastAsia="en-US"/>
    </w:rPr>
  </w:style>
  <w:style w:type="paragraph" w:styleId="ListBullet">
    <w:name w:val="List Bullet"/>
    <w:basedOn w:val="Normal"/>
    <w:rsid w:val="00CA3533"/>
    <w:pPr>
      <w:tabs>
        <w:tab w:val="num" w:pos="360"/>
      </w:tabs>
      <w:kinsoku/>
      <w:overflowPunct/>
      <w:autoSpaceDE/>
      <w:autoSpaceDN/>
      <w:adjustRightInd/>
      <w:snapToGrid/>
      <w:ind w:left="360" w:hanging="360"/>
    </w:pPr>
    <w:rPr>
      <w:lang w:val="en-GB" w:eastAsia="en-US"/>
    </w:rPr>
  </w:style>
  <w:style w:type="paragraph" w:styleId="ListBullet2">
    <w:name w:val="List Bullet 2"/>
    <w:basedOn w:val="Normal"/>
    <w:rsid w:val="00CA3533"/>
    <w:pPr>
      <w:tabs>
        <w:tab w:val="num" w:pos="643"/>
      </w:tabs>
      <w:kinsoku/>
      <w:overflowPunct/>
      <w:autoSpaceDE/>
      <w:autoSpaceDN/>
      <w:adjustRightInd/>
      <w:snapToGrid/>
      <w:ind w:left="643" w:hanging="360"/>
    </w:pPr>
    <w:rPr>
      <w:lang w:val="en-GB" w:eastAsia="en-US"/>
    </w:rPr>
  </w:style>
  <w:style w:type="paragraph" w:styleId="ListBullet3">
    <w:name w:val="List Bullet 3"/>
    <w:basedOn w:val="Normal"/>
    <w:rsid w:val="00CA3533"/>
    <w:pPr>
      <w:tabs>
        <w:tab w:val="num" w:pos="926"/>
      </w:tabs>
      <w:kinsoku/>
      <w:overflowPunct/>
      <w:autoSpaceDE/>
      <w:autoSpaceDN/>
      <w:adjustRightInd/>
      <w:snapToGrid/>
      <w:ind w:left="926" w:hanging="360"/>
    </w:pPr>
    <w:rPr>
      <w:lang w:val="en-GB" w:eastAsia="en-US"/>
    </w:rPr>
  </w:style>
  <w:style w:type="paragraph" w:styleId="ListBullet4">
    <w:name w:val="List Bullet 4"/>
    <w:basedOn w:val="Normal"/>
    <w:rsid w:val="00CA3533"/>
    <w:pPr>
      <w:tabs>
        <w:tab w:val="num" w:pos="1209"/>
      </w:tabs>
      <w:kinsoku/>
      <w:overflowPunct/>
      <w:autoSpaceDE/>
      <w:autoSpaceDN/>
      <w:adjustRightInd/>
      <w:snapToGrid/>
      <w:ind w:left="1209" w:hanging="360"/>
    </w:pPr>
    <w:rPr>
      <w:lang w:val="en-GB" w:eastAsia="en-US"/>
    </w:rPr>
  </w:style>
  <w:style w:type="paragraph" w:styleId="ListBullet5">
    <w:name w:val="List Bullet 5"/>
    <w:basedOn w:val="Normal"/>
    <w:rsid w:val="00CA3533"/>
    <w:pPr>
      <w:tabs>
        <w:tab w:val="num" w:pos="1492"/>
      </w:tabs>
      <w:kinsoku/>
      <w:overflowPunct/>
      <w:autoSpaceDE/>
      <w:autoSpaceDN/>
      <w:adjustRightInd/>
      <w:snapToGrid/>
      <w:ind w:left="1492" w:hanging="360"/>
    </w:pPr>
    <w:rPr>
      <w:lang w:val="en-GB" w:eastAsia="en-US"/>
    </w:rPr>
  </w:style>
  <w:style w:type="paragraph" w:styleId="ListContinue">
    <w:name w:val="List Continue"/>
    <w:basedOn w:val="Normal"/>
    <w:rsid w:val="00CA3533"/>
    <w:pPr>
      <w:kinsoku/>
      <w:overflowPunct/>
      <w:autoSpaceDE/>
      <w:autoSpaceDN/>
      <w:adjustRightInd/>
      <w:snapToGrid/>
      <w:spacing w:after="120"/>
      <w:ind w:left="283"/>
    </w:pPr>
    <w:rPr>
      <w:lang w:val="en-GB" w:eastAsia="en-US"/>
    </w:rPr>
  </w:style>
  <w:style w:type="paragraph" w:styleId="ListContinue2">
    <w:name w:val="List Continue 2"/>
    <w:basedOn w:val="Normal"/>
    <w:rsid w:val="00CA3533"/>
    <w:pPr>
      <w:kinsoku/>
      <w:overflowPunct/>
      <w:autoSpaceDE/>
      <w:autoSpaceDN/>
      <w:adjustRightInd/>
      <w:snapToGrid/>
      <w:spacing w:after="120"/>
      <w:ind w:left="566"/>
    </w:pPr>
    <w:rPr>
      <w:lang w:val="en-GB" w:eastAsia="en-US"/>
    </w:rPr>
  </w:style>
  <w:style w:type="paragraph" w:styleId="ListContinue3">
    <w:name w:val="List Continue 3"/>
    <w:basedOn w:val="Normal"/>
    <w:rsid w:val="00CA3533"/>
    <w:pPr>
      <w:kinsoku/>
      <w:overflowPunct/>
      <w:autoSpaceDE/>
      <w:autoSpaceDN/>
      <w:adjustRightInd/>
      <w:snapToGrid/>
      <w:spacing w:after="120"/>
      <w:ind w:left="849"/>
    </w:pPr>
    <w:rPr>
      <w:lang w:val="en-GB" w:eastAsia="en-US"/>
    </w:rPr>
  </w:style>
  <w:style w:type="paragraph" w:styleId="ListContinue4">
    <w:name w:val="List Continue 4"/>
    <w:basedOn w:val="Normal"/>
    <w:rsid w:val="00CA3533"/>
    <w:pPr>
      <w:kinsoku/>
      <w:overflowPunct/>
      <w:autoSpaceDE/>
      <w:autoSpaceDN/>
      <w:adjustRightInd/>
      <w:snapToGrid/>
      <w:spacing w:after="120"/>
      <w:ind w:left="1132"/>
    </w:pPr>
    <w:rPr>
      <w:lang w:val="en-GB" w:eastAsia="en-US"/>
    </w:rPr>
  </w:style>
  <w:style w:type="paragraph" w:styleId="ListContinue5">
    <w:name w:val="List Continue 5"/>
    <w:basedOn w:val="Normal"/>
    <w:rsid w:val="00CA3533"/>
    <w:pPr>
      <w:kinsoku/>
      <w:overflowPunct/>
      <w:autoSpaceDE/>
      <w:autoSpaceDN/>
      <w:adjustRightInd/>
      <w:snapToGrid/>
      <w:spacing w:after="120"/>
      <w:ind w:left="1415"/>
    </w:pPr>
    <w:rPr>
      <w:lang w:val="en-GB" w:eastAsia="en-US"/>
    </w:rPr>
  </w:style>
  <w:style w:type="paragraph" w:styleId="ListNumber">
    <w:name w:val="List Number"/>
    <w:basedOn w:val="Normal"/>
    <w:rsid w:val="00CA3533"/>
    <w:pPr>
      <w:tabs>
        <w:tab w:val="num" w:pos="360"/>
      </w:tabs>
      <w:kinsoku/>
      <w:overflowPunct/>
      <w:autoSpaceDE/>
      <w:autoSpaceDN/>
      <w:adjustRightInd/>
      <w:snapToGrid/>
      <w:ind w:left="360" w:hanging="360"/>
    </w:pPr>
    <w:rPr>
      <w:lang w:val="en-GB" w:eastAsia="en-US"/>
    </w:rPr>
  </w:style>
  <w:style w:type="paragraph" w:styleId="ListNumber2">
    <w:name w:val="List Number 2"/>
    <w:basedOn w:val="Normal"/>
    <w:rsid w:val="00CA3533"/>
    <w:pPr>
      <w:tabs>
        <w:tab w:val="num" w:pos="643"/>
      </w:tabs>
      <w:kinsoku/>
      <w:overflowPunct/>
      <w:autoSpaceDE/>
      <w:autoSpaceDN/>
      <w:adjustRightInd/>
      <w:snapToGrid/>
      <w:ind w:left="643" w:hanging="360"/>
    </w:pPr>
    <w:rPr>
      <w:lang w:val="en-GB" w:eastAsia="en-US"/>
    </w:rPr>
  </w:style>
  <w:style w:type="paragraph" w:styleId="ListNumber3">
    <w:name w:val="List Number 3"/>
    <w:basedOn w:val="Normal"/>
    <w:rsid w:val="00CA3533"/>
    <w:pPr>
      <w:tabs>
        <w:tab w:val="num" w:pos="926"/>
      </w:tabs>
      <w:kinsoku/>
      <w:overflowPunct/>
      <w:autoSpaceDE/>
      <w:autoSpaceDN/>
      <w:adjustRightInd/>
      <w:snapToGrid/>
      <w:ind w:left="926" w:hanging="360"/>
    </w:pPr>
    <w:rPr>
      <w:lang w:val="en-GB" w:eastAsia="en-US"/>
    </w:rPr>
  </w:style>
  <w:style w:type="paragraph" w:styleId="ListNumber4">
    <w:name w:val="List Number 4"/>
    <w:basedOn w:val="Normal"/>
    <w:rsid w:val="00CA3533"/>
    <w:pPr>
      <w:tabs>
        <w:tab w:val="num" w:pos="1209"/>
      </w:tabs>
      <w:kinsoku/>
      <w:overflowPunct/>
      <w:autoSpaceDE/>
      <w:autoSpaceDN/>
      <w:adjustRightInd/>
      <w:snapToGrid/>
      <w:ind w:left="1209" w:hanging="360"/>
    </w:pPr>
    <w:rPr>
      <w:lang w:val="en-GB" w:eastAsia="en-US"/>
    </w:rPr>
  </w:style>
  <w:style w:type="paragraph" w:styleId="ListNumber5">
    <w:name w:val="List Number 5"/>
    <w:basedOn w:val="Normal"/>
    <w:rsid w:val="00CA3533"/>
    <w:pPr>
      <w:tabs>
        <w:tab w:val="num" w:pos="1492"/>
      </w:tabs>
      <w:kinsoku/>
      <w:overflowPunct/>
      <w:autoSpaceDE/>
      <w:autoSpaceDN/>
      <w:adjustRightInd/>
      <w:snapToGrid/>
      <w:ind w:left="1492" w:hanging="360"/>
    </w:pPr>
    <w:rPr>
      <w:lang w:val="en-GB" w:eastAsia="en-US"/>
    </w:rPr>
  </w:style>
  <w:style w:type="paragraph" w:styleId="MessageHeader">
    <w:name w:val="Message Header"/>
    <w:basedOn w:val="Normal"/>
    <w:link w:val="MessageHeaderChar"/>
    <w:rsid w:val="00CA3533"/>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eastAsia="en-US"/>
    </w:rPr>
  </w:style>
  <w:style w:type="character" w:customStyle="1" w:styleId="MessageHeaderChar">
    <w:name w:val="Message Header Char"/>
    <w:basedOn w:val="DefaultParagraphFont"/>
    <w:link w:val="MessageHeader"/>
    <w:rsid w:val="00CA3533"/>
    <w:rPr>
      <w:rFonts w:ascii="Arial" w:hAnsi="Arial" w:cs="Arial"/>
      <w:sz w:val="24"/>
      <w:szCs w:val="24"/>
      <w:shd w:val="pct20" w:color="auto" w:fill="auto"/>
      <w:lang w:val="en-GB" w:eastAsia="en-US"/>
    </w:rPr>
  </w:style>
  <w:style w:type="paragraph" w:styleId="NormalWeb">
    <w:name w:val="Normal (Web)"/>
    <w:basedOn w:val="Normal"/>
    <w:uiPriority w:val="99"/>
    <w:rsid w:val="00CA3533"/>
    <w:pPr>
      <w:kinsoku/>
      <w:overflowPunct/>
      <w:autoSpaceDE/>
      <w:autoSpaceDN/>
      <w:adjustRightInd/>
      <w:snapToGrid/>
    </w:pPr>
    <w:rPr>
      <w:sz w:val="24"/>
      <w:szCs w:val="24"/>
      <w:lang w:val="en-GB" w:eastAsia="en-US"/>
    </w:rPr>
  </w:style>
  <w:style w:type="paragraph" w:styleId="NormalIndent">
    <w:name w:val="Normal Indent"/>
    <w:basedOn w:val="Normal"/>
    <w:rsid w:val="00CA3533"/>
    <w:pPr>
      <w:kinsoku/>
      <w:overflowPunct/>
      <w:autoSpaceDE/>
      <w:autoSpaceDN/>
      <w:adjustRightInd/>
      <w:snapToGrid/>
      <w:ind w:left="567"/>
    </w:pPr>
    <w:rPr>
      <w:lang w:val="en-GB" w:eastAsia="en-US"/>
    </w:rPr>
  </w:style>
  <w:style w:type="paragraph" w:styleId="NoteHeading">
    <w:name w:val="Note Heading"/>
    <w:basedOn w:val="Normal"/>
    <w:next w:val="Normal"/>
    <w:link w:val="NoteHeadingChar"/>
    <w:rsid w:val="00CA3533"/>
    <w:pPr>
      <w:kinsoku/>
      <w:overflowPunct/>
      <w:autoSpaceDE/>
      <w:autoSpaceDN/>
      <w:adjustRightInd/>
      <w:snapToGrid/>
    </w:pPr>
    <w:rPr>
      <w:lang w:val="en-GB" w:eastAsia="en-US"/>
    </w:rPr>
  </w:style>
  <w:style w:type="character" w:customStyle="1" w:styleId="NoteHeadingChar">
    <w:name w:val="Note Heading Char"/>
    <w:basedOn w:val="DefaultParagraphFont"/>
    <w:link w:val="NoteHeading"/>
    <w:rsid w:val="00CA3533"/>
    <w:rPr>
      <w:lang w:val="en-GB" w:eastAsia="en-US"/>
    </w:rPr>
  </w:style>
  <w:style w:type="paragraph" w:styleId="Salutation">
    <w:name w:val="Salutation"/>
    <w:basedOn w:val="Normal"/>
    <w:next w:val="Normal"/>
    <w:link w:val="SalutationChar"/>
    <w:rsid w:val="00CA3533"/>
    <w:pPr>
      <w:kinsoku/>
      <w:overflowPunct/>
      <w:autoSpaceDE/>
      <w:autoSpaceDN/>
      <w:adjustRightInd/>
      <w:snapToGrid/>
    </w:pPr>
    <w:rPr>
      <w:lang w:val="en-GB" w:eastAsia="en-US"/>
    </w:rPr>
  </w:style>
  <w:style w:type="character" w:customStyle="1" w:styleId="SalutationChar">
    <w:name w:val="Salutation Char"/>
    <w:basedOn w:val="DefaultParagraphFont"/>
    <w:link w:val="Salutation"/>
    <w:rsid w:val="00CA3533"/>
    <w:rPr>
      <w:lang w:val="en-GB" w:eastAsia="en-US"/>
    </w:rPr>
  </w:style>
  <w:style w:type="paragraph" w:styleId="Signature">
    <w:name w:val="Signature"/>
    <w:basedOn w:val="Normal"/>
    <w:link w:val="SignatureChar"/>
    <w:rsid w:val="00CA3533"/>
    <w:pPr>
      <w:kinsoku/>
      <w:overflowPunct/>
      <w:autoSpaceDE/>
      <w:autoSpaceDN/>
      <w:adjustRightInd/>
      <w:snapToGrid/>
      <w:ind w:left="4252"/>
    </w:pPr>
    <w:rPr>
      <w:lang w:val="en-GB" w:eastAsia="en-US"/>
    </w:rPr>
  </w:style>
  <w:style w:type="character" w:customStyle="1" w:styleId="SignatureChar">
    <w:name w:val="Signature Char"/>
    <w:basedOn w:val="DefaultParagraphFont"/>
    <w:link w:val="Signature"/>
    <w:rsid w:val="00CA3533"/>
    <w:rPr>
      <w:lang w:val="en-GB" w:eastAsia="en-US"/>
    </w:rPr>
  </w:style>
  <w:style w:type="character" w:styleId="Strong">
    <w:name w:val="Strong"/>
    <w:basedOn w:val="DefaultParagraphFont"/>
    <w:qFormat/>
    <w:rsid w:val="00CA3533"/>
    <w:rPr>
      <w:b/>
      <w:bCs/>
    </w:rPr>
  </w:style>
  <w:style w:type="paragraph" w:styleId="Subtitle">
    <w:name w:val="Subtitle"/>
    <w:basedOn w:val="Normal"/>
    <w:link w:val="SubtitleChar"/>
    <w:qFormat/>
    <w:rsid w:val="00CA3533"/>
    <w:pPr>
      <w:kinsoku/>
      <w:overflowPunct/>
      <w:autoSpaceDE/>
      <w:autoSpaceDN/>
      <w:adjustRightInd/>
      <w:snapToGrid/>
      <w:spacing w:after="60"/>
      <w:jc w:val="center"/>
      <w:outlineLvl w:val="1"/>
    </w:pPr>
    <w:rPr>
      <w:rFonts w:ascii="Arial" w:hAnsi="Arial" w:cs="Arial"/>
      <w:sz w:val="24"/>
      <w:szCs w:val="24"/>
      <w:lang w:val="en-GB" w:eastAsia="en-US"/>
    </w:rPr>
  </w:style>
  <w:style w:type="character" w:customStyle="1" w:styleId="SubtitleChar">
    <w:name w:val="Subtitle Char"/>
    <w:basedOn w:val="DefaultParagraphFont"/>
    <w:link w:val="Subtitle"/>
    <w:rsid w:val="00CA3533"/>
    <w:rPr>
      <w:rFonts w:ascii="Arial" w:hAnsi="Arial" w:cs="Arial"/>
      <w:sz w:val="24"/>
      <w:szCs w:val="24"/>
      <w:lang w:val="en-GB" w:eastAsia="en-US"/>
    </w:rPr>
  </w:style>
  <w:style w:type="table" w:styleId="Table3Deffects1">
    <w:name w:val="Table 3D effects 1"/>
    <w:basedOn w:val="TableNormal"/>
    <w:semiHidden/>
    <w:rsid w:val="00CA3533"/>
    <w:pPr>
      <w:suppressAutoHyphens/>
      <w:spacing w:after="0"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A3533"/>
    <w:pPr>
      <w:suppressAutoHyphens/>
      <w:spacing w:after="0"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A3533"/>
    <w:pPr>
      <w:suppressAutoHyphens/>
      <w:spacing w:after="0"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A3533"/>
    <w:pPr>
      <w:suppressAutoHyphens/>
      <w:spacing w:after="0"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A3533"/>
    <w:pPr>
      <w:suppressAutoHyphens/>
      <w:spacing w:after="0"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A3533"/>
    <w:pPr>
      <w:suppressAutoHyphens/>
      <w:spacing w:after="0"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A3533"/>
    <w:pPr>
      <w:suppressAutoHyphens/>
      <w:spacing w:after="0"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A3533"/>
    <w:pPr>
      <w:suppressAutoHyphens/>
      <w:spacing w:after="0"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A3533"/>
    <w:pPr>
      <w:suppressAutoHyphens/>
      <w:spacing w:after="0"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A3533"/>
    <w:pPr>
      <w:suppressAutoHyphens/>
      <w:spacing w:after="0"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A3533"/>
    <w:pPr>
      <w:suppressAutoHyphens/>
      <w:spacing w:after="0"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A3533"/>
    <w:pPr>
      <w:suppressAutoHyphens/>
      <w:spacing w:after="0"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A3533"/>
    <w:pPr>
      <w:suppressAutoHyphens/>
      <w:spacing w:after="0"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A3533"/>
    <w:pPr>
      <w:suppressAutoHyphens/>
      <w:spacing w:after="0"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A3533"/>
    <w:pPr>
      <w:suppressAutoHyphens/>
      <w:spacing w:after="0"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A3533"/>
    <w:pPr>
      <w:suppressAutoHyphens/>
      <w:spacing w:after="0"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A3533"/>
    <w:pPr>
      <w:suppressAutoHyphens/>
      <w:spacing w:after="0"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CA3533"/>
    <w:pPr>
      <w:suppressAutoHyphens/>
      <w:spacing w:after="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A3533"/>
    <w:pPr>
      <w:suppressAutoHyphens/>
      <w:spacing w:after="0"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A3533"/>
    <w:pPr>
      <w:suppressAutoHyphens/>
      <w:spacing w:after="0"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A3533"/>
    <w:pPr>
      <w:suppressAutoHyphens/>
      <w:spacing w:after="0"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A3533"/>
    <w:pPr>
      <w:suppressAutoHyphens/>
      <w:spacing w:after="0"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A3533"/>
    <w:pPr>
      <w:suppressAutoHyphens/>
      <w:spacing w:after="0"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A3533"/>
    <w:pPr>
      <w:suppressAutoHyphens/>
      <w:spacing w:after="0"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A3533"/>
    <w:pPr>
      <w:suppressAutoHyphens/>
      <w:spacing w:after="0"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A3533"/>
    <w:pPr>
      <w:suppressAutoHyphens/>
      <w:spacing w:after="0"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A3533"/>
    <w:pPr>
      <w:suppressAutoHyphens/>
      <w:spacing w:after="0"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A3533"/>
    <w:pPr>
      <w:suppressAutoHyphens/>
      <w:spacing w:after="0"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A3533"/>
    <w:pPr>
      <w:suppressAutoHyphens/>
      <w:spacing w:after="0"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A3533"/>
    <w:pPr>
      <w:suppressAutoHyphens/>
      <w:spacing w:after="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A3533"/>
    <w:pPr>
      <w:suppressAutoHyphens/>
      <w:spacing w:after="0"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A3533"/>
    <w:pPr>
      <w:suppressAutoHyphens/>
      <w:spacing w:after="0"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A3533"/>
    <w:pPr>
      <w:suppressAutoHyphens/>
      <w:spacing w:after="0"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A3533"/>
    <w:pPr>
      <w:suppressAutoHyphens/>
      <w:spacing w:after="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A3533"/>
    <w:pPr>
      <w:suppressAutoHyphens/>
      <w:spacing w:after="0"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A3533"/>
    <w:pPr>
      <w:suppressAutoHyphens/>
      <w:spacing w:after="0"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A3533"/>
    <w:pPr>
      <w:suppressAutoHyphens/>
      <w:spacing w:after="0"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A3533"/>
    <w:pPr>
      <w:suppressAutoHyphens/>
      <w:spacing w:after="0"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A3533"/>
    <w:pPr>
      <w:suppressAutoHyphens/>
      <w:spacing w:after="0"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3533"/>
    <w:pPr>
      <w:suppressAutoHyphens/>
      <w:spacing w:after="0"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A3533"/>
    <w:pPr>
      <w:suppressAutoHyphens/>
      <w:spacing w:after="0"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A3533"/>
    <w:pPr>
      <w:suppressAutoHyphens/>
      <w:spacing w:after="0"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3533"/>
    <w:pPr>
      <w:suppressAutoHyphens/>
      <w:spacing w:after="0"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A3533"/>
    <w:pPr>
      <w:kinsoku/>
      <w:overflowPunct/>
      <w:autoSpaceDE/>
      <w:autoSpaceDN/>
      <w:adjustRightInd/>
      <w:snapToGrid/>
      <w:spacing w:before="240" w:after="60"/>
      <w:jc w:val="center"/>
      <w:outlineLvl w:val="0"/>
    </w:pPr>
    <w:rPr>
      <w:rFonts w:ascii="Arial" w:hAnsi="Arial" w:cs="Arial"/>
      <w:b/>
      <w:bCs/>
      <w:kern w:val="28"/>
      <w:sz w:val="32"/>
      <w:szCs w:val="32"/>
      <w:lang w:val="en-GB" w:eastAsia="en-US"/>
    </w:rPr>
  </w:style>
  <w:style w:type="character" w:customStyle="1" w:styleId="TitleChar">
    <w:name w:val="Title Char"/>
    <w:basedOn w:val="DefaultParagraphFont"/>
    <w:link w:val="Title"/>
    <w:rsid w:val="00CA3533"/>
    <w:rPr>
      <w:rFonts w:ascii="Arial" w:hAnsi="Arial" w:cs="Arial"/>
      <w:b/>
      <w:bCs/>
      <w:kern w:val="28"/>
      <w:sz w:val="32"/>
      <w:szCs w:val="32"/>
      <w:lang w:val="en-GB" w:eastAsia="en-US"/>
    </w:rPr>
  </w:style>
  <w:style w:type="paragraph" w:styleId="EnvelopeAddress">
    <w:name w:val="envelope address"/>
    <w:basedOn w:val="Normal"/>
    <w:rsid w:val="00CA3533"/>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eastAsia="en-US"/>
    </w:rPr>
  </w:style>
  <w:style w:type="character" w:customStyle="1" w:styleId="SingleTxtGCar">
    <w:name w:val="_ Single Txt_G Car"/>
    <w:rsid w:val="00CA3533"/>
    <w:rPr>
      <w:lang w:eastAsia="en-US"/>
    </w:rPr>
  </w:style>
  <w:style w:type="character" w:customStyle="1" w:styleId="SingleTxtGZchnZchn">
    <w:name w:val="_ Single Txt_G Zchn Zchn"/>
    <w:rsid w:val="00CA3533"/>
    <w:rPr>
      <w:lang w:eastAsia="en-US"/>
    </w:rPr>
  </w:style>
  <w:style w:type="paragraph" w:customStyle="1" w:styleId="p1">
    <w:name w:val="p1"/>
    <w:basedOn w:val="Normal"/>
    <w:rsid w:val="00CA3533"/>
    <w:pPr>
      <w:suppressAutoHyphens w:val="0"/>
      <w:kinsoku/>
      <w:overflowPunct/>
      <w:autoSpaceDE/>
      <w:autoSpaceDN/>
      <w:adjustRightInd/>
      <w:snapToGrid/>
      <w:spacing w:line="240" w:lineRule="auto"/>
    </w:pPr>
    <w:rPr>
      <w:rFonts w:eastAsiaTheme="minorHAnsi"/>
      <w:sz w:val="17"/>
      <w:szCs w:val="17"/>
      <w:lang w:val="en-US" w:eastAsia="en-US"/>
    </w:rPr>
  </w:style>
  <w:style w:type="character" w:customStyle="1" w:styleId="apple-converted-space">
    <w:name w:val="apple-converted-space"/>
    <w:basedOn w:val="DefaultParagraphFont"/>
    <w:rsid w:val="00CA3533"/>
  </w:style>
  <w:style w:type="paragraph" w:styleId="CommentSubject">
    <w:name w:val="annotation subject"/>
    <w:basedOn w:val="CommentText"/>
    <w:next w:val="CommentText"/>
    <w:link w:val="CommentSubjectChar"/>
    <w:unhideWhenUsed/>
    <w:rsid w:val="00CA3533"/>
    <w:rPr>
      <w:b/>
      <w:bCs/>
      <w:lang w:eastAsia="en-US"/>
    </w:rPr>
  </w:style>
  <w:style w:type="character" w:customStyle="1" w:styleId="CommentSubjectChar">
    <w:name w:val="Comment Subject Char"/>
    <w:basedOn w:val="CommentTextChar"/>
    <w:link w:val="CommentSubject"/>
    <w:rsid w:val="00CA3533"/>
    <w:rPr>
      <w:b/>
      <w:bCs/>
      <w:lang w:val="en-GB" w:eastAsia="en-US"/>
    </w:rPr>
  </w:style>
  <w:style w:type="paragraph" w:styleId="Revision">
    <w:name w:val="Revision"/>
    <w:hidden/>
    <w:uiPriority w:val="99"/>
    <w:semiHidden/>
    <w:rsid w:val="00CA3533"/>
    <w:pPr>
      <w:spacing w:after="0" w:line="240" w:lineRule="auto"/>
    </w:pPr>
    <w:rPr>
      <w:lang w:val="en-GB" w:eastAsia="en-US"/>
    </w:rPr>
  </w:style>
  <w:style w:type="paragraph" w:styleId="ListParagraph">
    <w:name w:val="List Paragraph"/>
    <w:basedOn w:val="Normal"/>
    <w:uiPriority w:val="34"/>
    <w:qFormat/>
    <w:rsid w:val="00CA3533"/>
    <w:pPr>
      <w:kinsoku/>
      <w:overflowPunct/>
      <w:autoSpaceDE/>
      <w:autoSpaceDN/>
      <w:adjustRightInd/>
      <w:snapToGrid/>
      <w:ind w:left="720"/>
      <w:contextualSpacing/>
    </w:pPr>
    <w:rPr>
      <w:lang w:val="en-GB" w:eastAsia="en-US"/>
    </w:rPr>
  </w:style>
  <w:style w:type="paragraph" w:styleId="NoSpacing">
    <w:name w:val="No Spacing"/>
    <w:uiPriority w:val="1"/>
    <w:qFormat/>
    <w:rsid w:val="00CA3533"/>
    <w:pPr>
      <w:spacing w:after="0" w:line="240" w:lineRule="auto"/>
    </w:pPr>
    <w:rPr>
      <w:rFonts w:eastAsia="Calibri"/>
      <w:color w:val="000000"/>
      <w:sz w:val="24"/>
      <w:szCs w:val="24"/>
      <w:lang w:val="en-US" w:eastAsia="en-US"/>
    </w:rPr>
  </w:style>
  <w:style w:type="paragraph" w:customStyle="1" w:styleId="TableParagraph">
    <w:name w:val="Table Paragraph"/>
    <w:basedOn w:val="Normal"/>
    <w:uiPriority w:val="1"/>
    <w:qFormat/>
    <w:rsid w:val="00CA3533"/>
    <w:pPr>
      <w:widowControl w:val="0"/>
      <w:suppressAutoHyphens w:val="0"/>
      <w:kinsoku/>
      <w:overflowPunct/>
      <w:adjustRightInd/>
      <w:snapToGrid/>
      <w:spacing w:line="240" w:lineRule="auto"/>
      <w:jc w:val="center"/>
    </w:pPr>
    <w:rPr>
      <w:sz w:val="22"/>
      <w:szCs w:val="22"/>
      <w:lang w:val="en-US" w:eastAsia="en-US"/>
    </w:rPr>
  </w:style>
  <w:style w:type="paragraph" w:customStyle="1" w:styleId="ParaNoG">
    <w:name w:val="_ParaNo._G"/>
    <w:basedOn w:val="SingleTxtG"/>
    <w:rsid w:val="00CA3533"/>
    <w:pPr>
      <w:kinsoku/>
      <w:overflowPunct/>
      <w:autoSpaceDE/>
      <w:autoSpaceDN/>
      <w:adjustRightInd/>
      <w:snapToGrid/>
    </w:pPr>
    <w:rPr>
      <w:lang w:val="en-GB" w:eastAsia="en-US"/>
    </w:rPr>
  </w:style>
  <w:style w:type="paragraph" w:customStyle="1" w:styleId="Default">
    <w:name w:val="Default"/>
    <w:rsid w:val="00CA3533"/>
    <w:pPr>
      <w:widowControl w:val="0"/>
      <w:autoSpaceDE w:val="0"/>
      <w:autoSpaceDN w:val="0"/>
      <w:adjustRightInd w:val="0"/>
      <w:spacing w:after="0" w:line="240" w:lineRule="auto"/>
    </w:pPr>
    <w:rPr>
      <w:color w:val="000000"/>
      <w:sz w:val="24"/>
      <w:szCs w:val="24"/>
      <w:lang w:val="en-US" w:eastAsia="en-US"/>
    </w:rPr>
  </w:style>
  <w:style w:type="paragraph" w:customStyle="1" w:styleId="Style1">
    <w:name w:val="Style1"/>
    <w:basedOn w:val="Normal"/>
    <w:rsid w:val="00CA3533"/>
    <w:pPr>
      <w:tabs>
        <w:tab w:val="left" w:pos="1418"/>
        <w:tab w:val="left" w:pos="1985"/>
        <w:tab w:val="left" w:pos="2552"/>
        <w:tab w:val="left" w:pos="3119"/>
        <w:tab w:val="left" w:pos="3686"/>
        <w:tab w:val="left" w:pos="4253"/>
        <w:tab w:val="left" w:pos="4820"/>
      </w:tabs>
      <w:suppressAutoHyphens w:val="0"/>
      <w:kinsoku/>
      <w:overflowPunct/>
      <w:autoSpaceDE/>
      <w:autoSpaceDN/>
      <w:adjustRightInd/>
      <w:snapToGrid/>
      <w:spacing w:line="240" w:lineRule="auto"/>
      <w:jc w:val="both"/>
    </w:pPr>
    <w:rPr>
      <w:sz w:val="22"/>
      <w:lang w:val="en-US" w:eastAsia="en-US"/>
    </w:rPr>
  </w:style>
  <w:style w:type="paragraph" w:customStyle="1" w:styleId="NumDocPara">
    <w:name w:val="Num©Doc Para"/>
    <w:basedOn w:val="Normal"/>
    <w:rsid w:val="00CA3533"/>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kinsoku/>
      <w:overflowPunct/>
      <w:autoSpaceDE/>
      <w:autoSpaceDN/>
      <w:adjustRightInd/>
      <w:snapToGrid/>
      <w:spacing w:line="240" w:lineRule="auto"/>
    </w:pPr>
    <w:rPr>
      <w:snapToGrid w:val="0"/>
      <w:sz w:val="22"/>
      <w:lang w:val="en-US" w:eastAsia="en-US"/>
    </w:rPr>
  </w:style>
  <w:style w:type="paragraph" w:customStyle="1" w:styleId="Num-DocParagraph">
    <w:name w:val="Num-Doc Paragraph"/>
    <w:basedOn w:val="BodyText"/>
    <w:rsid w:val="00CA3533"/>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CA3533"/>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ru-RU" w:eastAsia="en-US"/>
    </w:rPr>
  </w:style>
  <w:style w:type="character" w:customStyle="1" w:styleId="refresult">
    <w:name w:val="ref_result"/>
    <w:basedOn w:val="DefaultParagraphFont"/>
    <w:rsid w:val="00CA3533"/>
  </w:style>
  <w:style w:type="paragraph" w:customStyle="1" w:styleId="Points">
    <w:name w:val="Points"/>
    <w:basedOn w:val="BodyText"/>
    <w:rsid w:val="00CA3533"/>
    <w:pPr>
      <w:numPr>
        <w:numId w:val="7"/>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CA3533"/>
    <w:pPr>
      <w:tabs>
        <w:tab w:val="num" w:pos="570"/>
      </w:tabs>
      <w:spacing w:before="60" w:after="60" w:line="280" w:lineRule="exact"/>
      <w:ind w:left="570" w:hanging="570"/>
    </w:pPr>
  </w:style>
  <w:style w:type="paragraph" w:customStyle="1" w:styleId="Tablecaption">
    <w:name w:val="Table caption"/>
    <w:basedOn w:val="BodyText"/>
    <w:rsid w:val="00CA3533"/>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CA3533"/>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CA3533"/>
    <w:rPr>
      <w:rFonts w:ascii="Arial" w:eastAsia="Calibri" w:hAnsi="Arial" w:cs="Arial"/>
      <w:lang w:val="en-AU" w:eastAsia="en-AU"/>
    </w:rPr>
  </w:style>
  <w:style w:type="paragraph" w:customStyle="1" w:styleId="DocList">
    <w:name w:val="DocList"/>
    <w:basedOn w:val="SingleTxtG"/>
    <w:rsid w:val="00CA3533"/>
    <w:pPr>
      <w:kinsoku/>
      <w:overflowPunct/>
      <w:autoSpaceDE/>
      <w:autoSpaceDN/>
      <w:adjustRightInd/>
      <w:snapToGrid/>
      <w:spacing w:after="240"/>
      <w:ind w:left="3701" w:right="1138" w:hanging="2002"/>
      <w:jc w:val="left"/>
    </w:pPr>
    <w:rPr>
      <w:i/>
      <w:lang w:val="en-US" w:eastAsia="en-US"/>
    </w:rPr>
  </w:style>
  <w:style w:type="paragraph" w:customStyle="1" w:styleId="Body1">
    <w:name w:val="Body 1"/>
    <w:rsid w:val="00CA3533"/>
    <w:pPr>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CA3533"/>
    <w:pPr>
      <w:spacing w:after="0" w:line="240" w:lineRule="auto"/>
    </w:pPr>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CA3533"/>
    <w:rPr>
      <w:color w:val="605E5C"/>
      <w:shd w:val="clear" w:color="auto" w:fill="E1DFDD"/>
    </w:rPr>
  </w:style>
  <w:style w:type="table" w:customStyle="1" w:styleId="TableGrid11">
    <w:name w:val="Table Grid11"/>
    <w:basedOn w:val="TableNormal"/>
    <w:next w:val="TableGrid"/>
    <w:rsid w:val="00CA3533"/>
    <w:pPr>
      <w:spacing w:after="0" w:line="240" w:lineRule="auto"/>
    </w:pPr>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A3533"/>
    <w:pPr>
      <w:kinsoku/>
      <w:overflowPunct/>
      <w:autoSpaceDE/>
      <w:autoSpaceDN/>
      <w:adjustRightInd/>
      <w:snapToGrid/>
      <w:spacing w:after="200" w:line="240" w:lineRule="auto"/>
    </w:pPr>
    <w:rPr>
      <w:i/>
      <w:iCs/>
      <w:color w:val="1F497D" w:themeColor="text2"/>
      <w:sz w:val="18"/>
      <w:szCs w:val="18"/>
      <w:lang w:val="en-US" w:eastAsia="en-US"/>
    </w:rPr>
  </w:style>
  <w:style w:type="character" w:customStyle="1" w:styleId="H1GCar">
    <w:name w:val="_ H_1_G Car"/>
    <w:rsid w:val="00CA3533"/>
    <w:rPr>
      <w:b/>
      <w:sz w:val="24"/>
    </w:rPr>
  </w:style>
  <w:style w:type="paragraph" w:customStyle="1" w:styleId="H1">
    <w:name w:val="_ H_1"/>
    <w:basedOn w:val="Normal"/>
    <w:next w:val="Normal"/>
    <w:qFormat/>
    <w:rsid w:val="00CA3533"/>
    <w:pPr>
      <w:keepNext/>
      <w:keepLines/>
      <w:kinsoku/>
      <w:overflowPunct/>
      <w:autoSpaceDE/>
      <w:autoSpaceDN/>
      <w:adjustRightInd/>
      <w:snapToGrid/>
      <w:spacing w:line="270" w:lineRule="exact"/>
      <w:outlineLvl w:val="0"/>
    </w:pPr>
    <w:rPr>
      <w:rFonts w:eastAsia="Calibri"/>
      <w:b/>
      <w:spacing w:val="4"/>
      <w:w w:val="103"/>
      <w:kern w:val="14"/>
      <w:sz w:val="24"/>
      <w:szCs w:val="22"/>
      <w:lang w:val="fr-CA" w:eastAsia="en-US"/>
    </w:rPr>
  </w:style>
  <w:style w:type="paragraph" w:customStyle="1" w:styleId="Rom2">
    <w:name w:val="Rom2"/>
    <w:basedOn w:val="SingleTxtG"/>
    <w:semiHidden/>
    <w:rsid w:val="00CA3533"/>
    <w:pPr>
      <w:numPr>
        <w:numId w:val="8"/>
      </w:numPr>
      <w:tabs>
        <w:tab w:val="clear" w:pos="2160"/>
      </w:tabs>
      <w:kinsoku/>
      <w:overflowPunct/>
      <w:autoSpaceDE/>
      <w:autoSpaceDN/>
      <w:adjustRightInd/>
      <w:snapToGrid/>
      <w:ind w:left="2835" w:hanging="397"/>
    </w:pPr>
    <w:rPr>
      <w:lang w:eastAsia="fr-FR"/>
    </w:rPr>
  </w:style>
  <w:style w:type="character" w:styleId="UnresolvedMention">
    <w:name w:val="Unresolved Mention"/>
    <w:basedOn w:val="DefaultParagraphFont"/>
    <w:uiPriority w:val="99"/>
    <w:semiHidden/>
    <w:unhideWhenUsed/>
    <w:rsid w:val="00CA3533"/>
    <w:rPr>
      <w:color w:val="605E5C"/>
      <w:shd w:val="clear" w:color="auto" w:fill="E1DFDD"/>
    </w:rPr>
  </w:style>
  <w:style w:type="table" w:customStyle="1" w:styleId="TableGrid111">
    <w:name w:val="Table Grid111"/>
    <w:basedOn w:val="TableNormal"/>
    <w:next w:val="TableGrid"/>
    <w:rsid w:val="00CA3533"/>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rsid w:val="00CA3533"/>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Normal"/>
    <w:next w:val="TableGrid"/>
    <w:rsid w:val="00CA3533"/>
    <w:pPr>
      <w:suppressAutoHyphens/>
      <w:spacing w:after="0"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Normal"/>
    <w:next w:val="TableGrid"/>
    <w:rsid w:val="00CA3533"/>
    <w:pPr>
      <w:suppressAutoHyphens/>
      <w:spacing w:after="0"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ce.org" TargetMode="External"/><Relationship Id="rId18" Type="http://schemas.openxmlformats.org/officeDocument/2006/relationships/hyperlink" Target="http://www.icao.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context.reverso.net/translation/french-english/alcool+tert-butylique" TargetMode="External"/><Relationship Id="rId7" Type="http://schemas.openxmlformats.org/officeDocument/2006/relationships/webSettings" Target="webSettings.xml"/><Relationship Id="rId12" Type="http://schemas.openxmlformats.org/officeDocument/2006/relationships/hyperlink" Target="http://www.astm.org" TargetMode="External"/><Relationship Id="rId17" Type="http://schemas.openxmlformats.org/officeDocument/2006/relationships/hyperlink" Target="http://www.iso.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en.eu" TargetMode="External"/><Relationship Id="rId20" Type="http://schemas.openxmlformats.org/officeDocument/2006/relationships/hyperlink" Target="http://www.ui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ea.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iga.e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i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ganet.com"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CBDCB-60E8-4FA5-978F-229732513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0F592-F6EA-4186-A3D0-88B241AFBE14}">
  <ds:schemaRefs>
    <ds:schemaRef ds:uri="http://schemas.microsoft.com/sharepoint/v3/contenttype/forms"/>
  </ds:schemaRefs>
</ds:datastoreItem>
</file>

<file path=customXml/itemProps3.xml><?xml version="1.0" encoding="utf-8"?>
<ds:datastoreItem xmlns:ds="http://schemas.openxmlformats.org/officeDocument/2006/customXml" ds:itemID="{0E593BD8-8DA7-42BE-84D3-8EDD36DC29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TRANS_WP1_24_F.dotm</Template>
  <TotalTime>954</TotalTime>
  <Pages>94</Pages>
  <Words>40968</Words>
  <Characters>233523</Characters>
  <Application>Microsoft Office Word</Application>
  <DocSecurity>0</DocSecurity>
  <Lines>1946</Lines>
  <Paragraphs>547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273944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ECE/TRANS/WP.15/256</dc:title>
  <dc:subject>FINAL</dc:subject>
  <dc:creator>Editorial</dc:creator>
  <cp:keywords/>
  <dc:description/>
  <cp:lastModifiedBy>Christine Barrio-Champeau</cp:lastModifiedBy>
  <cp:revision>577</cp:revision>
  <cp:lastPrinted>2014-05-14T10:59:00Z</cp:lastPrinted>
  <dcterms:created xsi:type="dcterms:W3CDTF">2022-01-18T13:17:00Z</dcterms:created>
  <dcterms:modified xsi:type="dcterms:W3CDTF">2022-02-18T13:32:00Z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