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7328" w14:textId="579A6CB4" w:rsidR="00255C70" w:rsidRPr="00255C70" w:rsidRDefault="00255C70" w:rsidP="00255C70">
      <w:pPr>
        <w:suppressAutoHyphens/>
        <w:snapToGrid w:val="0"/>
        <w:ind w:left="5387" w:right="-286"/>
        <w:outlineLvl w:val="0"/>
        <w:rPr>
          <w:rFonts w:eastAsia="Arial" w:cs="Arial"/>
          <w:bCs/>
          <w:sz w:val="20"/>
        </w:rPr>
      </w:pPr>
      <w:r w:rsidRPr="00255C70">
        <w:rPr>
          <w:rFonts w:eastAsia="Arial" w:cs="Arial"/>
          <w:bCs/>
          <w:noProof/>
          <w:sz w:val="20"/>
          <w:lang w:val="en-US"/>
        </w:rPr>
        <w:drawing>
          <wp:anchor distT="0" distB="0" distL="114300" distR="114300" simplePos="0" relativeHeight="251661312" behindDoc="0" locked="0" layoutInCell="1" allowOverlap="1" wp14:anchorId="2B6936FD" wp14:editId="7E6F5070">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255C70">
        <w:rPr>
          <w:rFonts w:eastAsia="Arial" w:cs="Arial"/>
          <w:bCs/>
          <w:sz w:val="20"/>
        </w:rPr>
        <w:t>CCNR-ZKR/ADN/WP.15/AC.2/2022/</w:t>
      </w:r>
      <w:r w:rsidR="002F60A5">
        <w:rPr>
          <w:rFonts w:eastAsia="Arial" w:cs="Arial"/>
          <w:bCs/>
          <w:sz w:val="20"/>
        </w:rPr>
        <w:t>42</w:t>
      </w:r>
    </w:p>
    <w:p w14:paraId="533BA7FC" w14:textId="77777777" w:rsidR="00255C70" w:rsidRPr="00255C70" w:rsidRDefault="00255C70" w:rsidP="00255C70">
      <w:pPr>
        <w:tabs>
          <w:tab w:val="left" w:pos="5670"/>
        </w:tabs>
        <w:snapToGrid w:val="0"/>
        <w:ind w:left="5387"/>
        <w:rPr>
          <w:rFonts w:cs="Arial"/>
          <w:sz w:val="16"/>
        </w:rPr>
      </w:pPr>
      <w:r w:rsidRPr="00255C70">
        <w:rPr>
          <w:rFonts w:cs="Arial"/>
          <w:sz w:val="16"/>
        </w:rPr>
        <w:t>Allgemeine Verteilung</w:t>
      </w:r>
    </w:p>
    <w:p w14:paraId="32A86250" w14:textId="6EF03354" w:rsidR="00255C70" w:rsidRPr="00255C70" w:rsidRDefault="00255C70" w:rsidP="00255C70">
      <w:pPr>
        <w:tabs>
          <w:tab w:val="right" w:pos="3856"/>
          <w:tab w:val="left" w:pos="5670"/>
        </w:tabs>
        <w:snapToGrid w:val="0"/>
        <w:ind w:left="5387"/>
        <w:rPr>
          <w:rFonts w:cs="Arial"/>
          <w:sz w:val="20"/>
        </w:rPr>
      </w:pPr>
      <w:r w:rsidRPr="00255C70">
        <w:rPr>
          <w:rFonts w:eastAsia="Arial" w:cs="Arial"/>
          <w:sz w:val="20"/>
        </w:rPr>
        <w:t xml:space="preserve">2. </w:t>
      </w:r>
      <w:r w:rsidR="002F60A5">
        <w:rPr>
          <w:rFonts w:eastAsia="Arial" w:cs="Arial"/>
          <w:sz w:val="20"/>
        </w:rPr>
        <w:t>Juni</w:t>
      </w:r>
      <w:r w:rsidRPr="00255C70">
        <w:rPr>
          <w:rFonts w:eastAsia="Arial" w:cs="Arial"/>
          <w:sz w:val="20"/>
        </w:rPr>
        <w:t xml:space="preserve"> 2022</w:t>
      </w:r>
    </w:p>
    <w:p w14:paraId="00D062E5" w14:textId="77777777" w:rsidR="00255C70" w:rsidRPr="00255C70" w:rsidRDefault="00255C70" w:rsidP="00255C70">
      <w:pPr>
        <w:tabs>
          <w:tab w:val="right" w:pos="3856"/>
          <w:tab w:val="left" w:pos="5670"/>
        </w:tabs>
        <w:snapToGrid w:val="0"/>
        <w:ind w:left="5387" w:right="565"/>
        <w:rPr>
          <w:rFonts w:eastAsia="Arial" w:cs="Arial"/>
          <w:sz w:val="16"/>
        </w:rPr>
      </w:pPr>
      <w:proofErr w:type="spellStart"/>
      <w:r w:rsidRPr="00255C70">
        <w:rPr>
          <w:rFonts w:eastAsia="Arial" w:cs="Arial"/>
          <w:sz w:val="16"/>
        </w:rPr>
        <w:t>Or</w:t>
      </w:r>
      <w:proofErr w:type="spellEnd"/>
      <w:r w:rsidRPr="00255C70">
        <w:rPr>
          <w:rFonts w:eastAsia="Arial" w:cs="Arial"/>
          <w:sz w:val="16"/>
        </w:rPr>
        <w:t>. DEUTSCH</w:t>
      </w:r>
    </w:p>
    <w:p w14:paraId="556E97C6" w14:textId="77777777" w:rsidR="00255C70" w:rsidRPr="00255C70" w:rsidRDefault="00255C70" w:rsidP="00255C70">
      <w:pPr>
        <w:snapToGrid w:val="0"/>
        <w:rPr>
          <w:rFonts w:cs="Arial"/>
          <w:sz w:val="16"/>
        </w:rPr>
      </w:pPr>
    </w:p>
    <w:p w14:paraId="0EC163B2" w14:textId="77777777" w:rsidR="00255C70" w:rsidRPr="00255C70" w:rsidRDefault="00255C70" w:rsidP="00255C70">
      <w:pPr>
        <w:tabs>
          <w:tab w:val="left" w:pos="2977"/>
        </w:tabs>
        <w:snapToGrid w:val="0"/>
        <w:ind w:left="3958"/>
        <w:rPr>
          <w:sz w:val="16"/>
          <w:szCs w:val="20"/>
          <w:lang w:eastAsia="fr-FR"/>
        </w:rPr>
      </w:pPr>
      <w:r w:rsidRPr="00255C70">
        <w:rPr>
          <w:sz w:val="16"/>
          <w:szCs w:val="20"/>
          <w:lang w:eastAsia="fr-FR"/>
        </w:rPr>
        <w:t xml:space="preserve">GEMEINSAME EXPERTENTAGUNG FÜR DIE DEM ÜBEREINKOMMEN ÜBER DIE INTERNATIONALE BEFÖRDERUNG VON GEFÄHRLICHEN GÜTERN AUF </w:t>
      </w:r>
      <w:r w:rsidRPr="00255C70">
        <w:rPr>
          <w:rFonts w:eastAsia="Calibri"/>
          <w:sz w:val="16"/>
          <w:szCs w:val="20"/>
          <w:lang w:eastAsia="fr-FR"/>
        </w:rPr>
        <w:t xml:space="preserve">BINNENWASSERSTRAẞEN (ADN) </w:t>
      </w:r>
      <w:r w:rsidRPr="00255C70">
        <w:rPr>
          <w:sz w:val="16"/>
          <w:szCs w:val="20"/>
          <w:lang w:eastAsia="fr-FR"/>
        </w:rPr>
        <w:t>BEIGEFÜGTE VERORDNUNG (SICHERHEITSAUSSCHUSS)</w:t>
      </w:r>
    </w:p>
    <w:p w14:paraId="2C1A5DA9" w14:textId="77777777" w:rsidR="00255C70" w:rsidRPr="00255C70" w:rsidRDefault="00255C70" w:rsidP="00255C70">
      <w:pPr>
        <w:tabs>
          <w:tab w:val="left" w:pos="2977"/>
        </w:tabs>
        <w:snapToGrid w:val="0"/>
        <w:ind w:left="3960"/>
        <w:rPr>
          <w:sz w:val="16"/>
          <w:lang w:eastAsia="fr-FR"/>
        </w:rPr>
      </w:pPr>
      <w:r w:rsidRPr="00255C70">
        <w:rPr>
          <w:sz w:val="16"/>
          <w:lang w:eastAsia="fr-FR"/>
        </w:rPr>
        <w:t>(40. Tagung, Genf, 22. – 26. August 2022)</w:t>
      </w:r>
    </w:p>
    <w:p w14:paraId="0A87E681" w14:textId="725A2F9B" w:rsidR="00255C70" w:rsidRPr="00255C70" w:rsidRDefault="00255C70" w:rsidP="00255C70">
      <w:pPr>
        <w:tabs>
          <w:tab w:val="left" w:pos="2977"/>
        </w:tabs>
        <w:snapToGrid w:val="0"/>
        <w:ind w:left="3960"/>
        <w:rPr>
          <w:rFonts w:cs="Arial"/>
          <w:sz w:val="16"/>
          <w:szCs w:val="16"/>
          <w:lang w:eastAsia="en-US"/>
        </w:rPr>
      </w:pPr>
      <w:r w:rsidRPr="00255C70">
        <w:rPr>
          <w:rFonts w:cs="Arial"/>
          <w:sz w:val="16"/>
          <w:szCs w:val="16"/>
          <w:lang w:eastAsia="en-US"/>
        </w:rPr>
        <w:t xml:space="preserve">Punkt </w:t>
      </w:r>
      <w:r>
        <w:rPr>
          <w:rFonts w:cs="Arial"/>
          <w:sz w:val="16"/>
          <w:szCs w:val="16"/>
          <w:lang w:eastAsia="en-US"/>
        </w:rPr>
        <w:t>5</w:t>
      </w:r>
      <w:r w:rsidRPr="00255C70">
        <w:rPr>
          <w:rFonts w:cs="Arial"/>
          <w:sz w:val="16"/>
          <w:szCs w:val="16"/>
          <w:lang w:eastAsia="en-US"/>
        </w:rPr>
        <w:t>) zur vorläufigen Tagesordnung</w:t>
      </w:r>
    </w:p>
    <w:p w14:paraId="7DC79290" w14:textId="77777777" w:rsidR="00255C70" w:rsidRPr="001738CF" w:rsidRDefault="00255C70" w:rsidP="00255C70">
      <w:pPr>
        <w:spacing w:after="120"/>
        <w:ind w:left="3958" w:firstLine="11"/>
        <w:rPr>
          <w:rFonts w:cs="Arial"/>
          <w:b/>
          <w:sz w:val="14"/>
          <w:szCs w:val="16"/>
          <w:lang w:eastAsia="en-US"/>
        </w:rPr>
      </w:pPr>
      <w:r w:rsidRPr="001738CF">
        <w:rPr>
          <w:rFonts w:cs="Arial"/>
          <w:b/>
          <w:sz w:val="14"/>
          <w:szCs w:val="16"/>
          <w:lang w:eastAsia="en-US"/>
        </w:rPr>
        <w:t>Berichte Informeller Arbeitsgruppen</w:t>
      </w:r>
    </w:p>
    <w:p w14:paraId="686050F1" w14:textId="183FD981" w:rsidR="00255C70" w:rsidRDefault="00255C70" w:rsidP="00255C70">
      <w:pPr>
        <w:ind w:left="1134"/>
        <w:rPr>
          <w:snapToGrid w:val="0"/>
          <w:sz w:val="20"/>
          <w:lang w:eastAsia="fr-FR"/>
        </w:rPr>
      </w:pPr>
    </w:p>
    <w:p w14:paraId="6487F564" w14:textId="4EDDDAC3" w:rsidR="00B5677E" w:rsidRDefault="00B5677E" w:rsidP="00255C70">
      <w:pPr>
        <w:ind w:left="1134"/>
        <w:rPr>
          <w:snapToGrid w:val="0"/>
          <w:sz w:val="20"/>
          <w:lang w:eastAsia="fr-FR"/>
        </w:rPr>
      </w:pPr>
    </w:p>
    <w:p w14:paraId="301E5816" w14:textId="77777777" w:rsidR="00B5677E" w:rsidRPr="00255C70" w:rsidRDefault="00B5677E" w:rsidP="00255C70">
      <w:pPr>
        <w:ind w:left="1134"/>
        <w:rPr>
          <w:snapToGrid w:val="0"/>
          <w:sz w:val="20"/>
          <w:lang w:eastAsia="fr-FR"/>
        </w:rPr>
      </w:pPr>
    </w:p>
    <w:p w14:paraId="520E2031" w14:textId="30A3301E" w:rsidR="00255C70" w:rsidRPr="00255C70" w:rsidRDefault="00255C70" w:rsidP="00B5677E">
      <w:pPr>
        <w:suppressAutoHyphens/>
        <w:spacing w:after="120" w:line="240" w:lineRule="atLeast"/>
        <w:ind w:left="1134" w:right="1134"/>
        <w:jc w:val="both"/>
        <w:rPr>
          <w:rFonts w:ascii="Times New Roman" w:hAnsi="Times New Roman"/>
          <w:b/>
          <w:bCs/>
          <w:snapToGrid w:val="0"/>
          <w:sz w:val="28"/>
          <w:lang w:eastAsia="fr-FR"/>
        </w:rPr>
      </w:pPr>
      <w:r w:rsidRPr="00255C70">
        <w:rPr>
          <w:rFonts w:ascii="Times New Roman" w:hAnsi="Times New Roman"/>
          <w:b/>
          <w:bCs/>
          <w:snapToGrid w:val="0"/>
          <w:sz w:val="28"/>
          <w:lang w:eastAsia="fr-FR"/>
        </w:rPr>
        <w:t>Korrespondenzgruppe „Begaste Ladung“</w:t>
      </w:r>
    </w:p>
    <w:p w14:paraId="02F5CE32" w14:textId="77777777" w:rsidR="00255C70" w:rsidRPr="00255C70" w:rsidRDefault="00255C70" w:rsidP="00255C70">
      <w:pPr>
        <w:suppressAutoHyphens/>
        <w:spacing w:line="240" w:lineRule="atLeast"/>
        <w:ind w:left="1134"/>
        <w:rPr>
          <w:rFonts w:ascii="Times New Roman" w:hAnsi="Times New Roman"/>
          <w:snapToGrid w:val="0"/>
          <w:sz w:val="20"/>
          <w:szCs w:val="20"/>
          <w:lang w:eastAsia="fr-FR"/>
        </w:rPr>
      </w:pPr>
    </w:p>
    <w:p w14:paraId="715133AB" w14:textId="77777777" w:rsidR="00255C70" w:rsidRPr="00255C70" w:rsidRDefault="00255C70" w:rsidP="00255C70">
      <w:pPr>
        <w:suppressAutoHyphens/>
        <w:spacing w:line="240" w:lineRule="atLeast"/>
        <w:ind w:left="1134"/>
        <w:rPr>
          <w:rFonts w:ascii="Times New Roman" w:hAnsi="Times New Roman"/>
          <w:snapToGrid w:val="0"/>
          <w:sz w:val="20"/>
          <w:szCs w:val="20"/>
          <w:lang w:eastAsia="fr-FR"/>
        </w:rPr>
      </w:pPr>
    </w:p>
    <w:p w14:paraId="5338217A" w14:textId="77777777" w:rsidR="00255C70" w:rsidRPr="00255C70" w:rsidRDefault="00255C70" w:rsidP="00255C70">
      <w:pPr>
        <w:keepNext/>
        <w:keepLines/>
        <w:suppressAutoHyphens/>
        <w:snapToGrid w:val="0"/>
        <w:spacing w:line="240" w:lineRule="atLeast"/>
        <w:ind w:left="1134" w:right="567"/>
        <w:rPr>
          <w:rFonts w:ascii="Times New Roman" w:hAnsi="Times New Roman"/>
          <w:b/>
          <w:sz w:val="18"/>
          <w:szCs w:val="20"/>
          <w:vertAlign w:val="superscript"/>
          <w:lang w:eastAsia="fr-FR"/>
        </w:rPr>
      </w:pPr>
      <w:r w:rsidRPr="00255C70">
        <w:rPr>
          <w:rFonts w:ascii="Times New Roman" w:hAnsi="Times New Roman"/>
          <w:b/>
          <w:szCs w:val="20"/>
          <w:lang w:eastAsia="fr-FR"/>
        </w:rPr>
        <w:t>Eingereicht von Deutschland</w:t>
      </w:r>
      <w:r w:rsidRPr="00255C70">
        <w:rPr>
          <w:rFonts w:ascii="Times New Roman" w:hAnsi="Times New Roman"/>
          <w:bCs/>
          <w:sz w:val="20"/>
          <w:szCs w:val="20"/>
          <w:lang w:eastAsia="en-US"/>
        </w:rPr>
        <w:footnoteReference w:customMarkFollows="1" w:id="1"/>
        <w:t>*</w:t>
      </w:r>
      <w:r w:rsidRPr="00255C70">
        <w:rPr>
          <w:rFonts w:ascii="Times New Roman" w:hAnsi="Times New Roman"/>
          <w:bCs/>
          <w:sz w:val="20"/>
          <w:szCs w:val="20"/>
          <w:vertAlign w:val="superscript"/>
          <w:lang w:eastAsia="en-US"/>
        </w:rPr>
        <w:t>,</w:t>
      </w:r>
      <w:r w:rsidRPr="00255C70">
        <w:rPr>
          <w:rFonts w:ascii="Times New Roman" w:hAnsi="Times New Roman"/>
          <w:b/>
          <w:sz w:val="20"/>
          <w:szCs w:val="20"/>
          <w:vertAlign w:val="superscript"/>
          <w:lang w:eastAsia="en-US"/>
        </w:rPr>
        <w:t xml:space="preserve"> </w:t>
      </w:r>
      <w:r w:rsidRPr="00255C70">
        <w:rPr>
          <w:rFonts w:ascii="Times New Roman" w:hAnsi="Times New Roman"/>
          <w:bCs/>
          <w:sz w:val="20"/>
          <w:szCs w:val="20"/>
          <w:lang w:eastAsia="en-US"/>
        </w:rPr>
        <w:footnoteReference w:customMarkFollows="1" w:id="2"/>
        <w:t>**</w:t>
      </w:r>
    </w:p>
    <w:p w14:paraId="7AAFD384" w14:textId="5AC63A4C" w:rsidR="00255C70" w:rsidRDefault="00255C70" w:rsidP="00255C70">
      <w:pPr>
        <w:ind w:left="1134"/>
        <w:jc w:val="both"/>
        <w:rPr>
          <w:rFonts w:ascii="Times New Roman" w:hAnsi="Times New Roman"/>
          <w:b/>
          <w:sz w:val="20"/>
          <w:szCs w:val="20"/>
        </w:rPr>
      </w:pPr>
    </w:p>
    <w:p w14:paraId="0A36D52C" w14:textId="77777777" w:rsidR="00255C70" w:rsidRDefault="00255C70" w:rsidP="00255C70">
      <w:pPr>
        <w:tabs>
          <w:tab w:val="left" w:pos="1701"/>
        </w:tabs>
        <w:ind w:left="1134"/>
        <w:jc w:val="both"/>
        <w:rPr>
          <w:rFonts w:ascii="Times New Roman" w:hAnsi="Times New Roman"/>
          <w:b/>
          <w:sz w:val="20"/>
          <w:szCs w:val="20"/>
        </w:rPr>
      </w:pPr>
    </w:p>
    <w:p w14:paraId="311AA3D4" w14:textId="26990927" w:rsidR="00A1786D" w:rsidRPr="002F60A5" w:rsidRDefault="00A1786D" w:rsidP="002F60A5">
      <w:pPr>
        <w:tabs>
          <w:tab w:val="left" w:pos="1701"/>
        </w:tabs>
        <w:ind w:left="1134" w:right="565"/>
        <w:jc w:val="both"/>
        <w:rPr>
          <w:rFonts w:ascii="Times New Roman" w:hAnsi="Times New Roman"/>
          <w:b/>
          <w:sz w:val="28"/>
          <w:szCs w:val="28"/>
        </w:rPr>
      </w:pPr>
      <w:r w:rsidRPr="002F60A5">
        <w:rPr>
          <w:rFonts w:ascii="Times New Roman" w:hAnsi="Times New Roman"/>
          <w:b/>
          <w:sz w:val="28"/>
          <w:szCs w:val="28"/>
        </w:rPr>
        <w:t>Einleitung</w:t>
      </w:r>
    </w:p>
    <w:p w14:paraId="660BDB9F" w14:textId="77777777" w:rsidR="00A1786D" w:rsidRPr="00255C70" w:rsidRDefault="00A1786D" w:rsidP="00255C70">
      <w:pPr>
        <w:tabs>
          <w:tab w:val="left" w:pos="1701"/>
        </w:tabs>
        <w:ind w:left="1134" w:right="565"/>
        <w:jc w:val="both"/>
        <w:rPr>
          <w:rFonts w:ascii="Times New Roman" w:hAnsi="Times New Roman"/>
          <w:sz w:val="20"/>
          <w:szCs w:val="20"/>
        </w:rPr>
      </w:pPr>
    </w:p>
    <w:p w14:paraId="6FF55A45" w14:textId="0B10F9BB" w:rsidR="00A1786D" w:rsidRPr="00255C70" w:rsidRDefault="00A1786D" w:rsidP="00255C70">
      <w:pPr>
        <w:tabs>
          <w:tab w:val="left" w:pos="1701"/>
        </w:tabs>
        <w:ind w:left="1134" w:right="565"/>
        <w:jc w:val="both"/>
        <w:rPr>
          <w:rFonts w:ascii="Times New Roman" w:hAnsi="Times New Roman"/>
          <w:sz w:val="20"/>
          <w:szCs w:val="20"/>
        </w:rPr>
      </w:pPr>
      <w:r w:rsidRPr="00255C70">
        <w:rPr>
          <w:rFonts w:ascii="Times New Roman" w:hAnsi="Times New Roman"/>
          <w:sz w:val="20"/>
          <w:szCs w:val="20"/>
        </w:rPr>
        <w:t>1.</w:t>
      </w:r>
      <w:r w:rsidRPr="00255C70">
        <w:rPr>
          <w:rFonts w:ascii="Times New Roman" w:hAnsi="Times New Roman"/>
          <w:sz w:val="20"/>
          <w:szCs w:val="20"/>
        </w:rPr>
        <w:tab/>
      </w:r>
      <w:r w:rsidR="00EA1BE6" w:rsidRPr="00255C70">
        <w:rPr>
          <w:rFonts w:ascii="Times New Roman" w:hAnsi="Times New Roman"/>
          <w:sz w:val="20"/>
          <w:szCs w:val="20"/>
        </w:rPr>
        <w:t>Der Sicherheitsausschuss erteilte in seiner 38. Sitzung im August 2021 das Mandat für eine Korrespondenzgruppe, die, basierend auf dem Antrag Deutschlands für einen neuen Abschnitt 5.5.5 (ECE/TRANS/</w:t>
      </w:r>
      <w:r w:rsidR="00797AA4" w:rsidRPr="00255C70">
        <w:rPr>
          <w:rFonts w:ascii="Times New Roman" w:hAnsi="Times New Roman"/>
          <w:sz w:val="20"/>
          <w:szCs w:val="20"/>
        </w:rPr>
        <w:t xml:space="preserve"> </w:t>
      </w:r>
      <w:r w:rsidR="00EA1BE6" w:rsidRPr="00255C70">
        <w:rPr>
          <w:rFonts w:ascii="Times New Roman" w:hAnsi="Times New Roman"/>
          <w:sz w:val="20"/>
          <w:szCs w:val="20"/>
        </w:rPr>
        <w:t xml:space="preserve">WP.15/AC.2/2021/22 und </w:t>
      </w:r>
      <w:r w:rsidR="002F60A5">
        <w:rPr>
          <w:rFonts w:ascii="Times New Roman" w:hAnsi="Times New Roman"/>
          <w:sz w:val="20"/>
          <w:szCs w:val="20"/>
        </w:rPr>
        <w:t xml:space="preserve">informelles Dokument </w:t>
      </w:r>
      <w:r w:rsidR="00EA1BE6" w:rsidRPr="00255C70">
        <w:rPr>
          <w:rFonts w:ascii="Times New Roman" w:hAnsi="Times New Roman"/>
          <w:sz w:val="20"/>
          <w:szCs w:val="20"/>
        </w:rPr>
        <w:t>INF.5 (Österreich)), den Regelungsbedarf zur Beförderung von begasten Schüttgütern in Laderäumen und begaste Laderäume von Trockengüterschiffen erörtern soll.</w:t>
      </w:r>
      <w:r w:rsidR="00A1689E" w:rsidRPr="00255C70">
        <w:rPr>
          <w:rFonts w:ascii="Times New Roman" w:hAnsi="Times New Roman"/>
          <w:sz w:val="20"/>
          <w:szCs w:val="20"/>
        </w:rPr>
        <w:t xml:space="preserve"> Ein neuer Vorschlag sollte sich auf die Sicherheit der Besatzungsmitglieder und anderer Personen an Bord konzentrieren und alle denkbaren Risiken berücksichtigen.</w:t>
      </w:r>
    </w:p>
    <w:p w14:paraId="3294FE68" w14:textId="77777777" w:rsidR="00EA1BE6" w:rsidRPr="00255C70" w:rsidRDefault="00EA1BE6" w:rsidP="00255C70">
      <w:pPr>
        <w:tabs>
          <w:tab w:val="left" w:pos="1701"/>
        </w:tabs>
        <w:ind w:left="1134" w:right="565"/>
        <w:jc w:val="both"/>
        <w:rPr>
          <w:rFonts w:ascii="Times New Roman" w:hAnsi="Times New Roman"/>
          <w:sz w:val="20"/>
          <w:szCs w:val="20"/>
        </w:rPr>
      </w:pPr>
    </w:p>
    <w:p w14:paraId="18F0A0A5" w14:textId="35E4EA9D" w:rsidR="00EA1BE6" w:rsidRPr="00255C70" w:rsidRDefault="00EA1BE6" w:rsidP="00255C70">
      <w:pPr>
        <w:tabs>
          <w:tab w:val="left" w:pos="1701"/>
        </w:tabs>
        <w:ind w:left="1134" w:right="565"/>
        <w:jc w:val="both"/>
        <w:rPr>
          <w:rFonts w:ascii="Times New Roman" w:hAnsi="Times New Roman"/>
          <w:sz w:val="20"/>
          <w:szCs w:val="20"/>
        </w:rPr>
      </w:pPr>
      <w:r w:rsidRPr="00255C70">
        <w:rPr>
          <w:rFonts w:ascii="Times New Roman" w:hAnsi="Times New Roman"/>
          <w:sz w:val="20"/>
          <w:szCs w:val="20"/>
        </w:rPr>
        <w:t>2.</w:t>
      </w:r>
      <w:r w:rsidRPr="00255C70">
        <w:rPr>
          <w:rFonts w:ascii="Times New Roman" w:hAnsi="Times New Roman"/>
          <w:sz w:val="20"/>
          <w:szCs w:val="20"/>
        </w:rPr>
        <w:tab/>
        <w:t>Deutschland hat den Vorsitz der Korrespondenzgruppe übernommen und auf einem nationalen</w:t>
      </w:r>
      <w:r w:rsidR="00A1689E" w:rsidRPr="00255C70">
        <w:rPr>
          <w:rFonts w:ascii="Times New Roman" w:hAnsi="Times New Roman"/>
          <w:sz w:val="20"/>
          <w:szCs w:val="20"/>
        </w:rPr>
        <w:t xml:space="preserve"> staatlich betriebenen</w:t>
      </w:r>
      <w:r w:rsidRPr="00255C70">
        <w:rPr>
          <w:rFonts w:ascii="Times New Roman" w:hAnsi="Times New Roman"/>
          <w:sz w:val="20"/>
          <w:szCs w:val="20"/>
        </w:rPr>
        <w:t xml:space="preserve"> Dokumentenserver einen Arbeitsbereich bereitgestellt. An der Gruppe beteiligten sich bisher neben den Vertragsparteien Deutschland, </w:t>
      </w:r>
      <w:r w:rsidR="002F60A5">
        <w:rPr>
          <w:rFonts w:ascii="Times New Roman" w:hAnsi="Times New Roman"/>
          <w:sz w:val="20"/>
          <w:szCs w:val="20"/>
        </w:rPr>
        <w:t xml:space="preserve">Frankreich und </w:t>
      </w:r>
      <w:r w:rsidRPr="00255C70">
        <w:rPr>
          <w:rFonts w:ascii="Times New Roman" w:hAnsi="Times New Roman"/>
          <w:sz w:val="20"/>
          <w:szCs w:val="20"/>
        </w:rPr>
        <w:t>Niederlande die Delegationen von EBU/ESO und GAFTA.</w:t>
      </w:r>
    </w:p>
    <w:p w14:paraId="624F8AA5" w14:textId="77777777" w:rsidR="00EA1BE6" w:rsidRPr="00255C70" w:rsidRDefault="00EA1BE6" w:rsidP="00255C70">
      <w:pPr>
        <w:tabs>
          <w:tab w:val="left" w:pos="1701"/>
        </w:tabs>
        <w:ind w:left="1134" w:right="565"/>
        <w:jc w:val="both"/>
        <w:rPr>
          <w:rFonts w:ascii="Times New Roman" w:hAnsi="Times New Roman"/>
          <w:sz w:val="20"/>
          <w:szCs w:val="20"/>
        </w:rPr>
      </w:pPr>
    </w:p>
    <w:p w14:paraId="6B5A46EE" w14:textId="34FC49E0" w:rsidR="00144E34" w:rsidRPr="00255C70" w:rsidRDefault="00EA1BE6" w:rsidP="00255C70">
      <w:pPr>
        <w:tabs>
          <w:tab w:val="left" w:pos="1701"/>
        </w:tabs>
        <w:ind w:left="1134" w:right="565"/>
        <w:jc w:val="both"/>
        <w:rPr>
          <w:rFonts w:ascii="Times New Roman" w:hAnsi="Times New Roman"/>
          <w:b/>
          <w:sz w:val="20"/>
          <w:szCs w:val="20"/>
        </w:rPr>
      </w:pPr>
      <w:r w:rsidRPr="00255C70">
        <w:rPr>
          <w:rFonts w:ascii="Times New Roman" w:hAnsi="Times New Roman"/>
          <w:sz w:val="20"/>
          <w:szCs w:val="20"/>
        </w:rPr>
        <w:t>3.</w:t>
      </w:r>
      <w:r w:rsidRPr="00255C70">
        <w:rPr>
          <w:rFonts w:ascii="Times New Roman" w:hAnsi="Times New Roman"/>
          <w:sz w:val="20"/>
          <w:szCs w:val="20"/>
        </w:rPr>
        <w:tab/>
        <w:t xml:space="preserve">Der Vorsitz hatte einige Hintergrunddokumente wie Fachartikel </w:t>
      </w:r>
      <w:r w:rsidR="00FC4BA1" w:rsidRPr="00255C70">
        <w:rPr>
          <w:rFonts w:ascii="Times New Roman" w:hAnsi="Times New Roman"/>
          <w:sz w:val="20"/>
          <w:szCs w:val="20"/>
        </w:rPr>
        <w:t>über die Begasung von Getreide</w:t>
      </w:r>
      <w:r w:rsidR="00797AA4" w:rsidRPr="00255C70">
        <w:rPr>
          <w:rFonts w:ascii="Times New Roman" w:hAnsi="Times New Roman"/>
          <w:sz w:val="20"/>
          <w:szCs w:val="20"/>
        </w:rPr>
        <w:t>-</w:t>
      </w:r>
      <w:r w:rsidR="00FC4BA1" w:rsidRPr="00255C70">
        <w:rPr>
          <w:rFonts w:ascii="Times New Roman" w:hAnsi="Times New Roman"/>
          <w:sz w:val="20"/>
          <w:szCs w:val="20"/>
        </w:rPr>
        <w:t xml:space="preserve">ladungen in Seeschiffen </w:t>
      </w:r>
      <w:r w:rsidRPr="00255C70">
        <w:rPr>
          <w:rFonts w:ascii="Times New Roman" w:hAnsi="Times New Roman"/>
          <w:sz w:val="20"/>
          <w:szCs w:val="20"/>
        </w:rPr>
        <w:t>zusammen</w:t>
      </w:r>
      <w:r w:rsidR="00FC4BA1" w:rsidRPr="00255C70">
        <w:rPr>
          <w:rFonts w:ascii="Times New Roman" w:hAnsi="Times New Roman"/>
          <w:sz w:val="20"/>
          <w:szCs w:val="20"/>
        </w:rPr>
        <w:t xml:space="preserve">getragen und diese der Gruppe im genannten Arbeitsbereich zur Verfügung gestellt. Auch eine englische Übersetzung der </w:t>
      </w:r>
      <w:r w:rsidR="00797AA4" w:rsidRPr="00255C70">
        <w:rPr>
          <w:rFonts w:ascii="Times New Roman" w:hAnsi="Times New Roman"/>
          <w:sz w:val="20"/>
          <w:szCs w:val="20"/>
        </w:rPr>
        <w:t xml:space="preserve">deutschen </w:t>
      </w:r>
      <w:r w:rsidR="00FC4BA1" w:rsidRPr="00255C70">
        <w:rPr>
          <w:rFonts w:ascii="Times New Roman" w:hAnsi="Times New Roman"/>
          <w:sz w:val="20"/>
          <w:szCs w:val="20"/>
        </w:rPr>
        <w:t xml:space="preserve">nationalen Vorschriften zu Begasungen </w:t>
      </w:r>
      <w:r w:rsidR="00797AA4" w:rsidRPr="00255C70">
        <w:rPr>
          <w:rFonts w:ascii="Times New Roman" w:hAnsi="Times New Roman"/>
          <w:sz w:val="20"/>
          <w:szCs w:val="20"/>
        </w:rPr>
        <w:t xml:space="preserve">von und in </w:t>
      </w:r>
      <w:r w:rsidR="00FC4BA1" w:rsidRPr="00255C70">
        <w:rPr>
          <w:rFonts w:ascii="Times New Roman" w:hAnsi="Times New Roman"/>
          <w:sz w:val="20"/>
          <w:szCs w:val="20"/>
        </w:rPr>
        <w:t>Transportmitteln wurde verfügbar gemacht. GAFTA</w:t>
      </w:r>
      <w:r w:rsidR="00797AA4" w:rsidRPr="00255C70">
        <w:rPr>
          <w:rFonts w:ascii="Times New Roman" w:hAnsi="Times New Roman"/>
          <w:sz w:val="20"/>
          <w:szCs w:val="20"/>
        </w:rPr>
        <w:t xml:space="preserve"> und</w:t>
      </w:r>
      <w:r w:rsidR="00FC4BA1" w:rsidRPr="00255C70">
        <w:rPr>
          <w:rFonts w:ascii="Times New Roman" w:hAnsi="Times New Roman"/>
          <w:sz w:val="20"/>
          <w:szCs w:val="20"/>
        </w:rPr>
        <w:t xml:space="preserve"> EBU/ESO haben Erklärungen zu Begasungsvorgängen und zu den erwarteten Sicherheitsmaßnahmen abgegeben, die Niederlande habe</w:t>
      </w:r>
      <w:r w:rsidR="00797AA4" w:rsidRPr="00255C70">
        <w:rPr>
          <w:rFonts w:ascii="Times New Roman" w:hAnsi="Times New Roman"/>
          <w:sz w:val="20"/>
          <w:szCs w:val="20"/>
        </w:rPr>
        <w:t>n</w:t>
      </w:r>
      <w:r w:rsidR="00FC4BA1" w:rsidRPr="00255C70">
        <w:rPr>
          <w:rFonts w:ascii="Times New Roman" w:hAnsi="Times New Roman"/>
          <w:sz w:val="20"/>
          <w:szCs w:val="20"/>
        </w:rPr>
        <w:t xml:space="preserve"> einen geänderten Antrags</w:t>
      </w:r>
      <w:r w:rsidR="00797AA4" w:rsidRPr="00255C70">
        <w:rPr>
          <w:rFonts w:ascii="Times New Roman" w:hAnsi="Times New Roman"/>
          <w:sz w:val="20"/>
          <w:szCs w:val="20"/>
        </w:rPr>
        <w:t>-</w:t>
      </w:r>
      <w:r w:rsidR="00FC4BA1" w:rsidRPr="00255C70">
        <w:rPr>
          <w:rFonts w:ascii="Times New Roman" w:hAnsi="Times New Roman"/>
          <w:sz w:val="20"/>
          <w:szCs w:val="20"/>
        </w:rPr>
        <w:t>entwurf beigesteuert.</w:t>
      </w:r>
      <w:r w:rsidR="000A41EF" w:rsidRPr="00255C70">
        <w:rPr>
          <w:rFonts w:ascii="Times New Roman" w:hAnsi="Times New Roman"/>
          <w:sz w:val="20"/>
          <w:szCs w:val="20"/>
        </w:rPr>
        <w:t xml:space="preserve"> Frankreich stellte Auszüge aus den korrespondierenden IMO-Vorschriften für Seeschiffe zur Verfügung.</w:t>
      </w:r>
    </w:p>
    <w:p w14:paraId="015FFF31" w14:textId="7CE90A75" w:rsidR="00457B2B" w:rsidRDefault="00457B2B">
      <w:pPr>
        <w:rPr>
          <w:rFonts w:ascii="Times New Roman" w:hAnsi="Times New Roman"/>
          <w:b/>
          <w:sz w:val="20"/>
          <w:szCs w:val="20"/>
        </w:rPr>
      </w:pPr>
      <w:r>
        <w:rPr>
          <w:rFonts w:ascii="Times New Roman" w:hAnsi="Times New Roman"/>
          <w:b/>
          <w:sz w:val="20"/>
          <w:szCs w:val="20"/>
        </w:rPr>
        <w:br w:type="page"/>
      </w:r>
    </w:p>
    <w:p w14:paraId="5ACDAF79" w14:textId="751A1790" w:rsidR="00190481" w:rsidRPr="002F60A5" w:rsidRDefault="00FC4BA1" w:rsidP="00457B2B">
      <w:pPr>
        <w:pStyle w:val="Paragraphedeliste"/>
        <w:numPr>
          <w:ilvl w:val="0"/>
          <w:numId w:val="2"/>
        </w:numPr>
        <w:tabs>
          <w:tab w:val="left" w:pos="1134"/>
          <w:tab w:val="left" w:pos="1701"/>
        </w:tabs>
        <w:ind w:right="565" w:hanging="1570"/>
        <w:jc w:val="both"/>
        <w:rPr>
          <w:rFonts w:ascii="Times New Roman" w:hAnsi="Times New Roman"/>
          <w:b/>
          <w:sz w:val="28"/>
          <w:szCs w:val="28"/>
        </w:rPr>
      </w:pPr>
      <w:r w:rsidRPr="002F60A5">
        <w:rPr>
          <w:rFonts w:ascii="Times New Roman" w:hAnsi="Times New Roman"/>
          <w:b/>
          <w:sz w:val="28"/>
          <w:szCs w:val="28"/>
        </w:rPr>
        <w:lastRenderedPageBreak/>
        <w:t>Vorläufige Ergebnisse</w:t>
      </w:r>
    </w:p>
    <w:p w14:paraId="1FD1A966" w14:textId="77777777" w:rsidR="00190481" w:rsidRPr="00255C70" w:rsidRDefault="00190481" w:rsidP="00255C70">
      <w:pPr>
        <w:tabs>
          <w:tab w:val="left" w:pos="1701"/>
        </w:tabs>
        <w:ind w:left="1134" w:right="565"/>
        <w:jc w:val="both"/>
        <w:rPr>
          <w:rFonts w:ascii="Times New Roman" w:hAnsi="Times New Roman"/>
          <w:sz w:val="20"/>
          <w:szCs w:val="20"/>
        </w:rPr>
      </w:pPr>
    </w:p>
    <w:p w14:paraId="7B5AEA71" w14:textId="59083795" w:rsidR="00FC4BA1" w:rsidRPr="00255C70" w:rsidRDefault="00FC4BA1" w:rsidP="00255C70">
      <w:pPr>
        <w:tabs>
          <w:tab w:val="left" w:pos="1701"/>
        </w:tabs>
        <w:ind w:left="1134" w:right="565"/>
        <w:jc w:val="both"/>
        <w:rPr>
          <w:rFonts w:ascii="Times New Roman" w:hAnsi="Times New Roman"/>
          <w:sz w:val="20"/>
          <w:szCs w:val="20"/>
        </w:rPr>
      </w:pPr>
      <w:r w:rsidRPr="00255C70">
        <w:rPr>
          <w:rFonts w:ascii="Times New Roman" w:hAnsi="Times New Roman"/>
          <w:sz w:val="20"/>
          <w:szCs w:val="20"/>
        </w:rPr>
        <w:t>4</w:t>
      </w:r>
      <w:r w:rsidR="00D17D98" w:rsidRPr="00255C70">
        <w:rPr>
          <w:rFonts w:ascii="Times New Roman" w:hAnsi="Times New Roman"/>
          <w:sz w:val="20"/>
          <w:szCs w:val="20"/>
        </w:rPr>
        <w:t>.</w:t>
      </w:r>
      <w:r w:rsidR="00D17D98" w:rsidRPr="00255C70">
        <w:rPr>
          <w:rFonts w:ascii="Times New Roman" w:hAnsi="Times New Roman"/>
          <w:sz w:val="20"/>
          <w:szCs w:val="20"/>
        </w:rPr>
        <w:tab/>
      </w:r>
      <w:r w:rsidRPr="00255C70">
        <w:rPr>
          <w:rFonts w:ascii="Times New Roman" w:hAnsi="Times New Roman"/>
          <w:sz w:val="20"/>
          <w:szCs w:val="20"/>
        </w:rPr>
        <w:t>Sowohl in den Niederlanden als auch in Deutschland bestehen Rechtsvorschriften, die im Bereich des Arbeitsschutzes Begasungsmaßnahmen auch auf Binnenschiffen regeln, auf entsprechenden Verordnungen der Europäischen Union zum Umgang mit Bioziden beruhen, aber im Detail unterschiedliche Vorschriften zur Begasung an Bord von Binnenschiffen enthalten.</w:t>
      </w:r>
    </w:p>
    <w:p w14:paraId="7840624E" w14:textId="7F53879E" w:rsidR="00037C3D" w:rsidRDefault="00037C3D">
      <w:pPr>
        <w:rPr>
          <w:rFonts w:ascii="Times New Roman" w:hAnsi="Times New Roman"/>
          <w:sz w:val="20"/>
          <w:szCs w:val="20"/>
        </w:rPr>
      </w:pPr>
      <w:bookmarkStart w:id="0" w:name="_Hlk104274491"/>
    </w:p>
    <w:p w14:paraId="48CC1F06" w14:textId="4101AC6B" w:rsidR="004619D5" w:rsidRPr="00255C70" w:rsidRDefault="00FC4BA1" w:rsidP="00255C70">
      <w:pPr>
        <w:tabs>
          <w:tab w:val="left" w:pos="1701"/>
        </w:tabs>
        <w:ind w:left="1134" w:right="565"/>
        <w:jc w:val="both"/>
        <w:rPr>
          <w:rFonts w:ascii="Times New Roman" w:hAnsi="Times New Roman"/>
          <w:sz w:val="20"/>
          <w:szCs w:val="20"/>
        </w:rPr>
      </w:pPr>
      <w:r w:rsidRPr="00255C70">
        <w:rPr>
          <w:rFonts w:ascii="Times New Roman" w:hAnsi="Times New Roman"/>
          <w:sz w:val="20"/>
          <w:szCs w:val="20"/>
        </w:rPr>
        <w:t>5.</w:t>
      </w:r>
      <w:r w:rsidRPr="00255C70">
        <w:rPr>
          <w:rFonts w:ascii="Times New Roman" w:hAnsi="Times New Roman"/>
          <w:sz w:val="20"/>
          <w:szCs w:val="20"/>
        </w:rPr>
        <w:tab/>
      </w:r>
      <w:r w:rsidR="004619D5" w:rsidRPr="00255C70">
        <w:rPr>
          <w:rFonts w:ascii="Times New Roman" w:hAnsi="Times New Roman"/>
          <w:sz w:val="20"/>
          <w:szCs w:val="20"/>
        </w:rPr>
        <w:t>Die niederländische Delegation und die Delegation von EBU/ESO sprechen sich dafür aus, dass eine erstmalige Begasung der Ladung im Laderaum eines Binnenschiffes, vor Beginn oder während der Fahrt, nicht erlaubt sein sollte (keine „on-board-</w:t>
      </w:r>
      <w:proofErr w:type="spellStart"/>
      <w:r w:rsidR="004619D5" w:rsidRPr="00255C70">
        <w:rPr>
          <w:rFonts w:ascii="Times New Roman" w:hAnsi="Times New Roman"/>
          <w:sz w:val="20"/>
          <w:szCs w:val="20"/>
        </w:rPr>
        <w:t>fumigation</w:t>
      </w:r>
      <w:proofErr w:type="spellEnd"/>
      <w:r w:rsidR="004619D5" w:rsidRPr="00255C70">
        <w:rPr>
          <w:rFonts w:ascii="Times New Roman" w:hAnsi="Times New Roman"/>
          <w:sz w:val="20"/>
          <w:szCs w:val="20"/>
        </w:rPr>
        <w:t>“), während GAFTA eine ordnungsgemäße Begasung vor Fahrtbeginn für vertretbar hält, wenn das Schiff bis zur Freigabe [</w:t>
      </w:r>
      <w:proofErr w:type="spellStart"/>
      <w:r w:rsidR="004619D5" w:rsidRPr="00255C70">
        <w:rPr>
          <w:rFonts w:ascii="Times New Roman" w:hAnsi="Times New Roman"/>
          <w:sz w:val="20"/>
          <w:szCs w:val="20"/>
        </w:rPr>
        <w:t>clearance</w:t>
      </w:r>
      <w:proofErr w:type="spellEnd"/>
      <w:r w:rsidR="004619D5" w:rsidRPr="00255C70">
        <w:rPr>
          <w:rFonts w:ascii="Times New Roman" w:hAnsi="Times New Roman"/>
          <w:sz w:val="20"/>
          <w:szCs w:val="20"/>
        </w:rPr>
        <w:t>] im Hafen bleibt.</w:t>
      </w:r>
    </w:p>
    <w:bookmarkEnd w:id="0"/>
    <w:p w14:paraId="74048E42" w14:textId="0375DF08" w:rsidR="00A1689E" w:rsidRDefault="00A1689E" w:rsidP="00255C70">
      <w:pPr>
        <w:tabs>
          <w:tab w:val="left" w:pos="1701"/>
        </w:tabs>
        <w:ind w:left="1134" w:right="565"/>
        <w:jc w:val="both"/>
        <w:rPr>
          <w:rFonts w:ascii="Times New Roman" w:hAnsi="Times New Roman"/>
          <w:sz w:val="20"/>
          <w:szCs w:val="20"/>
        </w:rPr>
      </w:pPr>
    </w:p>
    <w:p w14:paraId="6DD2771B" w14:textId="77777777" w:rsidR="00A1689E" w:rsidRPr="00255C70" w:rsidRDefault="00FC4BA1" w:rsidP="00255C70">
      <w:pPr>
        <w:tabs>
          <w:tab w:val="left" w:pos="1701"/>
        </w:tabs>
        <w:ind w:left="1134" w:right="565"/>
        <w:jc w:val="both"/>
        <w:rPr>
          <w:rFonts w:ascii="Times New Roman" w:hAnsi="Times New Roman"/>
          <w:sz w:val="20"/>
          <w:szCs w:val="20"/>
        </w:rPr>
      </w:pPr>
      <w:r w:rsidRPr="00255C70">
        <w:rPr>
          <w:rFonts w:ascii="Times New Roman" w:hAnsi="Times New Roman"/>
          <w:sz w:val="20"/>
          <w:szCs w:val="20"/>
        </w:rPr>
        <w:t>6.</w:t>
      </w:r>
      <w:r w:rsidRPr="00255C70">
        <w:rPr>
          <w:rFonts w:ascii="Times New Roman" w:hAnsi="Times New Roman"/>
          <w:sz w:val="20"/>
          <w:szCs w:val="20"/>
        </w:rPr>
        <w:tab/>
        <w:t xml:space="preserve">Stattdessen sollten Szenarien </w:t>
      </w:r>
      <w:r w:rsidR="00A1689E" w:rsidRPr="00255C70">
        <w:rPr>
          <w:rFonts w:ascii="Times New Roman" w:hAnsi="Times New Roman"/>
          <w:sz w:val="20"/>
          <w:szCs w:val="20"/>
        </w:rPr>
        <w:t>betrachtet</w:t>
      </w:r>
      <w:r w:rsidRPr="00255C70">
        <w:rPr>
          <w:rFonts w:ascii="Times New Roman" w:hAnsi="Times New Roman"/>
          <w:sz w:val="20"/>
          <w:szCs w:val="20"/>
        </w:rPr>
        <w:t xml:space="preserve"> werden</w:t>
      </w:r>
      <w:r w:rsidR="00A1689E" w:rsidRPr="00255C70">
        <w:rPr>
          <w:rFonts w:ascii="Times New Roman" w:hAnsi="Times New Roman"/>
          <w:sz w:val="20"/>
          <w:szCs w:val="20"/>
        </w:rPr>
        <w:t>, bei denen das Binnenschiffe eine im Vorlauf begaste Ladung an Schüttgütern übernimmt. Das könnte sein die Beladung mit Gütern</w:t>
      </w:r>
    </w:p>
    <w:p w14:paraId="595B3B4A" w14:textId="2136E322" w:rsidR="00FC4BA1" w:rsidRPr="00255C70" w:rsidRDefault="00457B2B" w:rsidP="00037C3D">
      <w:pPr>
        <w:tabs>
          <w:tab w:val="left" w:pos="1560"/>
        </w:tabs>
        <w:spacing w:before="60"/>
        <w:ind w:left="1560" w:right="565" w:hanging="426"/>
        <w:jc w:val="both"/>
        <w:rPr>
          <w:rFonts w:ascii="Times New Roman" w:hAnsi="Times New Roman"/>
          <w:sz w:val="20"/>
          <w:szCs w:val="20"/>
        </w:rPr>
      </w:pPr>
      <w:r>
        <w:rPr>
          <w:rFonts w:ascii="Times New Roman" w:hAnsi="Times New Roman"/>
          <w:sz w:val="20"/>
          <w:szCs w:val="20"/>
        </w:rPr>
        <w:tab/>
      </w:r>
      <w:r w:rsidR="00FC4BA1" w:rsidRPr="00255C70">
        <w:rPr>
          <w:rFonts w:ascii="Times New Roman" w:hAnsi="Times New Roman"/>
          <w:sz w:val="20"/>
          <w:szCs w:val="20"/>
        </w:rPr>
        <w:t xml:space="preserve">a) </w:t>
      </w:r>
      <w:r w:rsidR="00037C3D">
        <w:rPr>
          <w:rFonts w:ascii="Times New Roman" w:hAnsi="Times New Roman"/>
          <w:sz w:val="20"/>
          <w:szCs w:val="20"/>
        </w:rPr>
        <w:tab/>
      </w:r>
      <w:r w:rsidR="00144E34" w:rsidRPr="00255C70">
        <w:rPr>
          <w:rFonts w:ascii="Times New Roman" w:hAnsi="Times New Roman"/>
          <w:sz w:val="20"/>
          <w:szCs w:val="20"/>
        </w:rPr>
        <w:t xml:space="preserve">die </w:t>
      </w:r>
      <w:r w:rsidR="00FC4BA1" w:rsidRPr="00255C70">
        <w:rPr>
          <w:rFonts w:ascii="Times New Roman" w:hAnsi="Times New Roman"/>
          <w:sz w:val="20"/>
          <w:szCs w:val="20"/>
        </w:rPr>
        <w:t xml:space="preserve">zuvor </w:t>
      </w:r>
      <w:r w:rsidR="00144E34" w:rsidRPr="00255C70">
        <w:rPr>
          <w:rFonts w:ascii="Times New Roman" w:hAnsi="Times New Roman"/>
          <w:sz w:val="20"/>
          <w:szCs w:val="20"/>
        </w:rPr>
        <w:t>in einem</w:t>
      </w:r>
      <w:r w:rsidR="00FC4BA1" w:rsidRPr="00255C70">
        <w:rPr>
          <w:rFonts w:ascii="Times New Roman" w:hAnsi="Times New Roman"/>
          <w:sz w:val="20"/>
          <w:szCs w:val="20"/>
        </w:rPr>
        <w:t xml:space="preserve"> Silo einer Landanlage begast wurde</w:t>
      </w:r>
      <w:r w:rsidR="00A1689E" w:rsidRPr="00255C70">
        <w:rPr>
          <w:rFonts w:ascii="Times New Roman" w:hAnsi="Times New Roman"/>
          <w:sz w:val="20"/>
          <w:szCs w:val="20"/>
        </w:rPr>
        <w:t>n</w:t>
      </w:r>
      <w:r w:rsidR="00144E34" w:rsidRPr="00255C70">
        <w:rPr>
          <w:rFonts w:ascii="Times New Roman" w:hAnsi="Times New Roman"/>
          <w:sz w:val="20"/>
          <w:szCs w:val="20"/>
        </w:rPr>
        <w:t>,</w:t>
      </w:r>
    </w:p>
    <w:p w14:paraId="1BFE69D7" w14:textId="51B440CE" w:rsidR="00144E34" w:rsidRPr="00255C70" w:rsidRDefault="00457B2B" w:rsidP="00037C3D">
      <w:pPr>
        <w:tabs>
          <w:tab w:val="left" w:pos="1560"/>
        </w:tabs>
        <w:spacing w:before="60"/>
        <w:ind w:left="1560" w:right="565" w:hanging="426"/>
        <w:jc w:val="both"/>
        <w:rPr>
          <w:rFonts w:ascii="Times New Roman" w:hAnsi="Times New Roman"/>
          <w:sz w:val="20"/>
          <w:szCs w:val="20"/>
        </w:rPr>
      </w:pPr>
      <w:r>
        <w:rPr>
          <w:rFonts w:ascii="Times New Roman" w:hAnsi="Times New Roman"/>
          <w:sz w:val="20"/>
          <w:szCs w:val="20"/>
        </w:rPr>
        <w:tab/>
      </w:r>
      <w:r w:rsidR="00144E34" w:rsidRPr="00255C70">
        <w:rPr>
          <w:rFonts w:ascii="Times New Roman" w:hAnsi="Times New Roman"/>
          <w:sz w:val="20"/>
          <w:szCs w:val="20"/>
        </w:rPr>
        <w:t xml:space="preserve">b) </w:t>
      </w:r>
      <w:r w:rsidR="00037C3D">
        <w:rPr>
          <w:rFonts w:ascii="Times New Roman" w:hAnsi="Times New Roman"/>
          <w:sz w:val="20"/>
          <w:szCs w:val="20"/>
        </w:rPr>
        <w:tab/>
      </w:r>
      <w:r w:rsidR="00144E34" w:rsidRPr="00255C70">
        <w:rPr>
          <w:rFonts w:ascii="Times New Roman" w:hAnsi="Times New Roman"/>
          <w:sz w:val="20"/>
          <w:szCs w:val="20"/>
        </w:rPr>
        <w:t>die zuvor in einem Seeschiff begast wurde</w:t>
      </w:r>
      <w:r w:rsidR="00A1689E" w:rsidRPr="00255C70">
        <w:rPr>
          <w:rFonts w:ascii="Times New Roman" w:hAnsi="Times New Roman"/>
          <w:sz w:val="20"/>
          <w:szCs w:val="20"/>
        </w:rPr>
        <w:t>n</w:t>
      </w:r>
      <w:r w:rsidR="00144E34" w:rsidRPr="00255C70">
        <w:rPr>
          <w:rFonts w:ascii="Times New Roman" w:hAnsi="Times New Roman"/>
          <w:sz w:val="20"/>
          <w:szCs w:val="20"/>
        </w:rPr>
        <w:t>,</w:t>
      </w:r>
    </w:p>
    <w:p w14:paraId="0A2F1C6C" w14:textId="0B26F42F" w:rsidR="00144E34" w:rsidRPr="00255C70" w:rsidRDefault="00457B2B" w:rsidP="00037C3D">
      <w:pPr>
        <w:tabs>
          <w:tab w:val="left" w:pos="1560"/>
        </w:tabs>
        <w:spacing w:before="60"/>
        <w:ind w:left="1560" w:right="565" w:hanging="426"/>
        <w:jc w:val="both"/>
        <w:rPr>
          <w:rFonts w:ascii="Times New Roman" w:hAnsi="Times New Roman"/>
          <w:sz w:val="20"/>
          <w:szCs w:val="20"/>
        </w:rPr>
      </w:pPr>
      <w:r>
        <w:rPr>
          <w:rFonts w:ascii="Times New Roman" w:hAnsi="Times New Roman"/>
          <w:sz w:val="20"/>
          <w:szCs w:val="20"/>
        </w:rPr>
        <w:tab/>
      </w:r>
      <w:r w:rsidR="00144E34" w:rsidRPr="00255C70">
        <w:rPr>
          <w:rFonts w:ascii="Times New Roman" w:hAnsi="Times New Roman"/>
          <w:sz w:val="20"/>
          <w:szCs w:val="20"/>
        </w:rPr>
        <w:t xml:space="preserve">c) </w:t>
      </w:r>
      <w:r w:rsidR="00037C3D">
        <w:rPr>
          <w:rFonts w:ascii="Times New Roman" w:hAnsi="Times New Roman"/>
          <w:sz w:val="20"/>
          <w:szCs w:val="20"/>
        </w:rPr>
        <w:tab/>
      </w:r>
      <w:r w:rsidR="00144E34" w:rsidRPr="00255C70">
        <w:rPr>
          <w:rFonts w:ascii="Times New Roman" w:hAnsi="Times New Roman"/>
          <w:sz w:val="20"/>
          <w:szCs w:val="20"/>
        </w:rPr>
        <w:t>die für einen vorhergehenden Transport mit einem Güterzug begast wurde</w:t>
      </w:r>
      <w:r w:rsidR="00A1689E" w:rsidRPr="00255C70">
        <w:rPr>
          <w:rFonts w:ascii="Times New Roman" w:hAnsi="Times New Roman"/>
          <w:sz w:val="20"/>
          <w:szCs w:val="20"/>
        </w:rPr>
        <w:t>n</w:t>
      </w:r>
      <w:r w:rsidR="00144E34" w:rsidRPr="00255C70">
        <w:rPr>
          <w:rFonts w:ascii="Times New Roman" w:hAnsi="Times New Roman"/>
          <w:sz w:val="20"/>
          <w:szCs w:val="20"/>
        </w:rPr>
        <w:t>.</w:t>
      </w:r>
    </w:p>
    <w:p w14:paraId="4C62215E" w14:textId="365D097C" w:rsidR="0081630A" w:rsidRPr="00255C70" w:rsidRDefault="0081630A" w:rsidP="00255C70">
      <w:pPr>
        <w:tabs>
          <w:tab w:val="left" w:pos="1701"/>
        </w:tabs>
        <w:ind w:left="1134" w:right="565"/>
        <w:jc w:val="both"/>
        <w:rPr>
          <w:rFonts w:ascii="Times New Roman" w:hAnsi="Times New Roman"/>
          <w:sz w:val="20"/>
          <w:szCs w:val="20"/>
        </w:rPr>
      </w:pPr>
    </w:p>
    <w:p w14:paraId="6BA6ED96" w14:textId="77777777" w:rsidR="00144E34" w:rsidRPr="00255C70" w:rsidRDefault="00144E34" w:rsidP="00255C70">
      <w:pPr>
        <w:tabs>
          <w:tab w:val="left" w:pos="1701"/>
        </w:tabs>
        <w:ind w:left="1134" w:right="565"/>
        <w:jc w:val="both"/>
        <w:rPr>
          <w:rFonts w:ascii="Times New Roman" w:hAnsi="Times New Roman"/>
          <w:sz w:val="20"/>
          <w:szCs w:val="20"/>
        </w:rPr>
      </w:pPr>
      <w:r w:rsidRPr="00255C70">
        <w:rPr>
          <w:rFonts w:ascii="Times New Roman" w:hAnsi="Times New Roman"/>
          <w:sz w:val="20"/>
          <w:szCs w:val="20"/>
        </w:rPr>
        <w:t>7.</w:t>
      </w:r>
      <w:r w:rsidRPr="00255C70">
        <w:rPr>
          <w:rFonts w:ascii="Times New Roman" w:hAnsi="Times New Roman"/>
          <w:sz w:val="20"/>
          <w:szCs w:val="20"/>
        </w:rPr>
        <w:tab/>
        <w:t xml:space="preserve">Als erforderliche Maßnahmen, die eine sichere Beförderung auf dem Binnenschiff ermöglichen, wurden </w:t>
      </w:r>
      <w:r w:rsidR="00AA7547" w:rsidRPr="00255C70">
        <w:rPr>
          <w:rFonts w:ascii="Times New Roman" w:hAnsi="Times New Roman"/>
          <w:sz w:val="20"/>
          <w:szCs w:val="20"/>
        </w:rPr>
        <w:t xml:space="preserve">insbesondere </w:t>
      </w:r>
      <w:r w:rsidRPr="00255C70">
        <w:rPr>
          <w:rFonts w:ascii="Times New Roman" w:hAnsi="Times New Roman"/>
          <w:sz w:val="20"/>
          <w:szCs w:val="20"/>
        </w:rPr>
        <w:t>die folgenden</w:t>
      </w:r>
      <w:r w:rsidR="00AA7547" w:rsidRPr="00255C70">
        <w:rPr>
          <w:rFonts w:ascii="Times New Roman" w:hAnsi="Times New Roman"/>
          <w:sz w:val="20"/>
          <w:szCs w:val="20"/>
        </w:rPr>
        <w:t>, zum Teil widersprüchlichen</w:t>
      </w:r>
      <w:r w:rsidRPr="00255C70">
        <w:rPr>
          <w:rFonts w:ascii="Times New Roman" w:hAnsi="Times New Roman"/>
          <w:sz w:val="20"/>
          <w:szCs w:val="20"/>
        </w:rPr>
        <w:t xml:space="preserve"> </w:t>
      </w:r>
      <w:r w:rsidR="00797AA4" w:rsidRPr="00255C70">
        <w:rPr>
          <w:rFonts w:ascii="Times New Roman" w:hAnsi="Times New Roman"/>
          <w:sz w:val="20"/>
          <w:szCs w:val="20"/>
        </w:rPr>
        <w:t>Vorschläge und Forderungen</w:t>
      </w:r>
      <w:r w:rsidRPr="00255C70">
        <w:rPr>
          <w:rFonts w:ascii="Times New Roman" w:hAnsi="Times New Roman"/>
          <w:sz w:val="20"/>
          <w:szCs w:val="20"/>
        </w:rPr>
        <w:t xml:space="preserve"> </w:t>
      </w:r>
      <w:r w:rsidR="00797AA4" w:rsidRPr="00255C70">
        <w:rPr>
          <w:rFonts w:ascii="Times New Roman" w:hAnsi="Times New Roman"/>
          <w:sz w:val="20"/>
          <w:szCs w:val="20"/>
        </w:rPr>
        <w:t>gemacht</w:t>
      </w:r>
      <w:r w:rsidRPr="00255C70">
        <w:rPr>
          <w:rFonts w:ascii="Times New Roman" w:hAnsi="Times New Roman"/>
          <w:sz w:val="20"/>
          <w:szCs w:val="20"/>
        </w:rPr>
        <w:t>.</w:t>
      </w:r>
    </w:p>
    <w:p w14:paraId="7DF5768B" w14:textId="77777777" w:rsidR="00144E34" w:rsidRPr="00255C70" w:rsidRDefault="00144E34" w:rsidP="00255C70">
      <w:pPr>
        <w:tabs>
          <w:tab w:val="left" w:pos="1701"/>
        </w:tabs>
        <w:ind w:left="1134" w:right="565"/>
        <w:jc w:val="both"/>
        <w:rPr>
          <w:rFonts w:ascii="Times New Roman" w:hAnsi="Times New Roman"/>
          <w:sz w:val="20"/>
          <w:szCs w:val="20"/>
        </w:rPr>
      </w:pPr>
    </w:p>
    <w:p w14:paraId="4CD1B7CB" w14:textId="50F21CFC" w:rsidR="001738CF" w:rsidRPr="00255C70" w:rsidRDefault="00457B2B" w:rsidP="00255C70">
      <w:pPr>
        <w:tabs>
          <w:tab w:val="left" w:pos="1701"/>
        </w:tabs>
        <w:ind w:left="1134" w:right="565"/>
        <w:jc w:val="both"/>
        <w:rPr>
          <w:rFonts w:ascii="Times New Roman" w:hAnsi="Times New Roman"/>
          <w:sz w:val="20"/>
          <w:szCs w:val="20"/>
        </w:rPr>
      </w:pPr>
      <w:r>
        <w:rPr>
          <w:rFonts w:ascii="Times New Roman" w:hAnsi="Times New Roman"/>
          <w:sz w:val="20"/>
          <w:szCs w:val="20"/>
        </w:rPr>
        <w:tab/>
      </w:r>
      <w:r w:rsidR="00144E34" w:rsidRPr="00255C70">
        <w:rPr>
          <w:rFonts w:ascii="Times New Roman" w:hAnsi="Times New Roman"/>
          <w:sz w:val="20"/>
          <w:szCs w:val="20"/>
        </w:rPr>
        <w:t xml:space="preserve">a) </w:t>
      </w:r>
      <w:r w:rsidR="00AA7547" w:rsidRPr="00255C70">
        <w:rPr>
          <w:rFonts w:ascii="Times New Roman" w:hAnsi="Times New Roman"/>
          <w:sz w:val="20"/>
          <w:szCs w:val="20"/>
        </w:rPr>
        <w:tab/>
      </w:r>
      <w:r w:rsidR="001738CF" w:rsidRPr="00255C70">
        <w:rPr>
          <w:rFonts w:ascii="Times New Roman" w:hAnsi="Times New Roman"/>
          <w:sz w:val="20"/>
          <w:szCs w:val="20"/>
        </w:rPr>
        <w:t xml:space="preserve">Für die Schiffe, die begaste Schüttgüter befördern, </w:t>
      </w:r>
      <w:r w:rsidR="00797AA4" w:rsidRPr="00255C70">
        <w:rPr>
          <w:rFonts w:ascii="Times New Roman" w:hAnsi="Times New Roman"/>
          <w:sz w:val="20"/>
          <w:szCs w:val="20"/>
        </w:rPr>
        <w:t>ist</w:t>
      </w:r>
      <w:r w:rsidR="001738CF" w:rsidRPr="00255C70">
        <w:rPr>
          <w:rFonts w:ascii="Times New Roman" w:hAnsi="Times New Roman"/>
          <w:sz w:val="20"/>
          <w:szCs w:val="20"/>
        </w:rPr>
        <w:t xml:space="preserve"> kein Zulassungszeugnis erforderlich. Es </w:t>
      </w:r>
      <w:r w:rsidR="00797AA4" w:rsidRPr="00255C70">
        <w:rPr>
          <w:rFonts w:ascii="Times New Roman" w:hAnsi="Times New Roman"/>
          <w:sz w:val="20"/>
          <w:szCs w:val="20"/>
        </w:rPr>
        <w:t>muss</w:t>
      </w:r>
      <w:r w:rsidR="001738CF" w:rsidRPr="00255C70">
        <w:rPr>
          <w:rFonts w:ascii="Times New Roman" w:hAnsi="Times New Roman"/>
          <w:sz w:val="20"/>
          <w:szCs w:val="20"/>
        </w:rPr>
        <w:t xml:space="preserve"> kein ADN-Sachkundiger an Bord sein.</w:t>
      </w:r>
    </w:p>
    <w:p w14:paraId="2484C5FB" w14:textId="77777777" w:rsidR="001738CF" w:rsidRPr="00255C70" w:rsidRDefault="001738CF" w:rsidP="00255C70">
      <w:pPr>
        <w:tabs>
          <w:tab w:val="left" w:pos="1701"/>
        </w:tabs>
        <w:ind w:left="1134" w:right="565"/>
        <w:jc w:val="both"/>
        <w:rPr>
          <w:rFonts w:ascii="Times New Roman" w:hAnsi="Times New Roman"/>
          <w:sz w:val="20"/>
          <w:szCs w:val="20"/>
        </w:rPr>
      </w:pPr>
    </w:p>
    <w:p w14:paraId="14AC02DB" w14:textId="734EC38A" w:rsidR="00144E34" w:rsidRPr="00255C70" w:rsidRDefault="00457B2B" w:rsidP="00255C70">
      <w:pPr>
        <w:tabs>
          <w:tab w:val="left" w:pos="1701"/>
        </w:tabs>
        <w:ind w:left="1134" w:right="565"/>
        <w:jc w:val="both"/>
        <w:rPr>
          <w:rFonts w:ascii="Times New Roman" w:hAnsi="Times New Roman"/>
          <w:sz w:val="20"/>
          <w:szCs w:val="20"/>
        </w:rPr>
      </w:pPr>
      <w:r>
        <w:rPr>
          <w:rFonts w:ascii="Times New Roman" w:hAnsi="Times New Roman"/>
          <w:sz w:val="20"/>
          <w:szCs w:val="20"/>
        </w:rPr>
        <w:tab/>
      </w:r>
      <w:r w:rsidR="001738CF" w:rsidRPr="00255C70">
        <w:rPr>
          <w:rFonts w:ascii="Times New Roman" w:hAnsi="Times New Roman"/>
          <w:sz w:val="20"/>
          <w:szCs w:val="20"/>
        </w:rPr>
        <w:t>b)</w:t>
      </w:r>
      <w:r w:rsidR="001738CF" w:rsidRPr="00255C70">
        <w:rPr>
          <w:rFonts w:ascii="Times New Roman" w:hAnsi="Times New Roman"/>
          <w:sz w:val="20"/>
          <w:szCs w:val="20"/>
        </w:rPr>
        <w:tab/>
      </w:r>
      <w:r w:rsidR="00144E34" w:rsidRPr="00255C70">
        <w:rPr>
          <w:rFonts w:ascii="Times New Roman" w:hAnsi="Times New Roman"/>
          <w:sz w:val="20"/>
          <w:szCs w:val="20"/>
        </w:rPr>
        <w:t xml:space="preserve">Der Schiffsführer </w:t>
      </w:r>
      <w:r w:rsidR="00797AA4" w:rsidRPr="00255C70">
        <w:rPr>
          <w:rFonts w:ascii="Times New Roman" w:hAnsi="Times New Roman"/>
          <w:sz w:val="20"/>
          <w:szCs w:val="20"/>
        </w:rPr>
        <w:t>muss</w:t>
      </w:r>
      <w:r w:rsidR="00144E34" w:rsidRPr="00255C70">
        <w:rPr>
          <w:rFonts w:ascii="Times New Roman" w:hAnsi="Times New Roman"/>
          <w:sz w:val="20"/>
          <w:szCs w:val="20"/>
        </w:rPr>
        <w:t xml:space="preserve"> bei der Beladung umfassend </w:t>
      </w:r>
      <w:r w:rsidR="00AA7547" w:rsidRPr="00255C70">
        <w:rPr>
          <w:rFonts w:ascii="Times New Roman" w:hAnsi="Times New Roman"/>
          <w:sz w:val="20"/>
          <w:szCs w:val="20"/>
        </w:rPr>
        <w:t xml:space="preserve">darüber </w:t>
      </w:r>
      <w:r w:rsidR="00144E34" w:rsidRPr="00255C70">
        <w:rPr>
          <w:rFonts w:ascii="Times New Roman" w:hAnsi="Times New Roman"/>
          <w:sz w:val="20"/>
          <w:szCs w:val="20"/>
        </w:rPr>
        <w:t>informiert</w:t>
      </w:r>
      <w:r w:rsidR="00AA7547" w:rsidRPr="00255C70">
        <w:rPr>
          <w:rFonts w:ascii="Times New Roman" w:hAnsi="Times New Roman"/>
          <w:sz w:val="20"/>
          <w:szCs w:val="20"/>
        </w:rPr>
        <w:t xml:space="preserve"> werden, dass </w:t>
      </w:r>
      <w:r w:rsidR="00144E34" w:rsidRPr="00255C70">
        <w:rPr>
          <w:rFonts w:ascii="Times New Roman" w:hAnsi="Times New Roman"/>
          <w:sz w:val="20"/>
          <w:szCs w:val="20"/>
        </w:rPr>
        <w:t>die übernommene Ladung zuvor begast wurde.</w:t>
      </w:r>
    </w:p>
    <w:p w14:paraId="25F648C7" w14:textId="77777777" w:rsidR="00AA7547" w:rsidRPr="00255C70" w:rsidRDefault="00AA7547" w:rsidP="00255C70">
      <w:pPr>
        <w:tabs>
          <w:tab w:val="left" w:pos="1701"/>
        </w:tabs>
        <w:ind w:left="1134" w:right="565"/>
        <w:jc w:val="both"/>
        <w:rPr>
          <w:rFonts w:ascii="Times New Roman" w:hAnsi="Times New Roman"/>
          <w:sz w:val="20"/>
          <w:szCs w:val="20"/>
        </w:rPr>
      </w:pPr>
    </w:p>
    <w:p w14:paraId="7452BD20" w14:textId="2FB076BA" w:rsidR="00AA7547" w:rsidRPr="00255C70" w:rsidRDefault="00457B2B" w:rsidP="00255C70">
      <w:pPr>
        <w:tabs>
          <w:tab w:val="left" w:pos="1701"/>
        </w:tabs>
        <w:ind w:left="1134" w:right="565"/>
        <w:jc w:val="both"/>
        <w:rPr>
          <w:rFonts w:ascii="Times New Roman" w:hAnsi="Times New Roman"/>
          <w:sz w:val="20"/>
          <w:szCs w:val="20"/>
        </w:rPr>
      </w:pPr>
      <w:r>
        <w:rPr>
          <w:rFonts w:ascii="Times New Roman" w:hAnsi="Times New Roman"/>
          <w:sz w:val="20"/>
          <w:szCs w:val="20"/>
        </w:rPr>
        <w:tab/>
      </w:r>
      <w:r w:rsidR="001738CF" w:rsidRPr="00255C70">
        <w:rPr>
          <w:rFonts w:ascii="Times New Roman" w:hAnsi="Times New Roman"/>
          <w:sz w:val="20"/>
          <w:szCs w:val="20"/>
        </w:rPr>
        <w:t>c</w:t>
      </w:r>
      <w:r w:rsidR="00144E34" w:rsidRPr="00255C70">
        <w:rPr>
          <w:rFonts w:ascii="Times New Roman" w:hAnsi="Times New Roman"/>
          <w:sz w:val="20"/>
          <w:szCs w:val="20"/>
        </w:rPr>
        <w:t xml:space="preserve">) </w:t>
      </w:r>
      <w:r w:rsidR="00AA7547" w:rsidRPr="00255C70">
        <w:rPr>
          <w:rFonts w:ascii="Times New Roman" w:hAnsi="Times New Roman"/>
          <w:sz w:val="20"/>
          <w:szCs w:val="20"/>
        </w:rPr>
        <w:tab/>
      </w:r>
      <w:r w:rsidR="00144E34" w:rsidRPr="00255C70">
        <w:rPr>
          <w:rFonts w:ascii="Times New Roman" w:hAnsi="Times New Roman"/>
          <w:sz w:val="20"/>
          <w:szCs w:val="20"/>
        </w:rPr>
        <w:t xml:space="preserve">Die begaste Ladung </w:t>
      </w:r>
      <w:r w:rsidR="00AA7547" w:rsidRPr="00255C70">
        <w:rPr>
          <w:rFonts w:ascii="Times New Roman" w:hAnsi="Times New Roman"/>
          <w:sz w:val="20"/>
          <w:szCs w:val="20"/>
        </w:rPr>
        <w:t>darf keine giftigen Gase freisetzen, die über einem noch zu definierenden Grenzwert</w:t>
      </w:r>
      <w:r w:rsidR="001738CF" w:rsidRPr="00255C70">
        <w:rPr>
          <w:rFonts w:ascii="Times New Roman" w:hAnsi="Times New Roman"/>
          <w:sz w:val="20"/>
          <w:szCs w:val="20"/>
        </w:rPr>
        <w:t xml:space="preserve"> („legal PPM </w:t>
      </w:r>
      <w:proofErr w:type="spellStart"/>
      <w:r w:rsidR="001738CF" w:rsidRPr="00255C70">
        <w:rPr>
          <w:rFonts w:ascii="Times New Roman" w:hAnsi="Times New Roman"/>
          <w:sz w:val="20"/>
          <w:szCs w:val="20"/>
        </w:rPr>
        <w:t>treshold</w:t>
      </w:r>
      <w:proofErr w:type="spellEnd"/>
      <w:r w:rsidR="001738CF" w:rsidRPr="00255C70">
        <w:rPr>
          <w:rFonts w:ascii="Times New Roman" w:hAnsi="Times New Roman"/>
          <w:sz w:val="20"/>
          <w:szCs w:val="20"/>
        </w:rPr>
        <w:t>“)</w:t>
      </w:r>
      <w:r w:rsidR="00AA7547" w:rsidRPr="00255C70">
        <w:rPr>
          <w:rFonts w:ascii="Times New Roman" w:hAnsi="Times New Roman"/>
          <w:sz w:val="20"/>
          <w:szCs w:val="20"/>
        </w:rPr>
        <w:t xml:space="preserve"> liegen. Das </w:t>
      </w:r>
      <w:r w:rsidR="00797AA4" w:rsidRPr="00255C70">
        <w:rPr>
          <w:rFonts w:ascii="Times New Roman" w:hAnsi="Times New Roman"/>
          <w:sz w:val="20"/>
          <w:szCs w:val="20"/>
        </w:rPr>
        <w:t>muss</w:t>
      </w:r>
      <w:r w:rsidR="00AA7547" w:rsidRPr="00255C70">
        <w:rPr>
          <w:rFonts w:ascii="Times New Roman" w:hAnsi="Times New Roman"/>
          <w:sz w:val="20"/>
          <w:szCs w:val="20"/>
        </w:rPr>
        <w:t xml:space="preserve"> durch eine (amtliche) Messung bestätigt werden. </w:t>
      </w:r>
      <w:r w:rsidR="001738CF" w:rsidRPr="00255C70">
        <w:rPr>
          <w:rFonts w:ascii="Times New Roman" w:hAnsi="Times New Roman"/>
          <w:sz w:val="20"/>
          <w:szCs w:val="20"/>
        </w:rPr>
        <w:t xml:space="preserve">In diesem Zusammenhang </w:t>
      </w:r>
      <w:r w:rsidR="00797AA4" w:rsidRPr="00255C70">
        <w:rPr>
          <w:rFonts w:ascii="Times New Roman" w:hAnsi="Times New Roman"/>
          <w:sz w:val="20"/>
          <w:szCs w:val="20"/>
        </w:rPr>
        <w:t>muss</w:t>
      </w:r>
      <w:r w:rsidR="001738CF" w:rsidRPr="00255C70">
        <w:rPr>
          <w:rFonts w:ascii="Times New Roman" w:hAnsi="Times New Roman"/>
          <w:sz w:val="20"/>
          <w:szCs w:val="20"/>
        </w:rPr>
        <w:t xml:space="preserve"> der Zustand „begast“</w:t>
      </w:r>
      <w:r w:rsidR="00797AA4" w:rsidRPr="00255C70">
        <w:rPr>
          <w:rFonts w:ascii="Times New Roman" w:hAnsi="Times New Roman"/>
          <w:sz w:val="20"/>
          <w:szCs w:val="20"/>
        </w:rPr>
        <w:t xml:space="preserve"> noch</w:t>
      </w:r>
      <w:r w:rsidR="001738CF" w:rsidRPr="00255C70">
        <w:rPr>
          <w:rFonts w:ascii="Times New Roman" w:hAnsi="Times New Roman"/>
          <w:sz w:val="20"/>
          <w:szCs w:val="20"/>
        </w:rPr>
        <w:t xml:space="preserve"> näher definiert werden.</w:t>
      </w:r>
    </w:p>
    <w:p w14:paraId="6B66DB69" w14:textId="02C082D4" w:rsidR="00255C70" w:rsidRPr="00255C70" w:rsidRDefault="00255C70" w:rsidP="00255C70">
      <w:pPr>
        <w:tabs>
          <w:tab w:val="left" w:pos="1701"/>
        </w:tabs>
        <w:ind w:left="1134" w:right="565"/>
        <w:jc w:val="both"/>
        <w:rPr>
          <w:rFonts w:ascii="Times New Roman" w:hAnsi="Times New Roman"/>
          <w:sz w:val="20"/>
          <w:szCs w:val="20"/>
        </w:rPr>
      </w:pPr>
    </w:p>
    <w:p w14:paraId="02673937" w14:textId="1FC77F23" w:rsidR="00AA7547" w:rsidRPr="00255C70" w:rsidRDefault="00457B2B" w:rsidP="00255C70">
      <w:pPr>
        <w:tabs>
          <w:tab w:val="left" w:pos="1701"/>
        </w:tabs>
        <w:ind w:left="1134" w:right="565"/>
        <w:jc w:val="both"/>
        <w:rPr>
          <w:rFonts w:ascii="Times New Roman" w:hAnsi="Times New Roman"/>
          <w:sz w:val="20"/>
          <w:szCs w:val="20"/>
        </w:rPr>
      </w:pPr>
      <w:bookmarkStart w:id="1" w:name="_Hlk104274561"/>
      <w:r>
        <w:rPr>
          <w:rFonts w:ascii="Times New Roman" w:hAnsi="Times New Roman"/>
          <w:sz w:val="20"/>
          <w:szCs w:val="20"/>
        </w:rPr>
        <w:tab/>
      </w:r>
      <w:r w:rsidR="002760A4" w:rsidRPr="00255C70">
        <w:rPr>
          <w:rFonts w:ascii="Times New Roman" w:hAnsi="Times New Roman"/>
          <w:sz w:val="20"/>
          <w:szCs w:val="20"/>
        </w:rPr>
        <w:t>d)</w:t>
      </w:r>
      <w:r w:rsidR="002760A4" w:rsidRPr="00255C70">
        <w:rPr>
          <w:rFonts w:ascii="Times New Roman" w:hAnsi="Times New Roman"/>
          <w:sz w:val="20"/>
          <w:szCs w:val="20"/>
        </w:rPr>
        <w:tab/>
      </w:r>
      <w:r w:rsidR="009038C8" w:rsidRPr="00255C70">
        <w:rPr>
          <w:rFonts w:ascii="Times New Roman" w:hAnsi="Times New Roman"/>
          <w:sz w:val="20"/>
          <w:szCs w:val="20"/>
        </w:rPr>
        <w:t xml:space="preserve">Güter sollten erst aus einem Seeschiff/Lager/Zug ausgeladen werden, nachdem ein lizensierter/ausgebildeter </w:t>
      </w:r>
      <w:proofErr w:type="spellStart"/>
      <w:r w:rsidR="009038C8" w:rsidRPr="00255C70">
        <w:rPr>
          <w:rFonts w:ascii="Times New Roman" w:hAnsi="Times New Roman"/>
          <w:sz w:val="20"/>
          <w:szCs w:val="20"/>
        </w:rPr>
        <w:t>Begaser</w:t>
      </w:r>
      <w:proofErr w:type="spellEnd"/>
      <w:r w:rsidR="009038C8" w:rsidRPr="00255C70">
        <w:rPr>
          <w:rFonts w:ascii="Times New Roman" w:hAnsi="Times New Roman"/>
          <w:sz w:val="20"/>
          <w:szCs w:val="20"/>
        </w:rPr>
        <w:t xml:space="preserve"> dies für sicher erklärt hat, d. h. sie sollten in jedem Fall erst von anderen Beförderungsmitteln oder Lagern auf ein Binnenschiff verladen werden, wenn sie den Grenzwert unterschreiten.</w:t>
      </w:r>
    </w:p>
    <w:p w14:paraId="4D0AA1E3" w14:textId="77777777" w:rsidR="000B75DF" w:rsidRPr="00255C70" w:rsidRDefault="000B75DF" w:rsidP="00255C70">
      <w:pPr>
        <w:tabs>
          <w:tab w:val="left" w:pos="1701"/>
        </w:tabs>
        <w:ind w:left="1134" w:right="565"/>
        <w:jc w:val="both"/>
        <w:rPr>
          <w:rFonts w:ascii="Times New Roman" w:hAnsi="Times New Roman"/>
          <w:sz w:val="20"/>
          <w:szCs w:val="20"/>
        </w:rPr>
      </w:pPr>
    </w:p>
    <w:bookmarkEnd w:id="1"/>
    <w:p w14:paraId="2BF15012" w14:textId="436512B8" w:rsidR="00144E34" w:rsidRPr="00255C70" w:rsidRDefault="00457B2B" w:rsidP="00255C70">
      <w:pPr>
        <w:tabs>
          <w:tab w:val="left" w:pos="1701"/>
        </w:tabs>
        <w:ind w:left="1134" w:right="565"/>
        <w:jc w:val="both"/>
        <w:rPr>
          <w:rFonts w:ascii="Times New Roman" w:hAnsi="Times New Roman"/>
          <w:sz w:val="20"/>
          <w:szCs w:val="20"/>
        </w:rPr>
      </w:pPr>
      <w:r>
        <w:rPr>
          <w:rFonts w:ascii="Times New Roman" w:hAnsi="Times New Roman"/>
          <w:sz w:val="20"/>
          <w:szCs w:val="20"/>
        </w:rPr>
        <w:tab/>
      </w:r>
      <w:r w:rsidR="002760A4" w:rsidRPr="00255C70">
        <w:rPr>
          <w:rFonts w:ascii="Times New Roman" w:hAnsi="Times New Roman"/>
          <w:sz w:val="20"/>
          <w:szCs w:val="20"/>
        </w:rPr>
        <w:t>e</w:t>
      </w:r>
      <w:r w:rsidR="00AA7547" w:rsidRPr="00255C70">
        <w:rPr>
          <w:rFonts w:ascii="Times New Roman" w:hAnsi="Times New Roman"/>
          <w:sz w:val="20"/>
          <w:szCs w:val="20"/>
        </w:rPr>
        <w:t>)</w:t>
      </w:r>
      <w:r w:rsidR="00AA7547" w:rsidRPr="00255C70">
        <w:rPr>
          <w:rFonts w:ascii="Times New Roman" w:hAnsi="Times New Roman"/>
          <w:sz w:val="20"/>
          <w:szCs w:val="20"/>
        </w:rPr>
        <w:tab/>
        <w:t xml:space="preserve">Ladung, deren Ausdünstungen unter diesem Grenzwert liegen, </w:t>
      </w:r>
      <w:r w:rsidR="00797AA4" w:rsidRPr="00255C70">
        <w:rPr>
          <w:rFonts w:ascii="Times New Roman" w:hAnsi="Times New Roman"/>
          <w:sz w:val="20"/>
          <w:szCs w:val="20"/>
        </w:rPr>
        <w:t>werden</w:t>
      </w:r>
      <w:r w:rsidR="00AA7547" w:rsidRPr="00255C70">
        <w:rPr>
          <w:rFonts w:ascii="Times New Roman" w:hAnsi="Times New Roman"/>
          <w:sz w:val="20"/>
          <w:szCs w:val="20"/>
        </w:rPr>
        <w:t xml:space="preserve"> nicht dem ADN unterworfen. Ladung, die den vorgenannten Grenzwert überschreitet, </w:t>
      </w:r>
      <w:r w:rsidR="00797AA4" w:rsidRPr="00255C70">
        <w:rPr>
          <w:rFonts w:ascii="Times New Roman" w:hAnsi="Times New Roman"/>
          <w:sz w:val="20"/>
          <w:szCs w:val="20"/>
        </w:rPr>
        <w:t>darf</w:t>
      </w:r>
      <w:r w:rsidR="00AA7547" w:rsidRPr="00255C70">
        <w:rPr>
          <w:rFonts w:ascii="Times New Roman" w:hAnsi="Times New Roman"/>
          <w:sz w:val="20"/>
          <w:szCs w:val="20"/>
        </w:rPr>
        <w:t xml:space="preserve"> nur unter besonderen Bedingungen und nur nach einer individuellen Zulassung durch Hafenbehörden </w:t>
      </w:r>
      <w:r w:rsidR="00797AA4" w:rsidRPr="00255C70">
        <w:rPr>
          <w:rFonts w:ascii="Times New Roman" w:hAnsi="Times New Roman"/>
          <w:sz w:val="20"/>
          <w:szCs w:val="20"/>
        </w:rPr>
        <w:t>befördert werden</w:t>
      </w:r>
      <w:r w:rsidR="00AA7547" w:rsidRPr="00255C70">
        <w:rPr>
          <w:rFonts w:ascii="Times New Roman" w:hAnsi="Times New Roman"/>
          <w:sz w:val="20"/>
          <w:szCs w:val="20"/>
        </w:rPr>
        <w:t>.</w:t>
      </w:r>
    </w:p>
    <w:p w14:paraId="63997B68" w14:textId="77777777" w:rsidR="00AA7547" w:rsidRPr="00255C70" w:rsidRDefault="00AA7547" w:rsidP="00255C70">
      <w:pPr>
        <w:tabs>
          <w:tab w:val="left" w:pos="1701"/>
        </w:tabs>
        <w:ind w:left="1134" w:right="565"/>
        <w:jc w:val="both"/>
        <w:rPr>
          <w:rFonts w:ascii="Times New Roman" w:hAnsi="Times New Roman"/>
          <w:sz w:val="20"/>
          <w:szCs w:val="20"/>
        </w:rPr>
      </w:pPr>
    </w:p>
    <w:p w14:paraId="12203FD1" w14:textId="178BEEBE" w:rsidR="00AA7547" w:rsidRPr="00255C70" w:rsidRDefault="00457B2B" w:rsidP="00255C70">
      <w:pPr>
        <w:tabs>
          <w:tab w:val="left" w:pos="1701"/>
        </w:tabs>
        <w:ind w:left="1134" w:right="565"/>
        <w:jc w:val="both"/>
        <w:rPr>
          <w:rFonts w:ascii="Times New Roman" w:hAnsi="Times New Roman"/>
          <w:sz w:val="20"/>
          <w:szCs w:val="20"/>
        </w:rPr>
      </w:pPr>
      <w:r>
        <w:rPr>
          <w:rFonts w:ascii="Times New Roman" w:hAnsi="Times New Roman"/>
          <w:sz w:val="20"/>
          <w:szCs w:val="20"/>
        </w:rPr>
        <w:tab/>
      </w:r>
      <w:r w:rsidR="002760A4" w:rsidRPr="00255C70">
        <w:rPr>
          <w:rFonts w:ascii="Times New Roman" w:hAnsi="Times New Roman"/>
          <w:sz w:val="20"/>
          <w:szCs w:val="20"/>
        </w:rPr>
        <w:t>f)</w:t>
      </w:r>
      <w:r w:rsidR="00AA7547" w:rsidRPr="00255C70">
        <w:rPr>
          <w:rFonts w:ascii="Times New Roman" w:hAnsi="Times New Roman"/>
          <w:sz w:val="20"/>
          <w:szCs w:val="20"/>
        </w:rPr>
        <w:tab/>
        <w:t xml:space="preserve">Beim </w:t>
      </w:r>
      <w:r w:rsidR="00A63862" w:rsidRPr="00255C70">
        <w:rPr>
          <w:rFonts w:ascii="Times New Roman" w:hAnsi="Times New Roman"/>
          <w:sz w:val="20"/>
          <w:szCs w:val="20"/>
        </w:rPr>
        <w:t>Beladen des Binnenschiffes</w:t>
      </w:r>
      <w:r w:rsidR="00AA7547" w:rsidRPr="00255C70">
        <w:rPr>
          <w:rFonts w:ascii="Times New Roman" w:hAnsi="Times New Roman"/>
          <w:sz w:val="20"/>
          <w:szCs w:val="20"/>
        </w:rPr>
        <w:t xml:space="preserve"> </w:t>
      </w:r>
      <w:r w:rsidR="00797AA4" w:rsidRPr="00255C70">
        <w:rPr>
          <w:rFonts w:ascii="Times New Roman" w:hAnsi="Times New Roman"/>
          <w:sz w:val="20"/>
          <w:szCs w:val="20"/>
        </w:rPr>
        <w:t>müssen</w:t>
      </w:r>
      <w:r w:rsidR="00AA7547" w:rsidRPr="00255C70">
        <w:rPr>
          <w:rFonts w:ascii="Times New Roman" w:hAnsi="Times New Roman"/>
          <w:sz w:val="20"/>
          <w:szCs w:val="20"/>
        </w:rPr>
        <w:t xml:space="preserve"> Messungen durchgeführt werden und das </w:t>
      </w:r>
      <w:r w:rsidR="00A63862" w:rsidRPr="00255C70">
        <w:rPr>
          <w:rFonts w:ascii="Times New Roman" w:hAnsi="Times New Roman"/>
          <w:sz w:val="20"/>
          <w:szCs w:val="20"/>
        </w:rPr>
        <w:t>Beladen</w:t>
      </w:r>
      <w:r w:rsidR="00AA7547" w:rsidRPr="00255C70">
        <w:rPr>
          <w:rFonts w:ascii="Times New Roman" w:hAnsi="Times New Roman"/>
          <w:sz w:val="20"/>
          <w:szCs w:val="20"/>
        </w:rPr>
        <w:t xml:space="preserve"> </w:t>
      </w:r>
      <w:r w:rsidR="00797AA4" w:rsidRPr="00255C70">
        <w:rPr>
          <w:rFonts w:ascii="Times New Roman" w:hAnsi="Times New Roman"/>
          <w:sz w:val="20"/>
          <w:szCs w:val="20"/>
        </w:rPr>
        <w:t>muss</w:t>
      </w:r>
      <w:r w:rsidR="00AA7547" w:rsidRPr="00255C70">
        <w:rPr>
          <w:rFonts w:ascii="Times New Roman" w:hAnsi="Times New Roman"/>
          <w:sz w:val="20"/>
          <w:szCs w:val="20"/>
        </w:rPr>
        <w:t xml:space="preserve"> unter der Aufsicht einer lizensierten Person stehen.</w:t>
      </w:r>
      <w:r w:rsidR="00A63862" w:rsidRPr="00255C70">
        <w:rPr>
          <w:rFonts w:ascii="Times New Roman" w:hAnsi="Times New Roman"/>
          <w:sz w:val="20"/>
          <w:szCs w:val="20"/>
        </w:rPr>
        <w:t xml:space="preserve"> </w:t>
      </w:r>
      <w:r w:rsidR="00797AA4" w:rsidRPr="00255C70">
        <w:rPr>
          <w:rFonts w:ascii="Times New Roman" w:hAnsi="Times New Roman"/>
          <w:sz w:val="20"/>
          <w:szCs w:val="20"/>
        </w:rPr>
        <w:t>Dem</w:t>
      </w:r>
      <w:r w:rsidR="00A63862" w:rsidRPr="00255C70">
        <w:rPr>
          <w:rFonts w:ascii="Times New Roman" w:hAnsi="Times New Roman"/>
          <w:sz w:val="20"/>
          <w:szCs w:val="20"/>
        </w:rPr>
        <w:t xml:space="preserve"> Schiffsführer des Binnenschiffes </w:t>
      </w:r>
      <w:r w:rsidR="00797AA4" w:rsidRPr="00255C70">
        <w:rPr>
          <w:rFonts w:ascii="Times New Roman" w:hAnsi="Times New Roman"/>
          <w:sz w:val="20"/>
          <w:szCs w:val="20"/>
        </w:rPr>
        <w:t xml:space="preserve">müssen </w:t>
      </w:r>
      <w:r w:rsidR="00A63862" w:rsidRPr="00255C70">
        <w:rPr>
          <w:rFonts w:ascii="Times New Roman" w:hAnsi="Times New Roman"/>
          <w:sz w:val="20"/>
          <w:szCs w:val="20"/>
        </w:rPr>
        <w:t>Instruktionen für weitere Messungen und die geeigneten Handlungen, die während der Reise bei steigender Konzentration von giftigen Gasen vorzunehmen sind, mitgegeben werden.</w:t>
      </w:r>
    </w:p>
    <w:p w14:paraId="7A3CF224" w14:textId="77777777" w:rsidR="00A63862" w:rsidRPr="00255C70" w:rsidRDefault="00A63862" w:rsidP="00255C70">
      <w:pPr>
        <w:tabs>
          <w:tab w:val="left" w:pos="1701"/>
        </w:tabs>
        <w:ind w:left="1134" w:right="565"/>
        <w:jc w:val="both"/>
        <w:rPr>
          <w:rFonts w:ascii="Times New Roman" w:hAnsi="Times New Roman"/>
          <w:sz w:val="20"/>
          <w:szCs w:val="20"/>
        </w:rPr>
      </w:pPr>
    </w:p>
    <w:p w14:paraId="0F223848" w14:textId="6E52B6F4" w:rsidR="00A63862" w:rsidRPr="00255C70" w:rsidRDefault="00457B2B" w:rsidP="00255C70">
      <w:pPr>
        <w:tabs>
          <w:tab w:val="left" w:pos="1701"/>
        </w:tabs>
        <w:ind w:left="1134" w:right="565"/>
        <w:jc w:val="both"/>
        <w:rPr>
          <w:rFonts w:ascii="Times New Roman" w:hAnsi="Times New Roman"/>
          <w:sz w:val="20"/>
          <w:szCs w:val="20"/>
        </w:rPr>
      </w:pPr>
      <w:r>
        <w:rPr>
          <w:rFonts w:ascii="Times New Roman" w:hAnsi="Times New Roman"/>
          <w:sz w:val="20"/>
          <w:szCs w:val="20"/>
        </w:rPr>
        <w:tab/>
      </w:r>
      <w:r w:rsidR="002760A4" w:rsidRPr="00255C70">
        <w:rPr>
          <w:rFonts w:ascii="Times New Roman" w:hAnsi="Times New Roman"/>
          <w:sz w:val="20"/>
          <w:szCs w:val="20"/>
        </w:rPr>
        <w:t>g</w:t>
      </w:r>
      <w:r w:rsidR="00A63862" w:rsidRPr="00255C70">
        <w:rPr>
          <w:rFonts w:ascii="Times New Roman" w:hAnsi="Times New Roman"/>
          <w:sz w:val="20"/>
          <w:szCs w:val="20"/>
        </w:rPr>
        <w:t>)</w:t>
      </w:r>
      <w:r w:rsidR="00A63862" w:rsidRPr="00255C70">
        <w:rPr>
          <w:rFonts w:ascii="Times New Roman" w:hAnsi="Times New Roman"/>
          <w:sz w:val="20"/>
          <w:szCs w:val="20"/>
        </w:rPr>
        <w:tab/>
        <w:t>Alle an Bord befindlichen Personen sind mit einer persönlichen Schutzausrüstung und mit am Körper getragenen Gaswarngeräten auszustatten.</w:t>
      </w:r>
    </w:p>
    <w:p w14:paraId="2ED5D688" w14:textId="77777777" w:rsidR="00A63862" w:rsidRPr="00255C70" w:rsidRDefault="00A63862" w:rsidP="00255C70">
      <w:pPr>
        <w:tabs>
          <w:tab w:val="left" w:pos="1701"/>
        </w:tabs>
        <w:ind w:left="1134" w:right="565"/>
        <w:jc w:val="both"/>
        <w:rPr>
          <w:rFonts w:ascii="Times New Roman" w:hAnsi="Times New Roman"/>
          <w:sz w:val="20"/>
          <w:szCs w:val="20"/>
        </w:rPr>
      </w:pPr>
    </w:p>
    <w:p w14:paraId="5C93F7F8" w14:textId="764196DD" w:rsidR="00A63862" w:rsidRPr="00255C70" w:rsidRDefault="00457B2B" w:rsidP="00255C70">
      <w:pPr>
        <w:tabs>
          <w:tab w:val="left" w:pos="1701"/>
        </w:tabs>
        <w:ind w:left="1134" w:right="565"/>
        <w:jc w:val="both"/>
        <w:rPr>
          <w:rFonts w:ascii="Times New Roman" w:hAnsi="Times New Roman"/>
          <w:sz w:val="20"/>
          <w:szCs w:val="20"/>
        </w:rPr>
      </w:pPr>
      <w:r>
        <w:rPr>
          <w:rFonts w:ascii="Times New Roman" w:hAnsi="Times New Roman"/>
          <w:sz w:val="20"/>
          <w:szCs w:val="20"/>
        </w:rPr>
        <w:tab/>
      </w:r>
      <w:r w:rsidR="002760A4" w:rsidRPr="00255C70">
        <w:rPr>
          <w:rFonts w:ascii="Times New Roman" w:hAnsi="Times New Roman"/>
          <w:sz w:val="20"/>
          <w:szCs w:val="20"/>
        </w:rPr>
        <w:t>h</w:t>
      </w:r>
      <w:r w:rsidR="00A63862" w:rsidRPr="00255C70">
        <w:rPr>
          <w:rFonts w:ascii="Times New Roman" w:hAnsi="Times New Roman"/>
          <w:sz w:val="20"/>
          <w:szCs w:val="20"/>
        </w:rPr>
        <w:t>)</w:t>
      </w:r>
      <w:r w:rsidR="00A63862" w:rsidRPr="00255C70">
        <w:rPr>
          <w:rFonts w:ascii="Times New Roman" w:hAnsi="Times New Roman"/>
          <w:sz w:val="20"/>
          <w:szCs w:val="20"/>
        </w:rPr>
        <w:tab/>
        <w:t xml:space="preserve">Die Laderäume des Schiffes sind so dicht wie möglich </w:t>
      </w:r>
      <w:r w:rsidR="00797AA4" w:rsidRPr="00255C70">
        <w:rPr>
          <w:rFonts w:ascii="Times New Roman" w:hAnsi="Times New Roman"/>
          <w:sz w:val="20"/>
          <w:szCs w:val="20"/>
        </w:rPr>
        <w:t>verschlossen</w:t>
      </w:r>
      <w:r w:rsidR="00A63862" w:rsidRPr="00255C70">
        <w:rPr>
          <w:rFonts w:ascii="Times New Roman" w:hAnsi="Times New Roman"/>
          <w:sz w:val="20"/>
          <w:szCs w:val="20"/>
        </w:rPr>
        <w:t>, damit sich giftige Gase nicht unkontrolliert an Bord des Schiffes verbreiten können.</w:t>
      </w:r>
      <w:r w:rsidR="001738CF" w:rsidRPr="00255C70">
        <w:rPr>
          <w:rFonts w:ascii="Times New Roman" w:hAnsi="Times New Roman"/>
          <w:sz w:val="20"/>
          <w:szCs w:val="20"/>
        </w:rPr>
        <w:t xml:space="preserve"> Derzeit sind die Laderaumabdeckungen von Trockengüterschiffen aber nicht gasdicht (gas </w:t>
      </w:r>
      <w:proofErr w:type="spellStart"/>
      <w:r w:rsidR="001738CF" w:rsidRPr="00255C70">
        <w:rPr>
          <w:rFonts w:ascii="Times New Roman" w:hAnsi="Times New Roman"/>
          <w:sz w:val="20"/>
          <w:szCs w:val="20"/>
        </w:rPr>
        <w:t>tight</w:t>
      </w:r>
      <w:proofErr w:type="spellEnd"/>
      <w:r w:rsidR="001738CF" w:rsidRPr="00255C70">
        <w:rPr>
          <w:rFonts w:ascii="Times New Roman" w:hAnsi="Times New Roman"/>
          <w:sz w:val="20"/>
          <w:szCs w:val="20"/>
        </w:rPr>
        <w:t>) ausgeführt.</w:t>
      </w:r>
    </w:p>
    <w:p w14:paraId="339CD9C2" w14:textId="77777777" w:rsidR="00B739FA" w:rsidRPr="00255C70" w:rsidRDefault="00B739FA" w:rsidP="00255C70">
      <w:pPr>
        <w:tabs>
          <w:tab w:val="left" w:pos="1701"/>
        </w:tabs>
        <w:ind w:left="1134" w:right="565"/>
        <w:jc w:val="both"/>
        <w:rPr>
          <w:rFonts w:ascii="Times New Roman" w:hAnsi="Times New Roman"/>
          <w:sz w:val="20"/>
          <w:szCs w:val="20"/>
        </w:rPr>
      </w:pPr>
    </w:p>
    <w:p w14:paraId="235ABA33" w14:textId="4D458F99" w:rsidR="00B739FA" w:rsidRPr="00255C70" w:rsidRDefault="00457B2B" w:rsidP="00255C70">
      <w:pPr>
        <w:tabs>
          <w:tab w:val="left" w:pos="1701"/>
        </w:tabs>
        <w:ind w:left="1134" w:right="565"/>
        <w:jc w:val="both"/>
        <w:rPr>
          <w:rFonts w:ascii="Times New Roman" w:hAnsi="Times New Roman"/>
          <w:sz w:val="20"/>
          <w:szCs w:val="20"/>
        </w:rPr>
      </w:pPr>
      <w:r>
        <w:rPr>
          <w:rFonts w:ascii="Times New Roman" w:hAnsi="Times New Roman"/>
          <w:sz w:val="20"/>
          <w:szCs w:val="20"/>
        </w:rPr>
        <w:lastRenderedPageBreak/>
        <w:tab/>
      </w:r>
      <w:r w:rsidR="002760A4" w:rsidRPr="00255C70">
        <w:rPr>
          <w:rFonts w:ascii="Times New Roman" w:hAnsi="Times New Roman"/>
          <w:sz w:val="20"/>
          <w:szCs w:val="20"/>
        </w:rPr>
        <w:t>i)</w:t>
      </w:r>
      <w:r w:rsidR="00B739FA" w:rsidRPr="00255C70">
        <w:rPr>
          <w:rFonts w:ascii="Times New Roman" w:hAnsi="Times New Roman"/>
          <w:sz w:val="20"/>
          <w:szCs w:val="20"/>
        </w:rPr>
        <w:tab/>
        <w:t xml:space="preserve">Das Schiff </w:t>
      </w:r>
      <w:r w:rsidR="00797AA4" w:rsidRPr="00255C70">
        <w:rPr>
          <w:rFonts w:ascii="Times New Roman" w:hAnsi="Times New Roman"/>
          <w:sz w:val="20"/>
          <w:szCs w:val="20"/>
        </w:rPr>
        <w:t>wird</w:t>
      </w:r>
      <w:r w:rsidR="00B739FA" w:rsidRPr="00255C70">
        <w:rPr>
          <w:rFonts w:ascii="Times New Roman" w:hAnsi="Times New Roman"/>
          <w:sz w:val="20"/>
          <w:szCs w:val="20"/>
        </w:rPr>
        <w:t xml:space="preserve"> im Bereich der Laderäume an mehreren Stellen mit besonderen Warntafeln versehen, die deutlich darauf hinweisen, dass sich in den Laderäumen begaste Ladung befindet. Hier ist zu beachten, dass solche Warntafeln auch bereits nach den weiter oben genannten Vorschriften des Arbeitsschutzrechts am Schiff anzubringen sind. Die Vorgaben für die Gestaltung der Warntafel sollten sich in den verschiedenen Regelwerken nicht unterscheiden.</w:t>
      </w:r>
    </w:p>
    <w:p w14:paraId="08C4EB31" w14:textId="77777777" w:rsidR="00B739FA" w:rsidRPr="00255C70" w:rsidRDefault="00B739FA" w:rsidP="00255C70">
      <w:pPr>
        <w:tabs>
          <w:tab w:val="left" w:pos="1701"/>
        </w:tabs>
        <w:ind w:left="1134" w:right="565"/>
        <w:jc w:val="both"/>
        <w:rPr>
          <w:rFonts w:ascii="Times New Roman" w:hAnsi="Times New Roman"/>
          <w:sz w:val="20"/>
          <w:szCs w:val="20"/>
        </w:rPr>
      </w:pPr>
    </w:p>
    <w:p w14:paraId="7D1CD6DB" w14:textId="00A2CF68" w:rsidR="00B739FA" w:rsidRPr="00255C70" w:rsidRDefault="00457B2B" w:rsidP="00255C70">
      <w:pPr>
        <w:tabs>
          <w:tab w:val="left" w:pos="1701"/>
        </w:tabs>
        <w:ind w:left="1134" w:right="565"/>
        <w:jc w:val="both"/>
        <w:rPr>
          <w:rFonts w:ascii="Times New Roman" w:hAnsi="Times New Roman"/>
          <w:sz w:val="20"/>
          <w:szCs w:val="20"/>
        </w:rPr>
      </w:pPr>
      <w:r>
        <w:rPr>
          <w:rFonts w:ascii="Times New Roman" w:hAnsi="Times New Roman"/>
          <w:sz w:val="20"/>
          <w:szCs w:val="20"/>
        </w:rPr>
        <w:tab/>
      </w:r>
      <w:r w:rsidR="002760A4" w:rsidRPr="00255C70">
        <w:rPr>
          <w:rFonts w:ascii="Times New Roman" w:hAnsi="Times New Roman"/>
          <w:sz w:val="20"/>
          <w:szCs w:val="20"/>
        </w:rPr>
        <w:t>j)</w:t>
      </w:r>
      <w:r w:rsidR="00B739FA" w:rsidRPr="00255C70">
        <w:rPr>
          <w:rFonts w:ascii="Times New Roman" w:hAnsi="Times New Roman"/>
          <w:sz w:val="20"/>
          <w:szCs w:val="20"/>
        </w:rPr>
        <w:tab/>
      </w:r>
      <w:r w:rsidR="00A1689E" w:rsidRPr="00255C70">
        <w:rPr>
          <w:rFonts w:ascii="Times New Roman" w:hAnsi="Times New Roman"/>
          <w:sz w:val="20"/>
          <w:szCs w:val="20"/>
        </w:rPr>
        <w:t xml:space="preserve">Nach dem Entladen der Binnenschiffe </w:t>
      </w:r>
      <w:r w:rsidR="00797AA4" w:rsidRPr="00255C70">
        <w:rPr>
          <w:rFonts w:ascii="Times New Roman" w:hAnsi="Times New Roman"/>
          <w:sz w:val="20"/>
          <w:szCs w:val="20"/>
        </w:rPr>
        <w:t>müssen</w:t>
      </w:r>
      <w:r w:rsidR="00A1689E" w:rsidRPr="00255C70">
        <w:rPr>
          <w:rFonts w:ascii="Times New Roman" w:hAnsi="Times New Roman"/>
          <w:sz w:val="20"/>
          <w:szCs w:val="20"/>
        </w:rPr>
        <w:t xml:space="preserve"> die Laderäume ausgiebig gelüftet werden, bevor die Warntafeln weggenommen werden dürfen.</w:t>
      </w:r>
    </w:p>
    <w:p w14:paraId="566B86EB" w14:textId="77777777" w:rsidR="00B739FA" w:rsidRPr="00255C70" w:rsidRDefault="00B739FA" w:rsidP="00255C70">
      <w:pPr>
        <w:tabs>
          <w:tab w:val="left" w:pos="1701"/>
        </w:tabs>
        <w:ind w:left="1134" w:right="565"/>
        <w:jc w:val="both"/>
        <w:rPr>
          <w:rFonts w:ascii="Times New Roman" w:hAnsi="Times New Roman"/>
          <w:sz w:val="20"/>
          <w:szCs w:val="20"/>
        </w:rPr>
      </w:pPr>
    </w:p>
    <w:p w14:paraId="7623CCD8" w14:textId="203F18C1" w:rsidR="00A1689E" w:rsidRPr="00255C70" w:rsidRDefault="00A1689E" w:rsidP="00255C70">
      <w:pPr>
        <w:tabs>
          <w:tab w:val="left" w:pos="1701"/>
        </w:tabs>
        <w:ind w:left="1134" w:right="565"/>
        <w:jc w:val="both"/>
        <w:rPr>
          <w:rFonts w:ascii="Times New Roman" w:hAnsi="Times New Roman"/>
          <w:sz w:val="20"/>
          <w:szCs w:val="20"/>
        </w:rPr>
      </w:pPr>
      <w:r w:rsidRPr="00255C70">
        <w:rPr>
          <w:rFonts w:ascii="Times New Roman" w:hAnsi="Times New Roman"/>
          <w:sz w:val="20"/>
          <w:szCs w:val="20"/>
        </w:rPr>
        <w:t>8.</w:t>
      </w:r>
      <w:r w:rsidRPr="00255C70">
        <w:rPr>
          <w:rFonts w:ascii="Times New Roman" w:hAnsi="Times New Roman"/>
          <w:sz w:val="20"/>
          <w:szCs w:val="20"/>
        </w:rPr>
        <w:tab/>
        <w:t>Der Vorschlag Österreichs, statt einen neuen Abschnitt 5.5.5 einzufügen, den Abschnitt 5.5.2 zu erweitern, (</w:t>
      </w:r>
      <w:r w:rsidR="002F60A5">
        <w:rPr>
          <w:rFonts w:ascii="Times New Roman" w:hAnsi="Times New Roman"/>
          <w:sz w:val="20"/>
          <w:szCs w:val="20"/>
        </w:rPr>
        <w:t xml:space="preserve">Informelles Dokument </w:t>
      </w:r>
      <w:r w:rsidRPr="00255C70">
        <w:rPr>
          <w:rFonts w:ascii="Times New Roman" w:hAnsi="Times New Roman"/>
          <w:sz w:val="20"/>
          <w:szCs w:val="20"/>
        </w:rPr>
        <w:t>INF.5 zur 38. Tagung) wurde bisher nicht erörtert.</w:t>
      </w:r>
    </w:p>
    <w:p w14:paraId="567674C0" w14:textId="77777777" w:rsidR="00A1689E" w:rsidRPr="00255C70" w:rsidRDefault="00A1689E" w:rsidP="00255C70">
      <w:pPr>
        <w:tabs>
          <w:tab w:val="left" w:pos="1701"/>
        </w:tabs>
        <w:ind w:left="1134" w:right="565"/>
        <w:jc w:val="both"/>
        <w:rPr>
          <w:rFonts w:ascii="Times New Roman" w:hAnsi="Times New Roman"/>
          <w:sz w:val="20"/>
          <w:szCs w:val="20"/>
        </w:rPr>
      </w:pPr>
    </w:p>
    <w:p w14:paraId="1969D460" w14:textId="77777777" w:rsidR="00B739FA" w:rsidRPr="00255C70" w:rsidRDefault="00A1689E" w:rsidP="00255C70">
      <w:pPr>
        <w:tabs>
          <w:tab w:val="left" w:pos="1701"/>
        </w:tabs>
        <w:ind w:left="1134" w:right="565"/>
        <w:jc w:val="both"/>
        <w:rPr>
          <w:rFonts w:ascii="Times New Roman" w:hAnsi="Times New Roman"/>
          <w:sz w:val="20"/>
          <w:szCs w:val="20"/>
        </w:rPr>
      </w:pPr>
      <w:r w:rsidRPr="00255C70">
        <w:rPr>
          <w:rFonts w:ascii="Times New Roman" w:hAnsi="Times New Roman"/>
          <w:sz w:val="20"/>
          <w:szCs w:val="20"/>
        </w:rPr>
        <w:t>9</w:t>
      </w:r>
      <w:r w:rsidR="00B739FA" w:rsidRPr="00255C70">
        <w:rPr>
          <w:rFonts w:ascii="Times New Roman" w:hAnsi="Times New Roman"/>
          <w:sz w:val="20"/>
          <w:szCs w:val="20"/>
        </w:rPr>
        <w:t>.</w:t>
      </w:r>
      <w:r w:rsidR="00B739FA" w:rsidRPr="00255C70">
        <w:rPr>
          <w:rFonts w:ascii="Times New Roman" w:hAnsi="Times New Roman"/>
          <w:sz w:val="20"/>
          <w:szCs w:val="20"/>
        </w:rPr>
        <w:tab/>
        <w:t>Die Vorschriften des ADN sollen unter dem Vorbehalt stehen, das</w:t>
      </w:r>
      <w:r w:rsidR="00797AA4" w:rsidRPr="00255C70">
        <w:rPr>
          <w:rFonts w:ascii="Times New Roman" w:hAnsi="Times New Roman"/>
          <w:sz w:val="20"/>
          <w:szCs w:val="20"/>
        </w:rPr>
        <w:t>s</w:t>
      </w:r>
      <w:r w:rsidR="00B739FA" w:rsidRPr="00255C70">
        <w:rPr>
          <w:rFonts w:ascii="Times New Roman" w:hAnsi="Times New Roman"/>
          <w:sz w:val="20"/>
          <w:szCs w:val="20"/>
        </w:rPr>
        <w:t xml:space="preserve"> andere Rechtsvorschriften die Beförderung begaster Schüttgüter allgemein verbieten können.</w:t>
      </w:r>
    </w:p>
    <w:p w14:paraId="0C052C90" w14:textId="77777777" w:rsidR="00B739FA" w:rsidRPr="00255C70" w:rsidRDefault="00B739FA" w:rsidP="00255C70">
      <w:pPr>
        <w:tabs>
          <w:tab w:val="left" w:pos="1701"/>
        </w:tabs>
        <w:ind w:left="1134" w:right="565"/>
        <w:jc w:val="both"/>
        <w:rPr>
          <w:rFonts w:ascii="Times New Roman" w:hAnsi="Times New Roman"/>
          <w:sz w:val="20"/>
          <w:szCs w:val="20"/>
        </w:rPr>
      </w:pPr>
    </w:p>
    <w:p w14:paraId="3D8B40F1" w14:textId="3F1A133C" w:rsidR="00A1689E" w:rsidRPr="00255C70" w:rsidRDefault="00A1689E" w:rsidP="00255C70">
      <w:pPr>
        <w:tabs>
          <w:tab w:val="left" w:pos="1701"/>
        </w:tabs>
        <w:ind w:left="1134" w:right="565"/>
        <w:jc w:val="both"/>
        <w:rPr>
          <w:rFonts w:ascii="Times New Roman" w:hAnsi="Times New Roman"/>
          <w:sz w:val="20"/>
          <w:szCs w:val="20"/>
        </w:rPr>
      </w:pPr>
      <w:r w:rsidRPr="00255C70">
        <w:rPr>
          <w:rFonts w:ascii="Times New Roman" w:hAnsi="Times New Roman"/>
          <w:sz w:val="20"/>
          <w:szCs w:val="20"/>
        </w:rPr>
        <w:t>10.</w:t>
      </w:r>
      <w:r w:rsidRPr="00255C70">
        <w:rPr>
          <w:rFonts w:ascii="Times New Roman" w:hAnsi="Times New Roman"/>
          <w:sz w:val="20"/>
          <w:szCs w:val="20"/>
        </w:rPr>
        <w:tab/>
        <w:t>Regeln, von wem und wie an Bord von Seeschiffen oder in Silos an Land Begasungen durchgeführt werden sollen und dürfen, sind nicht Gegenstand der Beförderungsvorschriften des ADN.</w:t>
      </w:r>
    </w:p>
    <w:p w14:paraId="224732F9" w14:textId="77777777" w:rsidR="00144E34" w:rsidRPr="00255C70" w:rsidRDefault="00144E34" w:rsidP="00255C70">
      <w:pPr>
        <w:tabs>
          <w:tab w:val="left" w:pos="1701"/>
        </w:tabs>
        <w:ind w:left="1134" w:right="565"/>
        <w:jc w:val="both"/>
        <w:rPr>
          <w:rFonts w:ascii="Times New Roman" w:hAnsi="Times New Roman"/>
          <w:sz w:val="20"/>
          <w:szCs w:val="20"/>
        </w:rPr>
      </w:pPr>
    </w:p>
    <w:p w14:paraId="207B30A2" w14:textId="77777777" w:rsidR="00144E34" w:rsidRPr="00255C70" w:rsidRDefault="00144E34" w:rsidP="00255C70">
      <w:pPr>
        <w:tabs>
          <w:tab w:val="left" w:pos="1701"/>
        </w:tabs>
        <w:ind w:left="1134" w:right="565"/>
        <w:jc w:val="both"/>
        <w:rPr>
          <w:rFonts w:ascii="Times New Roman" w:hAnsi="Times New Roman"/>
          <w:sz w:val="20"/>
          <w:szCs w:val="20"/>
        </w:rPr>
      </w:pPr>
    </w:p>
    <w:p w14:paraId="310576D7" w14:textId="77777777" w:rsidR="00A1786D" w:rsidRPr="00255C70" w:rsidRDefault="00A1786D" w:rsidP="00255C70">
      <w:pPr>
        <w:tabs>
          <w:tab w:val="left" w:pos="1701"/>
        </w:tabs>
        <w:ind w:left="1134" w:right="565"/>
        <w:jc w:val="both"/>
        <w:rPr>
          <w:rFonts w:ascii="Times New Roman" w:hAnsi="Times New Roman"/>
          <w:sz w:val="20"/>
          <w:szCs w:val="20"/>
        </w:rPr>
      </w:pPr>
    </w:p>
    <w:p w14:paraId="39ACF497" w14:textId="35C5B052" w:rsidR="00A1786D" w:rsidRPr="00037C3D" w:rsidRDefault="00A1786D" w:rsidP="002F60A5">
      <w:pPr>
        <w:tabs>
          <w:tab w:val="left" w:pos="1701"/>
        </w:tabs>
        <w:ind w:left="1134" w:right="565" w:hanging="567"/>
        <w:jc w:val="both"/>
        <w:rPr>
          <w:rFonts w:ascii="Times New Roman" w:hAnsi="Times New Roman"/>
          <w:b/>
          <w:sz w:val="28"/>
          <w:szCs w:val="28"/>
        </w:rPr>
      </w:pPr>
      <w:r w:rsidRPr="00037C3D">
        <w:rPr>
          <w:rFonts w:ascii="Times New Roman" w:hAnsi="Times New Roman"/>
          <w:b/>
          <w:sz w:val="28"/>
          <w:szCs w:val="28"/>
        </w:rPr>
        <w:t>II.</w:t>
      </w:r>
      <w:r w:rsidR="00255C70" w:rsidRPr="00037C3D">
        <w:rPr>
          <w:rFonts w:ascii="Times New Roman" w:hAnsi="Times New Roman"/>
          <w:b/>
          <w:sz w:val="28"/>
          <w:szCs w:val="28"/>
        </w:rPr>
        <w:tab/>
      </w:r>
      <w:r w:rsidR="00144E34" w:rsidRPr="00037C3D">
        <w:rPr>
          <w:rFonts w:ascii="Times New Roman" w:hAnsi="Times New Roman"/>
          <w:b/>
          <w:sz w:val="28"/>
          <w:szCs w:val="28"/>
        </w:rPr>
        <w:t>Weiteres Vorgehen</w:t>
      </w:r>
    </w:p>
    <w:p w14:paraId="3B302091" w14:textId="77777777" w:rsidR="00A1786D" w:rsidRPr="00255C70" w:rsidRDefault="00A1786D" w:rsidP="00255C70">
      <w:pPr>
        <w:tabs>
          <w:tab w:val="left" w:pos="1701"/>
        </w:tabs>
        <w:ind w:left="1134" w:right="565"/>
        <w:jc w:val="both"/>
        <w:rPr>
          <w:rFonts w:ascii="Times New Roman" w:hAnsi="Times New Roman"/>
          <w:sz w:val="20"/>
          <w:szCs w:val="20"/>
        </w:rPr>
      </w:pPr>
    </w:p>
    <w:p w14:paraId="405E411A" w14:textId="721984B3" w:rsidR="00A1786D" w:rsidRDefault="00D666B1" w:rsidP="00255C70">
      <w:pPr>
        <w:tabs>
          <w:tab w:val="left" w:pos="1701"/>
        </w:tabs>
        <w:ind w:left="1134" w:right="565"/>
        <w:jc w:val="both"/>
        <w:rPr>
          <w:rFonts w:ascii="Times New Roman" w:hAnsi="Times New Roman"/>
          <w:sz w:val="20"/>
          <w:szCs w:val="20"/>
        </w:rPr>
      </w:pPr>
      <w:r w:rsidRPr="00255C70">
        <w:rPr>
          <w:rFonts w:ascii="Times New Roman" w:hAnsi="Times New Roman"/>
          <w:sz w:val="20"/>
          <w:szCs w:val="20"/>
        </w:rPr>
        <w:t>11</w:t>
      </w:r>
      <w:r w:rsidR="00A1786D" w:rsidRPr="00255C70">
        <w:rPr>
          <w:rFonts w:ascii="Times New Roman" w:hAnsi="Times New Roman"/>
          <w:sz w:val="20"/>
          <w:szCs w:val="20"/>
        </w:rPr>
        <w:t>.</w:t>
      </w:r>
      <w:r w:rsidR="00A1786D" w:rsidRPr="00255C70">
        <w:rPr>
          <w:rFonts w:ascii="Times New Roman" w:hAnsi="Times New Roman"/>
          <w:sz w:val="20"/>
          <w:szCs w:val="20"/>
        </w:rPr>
        <w:tab/>
      </w:r>
      <w:r w:rsidR="00144E34" w:rsidRPr="00255C70">
        <w:rPr>
          <w:rFonts w:ascii="Times New Roman" w:hAnsi="Times New Roman"/>
          <w:sz w:val="20"/>
          <w:szCs w:val="20"/>
        </w:rPr>
        <w:t xml:space="preserve">Der Sicherheitsausschuss wird gebeten, die vorläufigen Arbeitsergebnisse zu erörtern und zu bewerten. Er könnte der Korrespondenzgruppe Hinweise geben, in welche Richtung </w:t>
      </w:r>
      <w:proofErr w:type="gramStart"/>
      <w:r w:rsidR="00144E34" w:rsidRPr="00255C70">
        <w:rPr>
          <w:rFonts w:ascii="Times New Roman" w:hAnsi="Times New Roman"/>
          <w:sz w:val="20"/>
          <w:szCs w:val="20"/>
        </w:rPr>
        <w:t>weiter zu arbeiten</w:t>
      </w:r>
      <w:proofErr w:type="gramEnd"/>
      <w:r w:rsidR="00144E34" w:rsidRPr="00255C70">
        <w:rPr>
          <w:rFonts w:ascii="Times New Roman" w:hAnsi="Times New Roman"/>
          <w:sz w:val="20"/>
          <w:szCs w:val="20"/>
        </w:rPr>
        <w:t xml:space="preserve"> ist.</w:t>
      </w:r>
    </w:p>
    <w:p w14:paraId="5804AF67" w14:textId="77777777" w:rsidR="00255C70" w:rsidRPr="00255C70" w:rsidRDefault="00255C70" w:rsidP="00255C70">
      <w:pPr>
        <w:tabs>
          <w:tab w:val="left" w:pos="1701"/>
        </w:tabs>
        <w:ind w:left="1134" w:right="565"/>
        <w:jc w:val="both"/>
        <w:rPr>
          <w:rFonts w:ascii="Times New Roman" w:hAnsi="Times New Roman"/>
          <w:sz w:val="20"/>
          <w:szCs w:val="20"/>
        </w:rPr>
      </w:pPr>
    </w:p>
    <w:p w14:paraId="7AF467E5" w14:textId="77777777" w:rsidR="00A1786D" w:rsidRPr="00255C70" w:rsidRDefault="00A1786D" w:rsidP="00255C70">
      <w:pPr>
        <w:tabs>
          <w:tab w:val="left" w:pos="1701"/>
        </w:tabs>
        <w:ind w:left="1134" w:right="565"/>
        <w:jc w:val="both"/>
        <w:rPr>
          <w:rFonts w:ascii="Times New Roman" w:hAnsi="Times New Roman"/>
          <w:sz w:val="20"/>
          <w:szCs w:val="20"/>
        </w:rPr>
      </w:pPr>
    </w:p>
    <w:p w14:paraId="0D42BA26" w14:textId="6E572636" w:rsidR="003259BF" w:rsidRPr="00255C70" w:rsidRDefault="003259BF" w:rsidP="00255C70">
      <w:pPr>
        <w:tabs>
          <w:tab w:val="left" w:pos="1701"/>
        </w:tabs>
        <w:ind w:left="1134" w:right="565"/>
        <w:jc w:val="center"/>
        <w:rPr>
          <w:rFonts w:ascii="Times New Roman" w:hAnsi="Times New Roman"/>
          <w:sz w:val="20"/>
          <w:szCs w:val="20"/>
        </w:rPr>
      </w:pPr>
      <w:r w:rsidRPr="00255C70">
        <w:rPr>
          <w:rFonts w:ascii="Times New Roman" w:hAnsi="Times New Roman"/>
          <w:sz w:val="20"/>
          <w:szCs w:val="20"/>
        </w:rPr>
        <w:t>***</w:t>
      </w:r>
    </w:p>
    <w:sectPr w:rsidR="003259BF" w:rsidRPr="00255C70" w:rsidSect="00255C70">
      <w:headerReference w:type="even" r:id="rId8"/>
      <w:headerReference w:type="default" r:id="rId9"/>
      <w:footerReference w:type="default" r:id="rId10"/>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4928" w14:textId="77777777" w:rsidR="00D17D98" w:rsidRDefault="00D17D98" w:rsidP="00D17D98">
      <w:r>
        <w:separator/>
      </w:r>
    </w:p>
  </w:endnote>
  <w:endnote w:type="continuationSeparator" w:id="0">
    <w:p w14:paraId="0D423988" w14:textId="77777777" w:rsidR="00D17D98" w:rsidRDefault="00D17D98" w:rsidP="00D1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349F" w14:textId="524D06BD" w:rsidR="00FC54C5" w:rsidRPr="00FC54C5" w:rsidRDefault="00FC54C5" w:rsidP="00FC54C5">
    <w:pPr>
      <w:suppressAutoHyphens/>
      <w:jc w:val="right"/>
      <w:rPr>
        <w:lang w:val="fr-FR"/>
      </w:rPr>
    </w:pPr>
    <w:r w:rsidRPr="00FC54C5">
      <w:rPr>
        <w:noProof/>
        <w:snapToGrid w:val="0"/>
        <w:sz w:val="12"/>
        <w:lang w:val="fr-FR" w:eastAsia="fr-FR"/>
      </w:rPr>
      <w:t>mm/adn_wp15_ac2_2022_4</w:t>
    </w:r>
    <w:r>
      <w:rPr>
        <w:noProof/>
        <w:snapToGrid w:val="0"/>
        <w:sz w:val="12"/>
        <w:lang w:val="fr-FR" w:eastAsia="fr-FR"/>
      </w:rPr>
      <w:t>2</w:t>
    </w:r>
    <w:r w:rsidRPr="00FC54C5">
      <w:rPr>
        <w:noProof/>
        <w:snapToGrid w:val="0"/>
        <w:sz w:val="12"/>
        <w:lang w:val="fr-FR"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D561" w14:textId="77777777" w:rsidR="00D17D98" w:rsidRDefault="00D17D98" w:rsidP="00D17D98">
      <w:r>
        <w:separator/>
      </w:r>
    </w:p>
  </w:footnote>
  <w:footnote w:type="continuationSeparator" w:id="0">
    <w:p w14:paraId="62C98AAF" w14:textId="77777777" w:rsidR="00D17D98" w:rsidRDefault="00D17D98" w:rsidP="00D17D98">
      <w:r>
        <w:continuationSeparator/>
      </w:r>
    </w:p>
  </w:footnote>
  <w:footnote w:id="1">
    <w:p w14:paraId="0F6DD24D" w14:textId="44543597" w:rsidR="00255C70" w:rsidRPr="00264628" w:rsidRDefault="00255C70" w:rsidP="00255C70">
      <w:pPr>
        <w:pStyle w:val="Notedebasdepage"/>
        <w:rPr>
          <w:sz w:val="16"/>
          <w:szCs w:val="16"/>
        </w:rPr>
      </w:pPr>
      <w:r w:rsidRPr="00264628">
        <w:rPr>
          <w:rStyle w:val="Appelnotedebasdep"/>
        </w:rPr>
        <w:tab/>
        <w:t>*</w:t>
      </w:r>
      <w:r w:rsidRPr="00264628">
        <w:rPr>
          <w:rStyle w:val="Appelnotedebasdep"/>
        </w:rPr>
        <w:tab/>
      </w:r>
      <w:r w:rsidRPr="00264628">
        <w:rPr>
          <w:sz w:val="16"/>
          <w:szCs w:val="16"/>
        </w:rPr>
        <w:t>Von der UNECE in Englisch, Französisch und Russisch unter dem Aktenzeichen ECE/TRANS/WP.15/AC.2/2022/</w:t>
      </w:r>
      <w:r w:rsidR="002F60A5">
        <w:rPr>
          <w:sz w:val="16"/>
          <w:szCs w:val="16"/>
        </w:rPr>
        <w:t>42</w:t>
      </w:r>
      <w:r w:rsidRPr="00264628">
        <w:rPr>
          <w:sz w:val="16"/>
          <w:szCs w:val="16"/>
        </w:rPr>
        <w:t xml:space="preserve"> verteilt.</w:t>
      </w:r>
    </w:p>
  </w:footnote>
  <w:footnote w:id="2">
    <w:p w14:paraId="7EDEF169" w14:textId="77777777" w:rsidR="00B5677E" w:rsidRPr="00B5677E" w:rsidRDefault="00255C70" w:rsidP="00B5677E">
      <w:pPr>
        <w:pStyle w:val="Notedebasdepage"/>
        <w:rPr>
          <w:sz w:val="16"/>
          <w:szCs w:val="16"/>
        </w:rPr>
      </w:pPr>
      <w:r w:rsidRPr="00264628">
        <w:rPr>
          <w:rStyle w:val="Appelnotedebasdep"/>
        </w:rPr>
        <w:tab/>
        <w:t>**</w:t>
      </w:r>
      <w:r w:rsidRPr="00264628">
        <w:rPr>
          <w:rStyle w:val="Appelnotedebasdep"/>
        </w:rPr>
        <w:tab/>
      </w:r>
      <w:r w:rsidR="00B5677E" w:rsidRPr="00B5677E">
        <w:rPr>
          <w:sz w:val="16"/>
        </w:rPr>
        <w:t>A/76/6 (Kap. 20) Abs. 20.76.</w:t>
      </w:r>
    </w:p>
    <w:p w14:paraId="03297FF6" w14:textId="49E0472C" w:rsidR="00255C70" w:rsidRPr="00264628" w:rsidRDefault="00255C70" w:rsidP="00255C70">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8DFE" w14:textId="3E1C671E" w:rsidR="00255C70" w:rsidRPr="00255C70" w:rsidRDefault="00255C70" w:rsidP="00255C70">
    <w:pPr>
      <w:tabs>
        <w:tab w:val="center" w:pos="4320"/>
        <w:tab w:val="right" w:pos="8640"/>
      </w:tabs>
      <w:jc w:val="right"/>
      <w:rPr>
        <w:snapToGrid w:val="0"/>
        <w:sz w:val="16"/>
        <w:lang w:val="fr-FR" w:eastAsia="fr-FR"/>
      </w:rPr>
    </w:pPr>
    <w:r w:rsidRPr="00255C70">
      <w:rPr>
        <w:snapToGrid w:val="0"/>
        <w:sz w:val="16"/>
        <w:lang w:val="fr-FR" w:eastAsia="fr-FR"/>
      </w:rPr>
      <w:t>CCNR-ZKR/ADN/WP.15/AC.2/2022/</w:t>
    </w:r>
    <w:r w:rsidR="00FC54C5">
      <w:rPr>
        <w:snapToGrid w:val="0"/>
        <w:sz w:val="16"/>
        <w:lang w:val="fr-FR" w:eastAsia="fr-FR"/>
      </w:rPr>
      <w:t>42</w:t>
    </w:r>
  </w:p>
  <w:p w14:paraId="23781ED8" w14:textId="77777777" w:rsidR="00255C70" w:rsidRPr="00255C70" w:rsidRDefault="00255C70" w:rsidP="00255C70">
    <w:pPr>
      <w:tabs>
        <w:tab w:val="center" w:pos="4320"/>
        <w:tab w:val="right" w:pos="8640"/>
      </w:tabs>
      <w:jc w:val="right"/>
      <w:rPr>
        <w:rFonts w:cs="Arial"/>
      </w:rPr>
    </w:pPr>
    <w:proofErr w:type="spellStart"/>
    <w:r w:rsidRPr="00255C70">
      <w:rPr>
        <w:rFonts w:cs="Arial"/>
        <w:snapToGrid w:val="0"/>
        <w:sz w:val="16"/>
        <w:lang w:val="en-GB" w:eastAsia="fr-FR"/>
      </w:rPr>
      <w:t>Seite</w:t>
    </w:r>
    <w:proofErr w:type="spellEnd"/>
    <w:r w:rsidRPr="00255C70">
      <w:rPr>
        <w:rFonts w:cs="Arial"/>
        <w:snapToGrid w:val="0"/>
        <w:sz w:val="16"/>
        <w:lang w:val="en-GB" w:eastAsia="fr-FR"/>
      </w:rPr>
      <w:t xml:space="preserve"> </w:t>
    </w:r>
    <w:r w:rsidRPr="00255C70">
      <w:rPr>
        <w:rFonts w:cs="Arial"/>
        <w:snapToGrid w:val="0"/>
        <w:sz w:val="16"/>
        <w:lang w:val="en-GB" w:eastAsia="fr-FR"/>
      </w:rPr>
      <w:fldChar w:fldCharType="begin"/>
    </w:r>
    <w:r w:rsidRPr="00255C70">
      <w:rPr>
        <w:rFonts w:cs="Arial"/>
        <w:snapToGrid w:val="0"/>
        <w:sz w:val="16"/>
        <w:lang w:val="en-GB" w:eastAsia="fr-FR"/>
      </w:rPr>
      <w:instrText xml:space="preserve"> PAGE  \* MERGEFORMAT </w:instrText>
    </w:r>
    <w:r w:rsidRPr="00255C70">
      <w:rPr>
        <w:rFonts w:cs="Arial"/>
        <w:snapToGrid w:val="0"/>
        <w:sz w:val="16"/>
        <w:lang w:val="en-GB" w:eastAsia="fr-FR"/>
      </w:rPr>
      <w:fldChar w:fldCharType="separate"/>
    </w:r>
    <w:r>
      <w:rPr>
        <w:rFonts w:cs="Arial"/>
        <w:sz w:val="16"/>
        <w:lang w:val="en-GB"/>
      </w:rPr>
      <w:t>3</w:t>
    </w:r>
    <w:r w:rsidRPr="00255C70">
      <w:rPr>
        <w:rFonts w:cs="Arial"/>
        <w:snapToGrid w:val="0"/>
        <w:sz w:val="16"/>
        <w:lang w:val="en-GB"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6605" w14:textId="417943CD" w:rsidR="00255C70" w:rsidRPr="00255C70" w:rsidRDefault="00255C70" w:rsidP="00255C70">
    <w:pPr>
      <w:tabs>
        <w:tab w:val="center" w:pos="4320"/>
        <w:tab w:val="right" w:pos="8640"/>
      </w:tabs>
      <w:jc w:val="right"/>
      <w:rPr>
        <w:snapToGrid w:val="0"/>
        <w:sz w:val="16"/>
        <w:lang w:val="fr-FR" w:eastAsia="fr-FR"/>
      </w:rPr>
    </w:pPr>
    <w:r w:rsidRPr="00255C70">
      <w:rPr>
        <w:snapToGrid w:val="0"/>
        <w:sz w:val="16"/>
        <w:lang w:val="fr-FR" w:eastAsia="fr-FR"/>
      </w:rPr>
      <w:t>CCNR-ZKR/ADN/WP.15/AC.2/2022/</w:t>
    </w:r>
    <w:r w:rsidR="002F60A5">
      <w:rPr>
        <w:snapToGrid w:val="0"/>
        <w:sz w:val="16"/>
        <w:lang w:val="fr-FR" w:eastAsia="fr-FR"/>
      </w:rPr>
      <w:t>42</w:t>
    </w:r>
  </w:p>
  <w:p w14:paraId="3E0416F3" w14:textId="0E9E2320" w:rsidR="00B83649" w:rsidRPr="00255C70" w:rsidRDefault="00255C70" w:rsidP="00255C70">
    <w:pPr>
      <w:tabs>
        <w:tab w:val="center" w:pos="4320"/>
        <w:tab w:val="right" w:pos="8640"/>
      </w:tabs>
      <w:jc w:val="right"/>
      <w:rPr>
        <w:rFonts w:cs="Arial"/>
      </w:rPr>
    </w:pPr>
    <w:proofErr w:type="spellStart"/>
    <w:r w:rsidRPr="00255C70">
      <w:rPr>
        <w:rFonts w:cs="Arial"/>
        <w:snapToGrid w:val="0"/>
        <w:sz w:val="16"/>
        <w:lang w:val="en-GB" w:eastAsia="fr-FR"/>
      </w:rPr>
      <w:t>Seite</w:t>
    </w:r>
    <w:proofErr w:type="spellEnd"/>
    <w:r w:rsidRPr="00255C70">
      <w:rPr>
        <w:rFonts w:cs="Arial"/>
        <w:snapToGrid w:val="0"/>
        <w:sz w:val="16"/>
        <w:lang w:val="en-GB" w:eastAsia="fr-FR"/>
      </w:rPr>
      <w:t xml:space="preserve"> </w:t>
    </w:r>
    <w:r w:rsidRPr="00255C70">
      <w:rPr>
        <w:rFonts w:cs="Arial"/>
        <w:snapToGrid w:val="0"/>
        <w:sz w:val="16"/>
        <w:lang w:val="en-GB" w:eastAsia="fr-FR"/>
      </w:rPr>
      <w:fldChar w:fldCharType="begin"/>
    </w:r>
    <w:r w:rsidRPr="00255C70">
      <w:rPr>
        <w:rFonts w:cs="Arial"/>
        <w:snapToGrid w:val="0"/>
        <w:sz w:val="16"/>
        <w:lang w:val="en-GB" w:eastAsia="fr-FR"/>
      </w:rPr>
      <w:instrText xml:space="preserve"> PAGE  \* MERGEFORMAT </w:instrText>
    </w:r>
    <w:r w:rsidRPr="00255C70">
      <w:rPr>
        <w:rFonts w:cs="Arial"/>
        <w:snapToGrid w:val="0"/>
        <w:sz w:val="16"/>
        <w:lang w:val="en-GB" w:eastAsia="fr-FR"/>
      </w:rPr>
      <w:fldChar w:fldCharType="separate"/>
    </w:r>
    <w:r w:rsidRPr="00255C70">
      <w:rPr>
        <w:rFonts w:cs="Arial"/>
        <w:snapToGrid w:val="0"/>
        <w:sz w:val="16"/>
        <w:szCs w:val="20"/>
        <w:lang w:val="en-GB" w:eastAsia="fr-FR"/>
      </w:rPr>
      <w:t>3</w:t>
    </w:r>
    <w:r w:rsidRPr="00255C70">
      <w:rPr>
        <w:rFonts w:cs="Arial"/>
        <w:snapToGrid w:val="0"/>
        <w:sz w:val="16"/>
        <w:lang w:val="en-GB"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3CC4"/>
    <w:multiLevelType w:val="hybridMultilevel"/>
    <w:tmpl w:val="36FE3C7C"/>
    <w:lvl w:ilvl="0" w:tplc="55B8D3A0">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6F8C1DDE"/>
    <w:multiLevelType w:val="hybridMultilevel"/>
    <w:tmpl w:val="E982D3D0"/>
    <w:lvl w:ilvl="0" w:tplc="7534F134">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1508524370">
    <w:abstractNumId w:val="0"/>
  </w:num>
  <w:num w:numId="2" w16cid:durableId="1238438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81"/>
    <w:rsid w:val="00037C3D"/>
    <w:rsid w:val="0009215A"/>
    <w:rsid w:val="000A41EF"/>
    <w:rsid w:val="000B75DF"/>
    <w:rsid w:val="00144E34"/>
    <w:rsid w:val="001738CF"/>
    <w:rsid w:val="00190481"/>
    <w:rsid w:val="00255C70"/>
    <w:rsid w:val="002760A4"/>
    <w:rsid w:val="002F60A5"/>
    <w:rsid w:val="003259BF"/>
    <w:rsid w:val="00423FAC"/>
    <w:rsid w:val="00457B2B"/>
    <w:rsid w:val="004619D5"/>
    <w:rsid w:val="004C3707"/>
    <w:rsid w:val="00591A7D"/>
    <w:rsid w:val="005942BE"/>
    <w:rsid w:val="00643AEA"/>
    <w:rsid w:val="00657538"/>
    <w:rsid w:val="00751575"/>
    <w:rsid w:val="007762C3"/>
    <w:rsid w:val="007854BE"/>
    <w:rsid w:val="007926F1"/>
    <w:rsid w:val="00797AA4"/>
    <w:rsid w:val="0081630A"/>
    <w:rsid w:val="008D539D"/>
    <w:rsid w:val="009038C8"/>
    <w:rsid w:val="00941F5B"/>
    <w:rsid w:val="009913AF"/>
    <w:rsid w:val="009D03AF"/>
    <w:rsid w:val="00A023EF"/>
    <w:rsid w:val="00A1689E"/>
    <w:rsid w:val="00A1786D"/>
    <w:rsid w:val="00A63862"/>
    <w:rsid w:val="00AA7547"/>
    <w:rsid w:val="00AC67CF"/>
    <w:rsid w:val="00B40E27"/>
    <w:rsid w:val="00B4533C"/>
    <w:rsid w:val="00B5677E"/>
    <w:rsid w:val="00B739FA"/>
    <w:rsid w:val="00B83649"/>
    <w:rsid w:val="00CF423D"/>
    <w:rsid w:val="00D17D98"/>
    <w:rsid w:val="00D402A8"/>
    <w:rsid w:val="00D666B1"/>
    <w:rsid w:val="00D72ADE"/>
    <w:rsid w:val="00DB57E7"/>
    <w:rsid w:val="00EA1BE6"/>
    <w:rsid w:val="00ED557F"/>
    <w:rsid w:val="00F323E3"/>
    <w:rsid w:val="00FC4BA1"/>
    <w:rsid w:val="00FC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24D2BED7"/>
  <w15:chartTrackingRefBased/>
  <w15:docId w15:val="{BAC572C0-2473-4976-B280-F14063C3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15A"/>
    <w:rPr>
      <w:rFonts w:ascii="Arial" w:hAnsi="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3">
    <w:name w:val="N3"/>
    <w:basedOn w:val="Normal"/>
    <w:rsid w:val="00190481"/>
    <w:pPr>
      <w:widowControl w:val="0"/>
      <w:tabs>
        <w:tab w:val="left" w:pos="170"/>
      </w:tabs>
      <w:overflowPunct w:val="0"/>
      <w:autoSpaceDE w:val="0"/>
      <w:autoSpaceDN w:val="0"/>
      <w:adjustRightInd w:val="0"/>
      <w:spacing w:line="240" w:lineRule="exact"/>
      <w:textAlignment w:val="baseline"/>
    </w:pPr>
    <w:rPr>
      <w:rFonts w:ascii="Tms Rmn" w:hAnsi="Tms Rmn"/>
      <w:sz w:val="22"/>
      <w:szCs w:val="20"/>
      <w:lang w:eastAsia="fr-FR"/>
    </w:rPr>
  </w:style>
  <w:style w:type="paragraph" w:customStyle="1" w:styleId="TabelleRn17c">
    <w:name w:val="Tabelle Rn. 17c)"/>
    <w:basedOn w:val="Normal"/>
    <w:rsid w:val="00190481"/>
    <w:pPr>
      <w:widowControl w:val="0"/>
      <w:tabs>
        <w:tab w:val="left" w:pos="1400"/>
      </w:tabs>
      <w:overflowPunct w:val="0"/>
      <w:autoSpaceDE w:val="0"/>
      <w:autoSpaceDN w:val="0"/>
      <w:adjustRightInd w:val="0"/>
      <w:spacing w:before="60"/>
      <w:textAlignment w:val="baseline"/>
    </w:pPr>
    <w:rPr>
      <w:color w:val="000000"/>
      <w:sz w:val="20"/>
      <w:szCs w:val="20"/>
      <w:lang w:eastAsia="fr-FR"/>
    </w:rPr>
  </w:style>
  <w:style w:type="paragraph" w:customStyle="1" w:styleId="N2">
    <w:name w:val="N2"/>
    <w:basedOn w:val="Normal"/>
    <w:rsid w:val="00190481"/>
    <w:pPr>
      <w:widowControl w:val="0"/>
      <w:overflowPunct w:val="0"/>
      <w:autoSpaceDE w:val="0"/>
      <w:autoSpaceDN w:val="0"/>
      <w:adjustRightInd w:val="0"/>
      <w:ind w:left="1134" w:hanging="1134"/>
      <w:jc w:val="both"/>
      <w:textAlignment w:val="baseline"/>
    </w:pPr>
    <w:rPr>
      <w:sz w:val="20"/>
      <w:szCs w:val="20"/>
      <w:lang w:eastAsia="fr-FR"/>
    </w:rPr>
  </w:style>
  <w:style w:type="paragraph" w:styleId="Notedebasdepage">
    <w:name w:val="footnote text"/>
    <w:aliases w:val="5_G"/>
    <w:basedOn w:val="Normal"/>
    <w:link w:val="NotedebasdepageCar"/>
    <w:qFormat/>
    <w:rsid w:val="00D17D98"/>
    <w:pPr>
      <w:widowControl w:val="0"/>
      <w:overflowPunct w:val="0"/>
      <w:autoSpaceDE w:val="0"/>
      <w:autoSpaceDN w:val="0"/>
      <w:adjustRightInd w:val="0"/>
      <w:ind w:left="1134" w:hanging="1134"/>
      <w:jc w:val="both"/>
      <w:textAlignment w:val="baseline"/>
    </w:pPr>
    <w:rPr>
      <w:rFonts w:ascii="Times New Roman" w:hAnsi="Times New Roman"/>
      <w:sz w:val="20"/>
      <w:szCs w:val="20"/>
      <w:lang w:eastAsia="fr-FR"/>
    </w:rPr>
  </w:style>
  <w:style w:type="character" w:customStyle="1" w:styleId="NotedebasdepageCar">
    <w:name w:val="Note de bas de page Car"/>
    <w:aliases w:val="5_G Car"/>
    <w:basedOn w:val="Policepardfaut"/>
    <w:link w:val="Notedebasdepage"/>
    <w:rsid w:val="00D17D98"/>
    <w:rPr>
      <w:lang w:eastAsia="fr-FR"/>
    </w:rPr>
  </w:style>
  <w:style w:type="character" w:styleId="Appelnotedebasdep">
    <w:name w:val="footnote reference"/>
    <w:aliases w:val="4_G,Footnote Reference/"/>
    <w:unhideWhenUsed/>
    <w:rsid w:val="00D17D98"/>
    <w:rPr>
      <w:rFonts w:ascii="Times New Roman" w:hAnsi="Times New Roman" w:cs="Times New Roman" w:hint="default"/>
      <w:sz w:val="18"/>
      <w:vertAlign w:val="superscript"/>
    </w:rPr>
  </w:style>
  <w:style w:type="paragraph" w:styleId="Textedebulles">
    <w:name w:val="Balloon Text"/>
    <w:basedOn w:val="Normal"/>
    <w:link w:val="TextedebullesCar"/>
    <w:rsid w:val="00D17D98"/>
    <w:rPr>
      <w:rFonts w:ascii="Segoe UI" w:hAnsi="Segoe UI" w:cs="Segoe UI"/>
      <w:sz w:val="18"/>
      <w:szCs w:val="18"/>
    </w:rPr>
  </w:style>
  <w:style w:type="character" w:customStyle="1" w:styleId="TextedebullesCar">
    <w:name w:val="Texte de bulles Car"/>
    <w:basedOn w:val="Policepardfaut"/>
    <w:link w:val="Textedebulles"/>
    <w:rsid w:val="00D17D98"/>
    <w:rPr>
      <w:rFonts w:ascii="Segoe UI" w:hAnsi="Segoe UI" w:cs="Segoe UI"/>
      <w:sz w:val="18"/>
      <w:szCs w:val="18"/>
    </w:rPr>
  </w:style>
  <w:style w:type="paragraph" w:styleId="En-tte">
    <w:name w:val="header"/>
    <w:basedOn w:val="Normal"/>
    <w:link w:val="En-tteCar"/>
    <w:rsid w:val="00B83649"/>
    <w:pPr>
      <w:tabs>
        <w:tab w:val="center" w:pos="4536"/>
        <w:tab w:val="right" w:pos="9072"/>
      </w:tabs>
    </w:pPr>
  </w:style>
  <w:style w:type="character" w:customStyle="1" w:styleId="En-tteCar">
    <w:name w:val="En-tête Car"/>
    <w:basedOn w:val="Policepardfaut"/>
    <w:link w:val="En-tte"/>
    <w:rsid w:val="00B83649"/>
    <w:rPr>
      <w:rFonts w:ascii="Arial" w:hAnsi="Arial"/>
      <w:sz w:val="24"/>
      <w:szCs w:val="24"/>
    </w:rPr>
  </w:style>
  <w:style w:type="paragraph" w:styleId="Pieddepage">
    <w:name w:val="footer"/>
    <w:basedOn w:val="Normal"/>
    <w:link w:val="PieddepageCar"/>
    <w:rsid w:val="00B83649"/>
    <w:pPr>
      <w:tabs>
        <w:tab w:val="center" w:pos="4536"/>
        <w:tab w:val="right" w:pos="9072"/>
      </w:tabs>
    </w:pPr>
  </w:style>
  <w:style w:type="character" w:customStyle="1" w:styleId="PieddepageCar">
    <w:name w:val="Pied de page Car"/>
    <w:basedOn w:val="Policepardfaut"/>
    <w:link w:val="Pieddepage"/>
    <w:rsid w:val="00B83649"/>
    <w:rPr>
      <w:rFonts w:ascii="Arial" w:hAnsi="Arial"/>
      <w:sz w:val="24"/>
      <w:szCs w:val="24"/>
    </w:rPr>
  </w:style>
  <w:style w:type="character" w:styleId="Marquedecommentaire">
    <w:name w:val="annotation reference"/>
    <w:basedOn w:val="Policepardfaut"/>
    <w:uiPriority w:val="99"/>
    <w:unhideWhenUsed/>
    <w:rsid w:val="009038C8"/>
    <w:rPr>
      <w:sz w:val="16"/>
      <w:szCs w:val="16"/>
    </w:rPr>
  </w:style>
  <w:style w:type="paragraph" w:styleId="Commentaire">
    <w:name w:val="annotation text"/>
    <w:basedOn w:val="Normal"/>
    <w:link w:val="CommentaireCar"/>
    <w:uiPriority w:val="99"/>
    <w:unhideWhenUsed/>
    <w:rsid w:val="009038C8"/>
    <w:rPr>
      <w:sz w:val="20"/>
      <w:szCs w:val="20"/>
    </w:rPr>
  </w:style>
  <w:style w:type="character" w:customStyle="1" w:styleId="CommentaireCar">
    <w:name w:val="Commentaire Car"/>
    <w:basedOn w:val="Policepardfaut"/>
    <w:link w:val="Commentaire"/>
    <w:uiPriority w:val="99"/>
    <w:rsid w:val="009038C8"/>
    <w:rPr>
      <w:rFonts w:ascii="Arial" w:hAnsi="Arial"/>
    </w:rPr>
  </w:style>
  <w:style w:type="paragraph" w:styleId="Rvision">
    <w:name w:val="Revision"/>
    <w:hidden/>
    <w:uiPriority w:val="99"/>
    <w:semiHidden/>
    <w:rsid w:val="004619D5"/>
    <w:rPr>
      <w:rFonts w:ascii="Arial" w:hAnsi="Arial"/>
      <w:sz w:val="24"/>
      <w:szCs w:val="24"/>
    </w:rPr>
  </w:style>
  <w:style w:type="paragraph" w:styleId="Paragraphedeliste">
    <w:name w:val="List Paragraph"/>
    <w:basedOn w:val="Normal"/>
    <w:uiPriority w:val="34"/>
    <w:qFormat/>
    <w:rsid w:val="00255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147">
      <w:bodyDiv w:val="1"/>
      <w:marLeft w:val="0"/>
      <w:marRight w:val="0"/>
      <w:marTop w:val="0"/>
      <w:marBottom w:val="0"/>
      <w:divBdr>
        <w:top w:val="none" w:sz="0" w:space="0" w:color="auto"/>
        <w:left w:val="none" w:sz="0" w:space="0" w:color="auto"/>
        <w:bottom w:val="none" w:sz="0" w:space="0" w:color="auto"/>
        <w:right w:val="none" w:sz="0" w:space="0" w:color="auto"/>
      </w:divBdr>
    </w:div>
    <w:div w:id="887299549">
      <w:bodyDiv w:val="1"/>
      <w:marLeft w:val="0"/>
      <w:marRight w:val="0"/>
      <w:marTop w:val="0"/>
      <w:marBottom w:val="0"/>
      <w:divBdr>
        <w:top w:val="none" w:sz="0" w:space="0" w:color="auto"/>
        <w:left w:val="none" w:sz="0" w:space="0" w:color="auto"/>
        <w:bottom w:val="none" w:sz="0" w:space="0" w:color="auto"/>
        <w:right w:val="none" w:sz="0" w:space="0" w:color="auto"/>
      </w:divBdr>
    </w:div>
    <w:div w:id="15356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594F924-0A75-4CED-8FA5-57313BA6791E}"/>
</file>

<file path=customXml/itemProps2.xml><?xml version="1.0" encoding="utf-8"?>
<ds:datastoreItem xmlns:ds="http://schemas.openxmlformats.org/officeDocument/2006/customXml" ds:itemID="{0D8351E2-CE2A-4293-8148-CA9068580EEF}"/>
</file>

<file path=customXml/itemProps3.xml><?xml version="1.0" encoding="utf-8"?>
<ds:datastoreItem xmlns:ds="http://schemas.openxmlformats.org/officeDocument/2006/customXml" ds:itemID="{95B1923A-05EA-4296-85A3-02E36257DD59}"/>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5725</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Weiner, Manfred Leo</dc:creator>
  <cp:keywords/>
  <dc:description/>
  <cp:lastModifiedBy>Martine Moench</cp:lastModifiedBy>
  <cp:revision>2</cp:revision>
  <cp:lastPrinted>2022-04-12T14:43:00Z</cp:lastPrinted>
  <dcterms:created xsi:type="dcterms:W3CDTF">2022-06-09T07:52:00Z</dcterms:created>
  <dcterms:modified xsi:type="dcterms:W3CDTF">2022-06-09T07:52:00Z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