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3587" w14:textId="1E40DE9A" w:rsidR="004E6757" w:rsidRPr="00D95586" w:rsidRDefault="004E6757" w:rsidP="004E6757">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D95586">
        <w:rPr>
          <w:rFonts w:ascii="Arial" w:eastAsia="Arial" w:hAnsi="Arial" w:cs="Arial"/>
          <w:bCs/>
          <w:noProof/>
          <w:szCs w:val="24"/>
          <w:lang w:val="en-US" w:eastAsia="de-DE"/>
        </w:rPr>
        <w:drawing>
          <wp:anchor distT="0" distB="0" distL="114300" distR="114300" simplePos="0" relativeHeight="251659264" behindDoc="0" locked="0" layoutInCell="1" allowOverlap="1" wp14:anchorId="1A98DC23" wp14:editId="7541EE4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95586">
        <w:rPr>
          <w:rFonts w:ascii="Arial" w:eastAsia="Arial" w:hAnsi="Arial" w:cs="Arial"/>
          <w:bCs/>
          <w:szCs w:val="24"/>
          <w:lang w:val="en-US" w:eastAsia="de-DE"/>
        </w:rPr>
        <w:t>CCNR-ZKR/ADN/WP.15/AC.2/2022/</w:t>
      </w:r>
      <w:r w:rsidR="002646A7" w:rsidRPr="00D95586">
        <w:rPr>
          <w:rFonts w:ascii="Arial" w:eastAsia="Arial" w:hAnsi="Arial" w:cs="Arial"/>
          <w:bCs/>
          <w:szCs w:val="24"/>
          <w:lang w:val="en-US" w:eastAsia="de-DE"/>
        </w:rPr>
        <w:t>39</w:t>
      </w:r>
    </w:p>
    <w:p w14:paraId="65235DAC" w14:textId="77777777" w:rsidR="004E6757" w:rsidRPr="00D95586" w:rsidRDefault="004E6757" w:rsidP="004E675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D95586">
        <w:rPr>
          <w:rFonts w:ascii="Arial" w:hAnsi="Arial" w:cs="Arial"/>
          <w:sz w:val="16"/>
          <w:szCs w:val="24"/>
          <w:lang w:eastAsia="de-DE"/>
        </w:rPr>
        <w:t>Allgemeine Verteilung</w:t>
      </w:r>
    </w:p>
    <w:p w14:paraId="18CD8ECA" w14:textId="16AA5315" w:rsidR="004E6757" w:rsidRPr="00D95586" w:rsidRDefault="00BC173B" w:rsidP="004E675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D95586">
        <w:rPr>
          <w:rFonts w:ascii="Arial" w:eastAsia="Arial" w:hAnsi="Arial" w:cs="Arial"/>
          <w:szCs w:val="24"/>
          <w:lang w:eastAsia="de-DE"/>
        </w:rPr>
        <w:t>2</w:t>
      </w:r>
      <w:r w:rsidR="000674C3" w:rsidRPr="00D95586">
        <w:rPr>
          <w:rFonts w:ascii="Arial" w:eastAsia="Arial" w:hAnsi="Arial" w:cs="Arial"/>
          <w:szCs w:val="24"/>
          <w:lang w:eastAsia="de-DE"/>
        </w:rPr>
        <w:t>4</w:t>
      </w:r>
      <w:r w:rsidR="004E6757" w:rsidRPr="00D95586">
        <w:rPr>
          <w:rFonts w:ascii="Arial" w:eastAsia="Arial" w:hAnsi="Arial" w:cs="Arial"/>
          <w:szCs w:val="24"/>
          <w:lang w:eastAsia="de-DE"/>
        </w:rPr>
        <w:t xml:space="preserve">. </w:t>
      </w:r>
      <w:r w:rsidRPr="00D95586">
        <w:rPr>
          <w:rFonts w:ascii="Arial" w:eastAsia="Arial" w:hAnsi="Arial" w:cs="Arial"/>
          <w:szCs w:val="24"/>
          <w:lang w:eastAsia="de-DE"/>
        </w:rPr>
        <w:t>Mai</w:t>
      </w:r>
      <w:r w:rsidR="004E6757" w:rsidRPr="00D95586">
        <w:rPr>
          <w:rFonts w:ascii="Arial" w:eastAsia="Arial" w:hAnsi="Arial" w:cs="Arial"/>
          <w:szCs w:val="24"/>
          <w:lang w:eastAsia="de-DE"/>
        </w:rPr>
        <w:t xml:space="preserve"> 2022</w:t>
      </w:r>
    </w:p>
    <w:p w14:paraId="20EBA62A" w14:textId="704AB195" w:rsidR="004E6757" w:rsidRPr="00D95586" w:rsidRDefault="004E6757" w:rsidP="004E675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D95586">
        <w:rPr>
          <w:rFonts w:ascii="Arial" w:eastAsia="Arial" w:hAnsi="Arial" w:cs="Arial"/>
          <w:sz w:val="16"/>
          <w:szCs w:val="24"/>
          <w:lang w:eastAsia="de-DE"/>
        </w:rPr>
        <w:t xml:space="preserve">Or. </w:t>
      </w:r>
      <w:r w:rsidR="000674C3" w:rsidRPr="00D95586">
        <w:rPr>
          <w:rFonts w:ascii="Arial" w:eastAsia="Arial" w:hAnsi="Arial" w:cs="Arial"/>
          <w:sz w:val="16"/>
          <w:szCs w:val="24"/>
          <w:lang w:eastAsia="de-DE"/>
        </w:rPr>
        <w:t>ENGLISCH</w:t>
      </w:r>
    </w:p>
    <w:p w14:paraId="0B525760" w14:textId="77777777" w:rsidR="004E6757" w:rsidRPr="00D95586"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70EEC79A" w14:textId="77777777" w:rsidR="004E6757" w:rsidRPr="00D95586"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136C54F6" w14:textId="77777777" w:rsidR="004E6757" w:rsidRPr="00D95586" w:rsidRDefault="004E6757" w:rsidP="004E6757">
      <w:pPr>
        <w:tabs>
          <w:tab w:val="left" w:pos="2977"/>
        </w:tabs>
        <w:ind w:left="3960"/>
        <w:rPr>
          <w:rFonts w:ascii="Arial" w:hAnsi="Arial" w:cs="Arial"/>
          <w:b/>
          <w:sz w:val="16"/>
          <w:szCs w:val="16"/>
          <w:lang w:eastAsia="en-US"/>
        </w:rPr>
      </w:pPr>
    </w:p>
    <w:p w14:paraId="3E041824" w14:textId="77777777" w:rsidR="004E6757" w:rsidRPr="00D95586" w:rsidRDefault="004E6757" w:rsidP="004E6757">
      <w:pPr>
        <w:widowControl/>
        <w:tabs>
          <w:tab w:val="left" w:pos="2977"/>
        </w:tabs>
        <w:overflowPunct/>
        <w:autoSpaceDE/>
        <w:autoSpaceDN/>
        <w:adjustRightInd/>
        <w:snapToGrid w:val="0"/>
        <w:ind w:left="3958" w:firstLine="0"/>
        <w:jc w:val="left"/>
        <w:textAlignment w:val="auto"/>
        <w:rPr>
          <w:rFonts w:ascii="Arial" w:hAnsi="Arial"/>
          <w:sz w:val="16"/>
        </w:rPr>
      </w:pPr>
      <w:r w:rsidRPr="00D95586">
        <w:rPr>
          <w:rFonts w:ascii="Arial" w:hAnsi="Arial"/>
          <w:sz w:val="16"/>
        </w:rPr>
        <w:t xml:space="preserve">GEMEINSAME EXPERTENTAGUNG FÜR DIE DEM ÜBEREINKOMMEN ÜBER DIE INTERNATIONALE BEFÖRDERUNG VON GEFÄHRLICHEN GÜTERN AUF </w:t>
      </w:r>
      <w:r w:rsidRPr="00D95586">
        <w:rPr>
          <w:rFonts w:ascii="Arial" w:eastAsia="Calibri" w:hAnsi="Arial"/>
          <w:sz w:val="16"/>
        </w:rPr>
        <w:t xml:space="preserve">BINNENWASSERSTRAẞEN (ADN) </w:t>
      </w:r>
      <w:r w:rsidRPr="00D95586">
        <w:rPr>
          <w:rFonts w:ascii="Arial" w:hAnsi="Arial"/>
          <w:sz w:val="16"/>
        </w:rPr>
        <w:t>BEIGEFÜGTE VERORDNUNG (SICHERHEITSAUSSCHUSS)</w:t>
      </w:r>
    </w:p>
    <w:p w14:paraId="3E1EEE73" w14:textId="77777777" w:rsidR="004E6757" w:rsidRPr="00D95586" w:rsidRDefault="004E6757" w:rsidP="004E6757">
      <w:pPr>
        <w:widowControl/>
        <w:tabs>
          <w:tab w:val="left" w:pos="2977"/>
        </w:tabs>
        <w:overflowPunct/>
        <w:autoSpaceDE/>
        <w:autoSpaceDN/>
        <w:adjustRightInd/>
        <w:snapToGrid w:val="0"/>
        <w:ind w:left="3960" w:firstLine="0"/>
        <w:jc w:val="left"/>
        <w:textAlignment w:val="auto"/>
        <w:rPr>
          <w:rFonts w:ascii="Arial" w:hAnsi="Arial"/>
          <w:sz w:val="16"/>
          <w:szCs w:val="24"/>
        </w:rPr>
      </w:pPr>
      <w:r w:rsidRPr="00D95586">
        <w:rPr>
          <w:rFonts w:ascii="Arial" w:hAnsi="Arial"/>
          <w:sz w:val="16"/>
          <w:szCs w:val="24"/>
        </w:rPr>
        <w:t>(40. Tagung, Genf, 22. – 26. August 2022)</w:t>
      </w:r>
    </w:p>
    <w:p w14:paraId="43AE95A8" w14:textId="01AC008F" w:rsidR="004E6757" w:rsidRPr="00D95586" w:rsidRDefault="004E6757" w:rsidP="004E675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D95586">
        <w:rPr>
          <w:rFonts w:ascii="Arial" w:hAnsi="Arial" w:cs="Arial"/>
          <w:sz w:val="16"/>
          <w:szCs w:val="16"/>
          <w:lang w:eastAsia="en-US"/>
        </w:rPr>
        <w:t xml:space="preserve">Punkt </w:t>
      </w:r>
      <w:r w:rsidR="00BC173B" w:rsidRPr="00D95586">
        <w:rPr>
          <w:rFonts w:ascii="Arial" w:hAnsi="Arial" w:cs="Arial"/>
          <w:sz w:val="16"/>
          <w:szCs w:val="16"/>
          <w:lang w:eastAsia="en-US"/>
        </w:rPr>
        <w:t xml:space="preserve">4 </w:t>
      </w:r>
      <w:r w:rsidR="000674C3" w:rsidRPr="00D95586">
        <w:rPr>
          <w:rFonts w:ascii="Arial" w:hAnsi="Arial" w:cs="Arial"/>
          <w:sz w:val="16"/>
          <w:szCs w:val="16"/>
          <w:lang w:eastAsia="en-US"/>
        </w:rPr>
        <w:t>b</w:t>
      </w:r>
      <w:r w:rsidRPr="00D95586">
        <w:rPr>
          <w:rFonts w:ascii="Arial" w:hAnsi="Arial" w:cs="Arial"/>
          <w:sz w:val="16"/>
          <w:szCs w:val="16"/>
          <w:lang w:eastAsia="en-US"/>
        </w:rPr>
        <w:t>) zur vorläufigen Tagesordnung</w:t>
      </w:r>
    </w:p>
    <w:p w14:paraId="1BB02CBE" w14:textId="2977AF4A" w:rsidR="004E6757" w:rsidRPr="00D95586" w:rsidRDefault="00BC173B" w:rsidP="00BC173B">
      <w:pPr>
        <w:tabs>
          <w:tab w:val="left" w:pos="2977"/>
        </w:tabs>
        <w:ind w:left="3960" w:firstLine="9"/>
        <w:rPr>
          <w:rFonts w:ascii="Arial" w:hAnsi="Arial" w:cs="Arial"/>
          <w:b/>
          <w:sz w:val="16"/>
          <w:szCs w:val="16"/>
          <w:lang w:eastAsia="en-US"/>
        </w:rPr>
      </w:pPr>
      <w:r w:rsidRPr="00D95586">
        <w:rPr>
          <w:rFonts w:ascii="Arial" w:hAnsi="Arial" w:cs="Arial"/>
          <w:b/>
          <w:sz w:val="16"/>
          <w:szCs w:val="16"/>
          <w:lang w:eastAsia="en-US"/>
        </w:rPr>
        <w:t xml:space="preserve">Vorschläge für Änderungen der dem ADN beigefügten Verordnung: </w:t>
      </w:r>
      <w:r w:rsidR="001F102F" w:rsidRPr="00D95586">
        <w:rPr>
          <w:rFonts w:ascii="Arial" w:hAnsi="Arial" w:cs="Arial"/>
          <w:b/>
          <w:sz w:val="16"/>
          <w:szCs w:val="16"/>
          <w:lang w:eastAsia="en-US"/>
        </w:rPr>
        <w:t>W</w:t>
      </w:r>
      <w:r w:rsidR="000674C3" w:rsidRPr="00D95586">
        <w:rPr>
          <w:rFonts w:ascii="Arial" w:hAnsi="Arial" w:cs="Arial"/>
          <w:b/>
          <w:sz w:val="16"/>
          <w:szCs w:val="16"/>
          <w:lang w:eastAsia="en-US"/>
        </w:rPr>
        <w:t>eitere Änderungsvorschläge</w:t>
      </w:r>
    </w:p>
    <w:p w14:paraId="2E3133EB" w14:textId="6A80FCB3" w:rsidR="002646A7" w:rsidRPr="00D95586" w:rsidRDefault="004E6757" w:rsidP="002646A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D95586">
        <w:rPr>
          <w:b/>
          <w:sz w:val="28"/>
          <w:lang w:eastAsia="en-US"/>
        </w:rPr>
        <w:tab/>
      </w:r>
      <w:r w:rsidRPr="00D95586">
        <w:rPr>
          <w:b/>
          <w:sz w:val="28"/>
          <w:lang w:eastAsia="en-US"/>
        </w:rPr>
        <w:tab/>
      </w:r>
      <w:r w:rsidR="002646A7" w:rsidRPr="00D95586">
        <w:rPr>
          <w:b/>
          <w:sz w:val="28"/>
        </w:rPr>
        <w:t xml:space="preserve">Deflagration, </w:t>
      </w:r>
      <w:r w:rsidR="003D224A" w:rsidRPr="00D95586">
        <w:rPr>
          <w:b/>
          <w:sz w:val="28"/>
        </w:rPr>
        <w:t>D</w:t>
      </w:r>
      <w:r w:rsidR="002646A7" w:rsidRPr="00D95586">
        <w:rPr>
          <w:b/>
          <w:sz w:val="28"/>
        </w:rPr>
        <w:t xml:space="preserve">etonation </w:t>
      </w:r>
      <w:r w:rsidR="003D224A" w:rsidRPr="00D95586">
        <w:rPr>
          <w:b/>
          <w:sz w:val="28"/>
        </w:rPr>
        <w:t>und Dauerbrand</w:t>
      </w:r>
    </w:p>
    <w:p w14:paraId="3AD560DB" w14:textId="0D9F35CF" w:rsidR="004E6757" w:rsidRPr="00D95586" w:rsidRDefault="004E6757" w:rsidP="004E6757">
      <w:pPr>
        <w:keepNext/>
        <w:keepLines/>
        <w:widowControl/>
        <w:tabs>
          <w:tab w:val="right" w:pos="851"/>
        </w:tabs>
        <w:suppressAutoHyphens/>
        <w:overflowPunct/>
        <w:autoSpaceDE/>
        <w:autoSpaceDN/>
        <w:adjustRightInd/>
        <w:spacing w:before="360" w:after="240" w:line="300" w:lineRule="exact"/>
        <w:ind w:right="1134"/>
        <w:jc w:val="left"/>
        <w:textAlignment w:val="auto"/>
        <w:rPr>
          <w:b/>
          <w:sz w:val="24"/>
          <w:lang w:eastAsia="en-US"/>
        </w:rPr>
      </w:pPr>
      <w:r w:rsidRPr="00D95586">
        <w:rPr>
          <w:b/>
          <w:sz w:val="24"/>
          <w:lang w:eastAsia="en-US"/>
        </w:rPr>
        <w:tab/>
      </w:r>
      <w:r w:rsidRPr="00D95586">
        <w:rPr>
          <w:b/>
          <w:sz w:val="24"/>
          <w:lang w:eastAsia="en-US"/>
        </w:rPr>
        <w:tab/>
      </w:r>
      <w:r w:rsidR="00D1546F" w:rsidRPr="00D95586">
        <w:rPr>
          <w:b/>
          <w:sz w:val="24"/>
          <w:lang w:eastAsia="en-US"/>
        </w:rPr>
        <w:t>Eingereicht von der Gruppe der Empfohlenen ADN-Klassifikationsgesellschaften</w:t>
      </w:r>
      <w:r w:rsidRPr="00D95586">
        <w:rPr>
          <w:lang w:eastAsia="en-US"/>
        </w:rPr>
        <w:footnoteReference w:customMarkFollows="1" w:id="1"/>
        <w:t>*</w:t>
      </w:r>
      <w:r w:rsidRPr="00D95586">
        <w:rPr>
          <w:vertAlign w:val="superscript"/>
          <w:lang w:eastAsia="en-US"/>
        </w:rPr>
        <w:t xml:space="preserve">, </w:t>
      </w:r>
      <w:r w:rsidRPr="00D95586">
        <w:rPr>
          <w:lang w:eastAsia="en-US"/>
        </w:rPr>
        <w:footnoteReference w:customMarkFollows="1" w:id="2"/>
        <w:t>**</w:t>
      </w:r>
    </w:p>
    <w:tbl>
      <w:tblPr>
        <w:tblStyle w:val="Grilledutableau2"/>
        <w:tblW w:w="0" w:type="auto"/>
        <w:jc w:val="center"/>
        <w:tblBorders>
          <w:insideH w:val="none" w:sz="0" w:space="0" w:color="auto"/>
        </w:tblBorders>
        <w:tblLook w:val="05E0" w:firstRow="1" w:lastRow="1" w:firstColumn="1" w:lastColumn="1" w:noHBand="0" w:noVBand="1"/>
      </w:tblPr>
      <w:tblGrid>
        <w:gridCol w:w="9062"/>
      </w:tblGrid>
      <w:tr w:rsidR="002646A7" w:rsidRPr="00D95586" w14:paraId="18167EC4" w14:textId="77777777" w:rsidTr="00FF15A4">
        <w:trPr>
          <w:jc w:val="center"/>
        </w:trPr>
        <w:tc>
          <w:tcPr>
            <w:tcW w:w="9062" w:type="dxa"/>
            <w:shd w:val="clear" w:color="auto" w:fill="auto"/>
          </w:tcPr>
          <w:p w14:paraId="0F6B07CA" w14:textId="0173574B" w:rsidR="002646A7" w:rsidRPr="00D95586" w:rsidRDefault="003D224A" w:rsidP="002646A7">
            <w:pPr>
              <w:widowControl/>
              <w:overflowPunct/>
              <w:autoSpaceDE/>
              <w:autoSpaceDN/>
              <w:adjustRightInd/>
              <w:spacing w:before="240" w:after="120"/>
              <w:ind w:left="255" w:firstLine="0"/>
              <w:jc w:val="left"/>
              <w:textAlignment w:val="auto"/>
              <w:rPr>
                <w:i/>
                <w:sz w:val="24"/>
                <w:lang w:val="en-GB"/>
              </w:rPr>
            </w:pPr>
            <w:r w:rsidRPr="00D95586">
              <w:rPr>
                <w:i/>
                <w:sz w:val="24"/>
                <w:lang w:val="en-GB"/>
              </w:rPr>
              <w:t>Zusammenfassung</w:t>
            </w:r>
          </w:p>
        </w:tc>
      </w:tr>
      <w:tr w:rsidR="002646A7" w:rsidRPr="00D95586" w14:paraId="208A4438" w14:textId="77777777" w:rsidTr="00FF15A4">
        <w:trPr>
          <w:jc w:val="center"/>
        </w:trPr>
        <w:tc>
          <w:tcPr>
            <w:tcW w:w="9062" w:type="dxa"/>
            <w:shd w:val="clear" w:color="auto" w:fill="auto"/>
          </w:tcPr>
          <w:p w14:paraId="3209E964" w14:textId="686D8683" w:rsidR="002646A7" w:rsidRPr="00D95586" w:rsidRDefault="002646A7" w:rsidP="000674C3">
            <w:pPr>
              <w:widowControl/>
              <w:tabs>
                <w:tab w:val="left" w:pos="284"/>
                <w:tab w:val="left" w:pos="2827"/>
              </w:tabs>
              <w:overflowPunct/>
              <w:autoSpaceDE/>
              <w:autoSpaceDN/>
              <w:adjustRightInd/>
              <w:spacing w:before="120"/>
              <w:ind w:left="2835" w:right="139" w:hanging="2835"/>
              <w:jc w:val="left"/>
              <w:textAlignment w:val="auto"/>
              <w:rPr>
                <w:bCs/>
                <w:lang w:val="de-DE"/>
              </w:rPr>
            </w:pPr>
            <w:r w:rsidRPr="00D95586">
              <w:rPr>
                <w:b/>
                <w:lang w:val="de-DE"/>
              </w:rPr>
              <w:tab/>
            </w:r>
            <w:r w:rsidR="000674C3" w:rsidRPr="00D95586">
              <w:rPr>
                <w:b/>
                <w:lang w:val="de-DE"/>
              </w:rPr>
              <w:t>Analytische Zusammenfassung</w:t>
            </w:r>
            <w:r w:rsidRPr="00D95586">
              <w:rPr>
                <w:b/>
                <w:lang w:val="de-DE"/>
              </w:rPr>
              <w:t>:</w:t>
            </w:r>
            <w:r w:rsidR="000674C3" w:rsidRPr="00D95586">
              <w:rPr>
                <w:b/>
                <w:lang w:val="de-DE"/>
              </w:rPr>
              <w:tab/>
            </w:r>
            <w:r w:rsidR="000674C3" w:rsidRPr="00D95586">
              <w:rPr>
                <w:bCs/>
                <w:lang w:val="de-DE"/>
              </w:rPr>
              <w:t>Änderungsvorschläge der dem ADN beigefügten Verordnung</w:t>
            </w:r>
          </w:p>
          <w:p w14:paraId="414B600B" w14:textId="2E5091B4" w:rsidR="002646A7" w:rsidRPr="00D95586" w:rsidRDefault="002646A7" w:rsidP="000674C3">
            <w:pPr>
              <w:widowControl/>
              <w:tabs>
                <w:tab w:val="left" w:pos="284"/>
                <w:tab w:val="left" w:pos="2827"/>
              </w:tabs>
              <w:overflowPunct/>
              <w:autoSpaceDE/>
              <w:autoSpaceDN/>
              <w:adjustRightInd/>
              <w:spacing w:before="120"/>
              <w:ind w:left="2835" w:right="139" w:hanging="2835"/>
              <w:jc w:val="left"/>
              <w:textAlignment w:val="auto"/>
              <w:rPr>
                <w:bCs/>
                <w:lang w:val="de-DE"/>
              </w:rPr>
            </w:pPr>
            <w:r w:rsidRPr="00D95586">
              <w:rPr>
                <w:b/>
                <w:lang w:val="de-DE"/>
              </w:rPr>
              <w:tab/>
            </w:r>
            <w:r w:rsidR="000674C3" w:rsidRPr="00D95586">
              <w:rPr>
                <w:b/>
                <w:lang w:val="de-DE"/>
              </w:rPr>
              <w:t>Zu ergreifende Maßnahme</w:t>
            </w:r>
            <w:r w:rsidRPr="00D95586">
              <w:rPr>
                <w:b/>
                <w:lang w:val="de-DE"/>
              </w:rPr>
              <w:t>:</w:t>
            </w:r>
            <w:r w:rsidRPr="00D95586">
              <w:rPr>
                <w:b/>
                <w:lang w:val="de-DE"/>
              </w:rPr>
              <w:tab/>
            </w:r>
            <w:r w:rsidR="000674C3" w:rsidRPr="00D95586">
              <w:rPr>
                <w:b/>
                <w:lang w:val="de-DE"/>
              </w:rPr>
              <w:tab/>
            </w:r>
            <w:r w:rsidR="000674C3" w:rsidRPr="00D95586">
              <w:rPr>
                <w:b/>
                <w:lang w:val="de-DE"/>
              </w:rPr>
              <w:tab/>
            </w:r>
            <w:r w:rsidRPr="00D95586">
              <w:rPr>
                <w:bCs/>
                <w:lang w:val="de-DE"/>
              </w:rPr>
              <w:t xml:space="preserve">9.3.2.22.4 b), 1.2.1 </w:t>
            </w:r>
            <w:r w:rsidR="003D224A" w:rsidRPr="00D95586">
              <w:rPr>
                <w:bCs/>
                <w:lang w:val="de-DE"/>
              </w:rPr>
              <w:t>und</w:t>
            </w:r>
            <w:r w:rsidRPr="00D95586">
              <w:rPr>
                <w:bCs/>
                <w:lang w:val="de-DE"/>
              </w:rPr>
              <w:t xml:space="preserve"> 3.2.3.1 </w:t>
            </w:r>
            <w:r w:rsidR="00AA1EE6" w:rsidRPr="00D95586">
              <w:rPr>
                <w:bCs/>
                <w:lang w:val="de-DE"/>
              </w:rPr>
              <w:t>sollten geändert werden</w:t>
            </w:r>
            <w:r w:rsidRPr="00D95586">
              <w:rPr>
                <w:bCs/>
                <w:lang w:val="de-DE"/>
              </w:rPr>
              <w:t>.</w:t>
            </w:r>
          </w:p>
          <w:p w14:paraId="03B0611D" w14:textId="1EAFFFBB" w:rsidR="002646A7" w:rsidRPr="00D95586" w:rsidRDefault="002646A7" w:rsidP="000674C3">
            <w:pPr>
              <w:widowControl/>
              <w:tabs>
                <w:tab w:val="left" w:pos="284"/>
                <w:tab w:val="left" w:pos="2827"/>
              </w:tabs>
              <w:overflowPunct/>
              <w:autoSpaceDE/>
              <w:autoSpaceDN/>
              <w:adjustRightInd/>
              <w:spacing w:before="120"/>
              <w:ind w:left="2835" w:right="139" w:hanging="2835"/>
              <w:jc w:val="left"/>
              <w:textAlignment w:val="auto"/>
              <w:rPr>
                <w:lang w:val="de-DE"/>
              </w:rPr>
            </w:pPr>
            <w:r w:rsidRPr="00D95586">
              <w:rPr>
                <w:b/>
                <w:iCs/>
                <w:lang w:val="de-DE"/>
              </w:rPr>
              <w:tab/>
            </w:r>
            <w:r w:rsidR="003D224A" w:rsidRPr="00D95586">
              <w:rPr>
                <w:b/>
                <w:lang w:val="de-DE"/>
              </w:rPr>
              <w:t>Verbundene Dokumente</w:t>
            </w:r>
            <w:r w:rsidRPr="00D95586">
              <w:rPr>
                <w:bCs/>
                <w:lang w:val="de-DE"/>
              </w:rPr>
              <w:t>:</w:t>
            </w:r>
            <w:r w:rsidRPr="00D95586">
              <w:rPr>
                <w:lang w:val="de-DE"/>
              </w:rPr>
              <w:tab/>
            </w:r>
            <w:r w:rsidR="000674C3" w:rsidRPr="00D95586">
              <w:rPr>
                <w:lang w:val="de-DE"/>
              </w:rPr>
              <w:tab/>
            </w:r>
            <w:r w:rsidR="000674C3" w:rsidRPr="00D95586">
              <w:rPr>
                <w:lang w:val="de-DE"/>
              </w:rPr>
              <w:tab/>
            </w:r>
            <w:r w:rsidR="003D224A" w:rsidRPr="00D95586">
              <w:rPr>
                <w:lang w:val="de-DE"/>
              </w:rPr>
              <w:t>Informelles Dokument</w:t>
            </w:r>
            <w:r w:rsidRPr="00D95586">
              <w:rPr>
                <w:lang w:val="de-DE"/>
              </w:rPr>
              <w:t xml:space="preserve"> INF.22 </w:t>
            </w:r>
            <w:r w:rsidR="003D224A" w:rsidRPr="00D95586">
              <w:rPr>
                <w:lang w:val="de-DE"/>
              </w:rPr>
              <w:t>von der 35. Sitzung</w:t>
            </w:r>
            <w:r w:rsidRPr="00D95586">
              <w:rPr>
                <w:lang w:val="de-DE"/>
              </w:rPr>
              <w:t>; ADN 2021.</w:t>
            </w:r>
          </w:p>
        </w:tc>
      </w:tr>
      <w:tr w:rsidR="002646A7" w:rsidRPr="00D95586" w14:paraId="70F19E39" w14:textId="77777777" w:rsidTr="00FF15A4">
        <w:trPr>
          <w:jc w:val="center"/>
        </w:trPr>
        <w:tc>
          <w:tcPr>
            <w:tcW w:w="9062" w:type="dxa"/>
            <w:shd w:val="clear" w:color="auto" w:fill="auto"/>
          </w:tcPr>
          <w:p w14:paraId="7367D209" w14:textId="77777777" w:rsidR="002646A7" w:rsidRPr="00D95586" w:rsidRDefault="002646A7" w:rsidP="002646A7">
            <w:pPr>
              <w:widowControl/>
              <w:tabs>
                <w:tab w:val="left" w:pos="284"/>
              </w:tabs>
              <w:overflowPunct/>
              <w:autoSpaceDE/>
              <w:autoSpaceDN/>
              <w:adjustRightInd/>
              <w:spacing w:before="120"/>
              <w:ind w:left="2835" w:right="139" w:hanging="2835"/>
              <w:jc w:val="left"/>
              <w:textAlignment w:val="auto"/>
              <w:rPr>
                <w:b/>
                <w:lang w:val="de-DE"/>
              </w:rPr>
            </w:pPr>
          </w:p>
        </w:tc>
      </w:tr>
    </w:tbl>
    <w:p w14:paraId="004FF3C3" w14:textId="0C22767C" w:rsidR="002646A7" w:rsidRPr="00D95586" w:rsidRDefault="002646A7" w:rsidP="00FF1C9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D95586">
        <w:rPr>
          <w:b/>
          <w:sz w:val="28"/>
        </w:rPr>
        <w:tab/>
        <w:t>I.</w:t>
      </w:r>
      <w:r w:rsidRPr="00D95586">
        <w:rPr>
          <w:b/>
          <w:sz w:val="28"/>
        </w:rPr>
        <w:tab/>
      </w:r>
      <w:r w:rsidR="00FF1C99" w:rsidRPr="00D95586">
        <w:rPr>
          <w:b/>
          <w:sz w:val="28"/>
        </w:rPr>
        <w:t>Einige Begriffsbestimmungen aus Abschnitt 1.2.1</w:t>
      </w:r>
    </w:p>
    <w:p w14:paraId="637A4C9F" w14:textId="7B8D8DEB" w:rsidR="009D4BCF" w:rsidRPr="00D95586" w:rsidRDefault="009D4BCF" w:rsidP="009D4BCF">
      <w:pPr>
        <w:widowControl/>
        <w:suppressAutoHyphens/>
        <w:overflowPunct/>
        <w:autoSpaceDE/>
        <w:autoSpaceDN/>
        <w:adjustRightInd/>
        <w:spacing w:after="120" w:line="240" w:lineRule="atLeast"/>
        <w:ind w:right="1134" w:firstLine="0"/>
        <w:textAlignment w:val="auto"/>
      </w:pPr>
      <w:r w:rsidRPr="00D95586">
        <w:t>„</w:t>
      </w:r>
      <w:r w:rsidRPr="00D95586">
        <w:rPr>
          <w:b/>
          <w:bCs/>
          <w:i/>
          <w:iCs/>
        </w:rPr>
        <w:t>Deflagration</w:t>
      </w:r>
      <w:r w:rsidRPr="00D95586">
        <w:t>: Explosion, die sich mit Unterschallgeschwindigkeit fortpflanzt (siehe EN 13237:2011).“.</w:t>
      </w:r>
    </w:p>
    <w:p w14:paraId="42C25088" w14:textId="3F9CCA6C" w:rsidR="002646A7" w:rsidRPr="00D95586" w:rsidRDefault="00FF1C99" w:rsidP="009B41AC">
      <w:pPr>
        <w:widowControl/>
        <w:suppressAutoHyphens/>
        <w:overflowPunct/>
        <w:autoSpaceDE/>
        <w:autoSpaceDN/>
        <w:adjustRightInd/>
        <w:spacing w:after="120" w:line="240" w:lineRule="atLeast"/>
        <w:ind w:right="1134" w:firstLine="0"/>
        <w:textAlignment w:val="auto"/>
      </w:pPr>
      <w:r w:rsidRPr="00D95586">
        <w:rPr>
          <w:i/>
          <w:iCs/>
        </w:rPr>
        <w:t xml:space="preserve">Anmerkung: </w:t>
      </w:r>
      <w:r w:rsidR="00064EC6" w:rsidRPr="00D95586">
        <w:t>Deflagrationssicherungen bieten KEINE Sicherheit gegen Detonationen oder gegen Dauerbrand.</w:t>
      </w:r>
    </w:p>
    <w:p w14:paraId="292DDBA9" w14:textId="02705BAD" w:rsidR="009D4BCF" w:rsidRPr="00D95586" w:rsidRDefault="009D4BCF" w:rsidP="009D4BCF">
      <w:pPr>
        <w:widowControl/>
        <w:suppressAutoHyphens/>
        <w:overflowPunct/>
        <w:autoSpaceDE/>
        <w:autoSpaceDN/>
        <w:adjustRightInd/>
        <w:spacing w:after="120" w:line="240" w:lineRule="atLeast"/>
        <w:ind w:right="1134" w:firstLine="0"/>
        <w:textAlignment w:val="auto"/>
      </w:pPr>
      <w:r w:rsidRPr="00D95586">
        <w:rPr>
          <w:b/>
          <w:bCs/>
          <w:i/>
          <w:iCs/>
        </w:rPr>
        <w:t>„Detonation</w:t>
      </w:r>
      <w:r w:rsidRPr="00D95586">
        <w:t>: Explosion, die sich mit Überschallgeschwindigkeit fortpflanzt, gekennzeichnet durch eine Stoßwelle (siehe EN 13237:2011).“.</w:t>
      </w:r>
    </w:p>
    <w:p w14:paraId="7679335D" w14:textId="25E3EC2B" w:rsidR="002646A7" w:rsidRPr="00D95586" w:rsidRDefault="009B41AC" w:rsidP="00774278">
      <w:pPr>
        <w:widowControl/>
        <w:suppressAutoHyphens/>
        <w:overflowPunct/>
        <w:autoSpaceDE/>
        <w:autoSpaceDN/>
        <w:adjustRightInd/>
        <w:spacing w:after="120" w:line="240" w:lineRule="atLeast"/>
        <w:ind w:right="1134" w:firstLine="0"/>
        <w:textAlignment w:val="auto"/>
      </w:pPr>
      <w:r w:rsidRPr="00D95586">
        <w:rPr>
          <w:i/>
          <w:iCs/>
        </w:rPr>
        <w:t>Anmerkung: Detonationssicherungen bieten Sicherheit bei Deflagration und Detonation</w:t>
      </w:r>
      <w:r w:rsidRPr="00D95586">
        <w:rPr>
          <w:sz w:val="18"/>
          <w:vertAlign w:val="superscript"/>
        </w:rPr>
        <w:footnoteReference w:id="3"/>
      </w:r>
      <w:r w:rsidRPr="00D95586">
        <w:rPr>
          <w:i/>
          <w:iCs/>
        </w:rPr>
        <w:t>; sie sind NICHT sicher bei Dauerbrand</w:t>
      </w:r>
      <w:r w:rsidR="007C0524" w:rsidRPr="00D95586">
        <w:rPr>
          <w:i/>
          <w:iCs/>
        </w:rPr>
        <w:t>.</w:t>
      </w:r>
    </w:p>
    <w:p w14:paraId="3BFD13BA" w14:textId="77777777" w:rsidR="00C927A2" w:rsidRPr="00D95586" w:rsidRDefault="00C927A2">
      <w:pPr>
        <w:widowControl/>
        <w:overflowPunct/>
        <w:autoSpaceDE/>
        <w:autoSpaceDN/>
        <w:adjustRightInd/>
        <w:ind w:left="0" w:firstLine="0"/>
        <w:jc w:val="left"/>
        <w:textAlignment w:val="auto"/>
        <w:rPr>
          <w:bCs/>
          <w:iCs/>
          <w:color w:val="000000"/>
        </w:rPr>
      </w:pPr>
      <w:r w:rsidRPr="00D95586">
        <w:rPr>
          <w:bCs/>
          <w:iCs/>
          <w:color w:val="000000"/>
        </w:rPr>
        <w:br w:type="page"/>
      </w:r>
    </w:p>
    <w:p w14:paraId="6D6FBD69" w14:textId="434FFFBE" w:rsidR="009D4BCF" w:rsidRPr="00D95586" w:rsidRDefault="003D224A" w:rsidP="00980B1C">
      <w:pPr>
        <w:spacing w:before="180" w:line="240" w:lineRule="atLeast"/>
        <w:ind w:right="1134" w:firstLine="0"/>
        <w:rPr>
          <w:color w:val="000000"/>
          <w:sz w:val="16"/>
          <w:szCs w:val="16"/>
        </w:rPr>
      </w:pPr>
      <w:r w:rsidRPr="00D95586">
        <w:rPr>
          <w:bCs/>
          <w:iCs/>
          <w:color w:val="000000"/>
        </w:rPr>
        <w:lastRenderedPageBreak/>
        <w:t>„</w:t>
      </w:r>
      <w:r w:rsidR="009D4BCF" w:rsidRPr="00D95586">
        <w:rPr>
          <w:b/>
          <w:i/>
          <w:color w:val="000000"/>
        </w:rPr>
        <w:t>Dauerbrand:</w:t>
      </w:r>
      <w:r w:rsidR="009D4BCF" w:rsidRPr="00D95586">
        <w:rPr>
          <w:color w:val="000000"/>
        </w:rPr>
        <w:t xml:space="preserve"> Stabilisiertes Brennen für eine unbestimmte Zeit (siehe </w:t>
      </w:r>
      <w:r w:rsidR="009D4BCF" w:rsidRPr="00D95586">
        <w:rPr>
          <w:bCs/>
          <w:color w:val="000000"/>
        </w:rPr>
        <w:t>ISO 16852:2016</w:t>
      </w:r>
      <w:r w:rsidR="00D95586" w:rsidRPr="00D95586">
        <w:rPr>
          <w:bCs/>
          <w:color w:val="000000"/>
          <w:vertAlign w:val="superscript"/>
        </w:rPr>
        <w:t>1</w:t>
      </w:r>
      <w:r w:rsidR="009D4BCF" w:rsidRPr="00D95586">
        <w:rPr>
          <w:bCs/>
          <w:color w:val="000000"/>
          <w:sz w:val="16"/>
          <w:szCs w:val="16"/>
          <w:vertAlign w:val="superscript"/>
        </w:rPr>
        <w:t>)</w:t>
      </w:r>
      <w:r w:rsidR="009D4BCF" w:rsidRPr="00D95586">
        <w:rPr>
          <w:color w:val="000000"/>
        </w:rPr>
        <w:t>).</w:t>
      </w:r>
      <w:r w:rsidRPr="00D95586">
        <w:rPr>
          <w:color w:val="000000"/>
        </w:rPr>
        <w:t>“.</w:t>
      </w:r>
    </w:p>
    <w:p w14:paraId="2D3DD33C" w14:textId="77632853" w:rsidR="00151F2C" w:rsidRPr="00D95586" w:rsidRDefault="00980B1C" w:rsidP="00980B1C">
      <w:pPr>
        <w:spacing w:before="180" w:line="240" w:lineRule="atLeast"/>
        <w:ind w:right="1134" w:firstLine="0"/>
        <w:rPr>
          <w:color w:val="000000"/>
        </w:rPr>
      </w:pPr>
      <w:r w:rsidRPr="00D95586">
        <w:rPr>
          <w:b/>
          <w:i/>
          <w:color w:val="000000"/>
        </w:rPr>
        <w:t>„</w:t>
      </w:r>
      <w:r w:rsidR="00151F2C" w:rsidRPr="00D95586">
        <w:rPr>
          <w:b/>
          <w:i/>
          <w:color w:val="000000"/>
        </w:rPr>
        <w:t>Vorrichtung zum gefahrlosen Entspannen der Ladetanks</w:t>
      </w:r>
      <w:r w:rsidR="00151F2C" w:rsidRPr="00D95586">
        <w:rPr>
          <w:b/>
          <w:color w:val="000000"/>
        </w:rPr>
        <w:t xml:space="preserve">: </w:t>
      </w:r>
      <w:r w:rsidR="00151F2C" w:rsidRPr="00D95586">
        <w:rPr>
          <w:color w:val="000000"/>
        </w:rPr>
        <w:t>Eine handbetätigte oder fernbediente Vorrichtung, die so angeordnet ist, dass das Entspannen der Ladetanks gefahrlos möglich ist. Wenn die Schiffsstoffliste nach Absatz 1.16.1.2.5 Stoffe enthält, für die nach Unterabschnitt 3.2.3.2 Tabelle C Spalte (17) Explosionsschutz gefordert ist, muss sie deflagrations- und dauerbrandsicher für den kritischsten Stoff der Schiffsstoffliste ausgeführt sein. Die Deflagrationssicherheit muss nach der internationalen Norm ISO 16852:2016</w:t>
      </w:r>
      <w:r w:rsidR="00D95586" w:rsidRPr="00D95586">
        <w:rPr>
          <w:color w:val="000000"/>
          <w:vertAlign w:val="superscript"/>
        </w:rPr>
        <w:t>1</w:t>
      </w:r>
      <w:r w:rsidR="00151F2C" w:rsidRPr="00D95586">
        <w:rPr>
          <w:color w:val="000000"/>
          <w:sz w:val="18"/>
          <w:szCs w:val="18"/>
          <w:vertAlign w:val="superscript"/>
        </w:rPr>
        <w:t>)</w:t>
      </w:r>
      <w:r w:rsidR="00151F2C" w:rsidRPr="00D95586">
        <w:rPr>
          <w:color w:val="000000"/>
          <w:sz w:val="18"/>
          <w:szCs w:val="18"/>
        </w:rPr>
        <w:t xml:space="preserve"> </w:t>
      </w:r>
      <w:r w:rsidR="00151F2C" w:rsidRPr="00D95586">
        <w:rPr>
          <w:color w:val="000000"/>
        </w:rPr>
        <w:t>geprüft sein und es muss nachgewiesen sein, dass sie den anwendbaren Anforderungen entspricht (z.B. Konformitätsbewertungsverfahren nach Richtlinie 2014/34/EU</w:t>
      </w:r>
      <w:r w:rsidR="00FF78CF" w:rsidRPr="00FF78CF">
        <w:rPr>
          <w:color w:val="000000"/>
          <w:vertAlign w:val="superscript"/>
        </w:rPr>
        <w:t>3</w:t>
      </w:r>
      <w:r w:rsidR="00151F2C" w:rsidRPr="00D95586">
        <w:rPr>
          <w:color w:val="000000"/>
          <w:sz w:val="18"/>
          <w:szCs w:val="18"/>
          <w:vertAlign w:val="superscript"/>
        </w:rPr>
        <w:t>)</w:t>
      </w:r>
      <w:r w:rsidR="00151F2C" w:rsidRPr="00D95586">
        <w:rPr>
          <w:color w:val="000000"/>
          <w:sz w:val="18"/>
          <w:szCs w:val="18"/>
        </w:rPr>
        <w:t xml:space="preserve">, </w:t>
      </w:r>
      <w:r w:rsidR="00151F2C" w:rsidRPr="00D95586">
        <w:rPr>
          <w:color w:val="000000"/>
        </w:rPr>
        <w:t>IECEx-System</w:t>
      </w:r>
      <w:r w:rsidR="00FF78CF" w:rsidRPr="00FF78CF">
        <w:rPr>
          <w:color w:val="000000"/>
          <w:vertAlign w:val="superscript"/>
        </w:rPr>
        <w:t>4</w:t>
      </w:r>
      <w:r w:rsidR="00151F2C" w:rsidRPr="00D95586">
        <w:rPr>
          <w:color w:val="000000"/>
          <w:sz w:val="18"/>
          <w:szCs w:val="18"/>
          <w:vertAlign w:val="superscript"/>
        </w:rPr>
        <w:t xml:space="preserve">) </w:t>
      </w:r>
      <w:r w:rsidR="00151F2C" w:rsidRPr="00D95586">
        <w:rPr>
          <w:color w:val="000000"/>
        </w:rPr>
        <w:t>oder ECE Trade 391</w:t>
      </w:r>
      <w:r w:rsidR="00FF78CF" w:rsidRPr="00FF78CF">
        <w:rPr>
          <w:color w:val="000000"/>
          <w:vertAlign w:val="superscript"/>
        </w:rPr>
        <w:t>5</w:t>
      </w:r>
      <w:r w:rsidR="00151F2C" w:rsidRPr="00D95586">
        <w:rPr>
          <w:color w:val="000000"/>
          <w:sz w:val="18"/>
          <w:szCs w:val="18"/>
          <w:vertAlign w:val="superscript"/>
        </w:rPr>
        <w:t xml:space="preserve">) </w:t>
      </w:r>
      <w:r w:rsidR="00151F2C" w:rsidRPr="00D95586">
        <w:rPr>
          <w:color w:val="000000"/>
        </w:rPr>
        <w:t>oder mindestens gleichwertig). Die Deflagrationssicherheit kann durch eine integrierte dauerbrandsichere Flammensperre oder durch eine dauerbrandsichere Flammendurchschlagsicherung (Deflagrationsendsicherung) gewährleistet werden.</w:t>
      </w:r>
    </w:p>
    <w:p w14:paraId="1AF5EE6F" w14:textId="6862B7F6" w:rsidR="00EF1C4B" w:rsidRPr="00D95586" w:rsidRDefault="00EF1C4B" w:rsidP="00EF1C4B">
      <w:pPr>
        <w:spacing w:before="180" w:line="240" w:lineRule="atLeast"/>
        <w:ind w:right="1134" w:firstLine="0"/>
      </w:pPr>
      <w:r w:rsidRPr="00D95586">
        <w:rPr>
          <w:bCs/>
          <w:i/>
        </w:rPr>
        <w:t>„</w:t>
      </w:r>
      <w:r w:rsidRPr="00D95586">
        <w:rPr>
          <w:b/>
          <w:i/>
        </w:rPr>
        <w:t>Unterdruckventil:</w:t>
      </w:r>
      <w:r w:rsidRPr="00D95586">
        <w:t xml:space="preserve"> </w:t>
      </w:r>
      <w:r w:rsidRPr="00D95586">
        <w:rPr>
          <w:bCs/>
          <w:iCs/>
        </w:rPr>
        <w:t>Ein selbsttätiges Sicherheitsventil zum Schutz des Ladetanks gegen einen unzulässigen inneren Unterdruck. Wenn die Schiffsstoffliste nach Absatz 1.16.1.2.5 Stoffe enthält, für die nach Unterabschnitt 3.2.3.2 Tabelle C Spalte (17) Explosionsschutz gefordert ist, muss es deflagrationssicher gegenüber einer atmosphärischen Explosion für den kritischsten Stoff der Schiffsstoffliste ausgeführt sein. Die Deflagrationssicherheit muss nach der internationalen Norm ISO 16852:2016</w:t>
      </w:r>
      <w:r w:rsidR="00D95586" w:rsidRPr="00D95586">
        <w:rPr>
          <w:bCs/>
          <w:iCs/>
          <w:vertAlign w:val="superscript"/>
        </w:rPr>
        <w:t>1</w:t>
      </w:r>
      <w:r w:rsidRPr="00D95586">
        <w:rPr>
          <w:bCs/>
          <w:iCs/>
          <w:sz w:val="18"/>
          <w:szCs w:val="18"/>
          <w:vertAlign w:val="superscript"/>
        </w:rPr>
        <w:t>)</w:t>
      </w:r>
      <w:r w:rsidRPr="00D95586">
        <w:rPr>
          <w:bCs/>
          <w:iCs/>
          <w:sz w:val="18"/>
          <w:szCs w:val="18"/>
        </w:rPr>
        <w:t xml:space="preserve"> </w:t>
      </w:r>
      <w:r w:rsidRPr="00D95586">
        <w:rPr>
          <w:bCs/>
          <w:iCs/>
        </w:rPr>
        <w:t>geprüft sein und es muss nachgewiesen sein, dass sie den anwendbaren Anforderungen entspricht (z.B. Konformitätsbewertungsverfahren nach Richtlinie 2014/34/EU</w:t>
      </w:r>
      <w:r w:rsidR="00D95586" w:rsidRPr="00D95586">
        <w:rPr>
          <w:bCs/>
          <w:iCs/>
          <w:vertAlign w:val="superscript"/>
        </w:rPr>
        <w:t>3</w:t>
      </w:r>
      <w:r w:rsidR="00FF78CF">
        <w:rPr>
          <w:bCs/>
          <w:iCs/>
          <w:vertAlign w:val="superscript"/>
        </w:rPr>
        <w:t>)</w:t>
      </w:r>
      <w:r w:rsidRPr="00D95586">
        <w:rPr>
          <w:bCs/>
          <w:iCs/>
          <w:sz w:val="18"/>
          <w:szCs w:val="18"/>
        </w:rPr>
        <w:t xml:space="preserve">, </w:t>
      </w:r>
      <w:r w:rsidRPr="00D95586">
        <w:rPr>
          <w:rFonts w:eastAsia="Calibri"/>
          <w:lang w:eastAsia="de-DE"/>
        </w:rPr>
        <w:t>IECEx-System</w:t>
      </w:r>
      <w:r w:rsidR="00D95586" w:rsidRPr="00FF78CF">
        <w:rPr>
          <w:rFonts w:eastAsia="Calibri"/>
          <w:vertAlign w:val="superscript"/>
          <w:lang w:eastAsia="de-DE"/>
        </w:rPr>
        <w:t>4</w:t>
      </w:r>
      <w:r w:rsidR="00FF78CF">
        <w:rPr>
          <w:rFonts w:eastAsia="Calibri"/>
          <w:vertAlign w:val="superscript"/>
          <w:lang w:eastAsia="de-DE"/>
        </w:rPr>
        <w:t>)</w:t>
      </w:r>
      <w:r w:rsidRPr="00D95586">
        <w:rPr>
          <w:rFonts w:eastAsia="Calibri"/>
          <w:sz w:val="18"/>
          <w:szCs w:val="18"/>
          <w:vertAlign w:val="superscript"/>
          <w:lang w:eastAsia="de-DE"/>
        </w:rPr>
        <w:t xml:space="preserve"> </w:t>
      </w:r>
      <w:r w:rsidRPr="00D95586">
        <w:rPr>
          <w:bCs/>
          <w:iCs/>
        </w:rPr>
        <w:t>oder ECE Trade 391</w:t>
      </w:r>
      <w:r w:rsidR="00FF78CF" w:rsidRPr="00FF78CF">
        <w:rPr>
          <w:bCs/>
          <w:iCs/>
          <w:vertAlign w:val="superscript"/>
        </w:rPr>
        <w:t>5</w:t>
      </w:r>
      <w:r w:rsidR="00FF78CF">
        <w:rPr>
          <w:bCs/>
          <w:iCs/>
          <w:vertAlign w:val="superscript"/>
        </w:rPr>
        <w:t>)</w:t>
      </w:r>
      <w:r w:rsidRPr="00D95586">
        <w:rPr>
          <w:bCs/>
          <w:iCs/>
          <w:sz w:val="18"/>
          <w:szCs w:val="18"/>
          <w:vertAlign w:val="superscript"/>
        </w:rPr>
        <w:t xml:space="preserve"> </w:t>
      </w:r>
      <w:r w:rsidRPr="00D95586">
        <w:rPr>
          <w:bCs/>
          <w:iCs/>
        </w:rPr>
        <w:t>oder mindestens gleichwertig). Die Deflagrationssicherheit kann durch eine integrierte Flammensperre oder durch eine Flammendurchschlagsicherung (Deflagrationsendsicherung) gewährleistet werden.</w:t>
      </w:r>
    </w:p>
    <w:p w14:paraId="67C8E40A" w14:textId="10C0773D" w:rsidR="00EF1C4B" w:rsidRPr="00D95586" w:rsidRDefault="00EF1C4B" w:rsidP="00EF1C4B">
      <w:pPr>
        <w:spacing w:before="60" w:line="240" w:lineRule="atLeast"/>
        <w:ind w:left="1701" w:right="1134" w:hanging="567"/>
        <w:rPr>
          <w:iCs/>
        </w:rPr>
      </w:pPr>
      <w:r w:rsidRPr="00D95586">
        <w:rPr>
          <w:b/>
          <w:iCs/>
        </w:rPr>
        <w:t>Bem.</w:t>
      </w:r>
      <w:r w:rsidRPr="00D95586">
        <w:rPr>
          <w:iCs/>
        </w:rPr>
        <w:tab/>
        <w:t>Im ADR werden solche Einrichtungen zum Schutz von Tanks als Vakuumventile bezeichnet.“.</w:t>
      </w:r>
    </w:p>
    <w:p w14:paraId="597D8504" w14:textId="0200376C" w:rsidR="00EF1C4B" w:rsidRPr="00D95586" w:rsidRDefault="00EF1C4B" w:rsidP="00EF1C4B">
      <w:pPr>
        <w:spacing w:before="180" w:line="240" w:lineRule="atLeast"/>
        <w:ind w:right="1134" w:firstLine="0"/>
        <w:rPr>
          <w:color w:val="000000"/>
        </w:rPr>
      </w:pPr>
      <w:bookmarkStart w:id="0" w:name="_Hlk104798953"/>
      <w:r w:rsidRPr="00D95586">
        <w:rPr>
          <w:b/>
          <w:i/>
          <w:color w:val="000000"/>
        </w:rPr>
        <w:t>„Autonome</w:t>
      </w:r>
      <w:r w:rsidRPr="00D95586">
        <w:rPr>
          <w:b/>
          <w:color w:val="000000"/>
        </w:rPr>
        <w:t xml:space="preserve"> </w:t>
      </w:r>
      <w:r w:rsidRPr="00D95586">
        <w:rPr>
          <w:b/>
          <w:i/>
          <w:color w:val="000000"/>
        </w:rPr>
        <w:t>Schutzsysteme</w:t>
      </w:r>
      <w:r w:rsidRPr="00D95586">
        <w:rPr>
          <w:b/>
          <w:color w:val="000000"/>
        </w:rPr>
        <w:t>:</w:t>
      </w:r>
      <w:r w:rsidRPr="00D95586">
        <w:rPr>
          <w:color w:val="000000"/>
        </w:rPr>
        <w:t xml:space="preserve"> Alle Vorrichtungen, die anlaufende Explosionen umgehend stoppen und/oder den von einer Explosion betroffenen Bereich begrenzen sollen und als autonome Systeme gesondert auf dem Markt bereitgestellt werden. Dazu zählen Flammendurchschlagssicherungen, Hochgeschwindigkeitsventile, deflagrationssichere Unterdruckventile und deflagrationssichere Vorrichtungen zum gefahrlosen Entspannen der Ladetanks (Siehe auch </w:t>
      </w:r>
      <w:bookmarkStart w:id="1" w:name="_Hlk104798533"/>
      <w:r w:rsidRPr="00D95586">
        <w:rPr>
          <w:color w:val="000000"/>
        </w:rPr>
        <w:t>Flammendurchschlagssicherung, Hochgeschwindigkeitsventil, Unterdruckventil, Vorrichtung zum gefahrlosen Entspannen der Ladetanks und Deflagration</w:t>
      </w:r>
      <w:bookmarkEnd w:id="1"/>
      <w:r w:rsidRPr="00D95586">
        <w:rPr>
          <w:color w:val="000000"/>
        </w:rPr>
        <w:t>).“.</w:t>
      </w:r>
    </w:p>
    <w:bookmarkEnd w:id="0"/>
    <w:p w14:paraId="54833D82" w14:textId="77777777" w:rsidR="000C0F80" w:rsidRDefault="000C0F80" w:rsidP="00D95586">
      <w:pPr>
        <w:pStyle w:val="FootnoteText"/>
        <w:tabs>
          <w:tab w:val="left" w:pos="284"/>
        </w:tabs>
        <w:spacing w:line="240" w:lineRule="atLeast"/>
        <w:ind w:left="1418" w:hanging="284"/>
        <w:rPr>
          <w:sz w:val="14"/>
          <w:szCs w:val="14"/>
        </w:rPr>
      </w:pPr>
    </w:p>
    <w:p w14:paraId="18660B65" w14:textId="77777777" w:rsidR="000C0F80" w:rsidRDefault="000C0F80" w:rsidP="00D95586">
      <w:pPr>
        <w:pStyle w:val="FootnoteText"/>
        <w:tabs>
          <w:tab w:val="left" w:pos="284"/>
        </w:tabs>
        <w:spacing w:line="240" w:lineRule="atLeast"/>
        <w:ind w:left="1418" w:hanging="284"/>
        <w:rPr>
          <w:sz w:val="14"/>
          <w:szCs w:val="14"/>
        </w:rPr>
      </w:pPr>
    </w:p>
    <w:p w14:paraId="2A33BE3D" w14:textId="77777777" w:rsidR="000C0F80" w:rsidRDefault="000C0F80" w:rsidP="00D95586">
      <w:pPr>
        <w:pStyle w:val="FootnoteText"/>
        <w:tabs>
          <w:tab w:val="left" w:pos="284"/>
        </w:tabs>
        <w:spacing w:line="240" w:lineRule="atLeast"/>
        <w:ind w:left="1418" w:hanging="284"/>
        <w:rPr>
          <w:sz w:val="14"/>
          <w:szCs w:val="14"/>
        </w:rPr>
      </w:pPr>
    </w:p>
    <w:p w14:paraId="4AB3278E" w14:textId="77777777" w:rsidR="000C0F80" w:rsidRDefault="000C0F80" w:rsidP="00D95586">
      <w:pPr>
        <w:pStyle w:val="FootnoteText"/>
        <w:tabs>
          <w:tab w:val="left" w:pos="284"/>
        </w:tabs>
        <w:spacing w:line="240" w:lineRule="atLeast"/>
        <w:ind w:left="1418" w:hanging="284"/>
        <w:rPr>
          <w:sz w:val="14"/>
          <w:szCs w:val="14"/>
        </w:rPr>
      </w:pPr>
    </w:p>
    <w:p w14:paraId="0BA13A7B" w14:textId="77777777" w:rsidR="000C0F80" w:rsidRDefault="000C0F80" w:rsidP="00D95586">
      <w:pPr>
        <w:pStyle w:val="FootnoteText"/>
        <w:tabs>
          <w:tab w:val="left" w:pos="284"/>
        </w:tabs>
        <w:spacing w:line="240" w:lineRule="atLeast"/>
        <w:ind w:left="1418" w:hanging="284"/>
        <w:rPr>
          <w:sz w:val="14"/>
          <w:szCs w:val="14"/>
        </w:rPr>
      </w:pPr>
    </w:p>
    <w:p w14:paraId="02052F85" w14:textId="77777777" w:rsidR="000C0F80" w:rsidRDefault="000C0F80" w:rsidP="00D95586">
      <w:pPr>
        <w:pStyle w:val="FootnoteText"/>
        <w:tabs>
          <w:tab w:val="left" w:pos="284"/>
        </w:tabs>
        <w:spacing w:line="240" w:lineRule="atLeast"/>
        <w:ind w:left="1418" w:hanging="284"/>
        <w:rPr>
          <w:sz w:val="14"/>
          <w:szCs w:val="14"/>
        </w:rPr>
      </w:pPr>
    </w:p>
    <w:p w14:paraId="4AEF878E" w14:textId="77777777" w:rsidR="000C0F80" w:rsidRDefault="000C0F80" w:rsidP="00D95586">
      <w:pPr>
        <w:pStyle w:val="FootnoteText"/>
        <w:tabs>
          <w:tab w:val="left" w:pos="284"/>
        </w:tabs>
        <w:spacing w:line="240" w:lineRule="atLeast"/>
        <w:ind w:left="1418" w:hanging="284"/>
        <w:rPr>
          <w:sz w:val="14"/>
          <w:szCs w:val="14"/>
        </w:rPr>
      </w:pPr>
    </w:p>
    <w:p w14:paraId="6E47B0FE" w14:textId="1BFCC3C8" w:rsidR="00D95586" w:rsidRPr="000C0F80" w:rsidRDefault="00D95586" w:rsidP="00D95586">
      <w:pPr>
        <w:pStyle w:val="FootnoteText"/>
        <w:tabs>
          <w:tab w:val="left" w:pos="284"/>
        </w:tabs>
        <w:spacing w:line="240" w:lineRule="atLeast"/>
        <w:ind w:left="1418" w:hanging="284"/>
        <w:rPr>
          <w:sz w:val="14"/>
          <w:szCs w:val="14"/>
        </w:rPr>
      </w:pPr>
      <w:r w:rsidRPr="000C0F80">
        <w:rPr>
          <w:rStyle w:val="FootnoteReference"/>
          <w:sz w:val="14"/>
          <w:szCs w:val="14"/>
        </w:rPr>
        <w:t>1)</w:t>
      </w:r>
      <w:r w:rsidRPr="000C0F80">
        <w:rPr>
          <w:sz w:val="14"/>
          <w:szCs w:val="14"/>
          <w:vertAlign w:val="superscript"/>
        </w:rPr>
        <w:t xml:space="preserve"> </w:t>
      </w:r>
      <w:r w:rsidRPr="000C0F80">
        <w:rPr>
          <w:sz w:val="14"/>
          <w:szCs w:val="14"/>
        </w:rPr>
        <w:tab/>
        <w:t>Identisch mit EN ISO 16852:2016.</w:t>
      </w:r>
    </w:p>
    <w:p w14:paraId="49481EEC" w14:textId="77777777" w:rsidR="00D95586" w:rsidRPr="000C0F80" w:rsidRDefault="00D95586" w:rsidP="00D95586">
      <w:pPr>
        <w:pStyle w:val="FootnoteText"/>
        <w:tabs>
          <w:tab w:val="left" w:pos="284"/>
        </w:tabs>
        <w:spacing w:line="240" w:lineRule="atLeast"/>
        <w:ind w:left="1418" w:hanging="284"/>
        <w:rPr>
          <w:sz w:val="14"/>
          <w:szCs w:val="14"/>
        </w:rPr>
      </w:pPr>
      <w:r w:rsidRPr="000C0F80">
        <w:rPr>
          <w:sz w:val="14"/>
          <w:szCs w:val="14"/>
          <w:vertAlign w:val="superscript"/>
        </w:rPr>
        <w:t>3)</w:t>
      </w:r>
      <w:r w:rsidRPr="000C0F80">
        <w:rPr>
          <w:sz w:val="14"/>
          <w:szCs w:val="14"/>
        </w:rPr>
        <w:t xml:space="preserve"> </w:t>
      </w:r>
      <w:r w:rsidRPr="000C0F80">
        <w:rPr>
          <w:sz w:val="14"/>
          <w:szCs w:val="14"/>
        </w:rPr>
        <w:tab/>
        <w:t>Amtsblatt der Europäischen Union Nr. L 96 vom 29. März 2014, S. 309.</w:t>
      </w:r>
    </w:p>
    <w:p w14:paraId="6ED7128E" w14:textId="77777777" w:rsidR="00D95586" w:rsidRPr="000C0F80" w:rsidRDefault="00D95586" w:rsidP="00D95586">
      <w:pPr>
        <w:pStyle w:val="FootnoteText"/>
        <w:tabs>
          <w:tab w:val="left" w:pos="284"/>
        </w:tabs>
        <w:spacing w:line="240" w:lineRule="atLeast"/>
        <w:ind w:left="1418" w:hanging="284"/>
        <w:rPr>
          <w:sz w:val="14"/>
          <w:szCs w:val="14"/>
        </w:rPr>
      </w:pPr>
      <w:r w:rsidRPr="000C0F80">
        <w:rPr>
          <w:sz w:val="14"/>
          <w:szCs w:val="14"/>
          <w:vertAlign w:val="superscript"/>
        </w:rPr>
        <w:t>4)</w:t>
      </w:r>
      <w:r w:rsidRPr="000C0F80">
        <w:rPr>
          <w:sz w:val="14"/>
          <w:szCs w:val="14"/>
        </w:rPr>
        <w:tab/>
        <w:t>http://iecex.com/rules</w:t>
      </w:r>
    </w:p>
    <w:p w14:paraId="00D389A9" w14:textId="4BEFD516" w:rsidR="00D95586" w:rsidRPr="000C0F80" w:rsidRDefault="00D95586" w:rsidP="00D95586">
      <w:pPr>
        <w:pStyle w:val="FootnoteText"/>
        <w:tabs>
          <w:tab w:val="left" w:pos="284"/>
        </w:tabs>
        <w:spacing w:line="240" w:lineRule="atLeast"/>
        <w:ind w:left="1418" w:hanging="284"/>
        <w:rPr>
          <w:sz w:val="14"/>
          <w:szCs w:val="14"/>
          <w:lang w:val="en-US"/>
        </w:rPr>
      </w:pPr>
      <w:r w:rsidRPr="000C0F80">
        <w:rPr>
          <w:sz w:val="14"/>
          <w:szCs w:val="14"/>
          <w:vertAlign w:val="superscript"/>
          <w:lang w:val="en-US"/>
        </w:rPr>
        <w:t>5)</w:t>
      </w:r>
      <w:r w:rsidRPr="000C0F80">
        <w:rPr>
          <w:sz w:val="14"/>
          <w:szCs w:val="14"/>
          <w:lang w:val="en-US"/>
        </w:rPr>
        <w:t xml:space="preserve"> </w:t>
      </w:r>
      <w:r w:rsidRPr="000C0F80">
        <w:rPr>
          <w:sz w:val="14"/>
          <w:szCs w:val="14"/>
          <w:lang w:val="en-US"/>
        </w:rPr>
        <w:tab/>
        <w:t>A Common Regulatory Framework for Equipment Used in Environments with an Explosive Atmosphere, United Nations 2011.</w:t>
      </w:r>
    </w:p>
    <w:p w14:paraId="28DE1E00" w14:textId="74268A73" w:rsidR="00C927A2" w:rsidRPr="00D95586" w:rsidRDefault="00C927A2">
      <w:pPr>
        <w:widowControl/>
        <w:overflowPunct/>
        <w:autoSpaceDE/>
        <w:autoSpaceDN/>
        <w:adjustRightInd/>
        <w:ind w:left="0" w:firstLine="0"/>
        <w:jc w:val="left"/>
        <w:textAlignment w:val="auto"/>
        <w:rPr>
          <w:b/>
          <w:sz w:val="28"/>
          <w:lang w:val="en-US"/>
        </w:rPr>
      </w:pPr>
      <w:r w:rsidRPr="00D95586">
        <w:rPr>
          <w:b/>
          <w:sz w:val="28"/>
          <w:lang w:val="en-US"/>
        </w:rPr>
        <w:br w:type="page"/>
      </w:r>
    </w:p>
    <w:p w14:paraId="2A746CCD" w14:textId="72096D2C" w:rsidR="002646A7" w:rsidRPr="00D95586" w:rsidRDefault="0023190E" w:rsidP="00C927A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D95586">
        <w:rPr>
          <w:b/>
          <w:sz w:val="28"/>
          <w:lang w:val="en-US"/>
        </w:rPr>
        <w:lastRenderedPageBreak/>
        <w:tab/>
      </w:r>
      <w:r w:rsidR="002646A7" w:rsidRPr="00D95586">
        <w:rPr>
          <w:b/>
          <w:sz w:val="28"/>
        </w:rPr>
        <w:t>II.</w:t>
      </w:r>
      <w:r w:rsidR="002646A7" w:rsidRPr="00D95586">
        <w:rPr>
          <w:b/>
          <w:sz w:val="28"/>
        </w:rPr>
        <w:tab/>
      </w:r>
      <w:r w:rsidR="006D7590" w:rsidRPr="00D95586">
        <w:rPr>
          <w:b/>
          <w:sz w:val="28"/>
        </w:rPr>
        <w:t xml:space="preserve">Widerspruch zwischen Abschnitt 1.2.1 und Absatz 9.3.2.22.4 </w:t>
      </w:r>
      <w:r w:rsidR="00564644" w:rsidRPr="00D95586">
        <w:rPr>
          <w:b/>
          <w:sz w:val="28"/>
        </w:rPr>
        <w:t xml:space="preserve">Buchstabe </w:t>
      </w:r>
      <w:r w:rsidR="006D7590" w:rsidRPr="00D95586">
        <w:rPr>
          <w:b/>
          <w:sz w:val="28"/>
        </w:rPr>
        <w:t>b</w:t>
      </w:r>
    </w:p>
    <w:p w14:paraId="4F7EC0AD" w14:textId="76DE78BA" w:rsidR="002646A7" w:rsidRPr="00D95586" w:rsidRDefault="002646A7" w:rsidP="00966A2B">
      <w:pPr>
        <w:widowControl/>
        <w:tabs>
          <w:tab w:val="left" w:pos="1701"/>
        </w:tabs>
        <w:suppressAutoHyphens/>
        <w:overflowPunct/>
        <w:autoSpaceDE/>
        <w:autoSpaceDN/>
        <w:adjustRightInd/>
        <w:spacing w:after="120" w:line="240" w:lineRule="atLeast"/>
        <w:ind w:right="1134" w:firstLine="0"/>
        <w:textAlignment w:val="auto"/>
      </w:pPr>
      <w:r w:rsidRPr="00D95586">
        <w:t>1.</w:t>
      </w:r>
      <w:r w:rsidRPr="00D95586">
        <w:tab/>
      </w:r>
      <w:r w:rsidR="004B2F5A" w:rsidRPr="00D95586">
        <w:t xml:space="preserve">Die Bestimmungen in Unterabschnitt 9.3.2.22.4 Buchstabe b </w:t>
      </w:r>
      <w:r w:rsidR="00966A2B" w:rsidRPr="00D95586">
        <w:t>lauten</w:t>
      </w:r>
      <w:r w:rsidR="00966A2B" w:rsidRPr="00D95586">
        <w:rPr>
          <w:sz w:val="18"/>
          <w:vertAlign w:val="superscript"/>
        </w:rPr>
        <w:footnoteReference w:id="4"/>
      </w:r>
      <w:r w:rsidR="00966A2B" w:rsidRPr="00D95586">
        <w:t>:</w:t>
      </w:r>
    </w:p>
    <w:p w14:paraId="6BDB301D" w14:textId="6C27DEE2" w:rsidR="00965EB3" w:rsidRPr="00D95586" w:rsidRDefault="00965EB3" w:rsidP="00965EB3">
      <w:pPr>
        <w:tabs>
          <w:tab w:val="left" w:pos="1134"/>
          <w:tab w:val="left" w:pos="1418"/>
        </w:tabs>
        <w:spacing w:before="60" w:line="240" w:lineRule="atLeast"/>
        <w:ind w:left="1418" w:right="1134" w:hanging="284"/>
      </w:pPr>
      <w:bookmarkStart w:id="2" w:name="_Hlk104798346"/>
      <w:r w:rsidRPr="00D95586">
        <w:t>„b)</w:t>
      </w:r>
      <w:r w:rsidRPr="00D95586">
        <w:tab/>
        <w:t>Wenn die Schiffsstoffliste nach Absatz 1.16.1.2.5 Stoffe enthalten soll, für die nach Unterabschnitt 3.2.3.2 Tabelle C Spalte (17) Explosionsschutz gefordert ist, muss</w:t>
      </w:r>
    </w:p>
    <w:p w14:paraId="52D1B076" w14:textId="77777777" w:rsidR="00965EB3" w:rsidRPr="00D95586" w:rsidRDefault="00965EB3" w:rsidP="00965EB3">
      <w:pPr>
        <w:tabs>
          <w:tab w:val="left" w:pos="1418"/>
        </w:tabs>
        <w:spacing w:before="60" w:line="240" w:lineRule="atLeast"/>
        <w:ind w:left="1701" w:right="1134" w:hanging="284"/>
        <w:jc w:val="left"/>
      </w:pPr>
      <w:r w:rsidRPr="00D95586">
        <w:t>-</w:t>
      </w:r>
      <w:r w:rsidRPr="00D95586">
        <w:tab/>
        <w:t>die Gasabfuhrleitung an der Einführung in jeden Ladetank sowie das Unterdruckventil mit einer detonationssicheren Flammendurchschlagsicherung versehen sein, und</w:t>
      </w:r>
    </w:p>
    <w:p w14:paraId="516B764F" w14:textId="6A537C33" w:rsidR="00965EB3" w:rsidRPr="00D95586" w:rsidRDefault="00965EB3" w:rsidP="00965EB3">
      <w:pPr>
        <w:tabs>
          <w:tab w:val="left" w:pos="1134"/>
        </w:tabs>
        <w:spacing w:before="60" w:line="240" w:lineRule="atLeast"/>
        <w:ind w:left="1701" w:right="1134" w:hanging="284"/>
        <w:jc w:val="left"/>
      </w:pPr>
      <w:r w:rsidRPr="00D95586">
        <w:t>-</w:t>
      </w:r>
      <w:r w:rsidRPr="00D95586">
        <w:tab/>
        <w:t>die Vorrichtung zum gefahrlosen Entspannen der Ladetanks deflagrations- und dauerbrandsicher ausgeführt sein.“</w:t>
      </w:r>
    </w:p>
    <w:bookmarkEnd w:id="2"/>
    <w:p w14:paraId="4783D101" w14:textId="1DCFBF97" w:rsidR="002646A7" w:rsidRPr="00D95586" w:rsidRDefault="002646A7" w:rsidP="00513805">
      <w:pPr>
        <w:widowControl/>
        <w:tabs>
          <w:tab w:val="left" w:pos="1701"/>
        </w:tabs>
        <w:suppressAutoHyphens/>
        <w:overflowPunct/>
        <w:autoSpaceDE/>
        <w:autoSpaceDN/>
        <w:adjustRightInd/>
        <w:spacing w:before="120" w:after="120" w:line="240" w:lineRule="atLeast"/>
        <w:ind w:right="1134" w:firstLine="0"/>
        <w:textAlignment w:val="auto"/>
      </w:pPr>
      <w:r w:rsidRPr="00D95586">
        <w:t>2.</w:t>
      </w:r>
      <w:r w:rsidRPr="00D95586">
        <w:tab/>
      </w:r>
      <w:r w:rsidR="009F1757" w:rsidRPr="00D95586">
        <w:t xml:space="preserve">In der Begriffsbestimmung für </w:t>
      </w:r>
      <w:r w:rsidR="00040512" w:rsidRPr="00D95586">
        <w:t>„</w:t>
      </w:r>
      <w:r w:rsidR="009D37C6" w:rsidRPr="00D95586">
        <w:t>Unterdruck</w:t>
      </w:r>
      <w:r w:rsidR="009F1757" w:rsidRPr="00D95586">
        <w:t>ventil</w:t>
      </w:r>
      <w:r w:rsidR="00040512" w:rsidRPr="00D95586">
        <w:t>“</w:t>
      </w:r>
      <w:r w:rsidR="009F1757" w:rsidRPr="00D95586">
        <w:t xml:space="preserve"> heißt es jedoch, dass das </w:t>
      </w:r>
      <w:r w:rsidR="007B6156" w:rsidRPr="00D95586">
        <w:t>Unterdruck</w:t>
      </w:r>
      <w:r w:rsidR="009F1757" w:rsidRPr="00D95586">
        <w:t>ventil (</w:t>
      </w:r>
      <w:r w:rsidR="00A60FC3" w:rsidRPr="00D95586">
        <w:t>lediglich</w:t>
      </w:r>
      <w:r w:rsidR="009F1757" w:rsidRPr="00D95586">
        <w:t xml:space="preserve">) </w:t>
      </w:r>
      <w:r w:rsidR="00040512" w:rsidRPr="00D95586">
        <w:t>„</w:t>
      </w:r>
      <w:r w:rsidR="009F1757" w:rsidRPr="00D95586">
        <w:t>deflagrationssicher</w:t>
      </w:r>
      <w:r w:rsidR="00040512" w:rsidRPr="00D95586">
        <w:t>“</w:t>
      </w:r>
      <w:r w:rsidR="009F1757" w:rsidRPr="00D95586">
        <w:t xml:space="preserve"> sein muss, wenn Explosionsschutz </w:t>
      </w:r>
      <w:r w:rsidR="002123DC" w:rsidRPr="00D95586">
        <w:t>gefordert</w:t>
      </w:r>
      <w:r w:rsidR="009F1757" w:rsidRPr="00D95586">
        <w:t xml:space="preserve"> ist.</w:t>
      </w:r>
    </w:p>
    <w:p w14:paraId="26F5E3D7" w14:textId="0338937F" w:rsidR="002646A7" w:rsidRPr="00D95586" w:rsidRDefault="002646A7" w:rsidP="00922ADD">
      <w:pPr>
        <w:widowControl/>
        <w:tabs>
          <w:tab w:val="left" w:pos="1701"/>
        </w:tabs>
        <w:suppressAutoHyphens/>
        <w:overflowPunct/>
        <w:autoSpaceDE/>
        <w:autoSpaceDN/>
        <w:adjustRightInd/>
        <w:spacing w:after="120" w:line="240" w:lineRule="atLeast"/>
        <w:ind w:right="1134" w:firstLine="0"/>
        <w:textAlignment w:val="auto"/>
      </w:pPr>
      <w:r w:rsidRPr="00D95586">
        <w:t>3.</w:t>
      </w:r>
      <w:r w:rsidRPr="00D95586">
        <w:tab/>
      </w:r>
      <w:r w:rsidR="001F18C4" w:rsidRPr="00D95586">
        <w:t xml:space="preserve">Zwischen der Begriffsbestimmung in Abschnitt 1.2.1 und der Vorschrift in Absatz 9.3.2.22.4 </w:t>
      </w:r>
      <w:r w:rsidR="00D34FAC" w:rsidRPr="00D95586">
        <w:t xml:space="preserve">Buchstabe </w:t>
      </w:r>
      <w:r w:rsidR="001F18C4" w:rsidRPr="00D95586">
        <w:t>b besteht offenbar ein Widerspruch:</w:t>
      </w:r>
    </w:p>
    <w:p w14:paraId="423265BA" w14:textId="24DE2D05" w:rsidR="002646A7" w:rsidRPr="00D95586" w:rsidRDefault="0033401C" w:rsidP="00721176">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pPr>
      <w:r w:rsidRPr="00D95586">
        <w:t xml:space="preserve">Die Begriffsbestimmung in Abschnitt 1.2.1 sieht eine </w:t>
      </w:r>
      <w:r w:rsidR="0099628D" w:rsidRPr="00D95586">
        <w:t xml:space="preserve">deflagrationssichere </w:t>
      </w:r>
      <w:r w:rsidRPr="00D95586">
        <w:t>Flammendurchschlagsicherung vor,</w:t>
      </w:r>
    </w:p>
    <w:p w14:paraId="22757A5F" w14:textId="7FAAD1E2" w:rsidR="002646A7" w:rsidRPr="00D95586" w:rsidRDefault="009D10AB" w:rsidP="00244999">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pPr>
      <w:r w:rsidRPr="00D95586">
        <w:t xml:space="preserve">in </w:t>
      </w:r>
      <w:r w:rsidR="00721176" w:rsidRPr="00D95586">
        <w:t xml:space="preserve">Unterabschnitt 9.3.2.22.4 Buchstabe b </w:t>
      </w:r>
      <w:r w:rsidRPr="00D95586">
        <w:t>ist</w:t>
      </w:r>
      <w:r w:rsidR="00721176" w:rsidRPr="00D95586">
        <w:t xml:space="preserve"> eine </w:t>
      </w:r>
      <w:r w:rsidR="00D46E56" w:rsidRPr="00D95586">
        <w:t xml:space="preserve">detonationssichere </w:t>
      </w:r>
      <w:r w:rsidR="00721176" w:rsidRPr="00D95586">
        <w:t>Flammendurchschlagsicherung</w:t>
      </w:r>
      <w:r w:rsidRPr="00D95586">
        <w:t xml:space="preserve"> vorgeschrieben</w:t>
      </w:r>
      <w:r w:rsidR="00721176" w:rsidRPr="00D95586">
        <w:t>.</w:t>
      </w:r>
    </w:p>
    <w:p w14:paraId="0FE45446" w14:textId="364ADA6E" w:rsidR="002646A7" w:rsidRPr="00D95586" w:rsidRDefault="002646A7" w:rsidP="00244999">
      <w:pPr>
        <w:widowControl/>
        <w:tabs>
          <w:tab w:val="left" w:pos="1701"/>
        </w:tabs>
        <w:suppressAutoHyphens/>
        <w:overflowPunct/>
        <w:autoSpaceDE/>
        <w:autoSpaceDN/>
        <w:adjustRightInd/>
        <w:spacing w:after="120" w:line="240" w:lineRule="atLeast"/>
        <w:ind w:right="1134" w:firstLine="0"/>
        <w:textAlignment w:val="auto"/>
      </w:pPr>
      <w:r w:rsidRPr="00D95586">
        <w:t>4.</w:t>
      </w:r>
      <w:r w:rsidRPr="00D95586">
        <w:tab/>
      </w:r>
      <w:r w:rsidR="00244999" w:rsidRPr="00D95586">
        <w:t>Deflagrationssicherungen bieten jedoch keine Sicherheit gegen Detonationen.</w:t>
      </w:r>
    </w:p>
    <w:p w14:paraId="4581B907" w14:textId="6C6F5BAA" w:rsidR="002646A7" w:rsidRPr="00D95586" w:rsidRDefault="001F102F" w:rsidP="00965EB3">
      <w:pPr>
        <w:widowControl/>
        <w:tabs>
          <w:tab w:val="left" w:pos="1701"/>
        </w:tabs>
        <w:suppressAutoHyphens/>
        <w:overflowPunct/>
        <w:autoSpaceDE/>
        <w:autoSpaceDN/>
        <w:adjustRightInd/>
        <w:spacing w:after="120" w:line="240" w:lineRule="atLeast"/>
        <w:ind w:right="1134" w:firstLine="0"/>
        <w:textAlignment w:val="auto"/>
        <w:rPr>
          <w:b/>
          <w:bCs/>
          <w:u w:val="single"/>
        </w:rPr>
      </w:pPr>
      <w:r w:rsidRPr="00D95586">
        <w:rPr>
          <w:b/>
          <w:bCs/>
          <w:u w:val="single"/>
        </w:rPr>
        <w:t>Vorschlag</w:t>
      </w:r>
      <w:r w:rsidR="002646A7" w:rsidRPr="00D95586">
        <w:rPr>
          <w:b/>
          <w:bCs/>
          <w:u w:val="single"/>
        </w:rPr>
        <w:t xml:space="preserve"> 1</w:t>
      </w:r>
    </w:p>
    <w:p w14:paraId="1CA412D8" w14:textId="5A732645" w:rsidR="002646A7" w:rsidRPr="00D95586" w:rsidRDefault="002646A7" w:rsidP="004C5092">
      <w:pPr>
        <w:widowControl/>
        <w:tabs>
          <w:tab w:val="left" w:pos="1701"/>
        </w:tabs>
        <w:suppressAutoHyphens/>
        <w:overflowPunct/>
        <w:autoSpaceDE/>
        <w:autoSpaceDN/>
        <w:adjustRightInd/>
        <w:spacing w:after="120" w:line="240" w:lineRule="atLeast"/>
        <w:ind w:right="1134" w:firstLine="0"/>
        <w:textAlignment w:val="auto"/>
      </w:pPr>
      <w:r w:rsidRPr="00D95586">
        <w:t>5.</w:t>
      </w:r>
      <w:r w:rsidRPr="00D95586">
        <w:tab/>
      </w:r>
      <w:r w:rsidR="00244999" w:rsidRPr="00D95586">
        <w:t>Unterabschnitt 9.3.2.22.4 Buchstabe b erhält folgenden Wortlaut (neuer Text ist fett gedruckt, gestrichener Text ist durchgestrichen):</w:t>
      </w:r>
    </w:p>
    <w:p w14:paraId="09050FF4" w14:textId="77777777" w:rsidR="003A0F5B" w:rsidRPr="00D95586" w:rsidRDefault="003A0F5B" w:rsidP="003A0F5B">
      <w:pPr>
        <w:tabs>
          <w:tab w:val="left" w:pos="1134"/>
          <w:tab w:val="left" w:pos="1418"/>
        </w:tabs>
        <w:spacing w:before="60" w:line="240" w:lineRule="atLeast"/>
        <w:ind w:left="1418" w:right="1134" w:hanging="284"/>
      </w:pPr>
      <w:r w:rsidRPr="00D95586">
        <w:t>„b)</w:t>
      </w:r>
      <w:r w:rsidRPr="00D95586">
        <w:tab/>
        <w:t>Wenn die Schiffsstoffliste nach Absatz 1.16.1.2.5 Stoffe enthalten soll, für die nach Unterabschnitt 3.2.3.2 Tabelle C Spalte (17) Explosionsschutz gefordert ist, muss</w:t>
      </w:r>
    </w:p>
    <w:p w14:paraId="2241AB21" w14:textId="29D2DDA5" w:rsidR="003A0F5B" w:rsidRPr="00D95586" w:rsidRDefault="003A0F5B" w:rsidP="003A0F5B">
      <w:pPr>
        <w:tabs>
          <w:tab w:val="left" w:pos="1418"/>
        </w:tabs>
        <w:spacing w:before="60" w:line="240" w:lineRule="atLeast"/>
        <w:ind w:left="1701" w:right="1134" w:hanging="284"/>
        <w:jc w:val="left"/>
      </w:pPr>
      <w:r w:rsidRPr="00D95586">
        <w:t>-</w:t>
      </w:r>
      <w:r w:rsidRPr="00D95586">
        <w:tab/>
        <w:t xml:space="preserve">die Gasabfuhrleitung an der Einführung in jeden Ladetank </w:t>
      </w:r>
      <w:r w:rsidRPr="00D95586">
        <w:rPr>
          <w:strike/>
        </w:rPr>
        <w:t>sowie das Unterdruckventil</w:t>
      </w:r>
      <w:r w:rsidRPr="00D95586">
        <w:t xml:space="preserve"> mit einer detonationssicheren Flammendurchschlagsicherung </w:t>
      </w:r>
      <w:r w:rsidR="004C5092" w:rsidRPr="00D95586">
        <w:rPr>
          <w:b/>
          <w:bCs/>
          <w:u w:val="single"/>
        </w:rPr>
        <w:t>u</w:t>
      </w:r>
      <w:r w:rsidRPr="00D95586">
        <w:rPr>
          <w:b/>
          <w:bCs/>
          <w:u w:val="single"/>
        </w:rPr>
        <w:t xml:space="preserve">nd </w:t>
      </w:r>
      <w:r w:rsidR="004C5092" w:rsidRPr="00D95586">
        <w:rPr>
          <w:b/>
          <w:bCs/>
          <w:u w:val="single"/>
        </w:rPr>
        <w:t>das</w:t>
      </w:r>
      <w:r w:rsidRPr="00D95586">
        <w:rPr>
          <w:b/>
          <w:bCs/>
          <w:u w:val="single"/>
        </w:rPr>
        <w:t xml:space="preserve"> </w:t>
      </w:r>
      <w:r w:rsidR="004C5092" w:rsidRPr="00D95586">
        <w:rPr>
          <w:b/>
          <w:bCs/>
          <w:u w:val="single"/>
        </w:rPr>
        <w:t>Unterdruck</w:t>
      </w:r>
      <w:r w:rsidRPr="00D95586">
        <w:rPr>
          <w:b/>
          <w:bCs/>
          <w:u w:val="single"/>
        </w:rPr>
        <w:t>v</w:t>
      </w:r>
      <w:r w:rsidR="004C5092" w:rsidRPr="00D95586">
        <w:rPr>
          <w:b/>
          <w:bCs/>
          <w:u w:val="single"/>
        </w:rPr>
        <w:t>enti</w:t>
      </w:r>
      <w:r w:rsidRPr="00D95586">
        <w:rPr>
          <w:b/>
          <w:bCs/>
          <w:u w:val="single"/>
        </w:rPr>
        <w:t xml:space="preserve">l </w:t>
      </w:r>
      <w:r w:rsidR="004C5092" w:rsidRPr="00D95586">
        <w:rPr>
          <w:b/>
          <w:bCs/>
          <w:u w:val="single"/>
        </w:rPr>
        <w:t>mit einer deflagrationssicheren</w:t>
      </w:r>
      <w:r w:rsidRPr="00D95586">
        <w:rPr>
          <w:b/>
          <w:bCs/>
          <w:u w:val="single"/>
        </w:rPr>
        <w:t xml:space="preserve"> </w:t>
      </w:r>
      <w:r w:rsidR="004C5092" w:rsidRPr="00D95586">
        <w:rPr>
          <w:b/>
          <w:bCs/>
          <w:u w:val="single"/>
        </w:rPr>
        <w:t>Fl</w:t>
      </w:r>
      <w:r w:rsidRPr="00D95586">
        <w:rPr>
          <w:b/>
          <w:bCs/>
          <w:u w:val="single"/>
        </w:rPr>
        <w:t>am</w:t>
      </w:r>
      <w:r w:rsidR="004C5092" w:rsidRPr="00D95586">
        <w:rPr>
          <w:b/>
          <w:bCs/>
          <w:u w:val="single"/>
        </w:rPr>
        <w:t>m</w:t>
      </w:r>
      <w:r w:rsidRPr="00D95586">
        <w:rPr>
          <w:b/>
          <w:bCs/>
          <w:u w:val="single"/>
        </w:rPr>
        <w:t>e</w:t>
      </w:r>
      <w:r w:rsidR="004C5092" w:rsidRPr="00D95586">
        <w:rPr>
          <w:b/>
          <w:bCs/>
          <w:u w:val="single"/>
        </w:rPr>
        <w:t xml:space="preserve">ndurchschlagsicherung </w:t>
      </w:r>
      <w:r w:rsidR="004C5092" w:rsidRPr="00D95586">
        <w:t>versehen sein</w:t>
      </w:r>
      <w:r w:rsidRPr="00D95586">
        <w:rPr>
          <w:b/>
          <w:bCs/>
          <w:color w:val="231F20"/>
          <w:u w:val="single"/>
        </w:rPr>
        <w:t>;</w:t>
      </w:r>
      <w:r w:rsidRPr="00D95586">
        <w:rPr>
          <w:color w:val="231F20"/>
        </w:rPr>
        <w:t xml:space="preserve"> </w:t>
      </w:r>
      <w:r w:rsidRPr="00D95586">
        <w:t>und</w:t>
      </w:r>
    </w:p>
    <w:p w14:paraId="4C4EE043" w14:textId="08FE4AED" w:rsidR="003A0F5B" w:rsidRPr="00D95586" w:rsidRDefault="003A0F5B" w:rsidP="003A0F5B">
      <w:pPr>
        <w:tabs>
          <w:tab w:val="left" w:pos="1134"/>
        </w:tabs>
        <w:spacing w:before="60" w:line="240" w:lineRule="atLeast"/>
        <w:ind w:left="1701" w:right="1134" w:hanging="284"/>
        <w:jc w:val="left"/>
      </w:pPr>
      <w:r w:rsidRPr="00D95586">
        <w:t>-</w:t>
      </w:r>
      <w:r w:rsidRPr="00D95586">
        <w:tab/>
        <w:t>die Vorrichtung zum gefahrlosen Entspannen der Ladetanks deflagrations- und dauerbrandsicher ausgeführt sein.“</w:t>
      </w:r>
    </w:p>
    <w:p w14:paraId="62F32FA3" w14:textId="38D7D163" w:rsidR="002646A7" w:rsidRPr="00D95586" w:rsidRDefault="002646A7" w:rsidP="00741CBF">
      <w:pPr>
        <w:widowControl/>
        <w:tabs>
          <w:tab w:val="left" w:pos="1701"/>
        </w:tabs>
        <w:suppressAutoHyphens/>
        <w:overflowPunct/>
        <w:autoSpaceDE/>
        <w:autoSpaceDN/>
        <w:adjustRightInd/>
        <w:spacing w:after="120" w:line="240" w:lineRule="atLeast"/>
        <w:ind w:right="1134" w:firstLine="0"/>
        <w:textAlignment w:val="auto"/>
      </w:pPr>
      <w:r w:rsidRPr="00D95586">
        <w:t>6.</w:t>
      </w:r>
      <w:r w:rsidRPr="00D95586">
        <w:tab/>
      </w:r>
      <w:r w:rsidR="00741CBF" w:rsidRPr="00D95586">
        <w:t>Eine Übergangsvorschrift ist für diese Änderung nicht erforderlich.</w:t>
      </w:r>
    </w:p>
    <w:p w14:paraId="11166B49" w14:textId="77777777" w:rsidR="002B2D36" w:rsidRPr="00D95586" w:rsidRDefault="002B2D36">
      <w:pPr>
        <w:widowControl/>
        <w:overflowPunct/>
        <w:autoSpaceDE/>
        <w:autoSpaceDN/>
        <w:adjustRightInd/>
        <w:ind w:left="0" w:firstLine="0"/>
        <w:jc w:val="left"/>
        <w:textAlignment w:val="auto"/>
        <w:rPr>
          <w:b/>
          <w:sz w:val="28"/>
        </w:rPr>
      </w:pPr>
      <w:r w:rsidRPr="00D95586">
        <w:rPr>
          <w:b/>
          <w:sz w:val="28"/>
        </w:rPr>
        <w:br w:type="page"/>
      </w:r>
    </w:p>
    <w:p w14:paraId="26777B66" w14:textId="4FDA9F19" w:rsidR="002646A7" w:rsidRPr="00D95586" w:rsidRDefault="002646A7" w:rsidP="00965EB3">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D95586">
        <w:rPr>
          <w:b/>
          <w:sz w:val="28"/>
        </w:rPr>
        <w:lastRenderedPageBreak/>
        <w:tab/>
        <w:t>III.</w:t>
      </w:r>
      <w:r w:rsidRPr="00D95586">
        <w:rPr>
          <w:b/>
          <w:sz w:val="28"/>
        </w:rPr>
        <w:tab/>
      </w:r>
      <w:r w:rsidR="00965EB3" w:rsidRPr="00D95586">
        <w:rPr>
          <w:b/>
          <w:sz w:val="28"/>
        </w:rPr>
        <w:t>Autonome Schutzsysteme</w:t>
      </w:r>
      <w:r w:rsidRPr="00D95586">
        <w:rPr>
          <w:b/>
          <w:sz w:val="18"/>
          <w:vertAlign w:val="superscript"/>
          <w:lang w:val="en-GB"/>
        </w:rPr>
        <w:footnoteReference w:id="5"/>
      </w:r>
    </w:p>
    <w:p w14:paraId="50C5C335" w14:textId="73C68548" w:rsidR="002646A7" w:rsidRPr="00D95586" w:rsidRDefault="002646A7" w:rsidP="00BC6E67">
      <w:pPr>
        <w:widowControl/>
        <w:tabs>
          <w:tab w:val="left" w:pos="1701"/>
        </w:tabs>
        <w:suppressAutoHyphens/>
        <w:overflowPunct/>
        <w:autoSpaceDE/>
        <w:autoSpaceDN/>
        <w:adjustRightInd/>
        <w:spacing w:after="120" w:line="240" w:lineRule="atLeast"/>
        <w:ind w:right="1134" w:firstLine="0"/>
        <w:textAlignment w:val="auto"/>
        <w:rPr>
          <w:i/>
          <w:iCs/>
        </w:rPr>
      </w:pPr>
      <w:r w:rsidRPr="00D95586">
        <w:t>7.</w:t>
      </w:r>
      <w:r w:rsidRPr="00D95586">
        <w:tab/>
      </w:r>
      <w:r w:rsidR="003B3B2B" w:rsidRPr="00D95586">
        <w:t xml:space="preserve">Die Begriffsbestimmung für „autonome Schutzsysteme“ in Abschnitt 1.2.1 </w:t>
      </w:r>
      <w:r w:rsidR="001E3AA9" w:rsidRPr="00D95586">
        <w:t>enthält eine</w:t>
      </w:r>
      <w:r w:rsidR="003B3B2B" w:rsidRPr="00D95586">
        <w:t xml:space="preserve"> </w:t>
      </w:r>
      <w:r w:rsidR="00512D60" w:rsidRPr="00D95586">
        <w:t>nicht erschöpfend</w:t>
      </w:r>
      <w:r w:rsidR="001E3AA9" w:rsidRPr="00D95586">
        <w:t>e Liste solcher Vorrichtungen</w:t>
      </w:r>
      <w:r w:rsidR="003B3B2B" w:rsidRPr="00D95586">
        <w:t>:</w:t>
      </w:r>
    </w:p>
    <w:p w14:paraId="4DDEA936" w14:textId="2D5FE372" w:rsidR="002646A7" w:rsidRPr="00D95586" w:rsidRDefault="00BC6E67" w:rsidP="00BC6E67">
      <w:pPr>
        <w:widowControl/>
        <w:tabs>
          <w:tab w:val="left" w:pos="1701"/>
        </w:tabs>
        <w:suppressAutoHyphens/>
        <w:overflowPunct/>
        <w:autoSpaceDE/>
        <w:autoSpaceDN/>
        <w:adjustRightInd/>
        <w:spacing w:after="120" w:line="240" w:lineRule="atLeast"/>
        <w:ind w:right="1134" w:firstLine="0"/>
        <w:textAlignment w:val="auto"/>
        <w:rPr>
          <w:lang w:val="en-US"/>
        </w:rPr>
      </w:pPr>
      <w:r w:rsidRPr="00D95586">
        <w:t>„… Dazu zählen:</w:t>
      </w:r>
      <w:r w:rsidR="002646A7" w:rsidRPr="00D95586">
        <w:rPr>
          <w:lang w:val="en-US"/>
        </w:rPr>
        <w:t xml:space="preserve"> </w:t>
      </w:r>
    </w:p>
    <w:p w14:paraId="720E581A" w14:textId="2518B833" w:rsidR="002646A7" w:rsidRPr="00D95586" w:rsidRDefault="00BC6E67" w:rsidP="00BC6E67">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pPr>
      <w:r w:rsidRPr="00D95586">
        <w:t>Flammendurchschlagsicherungen,</w:t>
      </w:r>
    </w:p>
    <w:p w14:paraId="2B56D555" w14:textId="224DBF2C" w:rsidR="002646A7" w:rsidRPr="00D95586" w:rsidRDefault="00BC6E67" w:rsidP="00BC6E67">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rPr>
          <w:lang w:val="en-GB"/>
        </w:rPr>
      </w:pPr>
      <w:r w:rsidRPr="00D95586">
        <w:t>Hochgeschwindigkeitsventile,</w:t>
      </w:r>
    </w:p>
    <w:p w14:paraId="3D42E955" w14:textId="248FF3B2" w:rsidR="002646A7" w:rsidRPr="00D95586" w:rsidRDefault="00BC6E67" w:rsidP="00BC6E67">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rPr>
          <w:lang w:val="en-GB"/>
        </w:rPr>
      </w:pPr>
      <w:r w:rsidRPr="00D95586">
        <w:t>deflagrationssichere Unterdruckventile</w:t>
      </w:r>
      <w:r w:rsidR="008658D4" w:rsidRPr="00D95586">
        <w:t xml:space="preserve"> [EN „vacuum valves“]</w:t>
      </w:r>
    </w:p>
    <w:p w14:paraId="4AFE3859" w14:textId="1CA4B85E" w:rsidR="002646A7" w:rsidRPr="00D95586" w:rsidRDefault="00BC6E67" w:rsidP="00134432">
      <w:pPr>
        <w:widowControl/>
        <w:numPr>
          <w:ilvl w:val="0"/>
          <w:numId w:val="9"/>
        </w:numPr>
        <w:tabs>
          <w:tab w:val="left" w:pos="1701"/>
        </w:tabs>
        <w:suppressAutoHyphens/>
        <w:overflowPunct/>
        <w:autoSpaceDE/>
        <w:autoSpaceDN/>
        <w:adjustRightInd/>
        <w:spacing w:after="120" w:line="240" w:lineRule="atLeast"/>
        <w:ind w:left="1701" w:right="1134"/>
        <w:jc w:val="left"/>
        <w:textAlignment w:val="auto"/>
      </w:pPr>
      <w:r w:rsidRPr="00D95586">
        <w:t>und deflagrationssichere Vorrichtungen zum gefahrlosen Entspannen der Ladetanks.“</w:t>
      </w:r>
    </w:p>
    <w:p w14:paraId="15C47957" w14:textId="5268E030" w:rsidR="002646A7" w:rsidRPr="00D95586" w:rsidRDefault="002646A7" w:rsidP="00C86E66">
      <w:pPr>
        <w:widowControl/>
        <w:tabs>
          <w:tab w:val="left" w:pos="1701"/>
        </w:tabs>
        <w:suppressAutoHyphens/>
        <w:overflowPunct/>
        <w:autoSpaceDE/>
        <w:autoSpaceDN/>
        <w:adjustRightInd/>
        <w:spacing w:after="120" w:line="240" w:lineRule="atLeast"/>
        <w:ind w:right="1134" w:firstLine="0"/>
        <w:textAlignment w:val="auto"/>
      </w:pPr>
      <w:r w:rsidRPr="00D95586">
        <w:t>8.</w:t>
      </w:r>
      <w:r w:rsidRPr="00D95586">
        <w:tab/>
      </w:r>
      <w:r w:rsidR="00134432" w:rsidRPr="00D95586">
        <w:t xml:space="preserve">In Unterabschnitt 3.2.3.1 (Erläuterungen zur Tabelle C, Spalte 16) ist die </w:t>
      </w:r>
      <w:r w:rsidR="00512D60" w:rsidRPr="00D95586">
        <w:t>Liste</w:t>
      </w:r>
      <w:r w:rsidR="00134432" w:rsidRPr="00D95586">
        <w:t xml:space="preserve"> auf fünf </w:t>
      </w:r>
      <w:r w:rsidR="00C86E66" w:rsidRPr="00D95586">
        <w:t>Vor</w:t>
      </w:r>
      <w:r w:rsidR="00134432" w:rsidRPr="00D95586">
        <w:t>richtungen beschränkt:</w:t>
      </w:r>
    </w:p>
    <w:p w14:paraId="0A12AF15" w14:textId="77777777" w:rsidR="00636A5E" w:rsidRPr="00D95586" w:rsidRDefault="00636A5E" w:rsidP="00965EB3">
      <w:pPr>
        <w:widowControl/>
        <w:tabs>
          <w:tab w:val="left" w:pos="1701"/>
        </w:tabs>
        <w:suppressAutoHyphens/>
        <w:overflowPunct/>
        <w:autoSpaceDE/>
        <w:autoSpaceDN/>
        <w:adjustRightInd/>
        <w:spacing w:after="120" w:line="240" w:lineRule="atLeast"/>
        <w:ind w:right="1134" w:firstLine="0"/>
        <w:textAlignment w:val="auto"/>
      </w:pPr>
      <w:r w:rsidRPr="00D95586">
        <w:t>„entsprechenden autonomen Schutzsysteme:</w:t>
      </w:r>
    </w:p>
    <w:p w14:paraId="28B9F661" w14:textId="77777777" w:rsidR="00636A5E" w:rsidRPr="00D95586" w:rsidRDefault="00636A5E" w:rsidP="00636A5E">
      <w:pPr>
        <w:pStyle w:val="ListParagraph"/>
        <w:widowControl/>
        <w:numPr>
          <w:ilvl w:val="0"/>
          <w:numId w:val="9"/>
        </w:numPr>
        <w:suppressAutoHyphens/>
        <w:overflowPunct/>
        <w:autoSpaceDE/>
        <w:autoSpaceDN/>
        <w:adjustRightInd/>
        <w:spacing w:before="120" w:after="120" w:line="240" w:lineRule="atLeast"/>
        <w:ind w:left="1701" w:right="1134" w:hanging="567"/>
        <w:contextualSpacing w:val="0"/>
        <w:textAlignment w:val="auto"/>
      </w:pPr>
      <w:r w:rsidRPr="00D95586">
        <w:t>Flammendurchschlagsicherungen,</w:t>
      </w:r>
    </w:p>
    <w:p w14:paraId="3039767C" w14:textId="43E0B624" w:rsidR="00636A5E" w:rsidRPr="00D95586" w:rsidRDefault="00636A5E" w:rsidP="00636A5E">
      <w:pPr>
        <w:pStyle w:val="ListParagraph"/>
        <w:widowControl/>
        <w:numPr>
          <w:ilvl w:val="0"/>
          <w:numId w:val="9"/>
        </w:numPr>
        <w:suppressAutoHyphens/>
        <w:overflowPunct/>
        <w:autoSpaceDE/>
        <w:autoSpaceDN/>
        <w:adjustRightInd/>
        <w:spacing w:before="120" w:after="120" w:line="240" w:lineRule="atLeast"/>
        <w:ind w:left="1701" w:right="1134" w:hanging="567"/>
        <w:contextualSpacing w:val="0"/>
        <w:textAlignment w:val="auto"/>
      </w:pPr>
      <w:r w:rsidRPr="00D95586">
        <w:t>Unterdruckventile</w:t>
      </w:r>
      <w:r w:rsidR="008658D4" w:rsidRPr="00D95586">
        <w:t xml:space="preserve"> [EN „pressure relief valves“]</w:t>
      </w:r>
      <w:r w:rsidRPr="00D95586">
        <w:t>,</w:t>
      </w:r>
    </w:p>
    <w:p w14:paraId="72D18EED" w14:textId="15CDBDD1" w:rsidR="00636A5E" w:rsidRPr="00D95586" w:rsidRDefault="00636A5E" w:rsidP="00636A5E">
      <w:pPr>
        <w:pStyle w:val="ListParagraph"/>
        <w:widowControl/>
        <w:numPr>
          <w:ilvl w:val="0"/>
          <w:numId w:val="9"/>
        </w:numPr>
        <w:suppressAutoHyphens/>
        <w:overflowPunct/>
        <w:autoSpaceDE/>
        <w:autoSpaceDN/>
        <w:adjustRightInd/>
        <w:spacing w:before="120" w:after="120" w:line="240" w:lineRule="atLeast"/>
        <w:ind w:left="1701" w:right="1134" w:hanging="567"/>
        <w:contextualSpacing w:val="0"/>
        <w:textAlignment w:val="auto"/>
      </w:pPr>
      <w:r w:rsidRPr="00D95586">
        <w:t>Überdruck-/Hochgeschwindigkeitsventile</w:t>
      </w:r>
      <w:r w:rsidR="000E6C55" w:rsidRPr="00D95586">
        <w:t xml:space="preserve"> und </w:t>
      </w:r>
    </w:p>
    <w:p w14:paraId="73797100" w14:textId="0727E404" w:rsidR="00636A5E" w:rsidRPr="00D95586" w:rsidRDefault="00636A5E" w:rsidP="00636A5E">
      <w:pPr>
        <w:pStyle w:val="ListParagraph"/>
        <w:widowControl/>
        <w:numPr>
          <w:ilvl w:val="0"/>
          <w:numId w:val="9"/>
        </w:numPr>
        <w:suppressAutoHyphens/>
        <w:overflowPunct/>
        <w:autoSpaceDE/>
        <w:autoSpaceDN/>
        <w:adjustRightInd/>
        <w:spacing w:before="120" w:after="120" w:line="240" w:lineRule="atLeast"/>
        <w:ind w:left="1701" w:right="1134" w:hanging="567"/>
        <w:contextualSpacing w:val="0"/>
        <w:textAlignment w:val="auto"/>
      </w:pPr>
      <w:r w:rsidRPr="00D95586">
        <w:t>Vorrichtungen zum gefahrlosen Entspannen der Ladetanks mit integrierter Flammensperre“</w:t>
      </w:r>
      <w:r w:rsidR="00C86E66" w:rsidRPr="00D95586">
        <w:t>.</w:t>
      </w:r>
    </w:p>
    <w:p w14:paraId="5CF52E3D" w14:textId="3938CC30" w:rsidR="002646A7" w:rsidRPr="00D95586" w:rsidRDefault="002646A7" w:rsidP="0084481A">
      <w:pPr>
        <w:widowControl/>
        <w:tabs>
          <w:tab w:val="left" w:pos="1701"/>
        </w:tabs>
        <w:suppressAutoHyphens/>
        <w:overflowPunct/>
        <w:autoSpaceDE/>
        <w:autoSpaceDN/>
        <w:adjustRightInd/>
        <w:spacing w:after="120" w:line="240" w:lineRule="atLeast"/>
        <w:ind w:right="1134" w:firstLine="0"/>
        <w:textAlignment w:val="auto"/>
      </w:pPr>
      <w:r w:rsidRPr="00D95586">
        <w:t>9.</w:t>
      </w:r>
      <w:r w:rsidRPr="00D95586">
        <w:tab/>
      </w:r>
      <w:r w:rsidR="0084481A" w:rsidRPr="00D95586">
        <w:t>Es wäre daher besser,</w:t>
      </w:r>
    </w:p>
    <w:p w14:paraId="44FBCC20" w14:textId="299FCCD3" w:rsidR="002646A7" w:rsidRPr="00D95586" w:rsidRDefault="0084481A" w:rsidP="00292E47">
      <w:pPr>
        <w:widowControl/>
        <w:tabs>
          <w:tab w:val="left" w:pos="1701"/>
        </w:tabs>
        <w:suppressAutoHyphens/>
        <w:overflowPunct/>
        <w:autoSpaceDE/>
        <w:autoSpaceDN/>
        <w:adjustRightInd/>
        <w:spacing w:after="120" w:line="240" w:lineRule="atLeast"/>
        <w:ind w:left="1701" w:right="1134" w:firstLine="0"/>
        <w:textAlignment w:val="auto"/>
      </w:pPr>
      <w:r w:rsidRPr="00D95586">
        <w:t>a)</w:t>
      </w:r>
      <w:r w:rsidR="002646A7" w:rsidRPr="00D95586">
        <w:tab/>
      </w:r>
      <w:r w:rsidRPr="00D95586">
        <w:t xml:space="preserve">eine erschöpfende Liste aller im Text der ADN-Verordnung genannten Vorrichtungen, die als </w:t>
      </w:r>
      <w:r w:rsidR="00242A4A" w:rsidRPr="00D95586">
        <w:t>„</w:t>
      </w:r>
      <w:r w:rsidRPr="00D95586">
        <w:t>autonome Schutzsysteme</w:t>
      </w:r>
      <w:r w:rsidR="00242A4A" w:rsidRPr="00D95586">
        <w:t>“</w:t>
      </w:r>
      <w:r w:rsidRPr="00D95586">
        <w:t xml:space="preserve"> </w:t>
      </w:r>
      <w:r w:rsidR="00050D2C" w:rsidRPr="00D95586">
        <w:t>an</w:t>
      </w:r>
      <w:r w:rsidRPr="00D95586">
        <w:t>zu</w:t>
      </w:r>
      <w:r w:rsidR="00050D2C" w:rsidRPr="00D95586">
        <w:t>seh</w:t>
      </w:r>
      <w:r w:rsidRPr="00D95586">
        <w:t>en sind,</w:t>
      </w:r>
      <w:r w:rsidR="00050D2C" w:rsidRPr="00D95586">
        <w:t xml:space="preserve"> zu </w:t>
      </w:r>
      <w:r w:rsidR="00292E47" w:rsidRPr="00D95586">
        <w:t>erstellen und</w:t>
      </w:r>
    </w:p>
    <w:p w14:paraId="0AD2CC08" w14:textId="0B007333" w:rsidR="002646A7" w:rsidRPr="00D95586" w:rsidRDefault="00292E47" w:rsidP="00292E47">
      <w:pPr>
        <w:widowControl/>
        <w:tabs>
          <w:tab w:val="left" w:pos="1701"/>
        </w:tabs>
        <w:suppressAutoHyphens/>
        <w:overflowPunct/>
        <w:autoSpaceDE/>
        <w:autoSpaceDN/>
        <w:adjustRightInd/>
        <w:spacing w:after="120" w:line="240" w:lineRule="atLeast"/>
        <w:ind w:left="1701" w:right="1134" w:firstLine="0"/>
        <w:textAlignment w:val="auto"/>
      </w:pPr>
      <w:r w:rsidRPr="00D95586">
        <w:t>b)</w:t>
      </w:r>
      <w:r w:rsidR="002646A7" w:rsidRPr="00D95586">
        <w:tab/>
      </w:r>
      <w:r w:rsidRPr="00D95586">
        <w:t>diese Liste nur in Abschnitt 1.2.1 des ADN aufzunehmen.</w:t>
      </w:r>
    </w:p>
    <w:p w14:paraId="53EA11AB" w14:textId="3C017831" w:rsidR="002646A7" w:rsidRPr="00D95586" w:rsidRDefault="002646A7" w:rsidP="00DB6D94">
      <w:pPr>
        <w:widowControl/>
        <w:tabs>
          <w:tab w:val="left" w:pos="1701"/>
        </w:tabs>
        <w:suppressAutoHyphens/>
        <w:overflowPunct/>
        <w:autoSpaceDE/>
        <w:autoSpaceDN/>
        <w:adjustRightInd/>
        <w:spacing w:after="120" w:line="240" w:lineRule="atLeast"/>
        <w:ind w:right="1134" w:firstLine="0"/>
        <w:textAlignment w:val="auto"/>
      </w:pPr>
      <w:r w:rsidRPr="00D95586">
        <w:t>10.</w:t>
      </w:r>
      <w:r w:rsidRPr="00D95586">
        <w:tab/>
      </w:r>
      <w:r w:rsidR="009255EA" w:rsidRPr="00D95586">
        <w:t xml:space="preserve">In Abschnitt 1.2.1 ist von </w:t>
      </w:r>
      <w:r w:rsidR="006E7FA7" w:rsidRPr="00D95586">
        <w:t>„</w:t>
      </w:r>
      <w:r w:rsidR="009255EA" w:rsidRPr="00D95586">
        <w:t xml:space="preserve">deflagrationssicheren </w:t>
      </w:r>
      <w:r w:rsidR="006E7FA7" w:rsidRPr="00D95586">
        <w:t>Unterdruckv</w:t>
      </w:r>
      <w:r w:rsidR="009255EA" w:rsidRPr="00D95586">
        <w:t>entilen</w:t>
      </w:r>
      <w:r w:rsidR="006E7FA7" w:rsidRPr="00D95586">
        <w:t>“</w:t>
      </w:r>
      <w:r w:rsidR="004C796E" w:rsidRPr="00D95586">
        <w:t xml:space="preserve"> [EN „vacuum valves“]</w:t>
      </w:r>
      <w:r w:rsidR="009255EA" w:rsidRPr="00D95586">
        <w:t xml:space="preserve"> die Rede, in </w:t>
      </w:r>
      <w:r w:rsidR="00782258" w:rsidRPr="00D95586">
        <w:t>Untera</w:t>
      </w:r>
      <w:r w:rsidR="009255EA" w:rsidRPr="00D95586">
        <w:t xml:space="preserve">bschnitt 3.2.3.1 jedoch </w:t>
      </w:r>
      <w:r w:rsidR="00A05062" w:rsidRPr="00D95586">
        <w:t xml:space="preserve">[nur] </w:t>
      </w:r>
      <w:r w:rsidR="009255EA" w:rsidRPr="00D95586">
        <w:t xml:space="preserve">von </w:t>
      </w:r>
      <w:r w:rsidR="00246DE3" w:rsidRPr="00D95586">
        <w:t>„</w:t>
      </w:r>
      <w:r w:rsidR="001647E2" w:rsidRPr="00D95586">
        <w:t>Unter</w:t>
      </w:r>
      <w:r w:rsidR="009255EA" w:rsidRPr="00D95586">
        <w:t>druckventilen</w:t>
      </w:r>
      <w:r w:rsidR="00246DE3" w:rsidRPr="00D95586">
        <w:t>“</w:t>
      </w:r>
      <w:r w:rsidR="009255EA" w:rsidRPr="00D95586">
        <w:t xml:space="preserve"> </w:t>
      </w:r>
      <w:r w:rsidR="004C796E" w:rsidRPr="00D95586">
        <w:t xml:space="preserve">[EN „pressure relief valves“] </w:t>
      </w:r>
      <w:r w:rsidR="009255EA" w:rsidRPr="00D95586">
        <w:t xml:space="preserve">(in der Annahme, dass hier sowohl </w:t>
      </w:r>
      <w:r w:rsidR="00DB6D94" w:rsidRPr="00D95586">
        <w:t>„</w:t>
      </w:r>
      <w:r w:rsidR="009255EA" w:rsidRPr="00D95586">
        <w:t>Deflagration</w:t>
      </w:r>
      <w:r w:rsidR="00DB6D94" w:rsidRPr="00D95586">
        <w:t>“</w:t>
      </w:r>
      <w:r w:rsidR="009255EA" w:rsidRPr="00D95586">
        <w:t xml:space="preserve"> als auch </w:t>
      </w:r>
      <w:r w:rsidR="00DB6D94" w:rsidRPr="00D95586">
        <w:t>„</w:t>
      </w:r>
      <w:r w:rsidR="009255EA" w:rsidRPr="00D95586">
        <w:t>Detonation</w:t>
      </w:r>
      <w:r w:rsidR="00DB6D94" w:rsidRPr="00D95586">
        <w:t>“</w:t>
      </w:r>
      <w:r w:rsidR="009255EA" w:rsidRPr="00D95586">
        <w:t xml:space="preserve"> berücksichtigt </w:t>
      </w:r>
      <w:r w:rsidR="00DB6D94" w:rsidRPr="00D95586">
        <w:t>sind</w:t>
      </w:r>
      <w:r w:rsidR="009255EA" w:rsidRPr="00D95586">
        <w:t>).</w:t>
      </w:r>
    </w:p>
    <w:p w14:paraId="55B4A0E4" w14:textId="29588315" w:rsidR="002646A7" w:rsidRPr="00D95586" w:rsidRDefault="002646A7" w:rsidP="00712666">
      <w:pPr>
        <w:widowControl/>
        <w:tabs>
          <w:tab w:val="left" w:pos="1701"/>
        </w:tabs>
        <w:suppressAutoHyphens/>
        <w:overflowPunct/>
        <w:autoSpaceDE/>
        <w:autoSpaceDN/>
        <w:adjustRightInd/>
        <w:spacing w:after="120" w:line="240" w:lineRule="atLeast"/>
        <w:ind w:right="1134" w:firstLine="0"/>
        <w:textAlignment w:val="auto"/>
      </w:pPr>
      <w:r w:rsidRPr="00D95586">
        <w:t>11.</w:t>
      </w:r>
      <w:r w:rsidRPr="00D95586">
        <w:tab/>
      </w:r>
      <w:r w:rsidR="007B69E8" w:rsidRPr="00D95586">
        <w:t xml:space="preserve">In Abschnitt 1.2.1 sind </w:t>
      </w:r>
      <w:r w:rsidR="004C796E" w:rsidRPr="00D95586">
        <w:t xml:space="preserve">„pressure relief valves“ (DE: </w:t>
      </w:r>
      <w:r w:rsidR="00712666" w:rsidRPr="00D95586">
        <w:t>„</w:t>
      </w:r>
      <w:r w:rsidR="004C796E" w:rsidRPr="00D95586">
        <w:t>Unterd</w:t>
      </w:r>
      <w:r w:rsidR="007B69E8" w:rsidRPr="00D95586">
        <w:t>ruckventile</w:t>
      </w:r>
      <w:r w:rsidR="004C796E" w:rsidRPr="00D95586">
        <w:t>“)</w:t>
      </w:r>
      <w:r w:rsidR="007B69E8" w:rsidRPr="00D95586">
        <w:t xml:space="preserve"> nicht aufgeführt.</w:t>
      </w:r>
    </w:p>
    <w:p w14:paraId="0D8D2785" w14:textId="59C524DF" w:rsidR="002646A7" w:rsidRPr="00B80A1E" w:rsidRDefault="002646A7" w:rsidP="004F72E4">
      <w:pPr>
        <w:widowControl/>
        <w:tabs>
          <w:tab w:val="left" w:pos="1701"/>
        </w:tabs>
        <w:suppressAutoHyphens/>
        <w:overflowPunct/>
        <w:autoSpaceDE/>
        <w:autoSpaceDN/>
        <w:adjustRightInd/>
        <w:spacing w:after="120" w:line="240" w:lineRule="atLeast"/>
        <w:ind w:right="1134" w:firstLine="0"/>
        <w:textAlignment w:val="auto"/>
      </w:pPr>
      <w:r w:rsidRPr="00D95586">
        <w:t>12.</w:t>
      </w:r>
      <w:r w:rsidRPr="00D95586">
        <w:tab/>
      </w:r>
      <w:r w:rsidR="00712666" w:rsidRPr="00D95586">
        <w:t xml:space="preserve">In Unterabschnitt 3.2.3.1 sprechen sich die Klassifikationsgesellschaften für die Formulierung </w:t>
      </w:r>
      <w:r w:rsidR="00CF5FF5" w:rsidRPr="00D95586">
        <w:t>„</w:t>
      </w:r>
      <w:r w:rsidR="006952C1" w:rsidRPr="00D95586">
        <w:t>devices for the safe depressurization of cargo tanks…</w:t>
      </w:r>
      <w:r w:rsidR="00CF5FF5" w:rsidRPr="00D95586">
        <w:t>“</w:t>
      </w:r>
      <w:r w:rsidR="006952C1" w:rsidRPr="00D95586">
        <w:t xml:space="preserve"> </w:t>
      </w:r>
      <w:r w:rsidR="00266A26" w:rsidRPr="00D95586">
        <w:rPr>
          <w:lang w:val="en-US"/>
        </w:rPr>
        <w:t>„</w:t>
      </w:r>
      <w:r w:rsidR="00EC6EF3" w:rsidRPr="00D95586">
        <w:rPr>
          <w:lang w:val="en-US"/>
        </w:rPr>
        <w:t>anstelle von</w:t>
      </w:r>
      <w:r w:rsidR="006952C1" w:rsidRPr="00D95586">
        <w:rPr>
          <w:lang w:val="en-US"/>
        </w:rPr>
        <w:t xml:space="preserve"> </w:t>
      </w:r>
      <w:r w:rsidR="00CF5FF5" w:rsidRPr="00D95586">
        <w:rPr>
          <w:lang w:val="en-US"/>
        </w:rPr>
        <w:t>„</w:t>
      </w:r>
      <w:r w:rsidR="006952C1" w:rsidRPr="00D95586">
        <w:rPr>
          <w:lang w:val="en-US"/>
        </w:rPr>
        <w:t>devices for safe pressure relief of cargo tanks…</w:t>
      </w:r>
      <w:r w:rsidR="00CF5FF5" w:rsidRPr="00D95586">
        <w:rPr>
          <w:lang w:val="en-US"/>
        </w:rPr>
        <w:t>“</w:t>
      </w:r>
      <w:r w:rsidR="00EC6EF3" w:rsidRPr="00D95586">
        <w:rPr>
          <w:lang w:val="en-US"/>
        </w:rPr>
        <w:t xml:space="preserve"> </w:t>
      </w:r>
      <w:r w:rsidR="00266A26" w:rsidRPr="00D95586">
        <w:t>[</w:t>
      </w:r>
      <w:r w:rsidR="00434E71" w:rsidRPr="00D95586">
        <w:t>DE</w:t>
      </w:r>
      <w:r w:rsidR="00256505" w:rsidRPr="00D95586">
        <w:t xml:space="preserve"> jeweils</w:t>
      </w:r>
      <w:r w:rsidR="00434E71" w:rsidRPr="00D95586">
        <w:t xml:space="preserve"> </w:t>
      </w:r>
      <w:r w:rsidR="001E7DCD" w:rsidRPr="00D95586">
        <w:t>„</w:t>
      </w:r>
      <w:r w:rsidR="00C03DEB" w:rsidRPr="00D95586">
        <w:t>Vor</w:t>
      </w:r>
      <w:r w:rsidR="00712666" w:rsidRPr="00D95586">
        <w:t xml:space="preserve">richtungen </w:t>
      </w:r>
      <w:r w:rsidR="00303673" w:rsidRPr="00D95586">
        <w:t xml:space="preserve">zum gefahrlosen Entspannen der Ladetanks </w:t>
      </w:r>
      <w:r w:rsidR="00712666" w:rsidRPr="00D95586">
        <w:t>...</w:t>
      </w:r>
      <w:r w:rsidR="001E7DCD" w:rsidRPr="00D95586">
        <w:t>“</w:t>
      </w:r>
      <w:r w:rsidR="00434E71" w:rsidRPr="00D95586">
        <w:t>]</w:t>
      </w:r>
      <w:r w:rsidR="00712666" w:rsidRPr="00D95586">
        <w:t xml:space="preserve"> aus.</w:t>
      </w:r>
    </w:p>
    <w:p w14:paraId="7B31C0E0" w14:textId="5DCCC1CE" w:rsidR="002646A7" w:rsidRPr="00D95586" w:rsidRDefault="00DD0A70" w:rsidP="00965EB3">
      <w:pPr>
        <w:widowControl/>
        <w:tabs>
          <w:tab w:val="left" w:pos="1701"/>
        </w:tabs>
        <w:suppressAutoHyphens/>
        <w:overflowPunct/>
        <w:autoSpaceDE/>
        <w:autoSpaceDN/>
        <w:adjustRightInd/>
        <w:spacing w:after="120" w:line="240" w:lineRule="atLeast"/>
        <w:ind w:right="1134" w:firstLine="0"/>
        <w:textAlignment w:val="auto"/>
        <w:rPr>
          <w:b/>
          <w:bCs/>
          <w:u w:val="single"/>
        </w:rPr>
      </w:pPr>
      <w:r w:rsidRPr="00D95586">
        <w:rPr>
          <w:b/>
          <w:bCs/>
          <w:u w:val="single"/>
        </w:rPr>
        <w:t>Vorschlag</w:t>
      </w:r>
      <w:r w:rsidR="002646A7" w:rsidRPr="00D95586">
        <w:rPr>
          <w:b/>
          <w:bCs/>
          <w:u w:val="single"/>
        </w:rPr>
        <w:t xml:space="preserve"> 2</w:t>
      </w:r>
    </w:p>
    <w:p w14:paraId="3EC14DFB" w14:textId="3DECE3CC" w:rsidR="002646A7" w:rsidRPr="00D95586" w:rsidRDefault="002646A7" w:rsidP="00C32403">
      <w:pPr>
        <w:widowControl/>
        <w:tabs>
          <w:tab w:val="left" w:pos="1701"/>
        </w:tabs>
        <w:suppressAutoHyphens/>
        <w:overflowPunct/>
        <w:autoSpaceDE/>
        <w:autoSpaceDN/>
        <w:adjustRightInd/>
        <w:spacing w:after="120" w:line="240" w:lineRule="atLeast"/>
        <w:ind w:right="1134" w:firstLine="0"/>
        <w:textAlignment w:val="auto"/>
      </w:pPr>
      <w:r w:rsidRPr="00D95586">
        <w:t>13.</w:t>
      </w:r>
      <w:r w:rsidRPr="00D95586">
        <w:tab/>
      </w:r>
      <w:r w:rsidR="004F72E4" w:rsidRPr="00D95586">
        <w:t>In Abschnitt 1.2.1 erhält die Begriffsbestimmung für „autonome Schutzsysteme“ folgenden Wortlaut (neuer Text ist fett gedruckt, gestrichener Text ist durchgestrichen):</w:t>
      </w:r>
    </w:p>
    <w:p w14:paraId="6AE24DA9" w14:textId="75BA69EF" w:rsidR="00DD0A70" w:rsidRPr="00D95586" w:rsidRDefault="00DD0A70" w:rsidP="00DD0A70">
      <w:pPr>
        <w:spacing w:before="180" w:line="240" w:lineRule="atLeast"/>
        <w:ind w:right="1134" w:firstLine="0"/>
        <w:rPr>
          <w:color w:val="000000"/>
        </w:rPr>
      </w:pPr>
      <w:r w:rsidRPr="00D95586">
        <w:rPr>
          <w:b/>
          <w:i/>
          <w:color w:val="000000"/>
        </w:rPr>
        <w:t>„Autonome</w:t>
      </w:r>
      <w:r w:rsidRPr="00D95586">
        <w:rPr>
          <w:b/>
          <w:color w:val="000000"/>
        </w:rPr>
        <w:t xml:space="preserve"> </w:t>
      </w:r>
      <w:r w:rsidRPr="00D95586">
        <w:rPr>
          <w:b/>
          <w:i/>
          <w:color w:val="000000"/>
        </w:rPr>
        <w:t>Schutzsysteme</w:t>
      </w:r>
      <w:r w:rsidRPr="00D95586">
        <w:rPr>
          <w:b/>
          <w:color w:val="000000"/>
        </w:rPr>
        <w:t>:</w:t>
      </w:r>
      <w:r w:rsidRPr="00D95586">
        <w:rPr>
          <w:color w:val="000000"/>
        </w:rPr>
        <w:t xml:space="preserve"> Alle Vorrichtungen, die anlaufende Explosionen umgehend stoppen und/oder den von einer Explosion betroffenen Bereich begrenzen sollen und als autonome Systeme gesondert auf dem Markt bereitgestellt werden. Dazu zählen Flammendurchschlagssicherungen, Hochgeschwindigkeitsventile, </w:t>
      </w:r>
      <w:r w:rsidRPr="00D95586">
        <w:rPr>
          <w:strike/>
          <w:color w:val="000000"/>
        </w:rPr>
        <w:t>deflagrationssichere Unterdruckventile</w:t>
      </w:r>
      <w:r w:rsidR="001C0EF4" w:rsidRPr="00D95586">
        <w:rPr>
          <w:strike/>
          <w:color w:val="000000"/>
        </w:rPr>
        <w:t>,</w:t>
      </w:r>
      <w:r w:rsidRPr="00D95586">
        <w:rPr>
          <w:color w:val="000000"/>
        </w:rPr>
        <w:t xml:space="preserve"> </w:t>
      </w:r>
      <w:r w:rsidR="003F139C" w:rsidRPr="00D95586">
        <w:rPr>
          <w:b/>
          <w:bCs/>
          <w:u w:val="single"/>
        </w:rPr>
        <w:t>Über</w:t>
      </w:r>
      <w:r w:rsidR="006D68B4" w:rsidRPr="00D95586">
        <w:rPr>
          <w:b/>
          <w:bCs/>
          <w:u w:val="single"/>
        </w:rPr>
        <w:t>druckventile,</w:t>
      </w:r>
      <w:r w:rsidR="001C0EF4" w:rsidRPr="00D95586">
        <w:rPr>
          <w:b/>
          <w:bCs/>
          <w:u w:val="single"/>
        </w:rPr>
        <w:t xml:space="preserve"> </w:t>
      </w:r>
      <w:r w:rsidR="005971B4" w:rsidRPr="00D95586">
        <w:rPr>
          <w:b/>
          <w:bCs/>
          <w:u w:val="single"/>
        </w:rPr>
        <w:t>Unte</w:t>
      </w:r>
      <w:r w:rsidR="003F139C" w:rsidRPr="00D95586">
        <w:rPr>
          <w:b/>
          <w:bCs/>
          <w:u w:val="single"/>
        </w:rPr>
        <w:t>rdruckventile</w:t>
      </w:r>
      <w:r w:rsidR="001C0EF4" w:rsidRPr="00D95586">
        <w:rPr>
          <w:b/>
          <w:bCs/>
          <w:u w:val="single"/>
        </w:rPr>
        <w:t xml:space="preserve"> </w:t>
      </w:r>
      <w:r w:rsidRPr="00D95586">
        <w:rPr>
          <w:color w:val="000000"/>
        </w:rPr>
        <w:t>und deflagrationssichere Vorrichtungen zum gefahrlosen Entspannen der Ladetanks (</w:t>
      </w:r>
      <w:r w:rsidRPr="00D95586">
        <w:rPr>
          <w:strike/>
          <w:color w:val="000000"/>
        </w:rPr>
        <w:t>Siehe</w:t>
      </w:r>
      <w:r w:rsidRPr="00D95586">
        <w:rPr>
          <w:color w:val="000000"/>
        </w:rPr>
        <w:t xml:space="preserve"> </w:t>
      </w:r>
      <w:r w:rsidR="00577248" w:rsidRPr="00D95586">
        <w:rPr>
          <w:b/>
          <w:bCs/>
          <w:color w:val="000000"/>
          <w:u w:val="single"/>
        </w:rPr>
        <w:t>siehe</w:t>
      </w:r>
      <w:r w:rsidR="00577248" w:rsidRPr="00D95586">
        <w:rPr>
          <w:color w:val="000000"/>
        </w:rPr>
        <w:t xml:space="preserve"> </w:t>
      </w:r>
      <w:r w:rsidRPr="00D95586">
        <w:rPr>
          <w:color w:val="000000"/>
        </w:rPr>
        <w:t>auch Flammendurchschlagssicherung, Hochgeschwindigkeitsventil, Unterdruckventil, Vorrichtung zum gefahrlosen Entspannen der Ladetanks und Deflagration).“.</w:t>
      </w:r>
    </w:p>
    <w:p w14:paraId="6912E332" w14:textId="28C16EE2" w:rsidR="002646A7" w:rsidRPr="00D95586" w:rsidRDefault="002646A7" w:rsidP="00577248">
      <w:pPr>
        <w:widowControl/>
        <w:tabs>
          <w:tab w:val="left" w:pos="1701"/>
        </w:tabs>
        <w:suppressAutoHyphens/>
        <w:overflowPunct/>
        <w:autoSpaceDE/>
        <w:autoSpaceDN/>
        <w:adjustRightInd/>
        <w:spacing w:before="120" w:after="120" w:line="240" w:lineRule="atLeast"/>
        <w:ind w:right="1134" w:firstLine="0"/>
        <w:textAlignment w:val="auto"/>
        <w:rPr>
          <w:color w:val="231F20"/>
        </w:rPr>
      </w:pPr>
      <w:r w:rsidRPr="00D95586">
        <w:rPr>
          <w:color w:val="231F20"/>
        </w:rPr>
        <w:lastRenderedPageBreak/>
        <w:t>14.</w:t>
      </w:r>
      <w:r w:rsidRPr="00D95586">
        <w:rPr>
          <w:color w:val="231F20"/>
        </w:rPr>
        <w:tab/>
      </w:r>
      <w:r w:rsidR="00577248" w:rsidRPr="00D95586">
        <w:rPr>
          <w:color w:val="231F20"/>
        </w:rPr>
        <w:t>Unterabschnitt 3.2.3.1 Spalte (16) – Explosionsgruppe erhält folgenden Wortlaut:</w:t>
      </w:r>
    </w:p>
    <w:p w14:paraId="10258F45" w14:textId="5F7227B9" w:rsidR="001C0EF4" w:rsidRPr="00D95586" w:rsidRDefault="001C0EF4" w:rsidP="001C0EF4">
      <w:pPr>
        <w:widowControl/>
        <w:tabs>
          <w:tab w:val="left" w:pos="1701"/>
        </w:tabs>
        <w:suppressAutoHyphens/>
        <w:overflowPunct/>
        <w:autoSpaceDE/>
        <w:autoSpaceDN/>
        <w:adjustRightInd/>
        <w:spacing w:after="120" w:line="240" w:lineRule="atLeast"/>
        <w:ind w:right="1134" w:firstLine="0"/>
        <w:textAlignment w:val="auto"/>
        <w:rPr>
          <w:color w:val="231F20"/>
        </w:rPr>
      </w:pPr>
      <w:r w:rsidRPr="00D95586">
        <w:rPr>
          <w:color w:val="231F20"/>
        </w:rPr>
        <w:t>„Diese Spalte gibt die Explosionsgruppe des Stoffs an.</w:t>
      </w:r>
    </w:p>
    <w:p w14:paraId="32E33EC7" w14:textId="77777777" w:rsidR="001C0EF4" w:rsidRPr="00D95586" w:rsidRDefault="001C0EF4" w:rsidP="001C0EF4">
      <w:pPr>
        <w:widowControl/>
        <w:tabs>
          <w:tab w:val="left" w:pos="1701"/>
        </w:tabs>
        <w:suppressAutoHyphens/>
        <w:overflowPunct/>
        <w:autoSpaceDE/>
        <w:autoSpaceDN/>
        <w:adjustRightInd/>
        <w:spacing w:after="120" w:line="240" w:lineRule="atLeast"/>
        <w:ind w:right="1134" w:firstLine="0"/>
        <w:textAlignment w:val="auto"/>
        <w:rPr>
          <w:color w:val="231F20"/>
        </w:rPr>
      </w:pPr>
      <w:r w:rsidRPr="00D95586">
        <w:rPr>
          <w:color w:val="231F20"/>
        </w:rPr>
        <w:t xml:space="preserve">Die Werte in Klammern sind die Angaben der Untergruppen der Explosionsgruppe II B zur Auswahl der entsprechenden autonomen Schutzsysteme </w:t>
      </w:r>
      <w:r w:rsidRPr="00D95586">
        <w:rPr>
          <w:strike/>
          <w:color w:val="231F20"/>
        </w:rPr>
        <w:t>(Flammen-durchschlagsicherungen, Unterdruckventile, Überdruck-/Hochgeschwindigkeitsventile und Vorrichtungen zum gefahrlosen Entspannen der Ladetanks mit integrierter Flammensperre)</w:t>
      </w:r>
      <w:r w:rsidRPr="00D95586">
        <w:rPr>
          <w:color w:val="231F20"/>
        </w:rPr>
        <w:t>.“.</w:t>
      </w:r>
    </w:p>
    <w:p w14:paraId="684976E1" w14:textId="47386CF3" w:rsidR="002646A7" w:rsidRPr="00D95586" w:rsidRDefault="002646A7" w:rsidP="00577248">
      <w:pPr>
        <w:widowControl/>
        <w:tabs>
          <w:tab w:val="left" w:pos="1701"/>
        </w:tabs>
        <w:suppressAutoHyphens/>
        <w:overflowPunct/>
        <w:autoSpaceDE/>
        <w:autoSpaceDN/>
        <w:adjustRightInd/>
        <w:spacing w:after="120" w:line="240" w:lineRule="atLeast"/>
        <w:ind w:right="1134" w:firstLine="0"/>
        <w:textAlignment w:val="auto"/>
      </w:pPr>
      <w:r w:rsidRPr="00D95586">
        <w:t>15.</w:t>
      </w:r>
      <w:r w:rsidRPr="00D95586">
        <w:tab/>
      </w:r>
      <w:r w:rsidR="00577248" w:rsidRPr="00D95586">
        <w:t>Eine Übergangsvorschrift ist für diese Änderung nicht erforderlich.</w:t>
      </w:r>
    </w:p>
    <w:p w14:paraId="4C992258" w14:textId="77777777" w:rsidR="00C52B98" w:rsidRPr="00D95586" w:rsidRDefault="00C52B98" w:rsidP="004E6757">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p>
    <w:p w14:paraId="3F7C94E0" w14:textId="5CCA5688" w:rsidR="00D405D0" w:rsidRPr="004E6757" w:rsidRDefault="004E6757" w:rsidP="004E6757">
      <w:pPr>
        <w:widowControl/>
        <w:tabs>
          <w:tab w:val="left" w:pos="1701"/>
        </w:tabs>
        <w:suppressAutoHyphens/>
        <w:overflowPunct/>
        <w:autoSpaceDE/>
        <w:autoSpaceDN/>
        <w:adjustRightInd/>
        <w:spacing w:after="120" w:line="240" w:lineRule="atLeast"/>
        <w:ind w:right="1134" w:firstLine="0"/>
        <w:jc w:val="center"/>
        <w:textAlignment w:val="auto"/>
      </w:pPr>
      <w:r w:rsidRPr="00D95586">
        <w:t>***</w:t>
      </w:r>
    </w:p>
    <w:sectPr w:rsidR="00D405D0" w:rsidRPr="004E6757"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A4F2" w14:textId="77777777" w:rsidR="00170F0F" w:rsidRDefault="00170F0F" w:rsidP="00277F70">
      <w:r>
        <w:separator/>
      </w:r>
    </w:p>
  </w:endnote>
  <w:endnote w:type="continuationSeparator" w:id="0">
    <w:p w14:paraId="10D1F619" w14:textId="77777777" w:rsidR="00170F0F" w:rsidRDefault="00170F0F"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220" w14:textId="5AF1BBCE" w:rsidR="00D36741" w:rsidRPr="004E6757" w:rsidRDefault="002646A7" w:rsidP="004E6757">
    <w:pPr>
      <w:widowControl/>
      <w:suppressAutoHyphens/>
      <w:overflowPunct/>
      <w:autoSpaceDE/>
      <w:autoSpaceDN/>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00B741AB" w:rsidRPr="004E6757">
      <w:rPr>
        <w:rFonts w:ascii="Arial" w:hAnsi="Arial"/>
        <w:noProof/>
        <w:snapToGrid w:val="0"/>
        <w:sz w:val="12"/>
        <w:szCs w:val="24"/>
        <w:lang w:val="fr-FR"/>
      </w:rPr>
      <w:t>m</w:t>
    </w:r>
    <w:r>
      <w:rPr>
        <w:rFonts w:ascii="Arial" w:hAnsi="Arial"/>
        <w:noProof/>
        <w:snapToGrid w:val="0"/>
        <w:sz w:val="12"/>
        <w:szCs w:val="24"/>
        <w:lang w:val="fr-FR"/>
      </w:rPr>
      <w:t>_ba</w:t>
    </w:r>
    <w:r w:rsidR="00D36741" w:rsidRPr="004E6757">
      <w:rPr>
        <w:rFonts w:ascii="Arial" w:hAnsi="Arial"/>
        <w:noProof/>
        <w:snapToGrid w:val="0"/>
        <w:sz w:val="12"/>
        <w:szCs w:val="24"/>
        <w:lang w:val="fr-FR"/>
      </w:rPr>
      <w:t>/adn_wp15_ac2_202</w:t>
    </w:r>
    <w:r w:rsidR="00881C09" w:rsidRPr="004E6757">
      <w:rPr>
        <w:rFonts w:ascii="Arial" w:hAnsi="Arial"/>
        <w:noProof/>
        <w:snapToGrid w:val="0"/>
        <w:sz w:val="12"/>
        <w:szCs w:val="24"/>
        <w:lang w:val="fr-FR"/>
      </w:rPr>
      <w:t>2</w:t>
    </w:r>
    <w:r w:rsidR="00D36741" w:rsidRPr="004E6757">
      <w:rPr>
        <w:rFonts w:ascii="Arial" w:hAnsi="Arial"/>
        <w:noProof/>
        <w:snapToGrid w:val="0"/>
        <w:sz w:val="12"/>
        <w:szCs w:val="24"/>
        <w:lang w:val="fr-FR"/>
      </w:rPr>
      <w:t>_</w:t>
    </w:r>
    <w:r w:rsidR="00216583">
      <w:rPr>
        <w:rFonts w:ascii="Arial" w:hAnsi="Arial"/>
        <w:noProof/>
        <w:snapToGrid w:val="0"/>
        <w:sz w:val="12"/>
        <w:szCs w:val="24"/>
        <w:lang w:val="fr-FR"/>
      </w:rPr>
      <w:t>3</w:t>
    </w:r>
    <w:r>
      <w:rPr>
        <w:rFonts w:ascii="Arial" w:hAnsi="Arial"/>
        <w:noProof/>
        <w:snapToGrid w:val="0"/>
        <w:sz w:val="12"/>
        <w:szCs w:val="24"/>
        <w:lang w:val="fr-FR"/>
      </w:rPr>
      <w:t>9</w:t>
    </w:r>
    <w:r w:rsidR="00D36741"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223" w14:textId="77777777" w:rsidR="00A2112A" w:rsidRPr="004E6757" w:rsidRDefault="00A2112A" w:rsidP="00A2112A">
    <w:pPr>
      <w:widowControl/>
      <w:suppressAutoHyphens/>
      <w:overflowPunct/>
      <w:autoSpaceDE/>
      <w:autoSpaceDN/>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/adn_wp15_ac2_2022_</w:t>
    </w:r>
    <w:r>
      <w:rPr>
        <w:rFonts w:ascii="Arial" w:hAnsi="Arial"/>
        <w:noProof/>
        <w:snapToGrid w:val="0"/>
        <w:sz w:val="12"/>
        <w:szCs w:val="24"/>
        <w:lang w:val="fr-FR"/>
      </w:rPr>
      <w:t>39</w:t>
    </w:r>
    <w:r w:rsidRPr="004E6757">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2D44" w14:textId="77777777" w:rsidR="00170F0F" w:rsidRDefault="00170F0F" w:rsidP="00277F70">
      <w:r>
        <w:separator/>
      </w:r>
    </w:p>
  </w:footnote>
  <w:footnote w:type="continuationSeparator" w:id="0">
    <w:p w14:paraId="52DD08FE" w14:textId="77777777" w:rsidR="00170F0F" w:rsidRDefault="00170F0F" w:rsidP="00277F70">
      <w:r>
        <w:continuationSeparator/>
      </w:r>
    </w:p>
  </w:footnote>
  <w:footnote w:id="1">
    <w:p w14:paraId="7D5FD3AA" w14:textId="064B2E0E" w:rsidR="004E6757" w:rsidRPr="004E6757" w:rsidRDefault="004E6757" w:rsidP="00C927A2">
      <w:pPr>
        <w:pStyle w:val="FootnoteText"/>
        <w:ind w:left="284" w:hanging="284"/>
        <w:rPr>
          <w:sz w:val="16"/>
          <w:szCs w:val="16"/>
        </w:rPr>
      </w:pPr>
      <w:r w:rsidRPr="004E6757">
        <w:rPr>
          <w:rStyle w:val="FootnoteReference"/>
        </w:rPr>
        <w:t>*</w:t>
      </w:r>
      <w:r w:rsidRPr="004E6757">
        <w:rPr>
          <w:rStyle w:val="FootnoteReference"/>
        </w:rPr>
        <w:tab/>
      </w:r>
      <w:r w:rsidRPr="004E6757">
        <w:rPr>
          <w:sz w:val="16"/>
          <w:szCs w:val="16"/>
        </w:rPr>
        <w:t>Von der UNECE in Englisch, Französisch und Russisch unter dem Aktenzeichen ECE/TRANS/WP.15/AC.2/2022/</w:t>
      </w:r>
      <w:r w:rsidR="00F10808">
        <w:rPr>
          <w:sz w:val="16"/>
          <w:szCs w:val="16"/>
        </w:rPr>
        <w:t>3</w:t>
      </w:r>
      <w:r w:rsidR="002646A7">
        <w:rPr>
          <w:sz w:val="16"/>
          <w:szCs w:val="16"/>
        </w:rPr>
        <w:t>9</w:t>
      </w:r>
      <w:r w:rsidR="00F10808">
        <w:rPr>
          <w:sz w:val="16"/>
          <w:szCs w:val="16"/>
        </w:rPr>
        <w:t xml:space="preserve"> </w:t>
      </w:r>
      <w:r w:rsidRPr="004E6757">
        <w:rPr>
          <w:sz w:val="16"/>
          <w:szCs w:val="16"/>
        </w:rPr>
        <w:t>verteilt.</w:t>
      </w:r>
    </w:p>
  </w:footnote>
  <w:footnote w:id="2">
    <w:p w14:paraId="60481CEA" w14:textId="1A3EE9B7" w:rsidR="004E6757" w:rsidRPr="00A2112A" w:rsidRDefault="004E6757" w:rsidP="00C927A2">
      <w:pPr>
        <w:pStyle w:val="FootnoteText"/>
        <w:ind w:left="284" w:hanging="284"/>
        <w:rPr>
          <w:sz w:val="16"/>
          <w:szCs w:val="16"/>
        </w:rPr>
      </w:pPr>
      <w:r w:rsidRPr="00A2112A">
        <w:rPr>
          <w:rStyle w:val="FootnoteReference"/>
        </w:rPr>
        <w:t>**</w:t>
      </w:r>
      <w:r w:rsidRPr="00A2112A">
        <w:rPr>
          <w:rStyle w:val="FootnoteReference"/>
        </w:rPr>
        <w:tab/>
      </w:r>
      <w:r w:rsidRPr="00A2112A">
        <w:rPr>
          <w:sz w:val="16"/>
          <w:szCs w:val="16"/>
        </w:rPr>
        <w:t>A/7</w:t>
      </w:r>
      <w:r w:rsidR="00BC173B" w:rsidRPr="00A2112A">
        <w:rPr>
          <w:sz w:val="16"/>
          <w:szCs w:val="16"/>
        </w:rPr>
        <w:t>6</w:t>
      </w:r>
      <w:r w:rsidRPr="00A2112A">
        <w:rPr>
          <w:sz w:val="16"/>
          <w:szCs w:val="16"/>
        </w:rPr>
        <w:t>/6 (Kap. 20) Abs. 20.</w:t>
      </w:r>
      <w:r w:rsidR="00F10808" w:rsidRPr="00A2112A">
        <w:rPr>
          <w:sz w:val="16"/>
          <w:szCs w:val="16"/>
        </w:rPr>
        <w:t>76</w:t>
      </w:r>
      <w:r w:rsidR="00BC173B" w:rsidRPr="00A2112A">
        <w:rPr>
          <w:sz w:val="16"/>
          <w:szCs w:val="16"/>
        </w:rPr>
        <w:t>.</w:t>
      </w:r>
    </w:p>
  </w:footnote>
  <w:footnote w:id="3">
    <w:p w14:paraId="18E1600F" w14:textId="66E621F5" w:rsidR="009B41AC" w:rsidRPr="00D95586" w:rsidRDefault="009B41AC" w:rsidP="00C927A2">
      <w:pPr>
        <w:pStyle w:val="FootnoteText"/>
        <w:ind w:left="284" w:hanging="284"/>
        <w:rPr>
          <w:sz w:val="16"/>
          <w:szCs w:val="16"/>
        </w:rPr>
      </w:pPr>
      <w:r w:rsidRPr="00D95586">
        <w:rPr>
          <w:rStyle w:val="FootnoteReference"/>
          <w:sz w:val="16"/>
          <w:szCs w:val="16"/>
        </w:rPr>
        <w:footnoteRef/>
      </w:r>
      <w:r w:rsidRPr="00D95586">
        <w:rPr>
          <w:sz w:val="16"/>
          <w:szCs w:val="16"/>
        </w:rPr>
        <w:tab/>
      </w:r>
      <w:r w:rsidR="000E2E57" w:rsidRPr="00D95586">
        <w:rPr>
          <w:sz w:val="16"/>
          <w:szCs w:val="16"/>
        </w:rPr>
        <w:t>Entzündet sich explosives Gas in einem Behälter oder in einer Leitung, wird eine Deflagration (Explosion) ausgelöst</w:t>
      </w:r>
      <w:r w:rsidR="00D27C6C" w:rsidRPr="00D95586">
        <w:rPr>
          <w:sz w:val="16"/>
          <w:szCs w:val="16"/>
        </w:rPr>
        <w:t>.</w:t>
      </w:r>
      <w:r w:rsidRPr="00D95586">
        <w:rPr>
          <w:sz w:val="16"/>
          <w:szCs w:val="16"/>
        </w:rPr>
        <w:t xml:space="preserve"> </w:t>
      </w:r>
      <w:r w:rsidR="000E2E57" w:rsidRPr="00D95586">
        <w:rPr>
          <w:sz w:val="16"/>
          <w:szCs w:val="16"/>
        </w:rPr>
        <w:t>Läuft eine Flammenfront durch ein Rohr, nimmt die Flammengeschwindigkeit mit der Rohrlänge zu.</w:t>
      </w:r>
      <w:r w:rsidRPr="00D95586">
        <w:rPr>
          <w:sz w:val="16"/>
          <w:szCs w:val="16"/>
        </w:rPr>
        <w:t xml:space="preserve"> </w:t>
      </w:r>
      <w:r w:rsidR="000E2E57" w:rsidRPr="00D95586">
        <w:rPr>
          <w:sz w:val="16"/>
          <w:szCs w:val="16"/>
        </w:rPr>
        <w:t>Bis zu einem bestimmten Rohrlänge/Rohrinnendurchmesser-Verhältnis pflanzt sich die Flamme mit Unterschallgeschwindigkeit fort.</w:t>
      </w:r>
      <w:r w:rsidRPr="00D95586">
        <w:rPr>
          <w:sz w:val="16"/>
          <w:szCs w:val="16"/>
        </w:rPr>
        <w:t xml:space="preserve"> </w:t>
      </w:r>
      <w:r w:rsidR="000E2E57" w:rsidRPr="00D95586">
        <w:rPr>
          <w:sz w:val="16"/>
          <w:szCs w:val="16"/>
        </w:rPr>
        <w:t>Wird diese Länge überschritten, beschleunigt die Flamme von Unterschall- zu Überschallgeschwindigkeit.</w:t>
      </w:r>
      <w:r w:rsidRPr="00D95586">
        <w:rPr>
          <w:sz w:val="16"/>
          <w:szCs w:val="16"/>
        </w:rPr>
        <w:t xml:space="preserve"> </w:t>
      </w:r>
      <w:r w:rsidR="000E2E57" w:rsidRPr="00D95586">
        <w:rPr>
          <w:sz w:val="16"/>
          <w:szCs w:val="16"/>
        </w:rPr>
        <w:t>Um einen Flammendurchschlag bei Überschallgeschwindigkeit zu stoppen, sind Flammendurchschlagsicherungen geprüft als Detonationsrohrsicherungen erforderlich.</w:t>
      </w:r>
    </w:p>
    <w:p w14:paraId="192ECBE2" w14:textId="16E8D17C" w:rsidR="009B41AC" w:rsidRPr="00D95586" w:rsidRDefault="009B41AC" w:rsidP="00C927A2">
      <w:pPr>
        <w:pStyle w:val="FootnoteText"/>
        <w:ind w:left="284" w:hanging="284"/>
        <w:rPr>
          <w:sz w:val="16"/>
          <w:szCs w:val="16"/>
        </w:rPr>
      </w:pPr>
      <w:r w:rsidRPr="00D95586">
        <w:rPr>
          <w:sz w:val="16"/>
          <w:szCs w:val="16"/>
        </w:rPr>
        <w:tab/>
      </w:r>
      <w:r w:rsidR="000E2E57" w:rsidRPr="00D95586">
        <w:rPr>
          <w:sz w:val="16"/>
          <w:szCs w:val="16"/>
        </w:rPr>
        <w:t>Die Einbauposition der Flammendurchschlagsicherung geprüft als Detonationsrohrsicherung ist unabhängig vom Abstand zur Zündquelle.</w:t>
      </w:r>
      <w:r w:rsidRPr="00D95586">
        <w:rPr>
          <w:sz w:val="16"/>
          <w:szCs w:val="16"/>
        </w:rPr>
        <w:t xml:space="preserve"> </w:t>
      </w:r>
      <w:r w:rsidR="000E2E57" w:rsidRPr="00D95586">
        <w:rPr>
          <w:sz w:val="16"/>
          <w:szCs w:val="16"/>
        </w:rPr>
        <w:t>Detonationsrohrsicherungen sind auch als Deflagrationsrohrsicherungen zugelassen.</w:t>
      </w:r>
    </w:p>
    <w:p w14:paraId="33506BED" w14:textId="1EC70C8B" w:rsidR="009B41AC" w:rsidRPr="00A2112A" w:rsidRDefault="00774278" w:rsidP="00C927A2">
      <w:pPr>
        <w:pStyle w:val="FootnoteText"/>
        <w:ind w:left="284" w:firstLine="0"/>
      </w:pPr>
      <w:r w:rsidRPr="00D95586">
        <w:rPr>
          <w:i/>
          <w:iCs/>
          <w:sz w:val="16"/>
          <w:szCs w:val="16"/>
        </w:rPr>
        <w:t>Quelle</w:t>
      </w:r>
      <w:r w:rsidR="009B41AC" w:rsidRPr="00D95586">
        <w:rPr>
          <w:i/>
          <w:iCs/>
          <w:sz w:val="16"/>
          <w:szCs w:val="16"/>
        </w:rPr>
        <w:t xml:space="preserve">: </w:t>
      </w:r>
      <w:hyperlink r:id="rId1" w:history="1">
        <w:r w:rsidR="00FC49CB" w:rsidRPr="00D95586">
          <w:rPr>
            <w:rStyle w:val="Hyperlink"/>
            <w:i/>
            <w:iCs/>
            <w:sz w:val="16"/>
            <w:szCs w:val="16"/>
          </w:rPr>
          <w:t>https://flammergmbh.de/produkte/rohrsicherung-detonation/rohrsicherung-detonation-konzentrisch</w:t>
        </w:r>
      </w:hyperlink>
      <w:r w:rsidR="00FC49CB" w:rsidRPr="00BF3DF9">
        <w:rPr>
          <w:i/>
          <w:iCs/>
          <w:sz w:val="16"/>
          <w:szCs w:val="16"/>
        </w:rPr>
        <w:t xml:space="preserve"> </w:t>
      </w:r>
    </w:p>
  </w:footnote>
  <w:footnote w:id="4">
    <w:p w14:paraId="36DCFC72" w14:textId="241E83E5" w:rsidR="00966A2B" w:rsidRPr="00FF78CF" w:rsidRDefault="00966A2B" w:rsidP="002B2D36">
      <w:pPr>
        <w:pStyle w:val="FootnoteText"/>
        <w:ind w:left="284" w:hanging="284"/>
        <w:rPr>
          <w:sz w:val="18"/>
          <w:szCs w:val="18"/>
        </w:rPr>
      </w:pPr>
      <w:r w:rsidRPr="00FF78CF">
        <w:rPr>
          <w:rStyle w:val="FootnoteReference"/>
        </w:rPr>
        <w:footnoteRef/>
      </w:r>
      <w:r w:rsidRPr="00FF78CF">
        <w:tab/>
      </w:r>
      <w:r w:rsidR="002C77CF" w:rsidRPr="00FF78CF">
        <w:rPr>
          <w:sz w:val="18"/>
          <w:szCs w:val="18"/>
        </w:rPr>
        <w:t>Zwischen Abschnitt 1.2.1 und Absatz 9.3.3.22.4 Buchstabe d (Typ N</w:t>
      </w:r>
      <w:r w:rsidR="00CC5F34" w:rsidRPr="00FF78CF">
        <w:rPr>
          <w:sz w:val="18"/>
          <w:szCs w:val="18"/>
        </w:rPr>
        <w:t xml:space="preserve"> geschlossen</w:t>
      </w:r>
      <w:r w:rsidR="002C77CF" w:rsidRPr="00FF78CF">
        <w:rPr>
          <w:sz w:val="18"/>
          <w:szCs w:val="18"/>
        </w:rPr>
        <w:t>) besteht kein solcher Widerspruch:</w:t>
      </w:r>
    </w:p>
    <w:p w14:paraId="56CD7B1A" w14:textId="41B6C0C2" w:rsidR="00966A2B" w:rsidRPr="00FF78CF" w:rsidRDefault="00966A2B" w:rsidP="002B2D36">
      <w:pPr>
        <w:pStyle w:val="FootnoteText"/>
        <w:tabs>
          <w:tab w:val="right" w:pos="1134"/>
        </w:tabs>
        <w:ind w:left="284" w:hanging="284"/>
        <w:rPr>
          <w:sz w:val="18"/>
          <w:szCs w:val="18"/>
        </w:rPr>
      </w:pPr>
      <w:r w:rsidRPr="00FF78CF">
        <w:rPr>
          <w:sz w:val="18"/>
          <w:szCs w:val="18"/>
        </w:rPr>
        <w:tab/>
      </w:r>
      <w:r w:rsidR="00352395" w:rsidRPr="00FF78CF">
        <w:rPr>
          <w:sz w:val="18"/>
          <w:szCs w:val="18"/>
        </w:rPr>
        <w:t>„Wenn die Schiffsstoffliste nach Absatz 1.16.1.2.5 Stoffe enthalten soll, für die nach Unterabschnitt</w:t>
      </w:r>
      <w:r w:rsidR="005A2878" w:rsidRPr="00FF78CF">
        <w:rPr>
          <w:sz w:val="18"/>
          <w:szCs w:val="18"/>
        </w:rPr>
        <w:t xml:space="preserve"> </w:t>
      </w:r>
      <w:r w:rsidR="00352395" w:rsidRPr="00FF78CF">
        <w:rPr>
          <w:sz w:val="18"/>
          <w:szCs w:val="18"/>
        </w:rPr>
        <w:t>3.2.3.2 Tabelle C Spalte (17) Explosionsschutz gefordert ist, muss</w:t>
      </w:r>
    </w:p>
    <w:p w14:paraId="23F87E8C" w14:textId="2B93D2D1" w:rsidR="00966A2B" w:rsidRPr="00FF78CF" w:rsidRDefault="000A4FF4" w:rsidP="002B2D36">
      <w:pPr>
        <w:pStyle w:val="FootnoteText"/>
        <w:widowControl/>
        <w:numPr>
          <w:ilvl w:val="0"/>
          <w:numId w:val="10"/>
        </w:numPr>
        <w:tabs>
          <w:tab w:val="left" w:pos="567"/>
          <w:tab w:val="right" w:pos="1134"/>
        </w:tabs>
        <w:suppressAutoHyphens/>
        <w:overflowPunct/>
        <w:autoSpaceDE/>
        <w:autoSpaceDN/>
        <w:adjustRightInd/>
        <w:spacing w:line="220" w:lineRule="exact"/>
        <w:ind w:left="284" w:right="1134" w:firstLine="0"/>
        <w:jc w:val="left"/>
        <w:textAlignment w:val="auto"/>
        <w:rPr>
          <w:sz w:val="18"/>
          <w:szCs w:val="18"/>
        </w:rPr>
      </w:pPr>
      <w:r w:rsidRPr="00FF78CF">
        <w:rPr>
          <w:sz w:val="18"/>
          <w:szCs w:val="18"/>
        </w:rPr>
        <w:t>die Gasabfuhrleitung an der Einführung in jeden Ladetank mit einer detonationssicheren Flammendurchschlagsicherung versehen sein,</w:t>
      </w:r>
    </w:p>
    <w:p w14:paraId="0F1B7C22" w14:textId="1B665FEB" w:rsidR="00966A2B" w:rsidRPr="00FF78CF" w:rsidRDefault="00576746" w:rsidP="002B2D36">
      <w:pPr>
        <w:pStyle w:val="FootnoteText"/>
        <w:widowControl/>
        <w:numPr>
          <w:ilvl w:val="0"/>
          <w:numId w:val="10"/>
        </w:numPr>
        <w:tabs>
          <w:tab w:val="left" w:pos="567"/>
          <w:tab w:val="right" w:pos="1134"/>
        </w:tabs>
        <w:suppressAutoHyphens/>
        <w:overflowPunct/>
        <w:autoSpaceDE/>
        <w:autoSpaceDN/>
        <w:adjustRightInd/>
        <w:spacing w:line="220" w:lineRule="exact"/>
        <w:ind w:left="284" w:right="1134" w:firstLine="0"/>
        <w:jc w:val="left"/>
        <w:textAlignment w:val="auto"/>
        <w:rPr>
          <w:sz w:val="18"/>
          <w:szCs w:val="18"/>
          <w:lang w:val="en-US"/>
        </w:rPr>
      </w:pPr>
      <w:r w:rsidRPr="00FF78CF">
        <w:rPr>
          <w:sz w:val="18"/>
          <w:szCs w:val="18"/>
        </w:rPr>
        <w:t>das Unterdruckventil sowie die Vorrichtung zum gefahrlosen Entspannen der Ladetanks deflagrationssicher ausgeführt sein.</w:t>
      </w:r>
      <w:r w:rsidR="00966A2B" w:rsidRPr="00FF78CF">
        <w:rPr>
          <w:sz w:val="18"/>
          <w:szCs w:val="18"/>
        </w:rPr>
        <w:t xml:space="preserve"> </w:t>
      </w:r>
      <w:r w:rsidRPr="00FF78CF">
        <w:rPr>
          <w:sz w:val="18"/>
          <w:szCs w:val="18"/>
        </w:rPr>
        <w:t>Die Deflagrationssicherheit kann auch durch eine Flammendurchschlagsicherung gewährleistet werden, und</w:t>
      </w:r>
    </w:p>
    <w:p w14:paraId="2C75CB77" w14:textId="14670662" w:rsidR="00966A2B" w:rsidRPr="00FF78CF" w:rsidRDefault="00576746" w:rsidP="002B2D36">
      <w:pPr>
        <w:pStyle w:val="FootnoteText"/>
        <w:widowControl/>
        <w:numPr>
          <w:ilvl w:val="0"/>
          <w:numId w:val="10"/>
        </w:numPr>
        <w:tabs>
          <w:tab w:val="left" w:pos="567"/>
          <w:tab w:val="right" w:pos="1134"/>
        </w:tabs>
        <w:suppressAutoHyphens/>
        <w:overflowPunct/>
        <w:autoSpaceDE/>
        <w:autoSpaceDN/>
        <w:adjustRightInd/>
        <w:spacing w:line="220" w:lineRule="exact"/>
        <w:ind w:left="284" w:right="1134" w:firstLine="0"/>
        <w:jc w:val="left"/>
        <w:textAlignment w:val="auto"/>
        <w:rPr>
          <w:sz w:val="18"/>
          <w:szCs w:val="18"/>
        </w:rPr>
      </w:pPr>
      <w:r w:rsidRPr="00FF78CF">
        <w:rPr>
          <w:sz w:val="18"/>
          <w:szCs w:val="18"/>
        </w:rPr>
        <w:t>das Überdruckventil als Hochgeschwindigkeitsventil ausgeführt sein, wobei die Gase nach oben abgeführt werden müssen. …“</w:t>
      </w:r>
    </w:p>
  </w:footnote>
  <w:footnote w:id="5">
    <w:p w14:paraId="182CB841" w14:textId="20F05C27" w:rsidR="002646A7" w:rsidRPr="00312149" w:rsidRDefault="002646A7" w:rsidP="00312149">
      <w:pPr>
        <w:pStyle w:val="FootnoteText"/>
        <w:tabs>
          <w:tab w:val="left" w:pos="284"/>
        </w:tabs>
        <w:ind w:left="284" w:hanging="284"/>
        <w:rPr>
          <w:sz w:val="18"/>
          <w:szCs w:val="18"/>
        </w:rPr>
      </w:pPr>
      <w:r w:rsidRPr="00FF78CF">
        <w:rPr>
          <w:rStyle w:val="FootnoteReference"/>
          <w:szCs w:val="18"/>
        </w:rPr>
        <w:footnoteRef/>
      </w:r>
      <w:r w:rsidRPr="00FF78CF">
        <w:rPr>
          <w:sz w:val="18"/>
          <w:szCs w:val="18"/>
        </w:rPr>
        <w:tab/>
      </w:r>
      <w:r w:rsidR="00577248" w:rsidRPr="00FF78CF">
        <w:rPr>
          <w:sz w:val="18"/>
          <w:szCs w:val="18"/>
        </w:rPr>
        <w:t xml:space="preserve">Im ADN 2019 (und früheren Ausgaben) wurde </w:t>
      </w:r>
      <w:r w:rsidR="00B80A1E">
        <w:rPr>
          <w:sz w:val="18"/>
          <w:szCs w:val="18"/>
        </w:rPr>
        <w:t>auf</w:t>
      </w:r>
      <w:r w:rsidR="005A4C76">
        <w:rPr>
          <w:sz w:val="18"/>
          <w:szCs w:val="18"/>
        </w:rPr>
        <w:t xml:space="preserve"> Englisch </w:t>
      </w:r>
      <w:r w:rsidR="00577248" w:rsidRPr="00FF78CF">
        <w:rPr>
          <w:sz w:val="18"/>
          <w:szCs w:val="18"/>
        </w:rPr>
        <w:t xml:space="preserve">die Formulierung </w:t>
      </w:r>
      <w:r w:rsidR="002F1A2B" w:rsidRPr="00FF78CF">
        <w:rPr>
          <w:sz w:val="18"/>
          <w:szCs w:val="18"/>
        </w:rPr>
        <w:t>„</w:t>
      </w:r>
      <w:r w:rsidR="00C44766" w:rsidRPr="00FF78CF">
        <w:rPr>
          <w:sz w:val="18"/>
          <w:szCs w:val="18"/>
        </w:rPr>
        <w:t>self-contained protection systems</w:t>
      </w:r>
      <w:r w:rsidR="002F1A2B" w:rsidRPr="00FF78CF">
        <w:rPr>
          <w:sz w:val="18"/>
          <w:szCs w:val="18"/>
        </w:rPr>
        <w:t>“</w:t>
      </w:r>
      <w:r w:rsidR="00577248" w:rsidRPr="00FF78CF">
        <w:rPr>
          <w:sz w:val="18"/>
          <w:szCs w:val="18"/>
        </w:rPr>
        <w:t xml:space="preserve"> </w:t>
      </w:r>
      <w:r w:rsidR="00C44766" w:rsidRPr="00FF78CF">
        <w:rPr>
          <w:sz w:val="18"/>
          <w:szCs w:val="18"/>
        </w:rPr>
        <w:t xml:space="preserve">[DE „autonome Schutzssysteme“] </w:t>
      </w:r>
      <w:r w:rsidR="00577248" w:rsidRPr="00FF78CF">
        <w:rPr>
          <w:sz w:val="18"/>
          <w:szCs w:val="18"/>
        </w:rPr>
        <w:t>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4353" w14:textId="4125C73E"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lang w:val="en-US"/>
      </w:rPr>
    </w:pPr>
    <w:r w:rsidRPr="004E6757">
      <w:rPr>
        <w:rFonts w:ascii="Arial" w:hAnsi="Arial"/>
        <w:snapToGrid w:val="0"/>
        <w:sz w:val="16"/>
        <w:szCs w:val="16"/>
        <w:lang w:val="en-US"/>
      </w:rPr>
      <w:t>CCNR-ZKR/ADN/WP.15/AC.2/202</w:t>
    </w:r>
    <w:r w:rsidR="00881C09" w:rsidRPr="004E6757">
      <w:rPr>
        <w:rFonts w:ascii="Arial" w:hAnsi="Arial"/>
        <w:snapToGrid w:val="0"/>
        <w:sz w:val="16"/>
        <w:szCs w:val="16"/>
        <w:lang w:val="en-US"/>
      </w:rPr>
      <w:t>2</w:t>
    </w:r>
    <w:r w:rsidRPr="004E6757">
      <w:rPr>
        <w:rFonts w:ascii="Arial" w:hAnsi="Arial"/>
        <w:snapToGrid w:val="0"/>
        <w:sz w:val="16"/>
        <w:szCs w:val="16"/>
        <w:lang w:val="en-US"/>
      </w:rPr>
      <w:t>/</w:t>
    </w:r>
    <w:r w:rsidR="00F10808">
      <w:rPr>
        <w:rFonts w:ascii="Arial" w:hAnsi="Arial"/>
        <w:snapToGrid w:val="0"/>
        <w:sz w:val="16"/>
        <w:szCs w:val="16"/>
        <w:lang w:val="en-US"/>
      </w:rPr>
      <w:t>3</w:t>
    </w:r>
    <w:r w:rsidR="002646A7">
      <w:rPr>
        <w:rFonts w:ascii="Arial" w:hAnsi="Arial"/>
        <w:snapToGrid w:val="0"/>
        <w:sz w:val="16"/>
        <w:szCs w:val="16"/>
        <w:lang w:val="en-US"/>
      </w:rPr>
      <w:t>9</w:t>
    </w:r>
  </w:p>
  <w:p w14:paraId="25B4A304" w14:textId="77777777"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00CD0EA8" w:rsidRPr="004E6757">
      <w:rPr>
        <w:rFonts w:ascii="Arial" w:hAnsi="Arial"/>
        <w:snapToGrid w:val="0"/>
        <w:sz w:val="16"/>
        <w:szCs w:val="16"/>
      </w:rPr>
      <w:t>2</w:t>
    </w:r>
    <w:r w:rsidRPr="004E6757">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55B" w14:textId="25A8727B" w:rsidR="00724E6F" w:rsidRPr="004E6757" w:rsidRDefault="00724E6F" w:rsidP="004E6757">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4E6757">
      <w:rPr>
        <w:rFonts w:ascii="Arial" w:hAnsi="Arial"/>
        <w:snapToGrid w:val="0"/>
        <w:sz w:val="16"/>
        <w:szCs w:val="16"/>
        <w:lang w:val="en-US"/>
      </w:rPr>
      <w:t>CCNR-ZKR/ADN/WP.15/AC.2/202</w:t>
    </w:r>
    <w:r w:rsidR="00881C09" w:rsidRPr="004E6757">
      <w:rPr>
        <w:rFonts w:ascii="Arial" w:hAnsi="Arial"/>
        <w:snapToGrid w:val="0"/>
        <w:sz w:val="16"/>
        <w:szCs w:val="16"/>
        <w:lang w:val="en-US"/>
      </w:rPr>
      <w:t>2</w:t>
    </w:r>
    <w:r w:rsidRPr="004E6757">
      <w:rPr>
        <w:rFonts w:ascii="Arial" w:hAnsi="Arial"/>
        <w:snapToGrid w:val="0"/>
        <w:sz w:val="16"/>
        <w:szCs w:val="16"/>
        <w:lang w:val="en-US"/>
      </w:rPr>
      <w:t>/</w:t>
    </w:r>
    <w:r w:rsidR="00A2112A">
      <w:rPr>
        <w:rFonts w:ascii="Arial" w:hAnsi="Arial"/>
        <w:snapToGrid w:val="0"/>
        <w:sz w:val="16"/>
        <w:szCs w:val="16"/>
        <w:lang w:val="en-US"/>
      </w:rPr>
      <w:t>39</w:t>
    </w:r>
  </w:p>
  <w:p w14:paraId="22E1460A" w14:textId="77777777" w:rsidR="00724E6F" w:rsidRPr="004E6757" w:rsidRDefault="00724E6F" w:rsidP="004E6757">
    <w:pPr>
      <w:widowControl/>
      <w:suppressAutoHyphens/>
      <w:overflowPunct/>
      <w:autoSpaceDE/>
      <w:autoSpaceDN/>
      <w:adjustRightInd/>
      <w:ind w:left="0" w:firstLine="0"/>
      <w:jc w:val="righ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Pr="004E6757">
      <w:rPr>
        <w:rFonts w:ascii="Arial" w:hAnsi="Arial"/>
        <w:snapToGrid w:val="0"/>
        <w:sz w:val="16"/>
        <w:szCs w:val="16"/>
      </w:rPr>
      <w:t>2</w:t>
    </w:r>
    <w:r w:rsidRPr="004E6757">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C91C58"/>
    <w:multiLevelType w:val="hybridMultilevel"/>
    <w:tmpl w:val="FA24EBD4"/>
    <w:lvl w:ilvl="0" w:tplc="8ED2A914">
      <w:start w:val="12"/>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631E51A5"/>
    <w:multiLevelType w:val="hybridMultilevel"/>
    <w:tmpl w:val="C41AD4B8"/>
    <w:lvl w:ilvl="0" w:tplc="B6E2B4EC">
      <w:start w:val="9"/>
      <w:numFmt w:val="bullet"/>
      <w:lvlText w:val="-"/>
      <w:lvlJc w:val="left"/>
      <w:pPr>
        <w:ind w:left="1854" w:hanging="360"/>
      </w:pPr>
      <w:rPr>
        <w:rFonts w:ascii="Arial Narrow" w:eastAsia="Times New Roman" w:hAnsi="Arial Narrow"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9"/>
  </w:num>
  <w:num w:numId="2">
    <w:abstractNumId w:val="8"/>
  </w:num>
  <w:num w:numId="3">
    <w:abstractNumId w:val="3"/>
  </w:num>
  <w:num w:numId="4">
    <w:abstractNumId w:val="0"/>
  </w:num>
  <w:num w:numId="5">
    <w:abstractNumId w:val="1"/>
  </w:num>
  <w:num w:numId="6">
    <w:abstractNumId w:val="6"/>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2135C"/>
    <w:rsid w:val="00027CB8"/>
    <w:rsid w:val="00031A2B"/>
    <w:rsid w:val="00040512"/>
    <w:rsid w:val="00050D2C"/>
    <w:rsid w:val="00057794"/>
    <w:rsid w:val="00064EC6"/>
    <w:rsid w:val="000651E0"/>
    <w:rsid w:val="000671E2"/>
    <w:rsid w:val="000674C3"/>
    <w:rsid w:val="0006782C"/>
    <w:rsid w:val="0009215A"/>
    <w:rsid w:val="0009498F"/>
    <w:rsid w:val="00094A98"/>
    <w:rsid w:val="000961BC"/>
    <w:rsid w:val="000A4FF4"/>
    <w:rsid w:val="000A563B"/>
    <w:rsid w:val="000B06DE"/>
    <w:rsid w:val="000B2B01"/>
    <w:rsid w:val="000C0F80"/>
    <w:rsid w:val="000C5CBE"/>
    <w:rsid w:val="000C6E63"/>
    <w:rsid w:val="000D0917"/>
    <w:rsid w:val="000D165E"/>
    <w:rsid w:val="000D45A5"/>
    <w:rsid w:val="000E12CF"/>
    <w:rsid w:val="000E2E57"/>
    <w:rsid w:val="000E6C55"/>
    <w:rsid w:val="00101582"/>
    <w:rsid w:val="00131A8F"/>
    <w:rsid w:val="00134432"/>
    <w:rsid w:val="0014060D"/>
    <w:rsid w:val="00151E3F"/>
    <w:rsid w:val="00151F2C"/>
    <w:rsid w:val="00155C7C"/>
    <w:rsid w:val="00160AF1"/>
    <w:rsid w:val="001647E2"/>
    <w:rsid w:val="00170F0F"/>
    <w:rsid w:val="00193A1A"/>
    <w:rsid w:val="001B4743"/>
    <w:rsid w:val="001C0EF4"/>
    <w:rsid w:val="001C60D6"/>
    <w:rsid w:val="001D3E13"/>
    <w:rsid w:val="001E3AA9"/>
    <w:rsid w:val="001E7DCD"/>
    <w:rsid w:val="001F0C89"/>
    <w:rsid w:val="001F102F"/>
    <w:rsid w:val="001F18C4"/>
    <w:rsid w:val="002123DC"/>
    <w:rsid w:val="00216583"/>
    <w:rsid w:val="00222245"/>
    <w:rsid w:val="00225E1F"/>
    <w:rsid w:val="0023190E"/>
    <w:rsid w:val="00242A4A"/>
    <w:rsid w:val="00244999"/>
    <w:rsid w:val="00246DE3"/>
    <w:rsid w:val="00253BB2"/>
    <w:rsid w:val="00254551"/>
    <w:rsid w:val="00256505"/>
    <w:rsid w:val="002624B3"/>
    <w:rsid w:val="002646A7"/>
    <w:rsid w:val="00266A26"/>
    <w:rsid w:val="00272138"/>
    <w:rsid w:val="00277F70"/>
    <w:rsid w:val="00287913"/>
    <w:rsid w:val="00292E47"/>
    <w:rsid w:val="00295B88"/>
    <w:rsid w:val="00295C6B"/>
    <w:rsid w:val="0029715A"/>
    <w:rsid w:val="002A6A40"/>
    <w:rsid w:val="002B2D36"/>
    <w:rsid w:val="002C467F"/>
    <w:rsid w:val="002C77CF"/>
    <w:rsid w:val="002E6F67"/>
    <w:rsid w:val="002F0473"/>
    <w:rsid w:val="002F1A2B"/>
    <w:rsid w:val="002F4CDF"/>
    <w:rsid w:val="00300274"/>
    <w:rsid w:val="00303673"/>
    <w:rsid w:val="00312149"/>
    <w:rsid w:val="0033401C"/>
    <w:rsid w:val="003467AF"/>
    <w:rsid w:val="00352395"/>
    <w:rsid w:val="00371F66"/>
    <w:rsid w:val="0037510A"/>
    <w:rsid w:val="00386633"/>
    <w:rsid w:val="00387BCB"/>
    <w:rsid w:val="003A0F5B"/>
    <w:rsid w:val="003B3B2B"/>
    <w:rsid w:val="003B3B76"/>
    <w:rsid w:val="003B612C"/>
    <w:rsid w:val="003D224A"/>
    <w:rsid w:val="003D2EC0"/>
    <w:rsid w:val="003D7633"/>
    <w:rsid w:val="003E12AD"/>
    <w:rsid w:val="003E30A5"/>
    <w:rsid w:val="003E6913"/>
    <w:rsid w:val="003E72FC"/>
    <w:rsid w:val="003F139C"/>
    <w:rsid w:val="003F545D"/>
    <w:rsid w:val="003F5E68"/>
    <w:rsid w:val="004076CE"/>
    <w:rsid w:val="00416B31"/>
    <w:rsid w:val="00426B46"/>
    <w:rsid w:val="00434E71"/>
    <w:rsid w:val="004468FA"/>
    <w:rsid w:val="00450E87"/>
    <w:rsid w:val="00452C31"/>
    <w:rsid w:val="00454F9B"/>
    <w:rsid w:val="00483782"/>
    <w:rsid w:val="004A311C"/>
    <w:rsid w:val="004A7663"/>
    <w:rsid w:val="004B2F5A"/>
    <w:rsid w:val="004C1F19"/>
    <w:rsid w:val="004C5092"/>
    <w:rsid w:val="004C796E"/>
    <w:rsid w:val="004D45D9"/>
    <w:rsid w:val="004D78DF"/>
    <w:rsid w:val="004E2AEF"/>
    <w:rsid w:val="004E64FE"/>
    <w:rsid w:val="004E6757"/>
    <w:rsid w:val="004F06F2"/>
    <w:rsid w:val="004F72E4"/>
    <w:rsid w:val="004F7315"/>
    <w:rsid w:val="004F7910"/>
    <w:rsid w:val="00510C03"/>
    <w:rsid w:val="00512D60"/>
    <w:rsid w:val="00513805"/>
    <w:rsid w:val="005276E2"/>
    <w:rsid w:val="00532625"/>
    <w:rsid w:val="00534C8A"/>
    <w:rsid w:val="005443F2"/>
    <w:rsid w:val="00547DA0"/>
    <w:rsid w:val="00564644"/>
    <w:rsid w:val="00570A39"/>
    <w:rsid w:val="005731C3"/>
    <w:rsid w:val="00576746"/>
    <w:rsid w:val="00577248"/>
    <w:rsid w:val="00591A7D"/>
    <w:rsid w:val="00592E41"/>
    <w:rsid w:val="005971B4"/>
    <w:rsid w:val="005A2878"/>
    <w:rsid w:val="005A3A14"/>
    <w:rsid w:val="005A4C76"/>
    <w:rsid w:val="005C2135"/>
    <w:rsid w:val="005C4F39"/>
    <w:rsid w:val="005D34FF"/>
    <w:rsid w:val="005D3E46"/>
    <w:rsid w:val="005E13D8"/>
    <w:rsid w:val="005E6B64"/>
    <w:rsid w:val="005F1353"/>
    <w:rsid w:val="00600507"/>
    <w:rsid w:val="00607AC6"/>
    <w:rsid w:val="0062455E"/>
    <w:rsid w:val="0063076E"/>
    <w:rsid w:val="00635226"/>
    <w:rsid w:val="00636A5E"/>
    <w:rsid w:val="00643AEA"/>
    <w:rsid w:val="00685194"/>
    <w:rsid w:val="006952C1"/>
    <w:rsid w:val="0069704F"/>
    <w:rsid w:val="006972BF"/>
    <w:rsid w:val="006B10A8"/>
    <w:rsid w:val="006B4C70"/>
    <w:rsid w:val="006B4FAE"/>
    <w:rsid w:val="006B79A9"/>
    <w:rsid w:val="006B7B83"/>
    <w:rsid w:val="006D68B4"/>
    <w:rsid w:val="006D7590"/>
    <w:rsid w:val="006E493E"/>
    <w:rsid w:val="006E7FA7"/>
    <w:rsid w:val="006F4578"/>
    <w:rsid w:val="00700D37"/>
    <w:rsid w:val="00712666"/>
    <w:rsid w:val="00720516"/>
    <w:rsid w:val="007210FE"/>
    <w:rsid w:val="00721176"/>
    <w:rsid w:val="00724E6F"/>
    <w:rsid w:val="00732173"/>
    <w:rsid w:val="00741CBF"/>
    <w:rsid w:val="00751575"/>
    <w:rsid w:val="00753C76"/>
    <w:rsid w:val="00754176"/>
    <w:rsid w:val="007623AF"/>
    <w:rsid w:val="0076301C"/>
    <w:rsid w:val="00774278"/>
    <w:rsid w:val="00782258"/>
    <w:rsid w:val="00791DCC"/>
    <w:rsid w:val="007B5A47"/>
    <w:rsid w:val="007B6156"/>
    <w:rsid w:val="007B69E8"/>
    <w:rsid w:val="007C0524"/>
    <w:rsid w:val="007C3572"/>
    <w:rsid w:val="007C4366"/>
    <w:rsid w:val="007C72B0"/>
    <w:rsid w:val="007D2568"/>
    <w:rsid w:val="007D2C1E"/>
    <w:rsid w:val="007E3608"/>
    <w:rsid w:val="00817534"/>
    <w:rsid w:val="008245D5"/>
    <w:rsid w:val="00827D8E"/>
    <w:rsid w:val="00830501"/>
    <w:rsid w:val="0084481A"/>
    <w:rsid w:val="00863D48"/>
    <w:rsid w:val="008658D4"/>
    <w:rsid w:val="00866788"/>
    <w:rsid w:val="00881C09"/>
    <w:rsid w:val="00884338"/>
    <w:rsid w:val="00895F87"/>
    <w:rsid w:val="008A4259"/>
    <w:rsid w:val="008A4F51"/>
    <w:rsid w:val="008D47A4"/>
    <w:rsid w:val="008E0E25"/>
    <w:rsid w:val="008F4F6A"/>
    <w:rsid w:val="00917B55"/>
    <w:rsid w:val="00922ADD"/>
    <w:rsid w:val="009255EA"/>
    <w:rsid w:val="00927215"/>
    <w:rsid w:val="00927A37"/>
    <w:rsid w:val="00933179"/>
    <w:rsid w:val="0093427D"/>
    <w:rsid w:val="00942CB5"/>
    <w:rsid w:val="009545CD"/>
    <w:rsid w:val="0096340F"/>
    <w:rsid w:val="0096394F"/>
    <w:rsid w:val="00965EB3"/>
    <w:rsid w:val="00966A2B"/>
    <w:rsid w:val="009758DF"/>
    <w:rsid w:val="00980B1C"/>
    <w:rsid w:val="00987319"/>
    <w:rsid w:val="009873A1"/>
    <w:rsid w:val="0099628D"/>
    <w:rsid w:val="009A5ADD"/>
    <w:rsid w:val="009A75C9"/>
    <w:rsid w:val="009B390A"/>
    <w:rsid w:val="009B41AC"/>
    <w:rsid w:val="009B7E33"/>
    <w:rsid w:val="009C033F"/>
    <w:rsid w:val="009C4123"/>
    <w:rsid w:val="009D10AB"/>
    <w:rsid w:val="009D37C6"/>
    <w:rsid w:val="009D4BCF"/>
    <w:rsid w:val="009D5560"/>
    <w:rsid w:val="009E0897"/>
    <w:rsid w:val="009E2B4D"/>
    <w:rsid w:val="009F1757"/>
    <w:rsid w:val="00A0258A"/>
    <w:rsid w:val="00A02FB6"/>
    <w:rsid w:val="00A0357B"/>
    <w:rsid w:val="00A05062"/>
    <w:rsid w:val="00A11E37"/>
    <w:rsid w:val="00A2112A"/>
    <w:rsid w:val="00A30447"/>
    <w:rsid w:val="00A30CD2"/>
    <w:rsid w:val="00A449A7"/>
    <w:rsid w:val="00A52A61"/>
    <w:rsid w:val="00A548C2"/>
    <w:rsid w:val="00A60FC3"/>
    <w:rsid w:val="00A6135B"/>
    <w:rsid w:val="00A857CC"/>
    <w:rsid w:val="00A86CBF"/>
    <w:rsid w:val="00A94CF6"/>
    <w:rsid w:val="00A97CEA"/>
    <w:rsid w:val="00A97F6F"/>
    <w:rsid w:val="00AA0E3A"/>
    <w:rsid w:val="00AA1EE6"/>
    <w:rsid w:val="00AC78AF"/>
    <w:rsid w:val="00AC7F3E"/>
    <w:rsid w:val="00AD7853"/>
    <w:rsid w:val="00AE0AFB"/>
    <w:rsid w:val="00AE5AF2"/>
    <w:rsid w:val="00AF1F43"/>
    <w:rsid w:val="00B14828"/>
    <w:rsid w:val="00B302EA"/>
    <w:rsid w:val="00B4533C"/>
    <w:rsid w:val="00B52DBA"/>
    <w:rsid w:val="00B56BC7"/>
    <w:rsid w:val="00B60BBC"/>
    <w:rsid w:val="00B72BC1"/>
    <w:rsid w:val="00B741AB"/>
    <w:rsid w:val="00B74E20"/>
    <w:rsid w:val="00B76310"/>
    <w:rsid w:val="00B80A1E"/>
    <w:rsid w:val="00B82974"/>
    <w:rsid w:val="00B849A1"/>
    <w:rsid w:val="00B84B6D"/>
    <w:rsid w:val="00B87AB7"/>
    <w:rsid w:val="00B93698"/>
    <w:rsid w:val="00BA54FF"/>
    <w:rsid w:val="00BB0DBC"/>
    <w:rsid w:val="00BC173B"/>
    <w:rsid w:val="00BC6E67"/>
    <w:rsid w:val="00BD4DE1"/>
    <w:rsid w:val="00BE3AD1"/>
    <w:rsid w:val="00BF3DF9"/>
    <w:rsid w:val="00BF5DC0"/>
    <w:rsid w:val="00C03DEB"/>
    <w:rsid w:val="00C07195"/>
    <w:rsid w:val="00C11C7E"/>
    <w:rsid w:val="00C125FE"/>
    <w:rsid w:val="00C23846"/>
    <w:rsid w:val="00C2636A"/>
    <w:rsid w:val="00C3092A"/>
    <w:rsid w:val="00C32403"/>
    <w:rsid w:val="00C44766"/>
    <w:rsid w:val="00C52B98"/>
    <w:rsid w:val="00C57E51"/>
    <w:rsid w:val="00C66A9E"/>
    <w:rsid w:val="00C86E66"/>
    <w:rsid w:val="00C8765A"/>
    <w:rsid w:val="00C927A2"/>
    <w:rsid w:val="00C94048"/>
    <w:rsid w:val="00C951AF"/>
    <w:rsid w:val="00C971AE"/>
    <w:rsid w:val="00CC5F34"/>
    <w:rsid w:val="00CC786E"/>
    <w:rsid w:val="00CD0EA8"/>
    <w:rsid w:val="00CF1246"/>
    <w:rsid w:val="00CF5FF5"/>
    <w:rsid w:val="00D12776"/>
    <w:rsid w:val="00D15348"/>
    <w:rsid w:val="00D1546F"/>
    <w:rsid w:val="00D25F16"/>
    <w:rsid w:val="00D2741A"/>
    <w:rsid w:val="00D27C6C"/>
    <w:rsid w:val="00D34FAC"/>
    <w:rsid w:val="00D36741"/>
    <w:rsid w:val="00D405D0"/>
    <w:rsid w:val="00D44206"/>
    <w:rsid w:val="00D45DD4"/>
    <w:rsid w:val="00D46E56"/>
    <w:rsid w:val="00D4726C"/>
    <w:rsid w:val="00D60E75"/>
    <w:rsid w:val="00D63E14"/>
    <w:rsid w:val="00D64C07"/>
    <w:rsid w:val="00D703CD"/>
    <w:rsid w:val="00D92848"/>
    <w:rsid w:val="00D95586"/>
    <w:rsid w:val="00DA230E"/>
    <w:rsid w:val="00DA42D3"/>
    <w:rsid w:val="00DB52E7"/>
    <w:rsid w:val="00DB57E7"/>
    <w:rsid w:val="00DB6D94"/>
    <w:rsid w:val="00DC597D"/>
    <w:rsid w:val="00DD0A70"/>
    <w:rsid w:val="00E020D8"/>
    <w:rsid w:val="00E03BF3"/>
    <w:rsid w:val="00E04049"/>
    <w:rsid w:val="00E14F14"/>
    <w:rsid w:val="00E1520F"/>
    <w:rsid w:val="00E20412"/>
    <w:rsid w:val="00E23E3B"/>
    <w:rsid w:val="00E37FFD"/>
    <w:rsid w:val="00E403CD"/>
    <w:rsid w:val="00E41049"/>
    <w:rsid w:val="00E43C09"/>
    <w:rsid w:val="00E55E33"/>
    <w:rsid w:val="00E565DE"/>
    <w:rsid w:val="00E569AC"/>
    <w:rsid w:val="00E727CB"/>
    <w:rsid w:val="00E824B3"/>
    <w:rsid w:val="00E83D57"/>
    <w:rsid w:val="00E94E2A"/>
    <w:rsid w:val="00EA4E62"/>
    <w:rsid w:val="00EB6AB9"/>
    <w:rsid w:val="00EC6EF3"/>
    <w:rsid w:val="00ED557F"/>
    <w:rsid w:val="00EE66ED"/>
    <w:rsid w:val="00EF1C4B"/>
    <w:rsid w:val="00F00F14"/>
    <w:rsid w:val="00F10808"/>
    <w:rsid w:val="00F70B77"/>
    <w:rsid w:val="00F870A2"/>
    <w:rsid w:val="00FA181D"/>
    <w:rsid w:val="00FA20A1"/>
    <w:rsid w:val="00FC49CB"/>
    <w:rsid w:val="00FC5EAA"/>
    <w:rsid w:val="00FE16E8"/>
    <w:rsid w:val="00FF15A4"/>
    <w:rsid w:val="00FF1C99"/>
    <w:rsid w:val="00FF78C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74DFDA"/>
  <w15:docId w15:val="{E808E2C0-A215-4C5D-B6A2-A596B65E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A30CD2"/>
    <w:rPr>
      <w:sz w:val="16"/>
      <w:szCs w:val="16"/>
    </w:rPr>
  </w:style>
  <w:style w:type="paragraph" w:styleId="CommentText">
    <w:name w:val="annotation text"/>
    <w:basedOn w:val="Normal"/>
    <w:link w:val="CommentTextChar"/>
    <w:semiHidden/>
    <w:unhideWhenUsed/>
    <w:rsid w:val="00A30CD2"/>
  </w:style>
  <w:style w:type="character" w:customStyle="1" w:styleId="CommentTextChar">
    <w:name w:val="Comment Text Char"/>
    <w:basedOn w:val="DefaultParagraphFont"/>
    <w:link w:val="CommentText"/>
    <w:semiHidden/>
    <w:rsid w:val="00A30CD2"/>
    <w:rPr>
      <w:lang w:eastAsia="fr-FR"/>
    </w:rPr>
  </w:style>
  <w:style w:type="paragraph" w:styleId="CommentSubject">
    <w:name w:val="annotation subject"/>
    <w:basedOn w:val="CommentText"/>
    <w:next w:val="CommentText"/>
    <w:link w:val="CommentSubjectChar"/>
    <w:semiHidden/>
    <w:unhideWhenUsed/>
    <w:rsid w:val="00A30CD2"/>
    <w:rPr>
      <w:b/>
      <w:bCs/>
    </w:rPr>
  </w:style>
  <w:style w:type="character" w:customStyle="1" w:styleId="CommentSubjectChar">
    <w:name w:val="Comment Subject Char"/>
    <w:basedOn w:val="CommentTextChar"/>
    <w:link w:val="CommentSubject"/>
    <w:semiHidden/>
    <w:rsid w:val="00A30CD2"/>
    <w:rPr>
      <w:b/>
      <w:bCs/>
      <w:lang w:eastAsia="fr-FR"/>
    </w:rPr>
  </w:style>
  <w:style w:type="paragraph" w:customStyle="1" w:styleId="a">
    <w:name w:val="a_"/>
    <w:basedOn w:val="BodyTextIndent2"/>
    <w:rsid w:val="005F1353"/>
    <w:pPr>
      <w:widowControl/>
      <w:tabs>
        <w:tab w:val="left" w:pos="426"/>
        <w:tab w:val="left" w:pos="709"/>
      </w:tabs>
      <w:overflowPunct/>
      <w:autoSpaceDE/>
      <w:autoSpaceDN/>
      <w:adjustRightInd/>
      <w:spacing w:after="0" w:line="240" w:lineRule="atLeast"/>
      <w:ind w:left="709" w:hanging="709"/>
      <w:textAlignment w:val="auto"/>
    </w:pPr>
    <w:rPr>
      <w:rFonts w:ascii="Arial" w:hAnsi="Arial" w:cs="Arial"/>
      <w:snapToGrid w:val="0"/>
    </w:rPr>
  </w:style>
  <w:style w:type="paragraph" w:styleId="BodyTextIndent2">
    <w:name w:val="Body Text Indent 2"/>
    <w:basedOn w:val="Normal"/>
    <w:link w:val="BodyTextIndent2Char"/>
    <w:semiHidden/>
    <w:unhideWhenUsed/>
    <w:rsid w:val="005F1353"/>
    <w:pPr>
      <w:spacing w:after="120" w:line="480" w:lineRule="auto"/>
      <w:ind w:left="283"/>
    </w:pPr>
  </w:style>
  <w:style w:type="character" w:customStyle="1" w:styleId="BodyTextIndent2Char">
    <w:name w:val="Body Text Indent 2 Char"/>
    <w:basedOn w:val="DefaultParagraphFont"/>
    <w:link w:val="BodyTextIndent2"/>
    <w:semiHidden/>
    <w:rsid w:val="005F1353"/>
    <w:rPr>
      <w:lang w:eastAsia="fr-FR"/>
    </w:rPr>
  </w:style>
  <w:style w:type="paragraph" w:styleId="BodyTextIndent">
    <w:name w:val="Body Text Indent"/>
    <w:basedOn w:val="Normal"/>
    <w:link w:val="BodyTextIndentChar"/>
    <w:semiHidden/>
    <w:unhideWhenUsed/>
    <w:rsid w:val="00F00F14"/>
    <w:pPr>
      <w:spacing w:after="120"/>
      <w:ind w:left="283"/>
    </w:pPr>
  </w:style>
  <w:style w:type="character" w:customStyle="1" w:styleId="BodyTextIndentChar">
    <w:name w:val="Body Text Indent Char"/>
    <w:basedOn w:val="DefaultParagraphFont"/>
    <w:link w:val="BodyTextIndent"/>
    <w:semiHidden/>
    <w:rsid w:val="00F00F14"/>
    <w:rPr>
      <w:lang w:eastAsia="fr-FR"/>
    </w:rPr>
  </w:style>
  <w:style w:type="character" w:styleId="Hyperlink">
    <w:name w:val="Hyperlink"/>
    <w:basedOn w:val="DefaultParagraphFont"/>
    <w:unhideWhenUsed/>
    <w:rsid w:val="007E3608"/>
    <w:rPr>
      <w:color w:val="0000FF" w:themeColor="hyperlink"/>
      <w:u w:val="single"/>
    </w:rPr>
  </w:style>
  <w:style w:type="character" w:styleId="FollowedHyperlink">
    <w:name w:val="FollowedHyperlink"/>
    <w:basedOn w:val="DefaultParagraphFont"/>
    <w:semiHidden/>
    <w:unhideWhenUsed/>
    <w:rsid w:val="007E3608"/>
    <w:rPr>
      <w:color w:val="800080" w:themeColor="followedHyperlink"/>
      <w:u w:val="single"/>
    </w:rPr>
  </w:style>
  <w:style w:type="table" w:customStyle="1" w:styleId="Grilledutableau2">
    <w:name w:val="Grille du tableau2"/>
    <w:basedOn w:val="TableNormal"/>
    <w:next w:val="TableGrid"/>
    <w:rsid w:val="002646A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FC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lammergmbh.de/produkte/rohrsicherung-detonation/rohrsicherung-detonation-konzentri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064192E6-76FB-4D75-93E2-B6D7AB94E034}">
  <ds:schemaRefs>
    <ds:schemaRef ds:uri="http://schemas.openxmlformats.org/officeDocument/2006/bibliography"/>
  </ds:schemaRefs>
</ds:datastoreItem>
</file>

<file path=customXml/itemProps3.xml><?xml version="1.0" encoding="utf-8"?>
<ds:datastoreItem xmlns:ds="http://schemas.openxmlformats.org/officeDocument/2006/customXml" ds:itemID="{64AEA641-4AB0-4074-9958-21970EC6DACF}"/>
</file>

<file path=customXml/itemProps4.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7865</Characters>
  <Application>Microsoft Office Word</Application>
  <DocSecurity>4</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ND</cp:lastModifiedBy>
  <cp:revision>2</cp:revision>
  <cp:lastPrinted>2019-11-12T10:07:00Z</cp:lastPrinted>
  <dcterms:created xsi:type="dcterms:W3CDTF">2022-06-22T14:06:00Z</dcterms:created>
  <dcterms:modified xsi:type="dcterms:W3CDTF">2022-06-22T14:06:00Z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