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B0A4" w14:textId="02028675" w:rsidR="00681067" w:rsidRPr="001711D1" w:rsidRDefault="00681067" w:rsidP="004408DE">
      <w:pPr>
        <w:pStyle w:val="HChG"/>
        <w:spacing w:before="0"/>
        <w:rPr>
          <w:rFonts w:eastAsia="SimSun"/>
          <w:spacing w:val="-2"/>
        </w:rPr>
      </w:pPr>
      <w:r w:rsidRPr="001711D1">
        <w:tab/>
      </w:r>
      <w:r w:rsidRPr="001711D1">
        <w:tab/>
      </w:r>
      <w:r w:rsidRPr="001711D1">
        <w:rPr>
          <w:spacing w:val="-2"/>
        </w:rPr>
        <w:t>Modèle</w:t>
      </w:r>
      <w:r w:rsidR="00A40D9C">
        <w:rPr>
          <w:rStyle w:val="EndnoteReference"/>
          <w:spacing w:val="-2"/>
        </w:rPr>
        <w:endnoteReference w:id="2"/>
      </w:r>
      <w:r w:rsidRPr="001711D1">
        <w:rPr>
          <w:spacing w:val="-2"/>
        </w:rPr>
        <w:t xml:space="preserve"> de présentation des engagements volontaires pris dans le cadre de l</w:t>
      </w:r>
      <w:r w:rsidR="00D929B6" w:rsidRPr="001711D1">
        <w:rPr>
          <w:spacing w:val="-2"/>
        </w:rPr>
        <w:t>’</w:t>
      </w:r>
      <w:r w:rsidRPr="001711D1">
        <w:rPr>
          <w:spacing w:val="-2"/>
        </w:rPr>
        <w:t>Initiative de Batumi pour une économie verte</w:t>
      </w:r>
      <w:r w:rsidR="00A40D9C">
        <w:rPr>
          <w:spacing w:val="-2"/>
        </w:rPr>
        <w:t xml:space="preserve"> </w:t>
      </w:r>
      <w:r w:rsidR="00A40D9C" w:rsidRPr="00193088">
        <w:rPr>
          <w:spacing w:val="-2"/>
        </w:rPr>
        <w:t>(</w:t>
      </w:r>
      <w:proofErr w:type="spellStart"/>
      <w:r w:rsidR="00A40D9C" w:rsidRPr="00193088">
        <w:rPr>
          <w:spacing w:val="-2"/>
        </w:rPr>
        <w:t>Nicosia</w:t>
      </w:r>
      <w:proofErr w:type="spellEnd"/>
      <w:r w:rsidR="00A40D9C" w:rsidRPr="00193088">
        <w:rPr>
          <w:spacing w:val="-2"/>
        </w:rPr>
        <w:t xml:space="preserve"> appel)</w:t>
      </w:r>
    </w:p>
    <w:p w14:paraId="32805FBE" w14:textId="42EB7C18" w:rsidR="00681067" w:rsidRPr="00A40D9C" w:rsidRDefault="00A40D9C" w:rsidP="00A40D9C">
      <w:pPr>
        <w:pStyle w:val="SingleTxtG"/>
        <w:rPr>
          <w:rFonts w:eastAsia="SimSun"/>
          <w:i/>
          <w:iCs/>
        </w:rPr>
      </w:pPr>
      <w:r w:rsidRPr="00A40D9C">
        <w:rPr>
          <w:i/>
          <w:iCs/>
        </w:rPr>
        <w:t>À remplir par le pays/l'organisation soumissionnaire</w:t>
      </w:r>
      <w:r w:rsidR="00681067" w:rsidRPr="00A40D9C">
        <w:rPr>
          <w:i/>
          <w:iCs/>
        </w:rPr>
        <w:t xml:space="preserve"> </w:t>
      </w:r>
    </w:p>
    <w:p w14:paraId="54ECE6BB" w14:textId="77777777" w:rsidR="00681067" w:rsidRPr="00DC19C5" w:rsidRDefault="0088343D" w:rsidP="002B61A3">
      <w:pPr>
        <w:pStyle w:val="SingleTxtG"/>
        <w:ind w:left="1701" w:hanging="567"/>
        <w:jc w:val="left"/>
        <w:rPr>
          <w:rFonts w:eastAsia="SimSun"/>
          <w:b/>
          <w:bCs/>
        </w:rPr>
      </w:pPr>
      <w:r w:rsidRPr="001711D1">
        <w:t>1.</w:t>
      </w:r>
      <w:r w:rsidRPr="001711D1">
        <w:tab/>
      </w:r>
      <w:r w:rsidRPr="00DC19C5">
        <w:rPr>
          <w:b/>
          <w:bCs/>
        </w:rPr>
        <w:t>Pays ou organisation </w:t>
      </w:r>
      <w:r w:rsidR="00681067" w:rsidRPr="00DC19C5">
        <w:rPr>
          <w:b/>
          <w:bCs/>
        </w:rPr>
        <w:t>:</w:t>
      </w:r>
    </w:p>
    <w:p w14:paraId="1F5C7904" w14:textId="4F671A1C" w:rsidR="00681067" w:rsidRPr="00DC19C5" w:rsidRDefault="00681067" w:rsidP="002B61A3">
      <w:pPr>
        <w:pStyle w:val="SingleTxtG"/>
        <w:ind w:left="1701" w:hanging="567"/>
        <w:jc w:val="left"/>
        <w:rPr>
          <w:rFonts w:eastAsia="SimSun"/>
          <w:b/>
          <w:bCs/>
        </w:rPr>
      </w:pPr>
      <w:r w:rsidRPr="00DC19C5">
        <w:rPr>
          <w:b/>
          <w:bCs/>
        </w:rPr>
        <w:t>2.</w:t>
      </w:r>
      <w:r w:rsidRPr="00DC19C5">
        <w:rPr>
          <w:b/>
          <w:bCs/>
        </w:rPr>
        <w:tab/>
        <w:t>Intitulé de l</w:t>
      </w:r>
      <w:r w:rsidR="00D929B6" w:rsidRPr="00DC19C5">
        <w:rPr>
          <w:b/>
          <w:bCs/>
        </w:rPr>
        <w:t>’</w:t>
      </w:r>
      <w:r w:rsidRPr="00DC19C5">
        <w:rPr>
          <w:b/>
          <w:bCs/>
        </w:rPr>
        <w:t>action (indiquer entre parenthèses les numéros des domaines d</w:t>
      </w:r>
      <w:r w:rsidR="00D929B6" w:rsidRPr="00DC19C5">
        <w:rPr>
          <w:b/>
          <w:bCs/>
        </w:rPr>
        <w:t>’</w:t>
      </w:r>
      <w:r w:rsidR="0088343D" w:rsidRPr="00DC19C5">
        <w:rPr>
          <w:b/>
          <w:bCs/>
        </w:rPr>
        <w:t>intervention concernés</w:t>
      </w:r>
      <w:r w:rsidR="00A40D9C" w:rsidRPr="00DC19C5">
        <w:rPr>
          <w:rStyle w:val="EndnoteReference"/>
          <w:b/>
          <w:bCs/>
        </w:rPr>
        <w:endnoteReference w:id="3"/>
      </w:r>
      <w:r w:rsidR="0088343D" w:rsidRPr="00DC19C5">
        <w:rPr>
          <w:b/>
          <w:bCs/>
        </w:rPr>
        <w:t>) </w:t>
      </w:r>
      <w:r w:rsidRPr="00DC19C5">
        <w:rPr>
          <w:b/>
          <w:bCs/>
        </w:rPr>
        <w:t>:</w:t>
      </w:r>
    </w:p>
    <w:p w14:paraId="399B4334" w14:textId="77777777" w:rsidR="00681067" w:rsidRPr="00DC19C5" w:rsidRDefault="00681067" w:rsidP="002B61A3">
      <w:pPr>
        <w:pStyle w:val="SingleTxtG"/>
        <w:ind w:left="1701" w:hanging="567"/>
        <w:jc w:val="left"/>
        <w:rPr>
          <w:rFonts w:eastAsia="SimSun"/>
          <w:b/>
          <w:bCs/>
        </w:rPr>
      </w:pPr>
      <w:r w:rsidRPr="00DC19C5">
        <w:rPr>
          <w:b/>
          <w:bCs/>
        </w:rPr>
        <w:t>3.</w:t>
      </w:r>
      <w:r w:rsidRPr="00DC19C5">
        <w:rPr>
          <w:b/>
          <w:bCs/>
        </w:rPr>
        <w:tab/>
        <w:t>Description de l</w:t>
      </w:r>
      <w:r w:rsidR="00D929B6" w:rsidRPr="00DC19C5">
        <w:rPr>
          <w:b/>
          <w:bCs/>
        </w:rPr>
        <w:t>’</w:t>
      </w:r>
      <w:r w:rsidR="0088343D" w:rsidRPr="00DC19C5">
        <w:rPr>
          <w:b/>
          <w:bCs/>
        </w:rPr>
        <w:t>action </w:t>
      </w:r>
      <w:r w:rsidRPr="00DC19C5">
        <w:rPr>
          <w:b/>
          <w:bCs/>
        </w:rPr>
        <w:t>:</w:t>
      </w:r>
    </w:p>
    <w:p w14:paraId="146DF6F0" w14:textId="77777777" w:rsidR="00681067" w:rsidRPr="00DC19C5" w:rsidRDefault="00681067" w:rsidP="002B61A3">
      <w:pPr>
        <w:pStyle w:val="SingleTxtG"/>
        <w:ind w:left="1701" w:hanging="567"/>
        <w:jc w:val="left"/>
        <w:rPr>
          <w:rFonts w:eastAsia="SimSun"/>
          <w:b/>
          <w:bCs/>
        </w:rPr>
      </w:pPr>
      <w:r w:rsidRPr="00DC19C5">
        <w:rPr>
          <w:b/>
          <w:bCs/>
        </w:rPr>
        <w:t>4.</w:t>
      </w:r>
      <w:r w:rsidRPr="00DC19C5">
        <w:rPr>
          <w:b/>
          <w:bCs/>
        </w:rPr>
        <w:tab/>
        <w:t>Calendrier/objectifs d</w:t>
      </w:r>
      <w:r w:rsidR="00D929B6" w:rsidRPr="00DC19C5">
        <w:rPr>
          <w:b/>
          <w:bCs/>
        </w:rPr>
        <w:t>’</w:t>
      </w:r>
      <w:r w:rsidR="0088343D" w:rsidRPr="00DC19C5">
        <w:rPr>
          <w:b/>
          <w:bCs/>
        </w:rPr>
        <w:t>étape, le cas échéant </w:t>
      </w:r>
      <w:r w:rsidRPr="00DC19C5">
        <w:rPr>
          <w:b/>
          <w:bCs/>
        </w:rPr>
        <w:t>:</w:t>
      </w:r>
    </w:p>
    <w:p w14:paraId="59A70EE2" w14:textId="2756A8FA" w:rsidR="00681067" w:rsidRPr="00DC19C5" w:rsidRDefault="00681067" w:rsidP="002B61A3">
      <w:pPr>
        <w:pStyle w:val="SingleTxtG"/>
        <w:ind w:left="1701" w:hanging="567"/>
        <w:jc w:val="left"/>
        <w:rPr>
          <w:rFonts w:eastAsia="SimSun"/>
          <w:b/>
          <w:bCs/>
        </w:rPr>
      </w:pPr>
      <w:r w:rsidRPr="00DC19C5">
        <w:rPr>
          <w:b/>
          <w:bCs/>
        </w:rPr>
        <w:t>5.</w:t>
      </w:r>
      <w:r w:rsidRPr="00DC19C5">
        <w:rPr>
          <w:b/>
          <w:bCs/>
        </w:rPr>
        <w:tab/>
        <w:t>Type d</w:t>
      </w:r>
      <w:r w:rsidR="00D929B6" w:rsidRPr="00DC19C5">
        <w:rPr>
          <w:b/>
          <w:bCs/>
        </w:rPr>
        <w:t>’</w:t>
      </w:r>
      <w:r w:rsidRPr="00DC19C5">
        <w:rPr>
          <w:b/>
          <w:bCs/>
        </w:rPr>
        <w:t>action</w:t>
      </w:r>
      <w:r w:rsidR="007502EF" w:rsidRPr="00DC19C5">
        <w:rPr>
          <w:rStyle w:val="EndnoteReference"/>
          <w:b/>
          <w:bCs/>
        </w:rPr>
        <w:endnoteReference w:id="4"/>
      </w:r>
      <w:r w:rsidR="0088343D" w:rsidRPr="00DC19C5">
        <w:rPr>
          <w:b/>
          <w:bCs/>
        </w:rPr>
        <w:t> </w:t>
      </w:r>
      <w:r w:rsidRPr="00DC19C5">
        <w:rPr>
          <w:b/>
          <w:bCs/>
        </w:rPr>
        <w:t>:</w:t>
      </w:r>
    </w:p>
    <w:p w14:paraId="78F2C8B1" w14:textId="78053268" w:rsidR="00681067" w:rsidRPr="00DC19C5" w:rsidRDefault="00681067" w:rsidP="002B61A3">
      <w:pPr>
        <w:pStyle w:val="SingleTxtG"/>
        <w:ind w:left="1701" w:hanging="567"/>
        <w:jc w:val="left"/>
        <w:rPr>
          <w:rFonts w:eastAsia="SimSun"/>
          <w:b/>
          <w:bCs/>
        </w:rPr>
      </w:pPr>
      <w:r w:rsidRPr="00DC19C5">
        <w:rPr>
          <w:b/>
          <w:bCs/>
        </w:rPr>
        <w:t>6.</w:t>
      </w:r>
      <w:r w:rsidRPr="00DC19C5">
        <w:rPr>
          <w:b/>
          <w:bCs/>
        </w:rPr>
        <w:tab/>
        <w:t>Secteurs économiques</w:t>
      </w:r>
      <w:r w:rsidR="007502EF" w:rsidRPr="00DC19C5">
        <w:rPr>
          <w:rStyle w:val="EndnoteReference"/>
          <w:b/>
          <w:bCs/>
        </w:rPr>
        <w:endnoteReference w:id="5"/>
      </w:r>
      <w:r w:rsidR="0088343D" w:rsidRPr="00DC19C5">
        <w:rPr>
          <w:b/>
          <w:bCs/>
        </w:rPr>
        <w:t> </w:t>
      </w:r>
      <w:r w:rsidRPr="00DC19C5">
        <w:rPr>
          <w:b/>
          <w:bCs/>
        </w:rPr>
        <w:t>:</w:t>
      </w:r>
    </w:p>
    <w:p w14:paraId="150A3147" w14:textId="77777777" w:rsidR="00681067" w:rsidRPr="00DC19C5" w:rsidRDefault="00681067" w:rsidP="002B61A3">
      <w:pPr>
        <w:pStyle w:val="SingleTxtG"/>
        <w:ind w:left="1701" w:hanging="567"/>
        <w:jc w:val="left"/>
        <w:rPr>
          <w:rFonts w:eastAsia="SimSun"/>
          <w:b/>
          <w:bCs/>
        </w:rPr>
      </w:pPr>
      <w:r w:rsidRPr="00DC19C5">
        <w:rPr>
          <w:b/>
          <w:bCs/>
        </w:rPr>
        <w:t>7.</w:t>
      </w:r>
      <w:r w:rsidRPr="00DC19C5">
        <w:rPr>
          <w:b/>
          <w:bCs/>
        </w:rPr>
        <w:tab/>
        <w:t>Instruments de référence et sources, le cas échéant</w:t>
      </w:r>
      <w:r w:rsidR="0088343D" w:rsidRPr="00DC19C5">
        <w:rPr>
          <w:b/>
          <w:bCs/>
        </w:rPr>
        <w:t> </w:t>
      </w:r>
      <w:r w:rsidRPr="00DC19C5">
        <w:rPr>
          <w:b/>
          <w:bCs/>
        </w:rPr>
        <w:t>:</w:t>
      </w:r>
    </w:p>
    <w:p w14:paraId="431137C0" w14:textId="77777777" w:rsidR="00681067" w:rsidRPr="00DC19C5" w:rsidRDefault="00681067" w:rsidP="002B61A3">
      <w:pPr>
        <w:pStyle w:val="SingleTxtG"/>
        <w:ind w:left="1701" w:hanging="567"/>
        <w:jc w:val="left"/>
        <w:rPr>
          <w:rFonts w:eastAsia="SimSun"/>
          <w:b/>
          <w:bCs/>
        </w:rPr>
      </w:pPr>
      <w:r w:rsidRPr="00DC19C5">
        <w:rPr>
          <w:b/>
          <w:bCs/>
        </w:rPr>
        <w:t>8.</w:t>
      </w:r>
      <w:r w:rsidRPr="00DC19C5">
        <w:rPr>
          <w:b/>
          <w:bCs/>
        </w:rPr>
        <w:tab/>
        <w:t>Retombées positives et incidences attendues</w:t>
      </w:r>
      <w:r w:rsidR="0088343D" w:rsidRPr="00DC19C5">
        <w:rPr>
          <w:b/>
          <w:bCs/>
        </w:rPr>
        <w:t> </w:t>
      </w:r>
      <w:r w:rsidRPr="00DC19C5">
        <w:rPr>
          <w:b/>
          <w:bCs/>
        </w:rPr>
        <w:t>:</w:t>
      </w:r>
    </w:p>
    <w:p w14:paraId="06949B1E" w14:textId="77777777" w:rsidR="00681067" w:rsidRPr="00DC19C5" w:rsidRDefault="00681067" w:rsidP="002B61A3">
      <w:pPr>
        <w:pStyle w:val="SingleTxtG"/>
        <w:ind w:left="1701" w:hanging="567"/>
        <w:jc w:val="left"/>
        <w:rPr>
          <w:rFonts w:eastAsia="SimSun"/>
          <w:b/>
          <w:bCs/>
        </w:rPr>
      </w:pPr>
      <w:r w:rsidRPr="00DC19C5">
        <w:rPr>
          <w:b/>
          <w:bCs/>
        </w:rPr>
        <w:t>9.</w:t>
      </w:r>
      <w:r w:rsidRPr="00DC19C5">
        <w:rPr>
          <w:b/>
          <w:bCs/>
        </w:rPr>
        <w:tab/>
        <w:t>Objectifs de développement durable à la réalisation desquels l</w:t>
      </w:r>
      <w:r w:rsidR="00D929B6" w:rsidRPr="00DC19C5">
        <w:rPr>
          <w:b/>
          <w:bCs/>
        </w:rPr>
        <w:t>’</w:t>
      </w:r>
      <w:r w:rsidR="0088343D" w:rsidRPr="00DC19C5">
        <w:rPr>
          <w:b/>
          <w:bCs/>
        </w:rPr>
        <w:t>action pourrait contribuer </w:t>
      </w:r>
      <w:r w:rsidRPr="00DC19C5">
        <w:rPr>
          <w:b/>
          <w:bCs/>
        </w:rPr>
        <w:t>:</w:t>
      </w:r>
    </w:p>
    <w:p w14:paraId="0E0F83A0" w14:textId="77777777" w:rsidR="00681067" w:rsidRPr="00DC19C5" w:rsidRDefault="00681067" w:rsidP="004177FB">
      <w:pPr>
        <w:pStyle w:val="SingleTxtG"/>
        <w:keepNext/>
        <w:ind w:left="1701" w:hanging="567"/>
        <w:jc w:val="left"/>
        <w:rPr>
          <w:rFonts w:eastAsia="SimSun"/>
          <w:b/>
          <w:bCs/>
        </w:rPr>
      </w:pPr>
      <w:r w:rsidRPr="00DC19C5">
        <w:rPr>
          <w:b/>
          <w:bCs/>
        </w:rPr>
        <w:t>10.</w:t>
      </w:r>
      <w:r w:rsidRPr="00DC19C5">
        <w:rPr>
          <w:b/>
          <w:bCs/>
        </w:rPr>
        <w:tab/>
        <w:t>Mise en œuvre de recommandations issues des études de la performance environnementale, le cas échéant</w:t>
      </w:r>
      <w:r w:rsidR="0088343D" w:rsidRPr="00DC19C5">
        <w:rPr>
          <w:b/>
          <w:bCs/>
        </w:rPr>
        <w:t> </w:t>
      </w:r>
      <w:r w:rsidRPr="00DC19C5">
        <w:rPr>
          <w:b/>
          <w:bCs/>
        </w:rPr>
        <w:t>:</w:t>
      </w:r>
    </w:p>
    <w:p w14:paraId="04394DAC" w14:textId="77777777" w:rsidR="00681067" w:rsidRPr="00DC19C5" w:rsidRDefault="00681067" w:rsidP="004177FB">
      <w:pPr>
        <w:pStyle w:val="SingleTxtG"/>
        <w:keepNext/>
        <w:ind w:left="1701" w:hanging="567"/>
        <w:jc w:val="left"/>
        <w:rPr>
          <w:rFonts w:eastAsia="SimSun"/>
          <w:b/>
          <w:bCs/>
        </w:rPr>
      </w:pPr>
      <w:r w:rsidRPr="00DC19C5">
        <w:rPr>
          <w:b/>
          <w:bCs/>
        </w:rPr>
        <w:t>11.</w:t>
      </w:r>
      <w:r w:rsidRPr="00DC19C5">
        <w:rPr>
          <w:b/>
          <w:bCs/>
        </w:rPr>
        <w:tab/>
        <w:t>Indicateurs objectivement vérifiables, le cas échéant</w:t>
      </w:r>
      <w:r w:rsidR="0088343D" w:rsidRPr="00DC19C5">
        <w:rPr>
          <w:b/>
          <w:bCs/>
        </w:rPr>
        <w:t> </w:t>
      </w:r>
      <w:r w:rsidRPr="00DC19C5">
        <w:rPr>
          <w:b/>
          <w:bCs/>
        </w:rPr>
        <w:t>:</w:t>
      </w:r>
    </w:p>
    <w:p w14:paraId="256569F8" w14:textId="77777777" w:rsidR="00681067" w:rsidRPr="00DC19C5" w:rsidRDefault="00681067" w:rsidP="002B61A3">
      <w:pPr>
        <w:pStyle w:val="SingleTxtG"/>
        <w:ind w:left="1701" w:hanging="567"/>
        <w:jc w:val="left"/>
        <w:rPr>
          <w:rFonts w:eastAsia="SimSun"/>
          <w:b/>
          <w:bCs/>
        </w:rPr>
      </w:pPr>
      <w:r w:rsidRPr="00DC19C5">
        <w:rPr>
          <w:b/>
          <w:bCs/>
        </w:rPr>
        <w:t>12.</w:t>
      </w:r>
      <w:r w:rsidRPr="00DC19C5">
        <w:rPr>
          <w:b/>
          <w:bCs/>
        </w:rPr>
        <w:tab/>
        <w:t>Partenaire(s)</w:t>
      </w:r>
      <w:r w:rsidR="0088343D" w:rsidRPr="00DC19C5">
        <w:rPr>
          <w:b/>
          <w:bCs/>
        </w:rPr>
        <w:t> </w:t>
      </w:r>
      <w:r w:rsidRPr="00DC19C5">
        <w:rPr>
          <w:b/>
          <w:bCs/>
        </w:rPr>
        <w:t>:</w:t>
      </w:r>
    </w:p>
    <w:p w14:paraId="3E9F288F" w14:textId="7AAD168A" w:rsidR="00681067" w:rsidRPr="00DC19C5" w:rsidRDefault="00681067" w:rsidP="002B61A3">
      <w:pPr>
        <w:pStyle w:val="SingleTxtG"/>
        <w:ind w:left="1701" w:hanging="567"/>
        <w:jc w:val="left"/>
        <w:rPr>
          <w:b/>
          <w:bCs/>
        </w:rPr>
      </w:pPr>
      <w:r w:rsidRPr="00DC19C5">
        <w:rPr>
          <w:b/>
          <w:bCs/>
        </w:rPr>
        <w:t>13.</w:t>
      </w:r>
      <w:r w:rsidRPr="00DC19C5">
        <w:rPr>
          <w:b/>
          <w:bCs/>
        </w:rPr>
        <w:tab/>
        <w:t>Point de contact</w:t>
      </w:r>
      <w:r w:rsidR="0088343D" w:rsidRPr="00DC19C5">
        <w:rPr>
          <w:b/>
          <w:bCs/>
        </w:rPr>
        <w:t> </w:t>
      </w:r>
      <w:r w:rsidRPr="00DC19C5">
        <w:rPr>
          <w:b/>
          <w:bCs/>
        </w:rPr>
        <w:t>:</w:t>
      </w:r>
    </w:p>
    <w:p w14:paraId="5D46A943" w14:textId="40F69A72" w:rsidR="007502EF" w:rsidRDefault="007502EF" w:rsidP="002B61A3">
      <w:pPr>
        <w:pStyle w:val="SingleTxtG"/>
        <w:ind w:left="1701" w:hanging="567"/>
        <w:jc w:val="left"/>
      </w:pPr>
      <w:r w:rsidRPr="00193088">
        <w:t>Informations supplémentaires sur le centre d'intérêt de l'action à Nicosie :</w:t>
      </w:r>
    </w:p>
    <w:p w14:paraId="3B8AC960" w14:textId="3CAEC7DA" w:rsidR="007502EF" w:rsidRPr="007502EF" w:rsidRDefault="007502EF" w:rsidP="00351A86">
      <w:pPr>
        <w:pStyle w:val="ListParagraph"/>
        <w:numPr>
          <w:ilvl w:val="1"/>
          <w:numId w:val="7"/>
        </w:numPr>
        <w:spacing w:before="120" w:after="120" w:line="240" w:lineRule="auto"/>
        <w:ind w:right="1138"/>
        <w:jc w:val="both"/>
        <w:rPr>
          <w:rFonts w:ascii="Times New Roman" w:eastAsia="SimSun" w:hAnsi="Times New Roman"/>
          <w:sz w:val="18"/>
          <w:szCs w:val="18"/>
          <w:lang w:val="fr-CH" w:eastAsia="en-US"/>
        </w:rPr>
      </w:pPr>
      <w:r w:rsidRPr="007502EF">
        <w:rPr>
          <w:rFonts w:ascii="Times New Roman" w:eastAsia="SimSun" w:hAnsi="Times New Roman"/>
          <w:b/>
          <w:sz w:val="18"/>
          <w:szCs w:val="18"/>
          <w:lang w:val="fr-CH" w:eastAsia="en-US"/>
        </w:rPr>
        <w:t xml:space="preserve">L'action est-elle liée au thème environnemental I de </w:t>
      </w:r>
      <w:proofErr w:type="gramStart"/>
      <w:r w:rsidRPr="007502EF">
        <w:rPr>
          <w:rFonts w:ascii="Times New Roman" w:eastAsia="SimSun" w:hAnsi="Times New Roman"/>
          <w:b/>
          <w:sz w:val="18"/>
          <w:szCs w:val="18"/>
          <w:lang w:val="fr-CH" w:eastAsia="en-US"/>
        </w:rPr>
        <w:t>Nicosie</w:t>
      </w:r>
      <w:r w:rsidRPr="007502EF">
        <w:rPr>
          <w:rFonts w:ascii="Times New Roman" w:eastAsia="SimSun" w:hAnsi="Times New Roman"/>
          <w:b/>
          <w:sz w:val="18"/>
          <w:szCs w:val="18"/>
          <w:lang w:val="fr-CH"/>
        </w:rPr>
        <w:t>:</w:t>
      </w:r>
      <w:proofErr w:type="gramEnd"/>
      <w:r w:rsidRPr="007502EF">
        <w:rPr>
          <w:rFonts w:ascii="Times New Roman" w:eastAsia="SimSun" w:hAnsi="Times New Roman"/>
          <w:b/>
          <w:sz w:val="18"/>
          <w:szCs w:val="18"/>
          <w:lang w:val="fr-CH"/>
        </w:rPr>
        <w:t xml:space="preserve"> “Verdir l’économie de la région paneuropéenne : œuvrer pour une infrastructure durable ”? (OUI / NON)</w:t>
      </w:r>
    </w:p>
    <w:p w14:paraId="565C3FD7" w14:textId="4BD68FEF" w:rsidR="007502EF" w:rsidRPr="007502EF" w:rsidRDefault="007502EF" w:rsidP="007502EF">
      <w:pPr>
        <w:pStyle w:val="ListParagraph"/>
        <w:numPr>
          <w:ilvl w:val="2"/>
          <w:numId w:val="7"/>
        </w:numPr>
        <w:spacing w:before="120" w:after="120" w:line="240" w:lineRule="auto"/>
        <w:ind w:right="1138"/>
        <w:jc w:val="both"/>
        <w:rPr>
          <w:rFonts w:ascii="Times New Roman" w:eastAsia="SimSun" w:hAnsi="Times New Roman"/>
          <w:sz w:val="18"/>
          <w:szCs w:val="18"/>
          <w:shd w:val="pct15" w:color="auto" w:fill="FFFFFF"/>
          <w:lang w:val="fr-CH" w:eastAsia="en-US"/>
        </w:rPr>
      </w:pPr>
      <w:r w:rsidRPr="007502EF">
        <w:rPr>
          <w:rFonts w:ascii="Times New Roman" w:eastAsia="SimSun" w:hAnsi="Times New Roman"/>
          <w:bCs/>
          <w:i/>
          <w:iCs/>
          <w:sz w:val="18"/>
          <w:szCs w:val="18"/>
          <w:lang w:val="fr-CH"/>
        </w:rPr>
        <w:t>Si oui, veuillez indiquer ci-dessous à quels "Principes internationaux de bonnes pratiques pour les infrastructures durables</w:t>
      </w:r>
      <w:r>
        <w:rPr>
          <w:rStyle w:val="EndnoteReference"/>
          <w:rFonts w:eastAsia="SimSun"/>
          <w:bCs/>
          <w:i/>
          <w:iCs/>
          <w:szCs w:val="18"/>
        </w:rPr>
        <w:endnoteReference w:id="6"/>
      </w:r>
      <w:r w:rsidRPr="007502EF">
        <w:rPr>
          <w:rFonts w:ascii="Times New Roman" w:eastAsia="SimSun" w:hAnsi="Times New Roman"/>
          <w:bCs/>
          <w:i/>
          <w:iCs/>
          <w:sz w:val="18"/>
          <w:szCs w:val="18"/>
          <w:lang w:val="fr-CH"/>
        </w:rPr>
        <w:t>" l'action contribue-t-</w:t>
      </w:r>
      <w:proofErr w:type="gramStart"/>
      <w:r w:rsidRPr="007502EF">
        <w:rPr>
          <w:rFonts w:ascii="Times New Roman" w:eastAsia="SimSun" w:hAnsi="Times New Roman"/>
          <w:bCs/>
          <w:i/>
          <w:iCs/>
          <w:sz w:val="18"/>
          <w:szCs w:val="18"/>
          <w:lang w:val="fr-CH"/>
        </w:rPr>
        <w:t>elle:</w:t>
      </w:r>
      <w:proofErr w:type="gramEnd"/>
      <w:r w:rsidRPr="007502EF">
        <w:rPr>
          <w:rFonts w:ascii="Times New Roman" w:eastAsia="SimSun" w:hAnsi="Times New Roman"/>
          <w:bCs/>
          <w:i/>
          <w:iCs/>
          <w:sz w:val="18"/>
          <w:szCs w:val="18"/>
          <w:lang w:val="fr-CH"/>
        </w:rPr>
        <w:t xml:space="preserve"> </w:t>
      </w:r>
    </w:p>
    <w:p w14:paraId="2C09FE63" w14:textId="77777777" w:rsidR="007502EF" w:rsidRPr="007502EF" w:rsidRDefault="007502EF" w:rsidP="007502EF">
      <w:pPr>
        <w:pStyle w:val="ListParagraph"/>
        <w:spacing w:before="120" w:after="120" w:line="240" w:lineRule="auto"/>
        <w:ind w:left="1138" w:right="1138"/>
        <w:jc w:val="both"/>
        <w:rPr>
          <w:rFonts w:ascii="Times New Roman" w:eastAsia="SimSun" w:hAnsi="Times New Roman"/>
          <w:sz w:val="18"/>
          <w:szCs w:val="18"/>
          <w:shd w:val="pct15" w:color="auto" w:fill="FFFFFF"/>
          <w:lang w:val="fr-CH" w:eastAsia="en-US"/>
        </w:rPr>
      </w:pPr>
    </w:p>
    <w:p w14:paraId="1670E94B" w14:textId="57DFB850" w:rsidR="007502EF" w:rsidRPr="007502EF" w:rsidRDefault="007502EF" w:rsidP="007502EF">
      <w:pPr>
        <w:pStyle w:val="ListParagraph"/>
        <w:numPr>
          <w:ilvl w:val="1"/>
          <w:numId w:val="7"/>
        </w:numPr>
        <w:spacing w:before="120" w:after="120" w:line="240" w:lineRule="auto"/>
        <w:ind w:right="1138"/>
        <w:jc w:val="both"/>
        <w:rPr>
          <w:rFonts w:ascii="Times New Roman" w:eastAsia="SimSun" w:hAnsi="Times New Roman"/>
          <w:lang w:val="fr-CH" w:eastAsia="en-US"/>
        </w:rPr>
      </w:pPr>
      <w:r w:rsidRPr="007502EF">
        <w:rPr>
          <w:rFonts w:ascii="Times New Roman" w:eastAsia="SimSun" w:hAnsi="Times New Roman"/>
          <w:b/>
          <w:sz w:val="18"/>
          <w:szCs w:val="18"/>
          <w:lang w:val="fr-CH" w:eastAsia="en-US"/>
        </w:rPr>
        <w:t xml:space="preserve">L'action est-elle liée au thème environnemental II de </w:t>
      </w:r>
      <w:proofErr w:type="gramStart"/>
      <w:r w:rsidRPr="007502EF">
        <w:rPr>
          <w:rFonts w:ascii="Times New Roman" w:eastAsia="SimSun" w:hAnsi="Times New Roman"/>
          <w:b/>
          <w:sz w:val="18"/>
          <w:szCs w:val="18"/>
          <w:lang w:val="fr-CH" w:eastAsia="en-US"/>
        </w:rPr>
        <w:t>Nicosie</w:t>
      </w:r>
      <w:r w:rsidRPr="007502EF">
        <w:rPr>
          <w:rFonts w:ascii="Times New Roman" w:eastAsia="SimSun" w:hAnsi="Times New Roman"/>
          <w:b/>
          <w:sz w:val="18"/>
          <w:szCs w:val="18"/>
          <w:lang w:val="fr-CH"/>
        </w:rPr>
        <w:t>:</w:t>
      </w:r>
      <w:proofErr w:type="gramEnd"/>
      <w:r w:rsidRPr="007502EF">
        <w:rPr>
          <w:rFonts w:ascii="Times New Roman" w:eastAsia="SimSun" w:hAnsi="Times New Roman"/>
          <w:b/>
          <w:sz w:val="18"/>
          <w:szCs w:val="18"/>
          <w:lang w:val="fr-CH"/>
        </w:rPr>
        <w:t xml:space="preserve"> “</w:t>
      </w:r>
      <w:r w:rsidRPr="007502EF">
        <w:rPr>
          <w:rFonts w:ascii="Times New Roman" w:eastAsia="SimSun" w:hAnsi="Times New Roman"/>
          <w:b/>
          <w:sz w:val="18"/>
          <w:szCs w:val="18"/>
          <w:lang w:val="fr-CH" w:eastAsia="en-US"/>
        </w:rPr>
        <w:t>Appliquer les principes de l’économie circulaire au tourisme durable ”? (</w:t>
      </w:r>
      <w:r>
        <w:rPr>
          <w:rFonts w:ascii="Times New Roman" w:eastAsia="SimSun" w:hAnsi="Times New Roman"/>
          <w:b/>
          <w:sz w:val="18"/>
          <w:szCs w:val="18"/>
          <w:lang w:val="fr-CH"/>
        </w:rPr>
        <w:t>OUI</w:t>
      </w:r>
      <w:r w:rsidRPr="007502EF">
        <w:rPr>
          <w:rFonts w:ascii="Times New Roman" w:eastAsia="SimSun" w:hAnsi="Times New Roman"/>
          <w:b/>
          <w:sz w:val="18"/>
          <w:szCs w:val="18"/>
          <w:lang w:val="fr-CH"/>
        </w:rPr>
        <w:t xml:space="preserve"> / NO</w:t>
      </w:r>
      <w:r>
        <w:rPr>
          <w:rFonts w:ascii="Times New Roman" w:eastAsia="SimSun" w:hAnsi="Times New Roman"/>
          <w:b/>
          <w:sz w:val="18"/>
          <w:szCs w:val="18"/>
          <w:lang w:val="fr-CH"/>
        </w:rPr>
        <w:t>N</w:t>
      </w:r>
      <w:r w:rsidRPr="007502EF">
        <w:rPr>
          <w:rFonts w:ascii="Times New Roman" w:eastAsia="SimSun" w:hAnsi="Times New Roman"/>
          <w:b/>
          <w:sz w:val="18"/>
          <w:szCs w:val="18"/>
          <w:lang w:val="fr-CH"/>
        </w:rPr>
        <w:t>)</w:t>
      </w:r>
    </w:p>
    <w:p w14:paraId="4F8FEBAB" w14:textId="002E5302" w:rsidR="00DC19C5" w:rsidRDefault="00DC19C5" w:rsidP="00DC19C5">
      <w:pPr>
        <w:suppressAutoHyphens w:val="0"/>
        <w:spacing w:line="240" w:lineRule="auto"/>
      </w:pPr>
      <w:r>
        <w:br w:type="page"/>
      </w:r>
    </w:p>
    <w:sectPr w:rsidR="00DC19C5" w:rsidSect="00407EB3">
      <w:footerReference w:type="even" r:id="rId8"/>
      <w:footerReference w:type="first" r:id="rId9"/>
      <w:footnotePr>
        <w:numFmt w:val="lowerLetter"/>
        <w:numRestart w:val="eachSect"/>
      </w:footnotePr>
      <w:endnotePr>
        <w:numFmt w:val="decimal"/>
      </w:endnotePr>
      <w:pgSz w:w="11907" w:h="16840" w:code="9"/>
      <w:pgMar w:top="1701" w:right="1134" w:bottom="1701" w:left="1134" w:header="1134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6550" w14:textId="77777777" w:rsidR="001D2E12" w:rsidRDefault="001D2E12"/>
  </w:endnote>
  <w:endnote w:type="continuationSeparator" w:id="0">
    <w:p w14:paraId="47887462" w14:textId="77777777" w:rsidR="001D2E12" w:rsidRDefault="001D2E12"/>
  </w:endnote>
  <w:endnote w:type="continuationNotice" w:id="1">
    <w:p w14:paraId="7D4464D7" w14:textId="77777777" w:rsidR="001D2E12" w:rsidRPr="008365F0" w:rsidRDefault="001D2E12" w:rsidP="008365F0">
      <w:pPr>
        <w:spacing w:line="240" w:lineRule="auto"/>
        <w:rPr>
          <w:sz w:val="2"/>
          <w:szCs w:val="2"/>
        </w:rPr>
      </w:pPr>
    </w:p>
  </w:endnote>
  <w:endnote w:id="2">
    <w:p w14:paraId="75E61163" w14:textId="19DDE7CE" w:rsidR="00A40D9C" w:rsidRDefault="00A40D9C" w:rsidP="00A40D9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40D9C">
        <w:t>Basé sur</w:t>
      </w:r>
      <w:r>
        <w:t xml:space="preserve"> «Cadre stratégique paneuropéen pour une économie plus respectueuse de l’environnement» </w:t>
      </w:r>
      <w:r w:rsidRPr="00A40D9C">
        <w:t xml:space="preserve">(ECE/BATUMI.CONF/2016/6, </w:t>
      </w:r>
      <w:r w:rsidR="00862E3F" w:rsidRPr="00862E3F">
        <w:t>Appendice</w:t>
      </w:r>
      <w:r w:rsidRPr="00A40D9C">
        <w:t>).</w:t>
      </w:r>
    </w:p>
    <w:p w14:paraId="68DF75D4" w14:textId="002AAD91" w:rsidR="00A40D9C" w:rsidRPr="00A40D9C" w:rsidRDefault="00A40D9C" w:rsidP="00A40D9C">
      <w:pPr>
        <w:pStyle w:val="EndnoteText"/>
        <w:rPr>
          <w:lang w:val="en-GB"/>
        </w:rPr>
      </w:pPr>
      <w:r w:rsidRPr="00A40D9C">
        <w:rPr>
          <w:lang w:val="en-GB"/>
        </w:rPr>
        <w:t xml:space="preserve">Page web: </w:t>
      </w:r>
      <w:hyperlink r:id="rId1" w:history="1">
        <w:r w:rsidRPr="00062EAE">
          <w:rPr>
            <w:rStyle w:val="Hyperlink"/>
            <w:lang w:val="en-GB"/>
          </w:rPr>
          <w:t>https://unece.org/documents-and-materials</w:t>
        </w:r>
      </w:hyperlink>
      <w:r>
        <w:rPr>
          <w:lang w:val="en-GB"/>
        </w:rPr>
        <w:t xml:space="preserve">  </w:t>
      </w:r>
    </w:p>
    <w:p w14:paraId="35ECE9FB" w14:textId="1635ECB1" w:rsidR="00A40D9C" w:rsidRPr="00A40D9C" w:rsidRDefault="00A40D9C">
      <w:pPr>
        <w:pStyle w:val="EndnoteText"/>
        <w:rPr>
          <w:lang w:val="en-GB"/>
        </w:rPr>
      </w:pPr>
    </w:p>
  </w:endnote>
  <w:endnote w:id="3">
    <w:p w14:paraId="41618B80" w14:textId="2ABF60BE" w:rsidR="00A40D9C" w:rsidRDefault="00A40D9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40D9C">
        <w:t xml:space="preserve">Neuf domaines d'intervention intégrés ont été identifiés dans le </w:t>
      </w:r>
      <w:r>
        <w:t>C</w:t>
      </w:r>
      <w:r w:rsidRPr="00A40D9C">
        <w:t xml:space="preserve">adre </w:t>
      </w:r>
      <w:r w:rsidRPr="00A40D9C">
        <w:t>stratégique:</w:t>
      </w:r>
    </w:p>
    <w:p w14:paraId="685F72CD" w14:textId="00B94E86" w:rsidR="00A40D9C" w:rsidRDefault="00A40D9C" w:rsidP="00A40D9C">
      <w:pPr>
        <w:pStyle w:val="EndnoteText"/>
      </w:pPr>
      <w:r>
        <w:t>1 : Améliorer la mesure et la valorisation du capital naturel;</w:t>
      </w:r>
    </w:p>
    <w:p w14:paraId="6E1FE7C7" w14:textId="600612C4" w:rsidR="00A40D9C" w:rsidRDefault="00A40D9C" w:rsidP="00A40D9C">
      <w:pPr>
        <w:pStyle w:val="EndnoteText"/>
      </w:pPr>
      <w:r>
        <w:t xml:space="preserve">2 : Promouvoir l’internalisation des externalités négatives et l’utilisation durable du capital naturel; </w:t>
      </w:r>
    </w:p>
    <w:p w14:paraId="30831921" w14:textId="640AC9DC" w:rsidR="00A40D9C" w:rsidRDefault="00A40D9C" w:rsidP="00A40D9C">
      <w:pPr>
        <w:pStyle w:val="EndnoteText"/>
      </w:pPr>
      <w:r>
        <w:t>3 : Renforcer les écosystèmes et les services écosystémiques dans le cadre de l’infrastructure écologique;</w:t>
      </w:r>
    </w:p>
    <w:p w14:paraId="1A20AE19" w14:textId="0D0A6E8B" w:rsidR="00A40D9C" w:rsidRDefault="00A40D9C" w:rsidP="00A40D9C">
      <w:pPr>
        <w:pStyle w:val="EndnoteText"/>
      </w:pPr>
      <w:r>
        <w:t>4 : Orienter le comportement des consommateurs vers des modes de consommation durables;</w:t>
      </w:r>
    </w:p>
    <w:p w14:paraId="59A18B0A" w14:textId="4D8E4F0F" w:rsidR="00A40D9C" w:rsidRDefault="00A40D9C" w:rsidP="00A40D9C">
      <w:pPr>
        <w:pStyle w:val="EndnoteText"/>
      </w:pPr>
      <w:r>
        <w:t>5 : Développer un capital physique non polluant pour des modèles de production durables;</w:t>
      </w:r>
    </w:p>
    <w:p w14:paraId="255FE211" w14:textId="169A9F0E" w:rsidR="00A40D9C" w:rsidRDefault="00A40D9C" w:rsidP="00A40D9C">
      <w:pPr>
        <w:pStyle w:val="EndnoteText"/>
      </w:pPr>
      <w:r>
        <w:t>6 : Promouvoir un commerce vert et équitable;</w:t>
      </w:r>
    </w:p>
    <w:p w14:paraId="7362CAE1" w14:textId="0C0BD620" w:rsidR="00A40D9C" w:rsidRDefault="00A40D9C" w:rsidP="00A40D9C">
      <w:pPr>
        <w:pStyle w:val="EndnoteText"/>
      </w:pPr>
      <w:r>
        <w:t>7 : Augmenter le nombre d’emplois verts et décents tout en développant le capital humain requis;</w:t>
      </w:r>
    </w:p>
    <w:p w14:paraId="27B867B7" w14:textId="11E4A92E" w:rsidR="00A40D9C" w:rsidRDefault="00A40D9C" w:rsidP="00A40D9C">
      <w:pPr>
        <w:pStyle w:val="EndnoteText"/>
      </w:pPr>
      <w:r>
        <w:t>8 : Améliorer l’accès aux services, à une vie saine et au bien-être;</w:t>
      </w:r>
    </w:p>
    <w:p w14:paraId="0AEF26E1" w14:textId="4E88A6AD" w:rsidR="00A40D9C" w:rsidRPr="00A40D9C" w:rsidRDefault="00A40D9C" w:rsidP="00A40D9C">
      <w:pPr>
        <w:pStyle w:val="EndnoteText"/>
      </w:pPr>
      <w:r>
        <w:t>9 : Promouvoir la participation du public et l’éducation au développement durable.</w:t>
      </w:r>
    </w:p>
  </w:endnote>
  <w:endnote w:id="4">
    <w:p w14:paraId="194E2096" w14:textId="77777777" w:rsidR="007502EF" w:rsidRDefault="007502E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502EF">
        <w:t xml:space="preserve">Conformément au Cadre stratégique, trois types d’actions sont proposés : </w:t>
      </w:r>
    </w:p>
    <w:p w14:paraId="1D1CC391" w14:textId="77777777" w:rsidR="007502EF" w:rsidRDefault="007502EF">
      <w:pPr>
        <w:pStyle w:val="EndnoteText"/>
      </w:pPr>
      <w:r w:rsidRPr="007502EF">
        <w:t xml:space="preserve">a) instruments juridiques, réglementaires et </w:t>
      </w:r>
      <w:r w:rsidRPr="007502EF">
        <w:t xml:space="preserve">politiques; </w:t>
      </w:r>
    </w:p>
    <w:p w14:paraId="2B7CAC6A" w14:textId="77777777" w:rsidR="007502EF" w:rsidRDefault="007502EF">
      <w:pPr>
        <w:pStyle w:val="EndnoteText"/>
      </w:pPr>
      <w:r w:rsidRPr="007502EF">
        <w:t xml:space="preserve">b) instruments économiques et budgétaires; et </w:t>
      </w:r>
    </w:p>
    <w:p w14:paraId="39046607" w14:textId="77777777" w:rsidR="007502EF" w:rsidRDefault="007502EF">
      <w:pPr>
        <w:pStyle w:val="EndnoteText"/>
      </w:pPr>
      <w:r w:rsidRPr="007502EF">
        <w:t xml:space="preserve">c) instruments d’information, fondés sur l’éducation, de renforcement des capacités et d’application volontaire. </w:t>
      </w:r>
    </w:p>
    <w:p w14:paraId="429D3EBC" w14:textId="68EF2251" w:rsidR="007502EF" w:rsidRPr="007502EF" w:rsidRDefault="007502EF">
      <w:pPr>
        <w:pStyle w:val="EndnoteText"/>
      </w:pPr>
      <w:r w:rsidRPr="007502EF">
        <w:t>Les pays et les organisations peuvent faire référence à l’une ou l’autre de ces trois catégories, selon qu’il convient.</w:t>
      </w:r>
    </w:p>
  </w:endnote>
  <w:endnote w:id="5">
    <w:p w14:paraId="3200BEAC" w14:textId="77777777" w:rsidR="007502EF" w:rsidRDefault="007502E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502EF">
        <w:t xml:space="preserve">Conformément au Cadre stratégique, trois groupes sectoriels sont proposés : </w:t>
      </w:r>
    </w:p>
    <w:p w14:paraId="42BFC6B7" w14:textId="77777777" w:rsidR="007502EF" w:rsidRDefault="007502EF">
      <w:pPr>
        <w:pStyle w:val="EndnoteText"/>
      </w:pPr>
      <w:r w:rsidRPr="007502EF">
        <w:t xml:space="preserve">a) ensemble de </w:t>
      </w:r>
      <w:r w:rsidRPr="007502EF">
        <w:t xml:space="preserve">l’économie; </w:t>
      </w:r>
    </w:p>
    <w:p w14:paraId="2AE1DF55" w14:textId="77777777" w:rsidR="007502EF" w:rsidRDefault="007502EF">
      <w:pPr>
        <w:pStyle w:val="EndnoteText"/>
      </w:pPr>
      <w:r w:rsidRPr="007502EF">
        <w:t xml:space="preserve">b) villes; et </w:t>
      </w:r>
    </w:p>
    <w:p w14:paraId="7A6BC6A6" w14:textId="52373465" w:rsidR="007502EF" w:rsidRPr="007502EF" w:rsidRDefault="007502EF">
      <w:pPr>
        <w:pStyle w:val="EndnoteText"/>
      </w:pPr>
      <w:r w:rsidRPr="007502EF">
        <w:t>c) secteurs spécifiques, notamment l’agriculture, la sylviculture, la pêche, l’énergie, les industries extractives, l’industrie manufacturière, les transports, l’eau, les déchets, le tourisme, le logement et le bâtiment.</w:t>
      </w:r>
    </w:p>
  </w:endnote>
  <w:endnote w:id="6">
    <w:p w14:paraId="015CA90F" w14:textId="012D9F5A" w:rsidR="007502EF" w:rsidRDefault="007502E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502EF">
        <w:t>Les Principes internationaux de bonnes pratiques pour les infrastructures durables</w:t>
      </w:r>
      <w:r>
        <w:t xml:space="preserve"> (</w:t>
      </w:r>
      <w:r w:rsidR="00DC19C5" w:rsidRPr="00DC19C5">
        <w:t>comme indiqué dans une résolution ultérieure de l’Assemblée des Nations Unies pour l’environnement</w:t>
      </w:r>
      <w:r w:rsidR="00DC19C5">
        <w:t xml:space="preserve"> </w:t>
      </w:r>
      <w:r w:rsidR="00DC19C5" w:rsidRPr="00DC19C5">
        <w:t>UNEP/EA.5/Res.9</w:t>
      </w:r>
      <w:r w:rsidR="00DC19C5">
        <w:t xml:space="preserve">) </w:t>
      </w:r>
      <w:r w:rsidRPr="007502EF">
        <w:t xml:space="preserve"> établissent dix principes directeurs que les décideurs peuvent suivre pour aider à intégrer la durabilité dans la planification, la gestion et la livraison des infrastructures</w:t>
      </w:r>
      <w:r w:rsidR="00DC19C5">
        <w:t> :</w:t>
      </w:r>
    </w:p>
    <w:p w14:paraId="7F729D05" w14:textId="77777777" w:rsidR="00DC19C5" w:rsidRDefault="00DC19C5" w:rsidP="00DC19C5">
      <w:pPr>
        <w:pStyle w:val="EndnoteText"/>
      </w:pPr>
      <w:r>
        <w:t>1.</w:t>
      </w:r>
      <w:r>
        <w:tab/>
        <w:t xml:space="preserve">Planification stratégique </w:t>
      </w:r>
    </w:p>
    <w:p w14:paraId="6AFEB4F0" w14:textId="77777777" w:rsidR="00DC19C5" w:rsidRDefault="00DC19C5" w:rsidP="00DC19C5">
      <w:pPr>
        <w:pStyle w:val="EndnoteText"/>
      </w:pPr>
      <w:r>
        <w:t>2.</w:t>
      </w:r>
      <w:r>
        <w:tab/>
        <w:t xml:space="preserve">Fourniture de services réactifs, résilients et flexibles </w:t>
      </w:r>
    </w:p>
    <w:p w14:paraId="48703939" w14:textId="77777777" w:rsidR="00DC19C5" w:rsidRDefault="00DC19C5" w:rsidP="00DC19C5">
      <w:pPr>
        <w:pStyle w:val="EndnoteText"/>
      </w:pPr>
      <w:r>
        <w:t>3.</w:t>
      </w:r>
      <w:r>
        <w:tab/>
        <w:t xml:space="preserve">Évaluation complète du cycle de vie de la durabilité </w:t>
      </w:r>
    </w:p>
    <w:p w14:paraId="1450180D" w14:textId="77777777" w:rsidR="00DC19C5" w:rsidRDefault="00DC19C5" w:rsidP="00DC19C5">
      <w:pPr>
        <w:pStyle w:val="EndnoteText"/>
      </w:pPr>
      <w:r>
        <w:t>4.</w:t>
      </w:r>
      <w:r>
        <w:tab/>
        <w:t xml:space="preserve">Éviter les impacts environnementaux des systèmes d'infrastructure et investir dans les infrastructures naturelles </w:t>
      </w:r>
    </w:p>
    <w:p w14:paraId="5FB7641E" w14:textId="77777777" w:rsidR="00DC19C5" w:rsidRDefault="00DC19C5" w:rsidP="00DC19C5">
      <w:pPr>
        <w:pStyle w:val="EndnoteText"/>
      </w:pPr>
      <w:r>
        <w:t>5.</w:t>
      </w:r>
      <w:r>
        <w:tab/>
        <w:t>Efficacité des ressources et circularité</w:t>
      </w:r>
    </w:p>
    <w:p w14:paraId="1988B1FC" w14:textId="77777777" w:rsidR="00DC19C5" w:rsidRDefault="00DC19C5" w:rsidP="00DC19C5">
      <w:pPr>
        <w:pStyle w:val="EndnoteText"/>
      </w:pPr>
      <w:r>
        <w:t>6.</w:t>
      </w:r>
      <w:r>
        <w:tab/>
        <w:t xml:space="preserve">Équité, inclusion et autonomisation </w:t>
      </w:r>
    </w:p>
    <w:p w14:paraId="2C20D748" w14:textId="77777777" w:rsidR="00DC19C5" w:rsidRDefault="00DC19C5" w:rsidP="00DC19C5">
      <w:pPr>
        <w:pStyle w:val="EndnoteText"/>
      </w:pPr>
      <w:r>
        <w:t>7.</w:t>
      </w:r>
      <w:r>
        <w:tab/>
        <w:t xml:space="preserve">Améliorer les avantages économiques </w:t>
      </w:r>
    </w:p>
    <w:p w14:paraId="02EFAA9E" w14:textId="77777777" w:rsidR="00DC19C5" w:rsidRDefault="00DC19C5" w:rsidP="00DC19C5">
      <w:pPr>
        <w:pStyle w:val="EndnoteText"/>
      </w:pPr>
      <w:r>
        <w:t>8.</w:t>
      </w:r>
      <w:r>
        <w:tab/>
        <w:t xml:space="preserve">Viabilité budgétaire et financements innovants </w:t>
      </w:r>
    </w:p>
    <w:p w14:paraId="3F71317C" w14:textId="77777777" w:rsidR="00DC19C5" w:rsidRDefault="00DC19C5" w:rsidP="00DC19C5">
      <w:pPr>
        <w:pStyle w:val="EndnoteText"/>
      </w:pPr>
      <w:r>
        <w:t>9.</w:t>
      </w:r>
      <w:r>
        <w:tab/>
        <w:t xml:space="preserve">Prise de décision transparente, inclusive et participative </w:t>
      </w:r>
    </w:p>
    <w:p w14:paraId="4E46E41C" w14:textId="40D60EEC" w:rsidR="00DC19C5" w:rsidRDefault="00DC19C5" w:rsidP="00DC19C5">
      <w:pPr>
        <w:pStyle w:val="EndnoteText"/>
      </w:pPr>
      <w:r>
        <w:t>10.</w:t>
      </w:r>
      <w:r>
        <w:tab/>
        <w:t>Prise de décision fondée sur des preuves</w:t>
      </w:r>
    </w:p>
    <w:p w14:paraId="6F075404" w14:textId="731B45CF" w:rsidR="000D5FF1" w:rsidRPr="00481994" w:rsidRDefault="000D5FF1" w:rsidP="00DC19C5">
      <w:pPr>
        <w:pStyle w:val="EndnoteText"/>
        <w:rPr>
          <w:lang w:val="en-GB"/>
        </w:rPr>
      </w:pPr>
      <w:r w:rsidRPr="00A40D9C">
        <w:rPr>
          <w:lang w:val="en-GB"/>
        </w:rPr>
        <w:t>Page web</w:t>
      </w:r>
      <w:r w:rsidRPr="000D5FF1">
        <w:rPr>
          <w:szCs w:val="18"/>
          <w:lang w:val="en-GB"/>
        </w:rPr>
        <w:t xml:space="preserve">: </w:t>
      </w:r>
      <w:hyperlink r:id="rId2" w:history="1">
        <w:r w:rsidRPr="000D5FF1">
          <w:rPr>
            <w:rStyle w:val="Hyperlink"/>
            <w:szCs w:val="18"/>
            <w:lang w:val="en-GB"/>
          </w:rPr>
          <w:t>https://www.unep.org/resources/publication/international-good-practice-principles-sustainable-infrastructure</w:t>
        </w:r>
      </w:hyperlink>
      <w:r w:rsidRPr="00481994">
        <w:rPr>
          <w:rStyle w:val="Hyperlink"/>
          <w:szCs w:val="18"/>
          <w:lang w:val="en-GB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3C91" w14:textId="4EDBB9A9" w:rsidR="00E205F4" w:rsidRPr="007206DA" w:rsidRDefault="00E205F4" w:rsidP="007206DA">
    <w:pPr>
      <w:tabs>
        <w:tab w:val="right" w:pos="9638"/>
      </w:tabs>
    </w:pPr>
    <w:r w:rsidRPr="007206DA">
      <w:rPr>
        <w:b/>
        <w:sz w:val="18"/>
      </w:rPr>
      <w:fldChar w:fldCharType="begin"/>
    </w:r>
    <w:r w:rsidRPr="007206DA">
      <w:rPr>
        <w:b/>
        <w:sz w:val="18"/>
      </w:rPr>
      <w:instrText xml:space="preserve"> PAGE  \* MERGEFORMAT </w:instrText>
    </w:r>
    <w:r w:rsidRPr="007206DA">
      <w:rPr>
        <w:b/>
        <w:sz w:val="18"/>
      </w:rPr>
      <w:fldChar w:fldCharType="separate"/>
    </w:r>
    <w:r w:rsidR="00407EB3">
      <w:rPr>
        <w:b/>
        <w:noProof/>
        <w:sz w:val="18"/>
      </w:rPr>
      <w:t>2</w:t>
    </w:r>
    <w:r w:rsidRPr="007206DA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ECB0" w14:textId="5EC3CD6E" w:rsidR="00E205F4" w:rsidRPr="007206DA" w:rsidRDefault="00E205F4" w:rsidP="007206DA">
    <w:pPr>
      <w:spacing w:before="120"/>
    </w:pPr>
    <w:r>
      <w:t>GE.</w:t>
    </w:r>
    <w:r w:rsidR="00332E2D">
      <w:rPr>
        <w:noProof/>
      </w:rPr>
      <w:drawing>
        <wp:anchor distT="0" distB="0" distL="114300" distR="114300" simplePos="0" relativeHeight="251657216" behindDoc="0" locked="0" layoutInCell="1" allowOverlap="1" wp14:anchorId="79CE374E" wp14:editId="7223B42B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900" cy="228600"/>
          <wp:effectExtent l="0" t="0" r="0" b="0"/>
          <wp:wrapNone/>
          <wp:docPr id="2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62F">
      <w:t>16-</w:t>
    </w:r>
    <w:r w:rsidR="00C0762F">
      <w:t>04693  (F)    210416    22</w:t>
    </w:r>
    <w:r>
      <w:t>0416</w:t>
    </w:r>
    <w:r>
      <w:br/>
    </w:r>
    <w:r w:rsidRPr="007206DA">
      <w:rPr>
        <w:rFonts w:ascii="C39T30Lfz" w:hAnsi="C39T30Lfz"/>
        <w:sz w:val="56"/>
      </w:rPr>
      <w:t></w:t>
    </w:r>
    <w:r w:rsidRPr="007206DA">
      <w:rPr>
        <w:rFonts w:ascii="C39T30Lfz" w:hAnsi="C39T30Lfz"/>
        <w:sz w:val="56"/>
      </w:rPr>
      <w:t></w:t>
    </w:r>
    <w:r w:rsidRPr="007206DA">
      <w:rPr>
        <w:rFonts w:ascii="C39T30Lfz" w:hAnsi="C39T30Lfz"/>
        <w:sz w:val="56"/>
      </w:rPr>
      <w:t></w:t>
    </w:r>
    <w:r w:rsidRPr="007206DA">
      <w:rPr>
        <w:rFonts w:ascii="C39T30Lfz" w:hAnsi="C39T30Lfz"/>
        <w:sz w:val="56"/>
      </w:rPr>
      <w:t></w:t>
    </w:r>
    <w:r w:rsidRPr="007206DA">
      <w:rPr>
        <w:rFonts w:ascii="C39T30Lfz" w:hAnsi="C39T30Lfz"/>
        <w:sz w:val="56"/>
      </w:rPr>
      <w:t></w:t>
    </w:r>
    <w:r w:rsidRPr="007206DA">
      <w:rPr>
        <w:rFonts w:ascii="C39T30Lfz" w:hAnsi="C39T30Lfz"/>
        <w:sz w:val="56"/>
      </w:rPr>
      <w:t></w:t>
    </w:r>
    <w:r w:rsidRPr="007206DA">
      <w:rPr>
        <w:rFonts w:ascii="C39T30Lfz" w:hAnsi="C39T30Lfz"/>
        <w:sz w:val="56"/>
      </w:rPr>
      <w:t></w:t>
    </w:r>
    <w:r w:rsidRPr="007206DA">
      <w:rPr>
        <w:rFonts w:ascii="C39T30Lfz" w:hAnsi="C39T30Lfz"/>
        <w:sz w:val="56"/>
      </w:rPr>
      <w:t></w:t>
    </w:r>
    <w:r w:rsidRPr="007206DA">
      <w:rPr>
        <w:rFonts w:ascii="C39T30Lfz" w:hAnsi="C39T30Lfz"/>
        <w:sz w:val="56"/>
      </w:rPr>
      <w:t></w:t>
    </w:r>
    <w:r w:rsidR="00332E2D">
      <w:rPr>
        <w:noProof/>
      </w:rPr>
      <w:drawing>
        <wp:anchor distT="0" distB="0" distL="114300" distR="114300" simplePos="0" relativeHeight="251658240" behindDoc="0" locked="0" layoutInCell="1" allowOverlap="1" wp14:anchorId="772CAB9C" wp14:editId="2CC6CE1B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0" b="0"/>
          <wp:wrapNone/>
          <wp:docPr id="1" name="Image 1" descr="http://undocs.org/m2/QRCode.ashx?DS=ECE/BATUMI.CONF/2016/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undocs.org/m2/QRCode.ashx?DS=ECE/BATUMI.CONF/2016/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124D" w14:textId="77777777" w:rsidR="001D2E12" w:rsidRPr="00D27D5E" w:rsidRDefault="001D2E1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D2037F" w14:textId="77777777" w:rsidR="001D2E12" w:rsidRPr="00CD13C4" w:rsidRDefault="001D2E12" w:rsidP="00CD13C4">
      <w:pPr>
        <w:tabs>
          <w:tab w:val="right" w:pos="2155"/>
        </w:tabs>
        <w:spacing w:after="80"/>
        <w:ind w:left="680"/>
        <w:rPr>
          <w:u w:val="single"/>
        </w:rPr>
      </w:pPr>
      <w:r w:rsidRPr="00CD13C4">
        <w:rPr>
          <w:u w:val="single"/>
        </w:rPr>
        <w:tab/>
      </w:r>
    </w:p>
  </w:footnote>
  <w:footnote w:type="continuationNotice" w:id="1">
    <w:p w14:paraId="16A6B9B2" w14:textId="77777777" w:rsidR="001D2E12" w:rsidRPr="008365F0" w:rsidRDefault="001D2E12" w:rsidP="008365F0">
      <w:pPr>
        <w:spacing w:line="240" w:lineRule="aut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D3FBD"/>
    <w:multiLevelType w:val="hybridMultilevel"/>
    <w:tmpl w:val="832EE980"/>
    <w:lvl w:ilvl="0" w:tplc="EA58BCF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65AA88BE">
      <w:start w:val="1"/>
      <w:numFmt w:val="decimal"/>
      <w:lvlText w:val="%3."/>
      <w:lvlJc w:val="left"/>
      <w:pPr>
        <w:ind w:left="4575" w:hanging="180"/>
      </w:pPr>
      <w:rPr>
        <w:rFonts w:hint="default"/>
        <w:w w:val="100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4AD75ECD"/>
    <w:multiLevelType w:val="hybridMultilevel"/>
    <w:tmpl w:val="2E34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C6CF5"/>
    <w:multiLevelType w:val="hybridMultilevel"/>
    <w:tmpl w:val="93FCAD22"/>
    <w:lvl w:ilvl="0" w:tplc="F73C663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A595B"/>
    <w:multiLevelType w:val="hybridMultilevel"/>
    <w:tmpl w:val="7272E796"/>
    <w:lvl w:ilvl="0" w:tplc="46A82E4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lowerLetter"/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B4"/>
    <w:rsid w:val="00016AC5"/>
    <w:rsid w:val="000211DB"/>
    <w:rsid w:val="000219A2"/>
    <w:rsid w:val="00030ADE"/>
    <w:rsid w:val="000312C0"/>
    <w:rsid w:val="0008766D"/>
    <w:rsid w:val="00093723"/>
    <w:rsid w:val="000D5FF1"/>
    <w:rsid w:val="000F41F2"/>
    <w:rsid w:val="00110AF7"/>
    <w:rsid w:val="00135C0D"/>
    <w:rsid w:val="00160540"/>
    <w:rsid w:val="001711D1"/>
    <w:rsid w:val="001717C9"/>
    <w:rsid w:val="0017182C"/>
    <w:rsid w:val="00177007"/>
    <w:rsid w:val="00184F98"/>
    <w:rsid w:val="00186EE9"/>
    <w:rsid w:val="00192EEB"/>
    <w:rsid w:val="00193088"/>
    <w:rsid w:val="00196CC6"/>
    <w:rsid w:val="001A20FB"/>
    <w:rsid w:val="001A7E72"/>
    <w:rsid w:val="001B6F40"/>
    <w:rsid w:val="001D0CE7"/>
    <w:rsid w:val="001D2918"/>
    <w:rsid w:val="001D2E12"/>
    <w:rsid w:val="001D5C41"/>
    <w:rsid w:val="001D7F8A"/>
    <w:rsid w:val="001E3FEB"/>
    <w:rsid w:val="001E4A02"/>
    <w:rsid w:val="00223B89"/>
    <w:rsid w:val="00225A8C"/>
    <w:rsid w:val="00232F12"/>
    <w:rsid w:val="0024230B"/>
    <w:rsid w:val="00257F1B"/>
    <w:rsid w:val="002659F1"/>
    <w:rsid w:val="0027144B"/>
    <w:rsid w:val="00271C7C"/>
    <w:rsid w:val="00273A37"/>
    <w:rsid w:val="00287E79"/>
    <w:rsid w:val="00290A9D"/>
    <w:rsid w:val="002928F9"/>
    <w:rsid w:val="002A3CFD"/>
    <w:rsid w:val="002A5D07"/>
    <w:rsid w:val="002B61A3"/>
    <w:rsid w:val="002D73FE"/>
    <w:rsid w:val="003016B7"/>
    <w:rsid w:val="00320772"/>
    <w:rsid w:val="00330F9C"/>
    <w:rsid w:val="00332E2D"/>
    <w:rsid w:val="003374BD"/>
    <w:rsid w:val="00340C35"/>
    <w:rsid w:val="003454FD"/>
    <w:rsid w:val="00350715"/>
    <w:rsid w:val="003515AA"/>
    <w:rsid w:val="00370E0F"/>
    <w:rsid w:val="003729C3"/>
    <w:rsid w:val="00374106"/>
    <w:rsid w:val="0038511B"/>
    <w:rsid w:val="003976D5"/>
    <w:rsid w:val="003B718D"/>
    <w:rsid w:val="003C192A"/>
    <w:rsid w:val="003C4610"/>
    <w:rsid w:val="003D1DF3"/>
    <w:rsid w:val="003D46A7"/>
    <w:rsid w:val="003D6C68"/>
    <w:rsid w:val="0040463D"/>
    <w:rsid w:val="00407EB3"/>
    <w:rsid w:val="004159D0"/>
    <w:rsid w:val="004177FB"/>
    <w:rsid w:val="004249E7"/>
    <w:rsid w:val="004408DE"/>
    <w:rsid w:val="00446F3A"/>
    <w:rsid w:val="00463E86"/>
    <w:rsid w:val="00481994"/>
    <w:rsid w:val="004E7171"/>
    <w:rsid w:val="00513E6E"/>
    <w:rsid w:val="00534119"/>
    <w:rsid w:val="00543D5E"/>
    <w:rsid w:val="00571F41"/>
    <w:rsid w:val="00576C4C"/>
    <w:rsid w:val="005B76A3"/>
    <w:rsid w:val="005D6ADF"/>
    <w:rsid w:val="005E45EA"/>
    <w:rsid w:val="005E5D1F"/>
    <w:rsid w:val="005E781A"/>
    <w:rsid w:val="00603391"/>
    <w:rsid w:val="00611D43"/>
    <w:rsid w:val="00612D48"/>
    <w:rsid w:val="00616B45"/>
    <w:rsid w:val="006246F2"/>
    <w:rsid w:val="00630D9B"/>
    <w:rsid w:val="00631953"/>
    <w:rsid w:val="00633E1A"/>
    <w:rsid w:val="00634946"/>
    <w:rsid w:val="00637262"/>
    <w:rsid w:val="006439EC"/>
    <w:rsid w:val="00654012"/>
    <w:rsid w:val="00673A16"/>
    <w:rsid w:val="00681067"/>
    <w:rsid w:val="006A0641"/>
    <w:rsid w:val="006B4590"/>
    <w:rsid w:val="006B47E0"/>
    <w:rsid w:val="006C340C"/>
    <w:rsid w:val="006D5980"/>
    <w:rsid w:val="006E09B0"/>
    <w:rsid w:val="006E5FC7"/>
    <w:rsid w:val="0070347C"/>
    <w:rsid w:val="007176C1"/>
    <w:rsid w:val="007206DA"/>
    <w:rsid w:val="00725B05"/>
    <w:rsid w:val="007502EF"/>
    <w:rsid w:val="00766CF1"/>
    <w:rsid w:val="007745E1"/>
    <w:rsid w:val="00790F2F"/>
    <w:rsid w:val="00794B72"/>
    <w:rsid w:val="007A4C68"/>
    <w:rsid w:val="007C53C2"/>
    <w:rsid w:val="007E64F2"/>
    <w:rsid w:val="007F248F"/>
    <w:rsid w:val="007F5077"/>
    <w:rsid w:val="007F55CB"/>
    <w:rsid w:val="007F7BEB"/>
    <w:rsid w:val="00812C1A"/>
    <w:rsid w:val="00824679"/>
    <w:rsid w:val="00826B30"/>
    <w:rsid w:val="008317F6"/>
    <w:rsid w:val="008323C2"/>
    <w:rsid w:val="008365F0"/>
    <w:rsid w:val="00844750"/>
    <w:rsid w:val="00845747"/>
    <w:rsid w:val="008503E2"/>
    <w:rsid w:val="00856BDA"/>
    <w:rsid w:val="00862E3F"/>
    <w:rsid w:val="00864FDE"/>
    <w:rsid w:val="00880A46"/>
    <w:rsid w:val="00881D29"/>
    <w:rsid w:val="0088343D"/>
    <w:rsid w:val="00887390"/>
    <w:rsid w:val="0089056A"/>
    <w:rsid w:val="00890677"/>
    <w:rsid w:val="008A3CD9"/>
    <w:rsid w:val="008B44C4"/>
    <w:rsid w:val="008B7879"/>
    <w:rsid w:val="008C1EE5"/>
    <w:rsid w:val="008C5E21"/>
    <w:rsid w:val="008E7FAE"/>
    <w:rsid w:val="00911BF7"/>
    <w:rsid w:val="0091605B"/>
    <w:rsid w:val="00955DB4"/>
    <w:rsid w:val="00977EC8"/>
    <w:rsid w:val="009956B8"/>
    <w:rsid w:val="00995B04"/>
    <w:rsid w:val="009B3E1A"/>
    <w:rsid w:val="009D3A8C"/>
    <w:rsid w:val="009E1AA8"/>
    <w:rsid w:val="009E7956"/>
    <w:rsid w:val="00A13C5C"/>
    <w:rsid w:val="00A2492E"/>
    <w:rsid w:val="00A40D9C"/>
    <w:rsid w:val="00A50B5F"/>
    <w:rsid w:val="00A50BF1"/>
    <w:rsid w:val="00A51B41"/>
    <w:rsid w:val="00A6313E"/>
    <w:rsid w:val="00A64042"/>
    <w:rsid w:val="00A70163"/>
    <w:rsid w:val="00A92431"/>
    <w:rsid w:val="00A94459"/>
    <w:rsid w:val="00A9514F"/>
    <w:rsid w:val="00A9706F"/>
    <w:rsid w:val="00AA41E6"/>
    <w:rsid w:val="00AB6238"/>
    <w:rsid w:val="00AC67A1"/>
    <w:rsid w:val="00AC7381"/>
    <w:rsid w:val="00AC7977"/>
    <w:rsid w:val="00AE352C"/>
    <w:rsid w:val="00B316EA"/>
    <w:rsid w:val="00B32E2D"/>
    <w:rsid w:val="00B40903"/>
    <w:rsid w:val="00B4466B"/>
    <w:rsid w:val="00B61990"/>
    <w:rsid w:val="00B76E66"/>
    <w:rsid w:val="00B85D99"/>
    <w:rsid w:val="00B934F0"/>
    <w:rsid w:val="00BB2E94"/>
    <w:rsid w:val="00BD04A0"/>
    <w:rsid w:val="00BF0556"/>
    <w:rsid w:val="00BF3224"/>
    <w:rsid w:val="00C0762F"/>
    <w:rsid w:val="00C16EC6"/>
    <w:rsid w:val="00C261F8"/>
    <w:rsid w:val="00C30194"/>
    <w:rsid w:val="00C33100"/>
    <w:rsid w:val="00C34F0F"/>
    <w:rsid w:val="00C372E1"/>
    <w:rsid w:val="00C5443B"/>
    <w:rsid w:val="00C940E9"/>
    <w:rsid w:val="00CA3027"/>
    <w:rsid w:val="00CA7800"/>
    <w:rsid w:val="00CD13C4"/>
    <w:rsid w:val="00CD1A71"/>
    <w:rsid w:val="00CD1FBB"/>
    <w:rsid w:val="00CE1566"/>
    <w:rsid w:val="00D016B5"/>
    <w:rsid w:val="00D034F1"/>
    <w:rsid w:val="00D11B17"/>
    <w:rsid w:val="00D16897"/>
    <w:rsid w:val="00D27D5E"/>
    <w:rsid w:val="00D4700A"/>
    <w:rsid w:val="00D62E5A"/>
    <w:rsid w:val="00D6419E"/>
    <w:rsid w:val="00D847CD"/>
    <w:rsid w:val="00D929B6"/>
    <w:rsid w:val="00DA43D5"/>
    <w:rsid w:val="00DA57D4"/>
    <w:rsid w:val="00DB4793"/>
    <w:rsid w:val="00DB69AB"/>
    <w:rsid w:val="00DC19C5"/>
    <w:rsid w:val="00DD0474"/>
    <w:rsid w:val="00DE01E3"/>
    <w:rsid w:val="00DE6D90"/>
    <w:rsid w:val="00DF002F"/>
    <w:rsid w:val="00E0244D"/>
    <w:rsid w:val="00E0662C"/>
    <w:rsid w:val="00E205F4"/>
    <w:rsid w:val="00E55D71"/>
    <w:rsid w:val="00E81E94"/>
    <w:rsid w:val="00E82607"/>
    <w:rsid w:val="00EA31C2"/>
    <w:rsid w:val="00EE2EA3"/>
    <w:rsid w:val="00F01516"/>
    <w:rsid w:val="00F04DEE"/>
    <w:rsid w:val="00F21725"/>
    <w:rsid w:val="00F320A1"/>
    <w:rsid w:val="00F3415D"/>
    <w:rsid w:val="00F554B1"/>
    <w:rsid w:val="00F56368"/>
    <w:rsid w:val="00F57129"/>
    <w:rsid w:val="00F7751C"/>
    <w:rsid w:val="00F823D0"/>
    <w:rsid w:val="00F966EA"/>
    <w:rsid w:val="00FA5A79"/>
    <w:rsid w:val="00FB0BFE"/>
    <w:rsid w:val="00FB3144"/>
    <w:rsid w:val="00FB4C51"/>
    <w:rsid w:val="00FD7DD8"/>
    <w:rsid w:val="00FE3803"/>
    <w:rsid w:val="00FF01B0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8733FA"/>
  <w15:chartTrackingRefBased/>
  <w15:docId w15:val="{32AFA9B4-D75A-466D-A102-F292E96B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1AA8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9E1AA8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9E1AA8"/>
    <w:pPr>
      <w:outlineLvl w:val="1"/>
    </w:pPr>
  </w:style>
  <w:style w:type="paragraph" w:styleId="Heading3">
    <w:name w:val="heading 3"/>
    <w:basedOn w:val="Normal"/>
    <w:next w:val="Normal"/>
    <w:qFormat/>
    <w:rsid w:val="009E1AA8"/>
    <w:pPr>
      <w:outlineLvl w:val="2"/>
    </w:pPr>
  </w:style>
  <w:style w:type="paragraph" w:styleId="Heading4">
    <w:name w:val="heading 4"/>
    <w:basedOn w:val="Normal"/>
    <w:next w:val="Normal"/>
    <w:qFormat/>
    <w:rsid w:val="009E1AA8"/>
    <w:pPr>
      <w:outlineLvl w:val="3"/>
    </w:pPr>
  </w:style>
  <w:style w:type="paragraph" w:styleId="Heading5">
    <w:name w:val="heading 5"/>
    <w:basedOn w:val="Normal"/>
    <w:next w:val="Normal"/>
    <w:qFormat/>
    <w:rsid w:val="009E1AA8"/>
    <w:pPr>
      <w:outlineLvl w:val="4"/>
    </w:pPr>
  </w:style>
  <w:style w:type="paragraph" w:styleId="Heading6">
    <w:name w:val="heading 6"/>
    <w:basedOn w:val="Normal"/>
    <w:next w:val="Normal"/>
    <w:qFormat/>
    <w:rsid w:val="009E1AA8"/>
    <w:pPr>
      <w:outlineLvl w:val="5"/>
    </w:pPr>
  </w:style>
  <w:style w:type="paragraph" w:styleId="Heading7">
    <w:name w:val="heading 7"/>
    <w:basedOn w:val="Normal"/>
    <w:next w:val="Normal"/>
    <w:qFormat/>
    <w:rsid w:val="009E1AA8"/>
    <w:pPr>
      <w:outlineLvl w:val="6"/>
    </w:pPr>
  </w:style>
  <w:style w:type="paragraph" w:styleId="Heading8">
    <w:name w:val="heading 8"/>
    <w:basedOn w:val="Normal"/>
    <w:next w:val="Normal"/>
    <w:qFormat/>
    <w:rsid w:val="009E1AA8"/>
    <w:pPr>
      <w:outlineLvl w:val="7"/>
    </w:pPr>
  </w:style>
  <w:style w:type="paragraph" w:styleId="Heading9">
    <w:name w:val="heading 9"/>
    <w:basedOn w:val="Normal"/>
    <w:next w:val="Normal"/>
    <w:qFormat/>
    <w:rsid w:val="009E1AA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9E1AA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9E1AA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9E1AA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E1AA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E1AA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styleId="BalloonText">
    <w:name w:val="Balloon Text"/>
    <w:basedOn w:val="Normal"/>
    <w:link w:val="BalloonTextChar"/>
    <w:rsid w:val="009E1AA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link w:val="SingleTxtGChar"/>
    <w:rsid w:val="009E1AA8"/>
    <w:pPr>
      <w:spacing w:after="120"/>
      <w:ind w:left="1134" w:right="1134"/>
      <w:jc w:val="both"/>
    </w:pPr>
  </w:style>
  <w:style w:type="character" w:customStyle="1" w:styleId="BalloonTextChar">
    <w:name w:val="Balloon Text Char"/>
    <w:link w:val="BalloonText"/>
    <w:rsid w:val="009E1AA8"/>
    <w:rPr>
      <w:rFonts w:ascii="Tahoma" w:hAnsi="Tahoma" w:cs="Tahoma"/>
      <w:sz w:val="16"/>
      <w:szCs w:val="16"/>
      <w:lang w:eastAsia="en-US"/>
    </w:rPr>
  </w:style>
  <w:style w:type="paragraph" w:customStyle="1" w:styleId="H56G">
    <w:name w:val="_ H_5/6_G"/>
    <w:basedOn w:val="Normal"/>
    <w:next w:val="Normal"/>
    <w:rsid w:val="009E1AA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LG">
    <w:name w:val="__S_L_G"/>
    <w:basedOn w:val="Normal"/>
    <w:next w:val="Normal"/>
    <w:rsid w:val="009E1AA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E1AA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E1AA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E1AA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character" w:styleId="FootnoteReference">
    <w:name w:val="footnote reference"/>
    <w:aliases w:val="4_G"/>
    <w:rsid w:val="009E1AA8"/>
    <w:rPr>
      <w:rFonts w:ascii="Times New Roman" w:hAnsi="Times New Roman"/>
      <w:sz w:val="18"/>
      <w:vertAlign w:val="superscript"/>
      <w:lang w:val="fr-CH"/>
    </w:rPr>
  </w:style>
  <w:style w:type="paragraph" w:customStyle="1" w:styleId="Bullet1G">
    <w:name w:val="_Bullet 1_G"/>
    <w:basedOn w:val="Normal"/>
    <w:rsid w:val="009E1AA8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E1AA8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uiPriority w:val="99"/>
    <w:rsid w:val="009E1AA8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9E1AA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D929B6"/>
    <w:rPr>
      <w:b/>
      <w:sz w:val="18"/>
      <w:lang w:eastAsia="en-US"/>
    </w:rPr>
  </w:style>
  <w:style w:type="paragraph" w:styleId="FootnoteText">
    <w:name w:val="footnote text"/>
    <w:aliases w:val="5_G"/>
    <w:basedOn w:val="Normal"/>
    <w:link w:val="FootnoteTextChar"/>
    <w:rsid w:val="009E1AA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D929B6"/>
    <w:rPr>
      <w:sz w:val="18"/>
      <w:lang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9E1AA8"/>
  </w:style>
  <w:style w:type="table" w:styleId="TableGrid1">
    <w:name w:val="Table Grid 1"/>
    <w:basedOn w:val="TableNormal"/>
    <w:semiHidden/>
    <w:rsid w:val="009E1AA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E1AA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EndnoteTextChar">
    <w:name w:val="Endnote Text Char"/>
    <w:aliases w:val="2_G Char"/>
    <w:link w:val="EndnoteText"/>
    <w:uiPriority w:val="99"/>
    <w:rsid w:val="00D929B6"/>
    <w:rPr>
      <w:sz w:val="18"/>
      <w:lang w:eastAsia="en-US"/>
    </w:rPr>
  </w:style>
  <w:style w:type="character" w:styleId="PageNumber">
    <w:name w:val="page number"/>
    <w:aliases w:val="7_G"/>
    <w:rsid w:val="009E1AA8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9E1AA8"/>
    <w:pPr>
      <w:spacing w:line="240" w:lineRule="auto"/>
    </w:pPr>
    <w:rPr>
      <w:sz w:val="16"/>
    </w:rPr>
  </w:style>
  <w:style w:type="character" w:customStyle="1" w:styleId="Heading1Char">
    <w:name w:val="Heading 1 Char"/>
    <w:aliases w:val="Table_G Char"/>
    <w:link w:val="Heading1"/>
    <w:rsid w:val="00FB3144"/>
    <w:rPr>
      <w:lang w:eastAsia="en-US"/>
    </w:rPr>
  </w:style>
  <w:style w:type="character" w:customStyle="1" w:styleId="SingleTxtGChar">
    <w:name w:val="_ Single Txt_G Char"/>
    <w:link w:val="SingleTxtG"/>
    <w:locked/>
    <w:rsid w:val="00FB3144"/>
    <w:rPr>
      <w:lang w:eastAsia="en-US"/>
    </w:rPr>
  </w:style>
  <w:style w:type="character" w:customStyle="1" w:styleId="H1GChar">
    <w:name w:val="_ H_1_G Char"/>
    <w:link w:val="H1G"/>
    <w:rsid w:val="00FB3144"/>
    <w:rPr>
      <w:b/>
      <w:sz w:val="24"/>
      <w:lang w:eastAsia="en-US"/>
    </w:rPr>
  </w:style>
  <w:style w:type="character" w:customStyle="1" w:styleId="FooterChar">
    <w:name w:val="Footer Char"/>
    <w:aliases w:val="3_G Char"/>
    <w:link w:val="Footer"/>
    <w:rsid w:val="00D929B6"/>
    <w:rPr>
      <w:sz w:val="16"/>
      <w:lang w:eastAsia="en-US"/>
    </w:rPr>
  </w:style>
  <w:style w:type="character" w:styleId="Hyperlink">
    <w:name w:val="Hyperlink"/>
    <w:rsid w:val="009E1AA8"/>
    <w:rPr>
      <w:color w:val="auto"/>
      <w:u w:val="none"/>
    </w:rPr>
  </w:style>
  <w:style w:type="character" w:styleId="FollowedHyperlink">
    <w:name w:val="FollowedHyperlink"/>
    <w:rsid w:val="009E1AA8"/>
    <w:rPr>
      <w:color w:val="auto"/>
      <w:u w:val="none"/>
    </w:rPr>
  </w:style>
  <w:style w:type="paragraph" w:styleId="NormalWeb">
    <w:name w:val="Normal (Web)"/>
    <w:basedOn w:val="Normal"/>
    <w:uiPriority w:val="99"/>
    <w:unhideWhenUsed/>
    <w:rsid w:val="009956B8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40D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02EF"/>
    <w:pPr>
      <w:suppressAutoHyphens w:val="0"/>
      <w:spacing w:line="260" w:lineRule="atLeast"/>
      <w:ind w:left="720"/>
      <w:contextualSpacing/>
    </w:pPr>
    <w:rPr>
      <w:rFonts w:ascii="Arial" w:hAnsi="Arial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ep.org/resources/publication/international-good-practice-principles-sustainable-infrastructure" TargetMode="External"/><Relationship Id="rId1" Type="http://schemas.openxmlformats.org/officeDocument/2006/relationships/hyperlink" Target="https://unece.org/documents-and-material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784C-136F-402C-8E3F-F54A14F4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ECE/BATUMI.CONF/2016/6</vt:lpstr>
      <vt:lpstr>ECE/BATUMI.CONF/2016/6</vt:lpstr>
    </vt:vector>
  </TitlesOfParts>
  <Company>CSD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ECE/BATUMI.CONF/2016/6</dc:title>
  <dc:subject/>
  <dc:creator>Morin</dc:creator>
  <cp:keywords/>
  <cp:lastModifiedBy>Katri Veldre</cp:lastModifiedBy>
  <cp:revision>2</cp:revision>
  <cp:lastPrinted>2022-06-01T12:20:00Z</cp:lastPrinted>
  <dcterms:created xsi:type="dcterms:W3CDTF">2022-06-02T12:09:00Z</dcterms:created>
  <dcterms:modified xsi:type="dcterms:W3CDTF">2022-06-02T12:09:00Z</dcterms:modified>
</cp:coreProperties>
</file>