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505441FA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7549B">
              <w:rPr>
                <w:b/>
                <w:sz w:val="40"/>
                <w:szCs w:val="40"/>
              </w:rPr>
              <w:t>60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04495C">
              <w:rPr>
                <w:b/>
                <w:sz w:val="40"/>
                <w:szCs w:val="40"/>
              </w:rPr>
              <w:t>8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57A7096F" w:rsidR="00EA2D43" w:rsidRPr="008D7B55" w:rsidRDefault="00263951" w:rsidP="00D427EE">
            <w:pPr>
              <w:tabs>
                <w:tab w:val="right" w:pos="9000"/>
              </w:tabs>
              <w:spacing w:before="120"/>
              <w:outlineLvl w:val="0"/>
              <w:rPr>
                <w:rFonts w:asciiTheme="majorBidi" w:hAnsiTheme="majorBidi" w:cstheme="majorBidi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 w:rsidRPr="008D7B55">
              <w:rPr>
                <w:rFonts w:asciiTheme="majorBidi" w:hAnsiTheme="majorBidi" w:cstheme="majorBidi"/>
                <w:b/>
                <w:color w:val="000000"/>
              </w:rPr>
              <w:tab/>
            </w:r>
            <w:r w:rsidR="0004495C">
              <w:rPr>
                <w:rFonts w:asciiTheme="majorBidi" w:hAnsiTheme="majorBidi" w:cstheme="majorBidi"/>
                <w:b/>
                <w:color w:val="000000"/>
              </w:rPr>
              <w:t>24 May 2022</w:t>
            </w:r>
          </w:p>
          <w:p w14:paraId="55810CFA" w14:textId="77777777" w:rsidR="00224BDB" w:rsidRPr="006500BA" w:rsidRDefault="00224BDB" w:rsidP="00224BD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Sixtieth </w:t>
            </w:r>
            <w:r w:rsidRPr="006500BA">
              <w:rPr>
                <w:b/>
              </w:rPr>
              <w:t>session</w:t>
            </w:r>
          </w:p>
          <w:p w14:paraId="52DBBD11" w14:textId="77777777" w:rsidR="00224BDB" w:rsidRPr="006500BA" w:rsidRDefault="00224BDB" w:rsidP="00224BDB">
            <w:r w:rsidRPr="006500BA">
              <w:t xml:space="preserve">Geneva, </w:t>
            </w:r>
            <w:r>
              <w:t xml:space="preserve">27 June-6 July 2022 </w:t>
            </w:r>
          </w:p>
          <w:p w14:paraId="52F124BE" w14:textId="5DD089B6" w:rsidR="00224BDB" w:rsidRPr="00382921" w:rsidRDefault="00224BDB" w:rsidP="00224BDB">
            <w:r w:rsidRPr="00382921">
              <w:t xml:space="preserve">Item </w:t>
            </w:r>
            <w:r w:rsidR="0004495C">
              <w:t>2 (i)</w:t>
            </w:r>
            <w:r w:rsidR="00132A27" w:rsidRPr="00382921">
              <w:t xml:space="preserve"> </w:t>
            </w:r>
            <w:r w:rsidRPr="00382921">
              <w:t>of the provisional agenda</w:t>
            </w:r>
          </w:p>
          <w:p w14:paraId="49DCFCD0" w14:textId="01ADA48D" w:rsidR="0099001C" w:rsidRPr="00DC6B66" w:rsidRDefault="0068274A" w:rsidP="00C27AA0">
            <w:pPr>
              <w:jc w:val="both"/>
              <w:rPr>
                <w:b/>
                <w:bCs/>
                <w:highlight w:val="yellow"/>
              </w:rPr>
            </w:pPr>
            <w:r w:rsidRPr="00DC6B66">
              <w:rPr>
                <w:b/>
                <w:bCs/>
              </w:rPr>
              <w:t xml:space="preserve">Explosives and related matters: </w:t>
            </w:r>
            <w:r w:rsidR="00DC6B66" w:rsidRPr="00DC6B66">
              <w:rPr>
                <w:b/>
                <w:bCs/>
              </w:rPr>
              <w:t>miscellaneous</w:t>
            </w:r>
          </w:p>
        </w:tc>
      </w:tr>
    </w:tbl>
    <w:p w14:paraId="4EF7430E" w14:textId="003DDD59" w:rsidR="00153D42" w:rsidRPr="00F32E20" w:rsidRDefault="00153D42" w:rsidP="00153D42">
      <w:pPr>
        <w:pStyle w:val="HChG"/>
        <w:spacing w:before="240" w:after="120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 xml:space="preserve">Additional data </w:t>
      </w:r>
      <w:r w:rsidR="00E070E2">
        <w:rPr>
          <w:rFonts w:eastAsia="MS Mincho"/>
          <w:lang w:val="en-US" w:eastAsia="ja-JP"/>
        </w:rPr>
        <w:t>on</w:t>
      </w:r>
      <w:r>
        <w:rPr>
          <w:rFonts w:eastAsia="MS Mincho"/>
          <w:lang w:val="en-US" w:eastAsia="ja-JP"/>
        </w:rPr>
        <w:t xml:space="preserve"> proposal </w:t>
      </w:r>
      <w:r w:rsidRPr="0007313F">
        <w:rPr>
          <w:rFonts w:eastAsia="MS Mincho"/>
          <w:lang w:val="en-US" w:eastAsia="ja-JP"/>
        </w:rPr>
        <w:t>ST/SG/AC.10/C.3/2022/9</w:t>
      </w:r>
      <w:r>
        <w:rPr>
          <w:rFonts w:eastAsia="MS Mincho"/>
          <w:lang w:val="en-US" w:eastAsia="ja-JP"/>
        </w:rPr>
        <w:t xml:space="preserve"> - </w:t>
      </w:r>
      <w:r>
        <w:rPr>
          <w:rFonts w:eastAsia="MS Mincho"/>
          <w:lang w:val="en-US" w:eastAsia="ja-JP"/>
        </w:rPr>
        <w:br/>
      </w:r>
      <w:r>
        <w:t>5-Trifluoromethyltetrazole, sodium salt (TFMT-Na) in acetone</w:t>
      </w:r>
    </w:p>
    <w:p w14:paraId="7ED45503" w14:textId="77777777" w:rsidR="00153D42" w:rsidRPr="00F32E20" w:rsidRDefault="00153D42" w:rsidP="00153D42">
      <w:pPr>
        <w:pStyle w:val="H1G"/>
        <w:spacing w:before="240" w:after="120"/>
      </w:pPr>
      <w:r w:rsidRPr="00F32E20">
        <w:tab/>
      </w:r>
      <w:r w:rsidRPr="00F32E20">
        <w:tab/>
      </w:r>
      <w:r w:rsidRPr="00B30FDE">
        <w:t>Submitted by the European Chemical Industry Council (Cefic)</w:t>
      </w:r>
    </w:p>
    <w:p w14:paraId="32CE47A1" w14:textId="77777777" w:rsidR="00153D42" w:rsidRPr="00B360E9" w:rsidRDefault="00153D42" w:rsidP="00153D42">
      <w:pPr>
        <w:pStyle w:val="HChG"/>
        <w:spacing w:before="240" w:after="120"/>
        <w:rPr>
          <w:sz w:val="24"/>
          <w:szCs w:val="24"/>
        </w:rPr>
      </w:pPr>
      <w:r w:rsidRPr="00AE50AE">
        <w:rPr>
          <w:sz w:val="24"/>
          <w:szCs w:val="24"/>
        </w:rPr>
        <w:tab/>
      </w:r>
      <w:r w:rsidRPr="00AE50AE">
        <w:rPr>
          <w:sz w:val="24"/>
          <w:szCs w:val="24"/>
        </w:rPr>
        <w:tab/>
      </w:r>
      <w:r w:rsidRPr="00A83C19">
        <w:rPr>
          <w:sz w:val="24"/>
          <w:szCs w:val="24"/>
          <w:lang w:val="en-US"/>
        </w:rPr>
        <w:t>Results of corrosivity and toxicity testing</w:t>
      </w:r>
      <w:r>
        <w:rPr>
          <w:sz w:val="24"/>
          <w:szCs w:val="24"/>
        </w:rPr>
        <w:t xml:space="preserve"> </w:t>
      </w:r>
    </w:p>
    <w:p w14:paraId="2E9EC8ED" w14:textId="36FE6458" w:rsidR="00153D42" w:rsidRDefault="00153D42" w:rsidP="00153D42">
      <w:pPr>
        <w:pStyle w:val="SingleTxtG"/>
        <w:numPr>
          <w:ilvl w:val="0"/>
          <w:numId w:val="4"/>
        </w:numPr>
        <w:tabs>
          <w:tab w:val="left" w:pos="1701"/>
        </w:tabs>
        <w:ind w:left="1134" w:firstLine="0"/>
      </w:pPr>
      <w:r w:rsidRPr="0063467E">
        <w:tab/>
      </w:r>
      <w:r>
        <w:t xml:space="preserve">This informal </w:t>
      </w:r>
      <w:r w:rsidR="002B5BE8">
        <w:t>document</w:t>
      </w:r>
      <w:r>
        <w:t xml:space="preserve"> is a supplement to </w:t>
      </w:r>
      <w:r w:rsidR="002B5BE8">
        <w:t xml:space="preserve">official </w:t>
      </w:r>
      <w:r w:rsidR="00E25B91">
        <w:t>document</w:t>
      </w:r>
      <w:r>
        <w:t xml:space="preserve"> </w:t>
      </w:r>
      <w:r w:rsidRPr="002E35C4">
        <w:t>ST/SG/AC.10/C.3/2022/9</w:t>
      </w:r>
      <w:r>
        <w:t xml:space="preserve"> </w:t>
      </w:r>
      <w:r w:rsidR="00E25B91">
        <w:t xml:space="preserve">proposing </w:t>
      </w:r>
      <w:r>
        <w:t>to introduce a new entry for the title compound in acetone as a desensitized explosive.</w:t>
      </w:r>
    </w:p>
    <w:p w14:paraId="1C8EF2FB" w14:textId="77777777" w:rsidR="00153D42" w:rsidRPr="0063467E" w:rsidRDefault="00153D42" w:rsidP="00153D42">
      <w:pPr>
        <w:pStyle w:val="SingleTxtG"/>
        <w:numPr>
          <w:ilvl w:val="0"/>
          <w:numId w:val="4"/>
        </w:numPr>
        <w:tabs>
          <w:tab w:val="left" w:pos="1701"/>
        </w:tabs>
        <w:ind w:left="1134" w:firstLine="0"/>
      </w:pPr>
      <w:r>
        <w:t>As reported in previous papers and discussions, finding a test laboratory for the evaluation of toxicological properties proved to be a huge challenge due to the explosive properties of the ingredient.</w:t>
      </w:r>
    </w:p>
    <w:p w14:paraId="330C5A94" w14:textId="77777777" w:rsidR="00153D42" w:rsidRDefault="00153D42" w:rsidP="00153D42">
      <w:pPr>
        <w:pStyle w:val="SingleTxtG"/>
        <w:numPr>
          <w:ilvl w:val="0"/>
          <w:numId w:val="4"/>
        </w:numPr>
        <w:tabs>
          <w:tab w:val="left" w:pos="1701"/>
        </w:tabs>
        <w:ind w:left="1134" w:firstLine="0"/>
      </w:pPr>
      <w:r w:rsidRPr="0063467E">
        <w:tab/>
      </w:r>
      <w:r>
        <w:t>Cefic thanks the expert from Poland for recommending a qualified laboratory for the conduct of toxicological studies, which was able to solve the challenges in handling this substance and to successfully perform the appropriate tests.</w:t>
      </w:r>
    </w:p>
    <w:p w14:paraId="7BFBBFF8" w14:textId="1C8BFAB4" w:rsidR="00153D42" w:rsidRDefault="00153D42" w:rsidP="00153D42">
      <w:pPr>
        <w:pStyle w:val="SingleTxtG"/>
        <w:numPr>
          <w:ilvl w:val="0"/>
          <w:numId w:val="4"/>
        </w:numPr>
        <w:tabs>
          <w:tab w:val="left" w:pos="1701"/>
        </w:tabs>
        <w:ind w:left="1134" w:firstLine="0"/>
      </w:pPr>
      <w:r>
        <w:t xml:space="preserve">The studies were carried out in accordance with the specified OECD test guidelines in adherence of the </w:t>
      </w:r>
      <w:r w:rsidR="00F82356" w:rsidRPr="00F82356">
        <w:t>Good Laboratory Practices</w:t>
      </w:r>
      <w:r w:rsidR="00F82356" w:rsidRPr="00F82356">
        <w:t xml:space="preserve"> </w:t>
      </w:r>
      <w:r w:rsidR="00F82356">
        <w:t>(</w:t>
      </w:r>
      <w:r>
        <w:t>GLP</w:t>
      </w:r>
      <w:r w:rsidR="00414137">
        <w:t>)</w:t>
      </w:r>
      <w:r>
        <w:t xml:space="preserve"> quality requirements. The concentration of TFMT-Na in acetone was 29.1 % by weight in all studies.</w:t>
      </w:r>
    </w:p>
    <w:p w14:paraId="040095FE" w14:textId="77777777" w:rsidR="00153D42" w:rsidRDefault="00153D42" w:rsidP="00153D42">
      <w:pPr>
        <w:pStyle w:val="SingleTxtG"/>
        <w:numPr>
          <w:ilvl w:val="0"/>
          <w:numId w:val="4"/>
        </w:numPr>
        <w:tabs>
          <w:tab w:val="left" w:pos="1701"/>
        </w:tabs>
        <w:ind w:left="1134" w:firstLine="0"/>
      </w:pPr>
      <w:r>
        <w:t>The following results were obtained: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691"/>
        <w:gridCol w:w="992"/>
        <w:gridCol w:w="2704"/>
      </w:tblGrid>
      <w:tr w:rsidR="00153D42" w14:paraId="273C8433" w14:textId="77777777" w:rsidTr="00113C32">
        <w:trPr>
          <w:jc w:val="center"/>
        </w:trPr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3374BC" w14:textId="77777777" w:rsidR="00153D42" w:rsidRPr="00CD2593" w:rsidRDefault="00153D42" w:rsidP="008E1637">
            <w:pPr>
              <w:pStyle w:val="SingleTxtG"/>
              <w:tabs>
                <w:tab w:val="left" w:pos="1701"/>
              </w:tabs>
              <w:spacing w:line="240" w:lineRule="auto"/>
              <w:ind w:left="0" w:right="54"/>
              <w:jc w:val="center"/>
              <w:rPr>
                <w:b/>
                <w:bCs/>
              </w:rPr>
            </w:pPr>
            <w:r w:rsidRPr="00CD2593">
              <w:rPr>
                <w:b/>
                <w:bCs/>
              </w:rPr>
              <w:t>Study type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121F7F" w14:textId="77777777" w:rsidR="00153D42" w:rsidRPr="00CD2593" w:rsidRDefault="00153D42" w:rsidP="008E1637">
            <w:pPr>
              <w:pStyle w:val="SingleTxtG"/>
              <w:tabs>
                <w:tab w:val="left" w:pos="1701"/>
              </w:tabs>
              <w:spacing w:line="240" w:lineRule="auto"/>
              <w:ind w:left="0" w:right="140"/>
              <w:jc w:val="center"/>
              <w:rPr>
                <w:b/>
                <w:bCs/>
              </w:rPr>
            </w:pPr>
            <w:r w:rsidRPr="00CD2593">
              <w:rPr>
                <w:b/>
                <w:bCs/>
              </w:rPr>
              <w:t>OECD Test method</w:t>
            </w:r>
          </w:p>
        </w:tc>
        <w:tc>
          <w:tcPr>
            <w:tcW w:w="16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41BCE2" w14:textId="77777777" w:rsidR="00153D42" w:rsidRPr="00CD2593" w:rsidRDefault="00153D42" w:rsidP="008E1637">
            <w:pPr>
              <w:pStyle w:val="SingleTxtG"/>
              <w:tabs>
                <w:tab w:val="left" w:pos="464"/>
                <w:tab w:val="left" w:pos="1701"/>
              </w:tabs>
              <w:spacing w:line="240" w:lineRule="auto"/>
              <w:ind w:left="0" w:right="137"/>
              <w:jc w:val="center"/>
              <w:rPr>
                <w:b/>
                <w:bCs/>
              </w:rPr>
            </w:pPr>
            <w:r w:rsidRPr="00CD2593">
              <w:rPr>
                <w:b/>
                <w:bCs/>
              </w:rPr>
              <w:t>Procedure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C553E0" w14:textId="77777777" w:rsidR="00153D42" w:rsidRPr="00CD2593" w:rsidRDefault="00153D42" w:rsidP="008E1637">
            <w:pPr>
              <w:pStyle w:val="SingleTxtG"/>
              <w:tabs>
                <w:tab w:val="left" w:pos="1701"/>
              </w:tabs>
              <w:spacing w:line="240" w:lineRule="auto"/>
              <w:ind w:left="0" w:right="140"/>
              <w:jc w:val="center"/>
              <w:rPr>
                <w:b/>
                <w:bCs/>
              </w:rPr>
            </w:pPr>
            <w:r w:rsidRPr="00CD2593">
              <w:rPr>
                <w:b/>
                <w:bCs/>
              </w:rPr>
              <w:t>Dose [mg/kg]</w:t>
            </w:r>
          </w:p>
        </w:tc>
        <w:tc>
          <w:tcPr>
            <w:tcW w:w="27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1FFBB" w14:textId="77777777" w:rsidR="00153D42" w:rsidRPr="00CD2593" w:rsidRDefault="00153D42" w:rsidP="008E1637">
            <w:pPr>
              <w:pStyle w:val="SingleTxtG"/>
              <w:tabs>
                <w:tab w:val="left" w:pos="1701"/>
              </w:tabs>
              <w:spacing w:line="240" w:lineRule="auto"/>
              <w:ind w:left="0" w:right="284"/>
              <w:jc w:val="center"/>
              <w:rPr>
                <w:b/>
                <w:bCs/>
              </w:rPr>
            </w:pPr>
            <w:r w:rsidRPr="00CD2593">
              <w:rPr>
                <w:b/>
                <w:bCs/>
              </w:rPr>
              <w:t>Result</w:t>
            </w:r>
          </w:p>
        </w:tc>
      </w:tr>
      <w:tr w:rsidR="00153D42" w14:paraId="3CD65A7D" w14:textId="77777777" w:rsidTr="00113C32">
        <w:trPr>
          <w:trHeight w:val="743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0626D52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54"/>
              <w:jc w:val="center"/>
            </w:pPr>
            <w:r>
              <w:t>Acute oral toxicity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74AB5A67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40"/>
              <w:jc w:val="center"/>
            </w:pPr>
            <w:r>
              <w:t>423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vAlign w:val="center"/>
          </w:tcPr>
          <w:p w14:paraId="7F082F5E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37"/>
              <w:jc w:val="center"/>
            </w:pPr>
            <w:r>
              <w:t>Female Wistar rats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DED930A" w14:textId="30C8F042" w:rsidR="00153D42" w:rsidRDefault="00153D42" w:rsidP="00113C32">
            <w:pPr>
              <w:pStyle w:val="SingleTxtG"/>
              <w:tabs>
                <w:tab w:val="left" w:pos="1701"/>
              </w:tabs>
              <w:spacing w:after="0" w:line="240" w:lineRule="auto"/>
              <w:ind w:left="0" w:right="142"/>
              <w:jc w:val="center"/>
            </w:pPr>
            <w:r>
              <w:t>300</w:t>
            </w:r>
            <w:r w:rsidR="00113C32">
              <w:br/>
            </w:r>
            <w:r>
              <w:t>(fixed)</w:t>
            </w:r>
          </w:p>
        </w:tc>
        <w:tc>
          <w:tcPr>
            <w:tcW w:w="2704" w:type="dxa"/>
            <w:vMerge w:val="restart"/>
            <w:tcBorders>
              <w:top w:val="double" w:sz="4" w:space="0" w:color="auto"/>
            </w:tcBorders>
            <w:vAlign w:val="center"/>
          </w:tcPr>
          <w:p w14:paraId="0E2EBE01" w14:textId="77777777" w:rsidR="00153D42" w:rsidRDefault="00153D42" w:rsidP="008E1637">
            <w:pPr>
              <w:pStyle w:val="SingleTxtG"/>
              <w:tabs>
                <w:tab w:val="left" w:pos="1701"/>
              </w:tabs>
              <w:ind w:left="0" w:right="284"/>
            </w:pPr>
            <w:r>
              <w:t>Number of deaths: 0 out of 6 animals; no macroscopic changes in gross necropsy examination.</w:t>
            </w:r>
          </w:p>
          <w:p w14:paraId="323BD7E6" w14:textId="77777777" w:rsidR="00153D42" w:rsidRDefault="00153D42" w:rsidP="008E1637">
            <w:pPr>
              <w:pStyle w:val="SingleTxtG"/>
              <w:tabs>
                <w:tab w:val="left" w:pos="1701"/>
              </w:tabs>
              <w:ind w:left="0" w:right="284"/>
            </w:pPr>
            <w:r>
              <w:t>LD 50 &gt; 2000 mg/kg</w:t>
            </w:r>
          </w:p>
        </w:tc>
      </w:tr>
      <w:tr w:rsidR="00153D42" w14:paraId="4ED7CC12" w14:textId="77777777" w:rsidTr="00113C32">
        <w:trPr>
          <w:trHeight w:val="262"/>
          <w:jc w:val="center"/>
        </w:trPr>
        <w:tc>
          <w:tcPr>
            <w:tcW w:w="1271" w:type="dxa"/>
            <w:vMerge/>
            <w:vAlign w:val="center"/>
          </w:tcPr>
          <w:p w14:paraId="065A2F47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54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CD45D4E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40"/>
              <w:jc w:val="center"/>
            </w:pPr>
          </w:p>
        </w:tc>
        <w:tc>
          <w:tcPr>
            <w:tcW w:w="1691" w:type="dxa"/>
            <w:vMerge/>
            <w:vAlign w:val="center"/>
          </w:tcPr>
          <w:p w14:paraId="0A0C611E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37"/>
              <w:jc w:val="center"/>
            </w:pPr>
          </w:p>
        </w:tc>
        <w:tc>
          <w:tcPr>
            <w:tcW w:w="992" w:type="dxa"/>
            <w:vAlign w:val="center"/>
          </w:tcPr>
          <w:p w14:paraId="61A603DE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42"/>
              <w:jc w:val="center"/>
            </w:pPr>
            <w:r>
              <w:t>2000 (fixed)</w:t>
            </w:r>
          </w:p>
        </w:tc>
        <w:tc>
          <w:tcPr>
            <w:tcW w:w="2704" w:type="dxa"/>
            <w:vMerge/>
            <w:vAlign w:val="center"/>
          </w:tcPr>
          <w:p w14:paraId="38EF4932" w14:textId="77777777" w:rsidR="00153D42" w:rsidRDefault="00153D42" w:rsidP="008E1637">
            <w:pPr>
              <w:pStyle w:val="SingleTxtG"/>
              <w:tabs>
                <w:tab w:val="left" w:pos="1701"/>
              </w:tabs>
              <w:ind w:left="0" w:right="284"/>
            </w:pPr>
          </w:p>
        </w:tc>
      </w:tr>
      <w:tr w:rsidR="00153D42" w14:paraId="07FD552A" w14:textId="77777777" w:rsidTr="00113C32">
        <w:trPr>
          <w:jc w:val="center"/>
        </w:trPr>
        <w:tc>
          <w:tcPr>
            <w:tcW w:w="1271" w:type="dxa"/>
            <w:vAlign w:val="center"/>
          </w:tcPr>
          <w:p w14:paraId="4F8186CB" w14:textId="42B5130D" w:rsidR="00153D42" w:rsidRDefault="00153D42" w:rsidP="008D6262">
            <w:pPr>
              <w:pStyle w:val="SingleTxtG"/>
              <w:tabs>
                <w:tab w:val="left" w:pos="1701"/>
              </w:tabs>
              <w:spacing w:after="0" w:line="240" w:lineRule="auto"/>
              <w:ind w:left="0" w:right="54"/>
              <w:jc w:val="center"/>
            </w:pPr>
            <w:r>
              <w:t>In vitro skin corrosion</w:t>
            </w:r>
          </w:p>
        </w:tc>
        <w:tc>
          <w:tcPr>
            <w:tcW w:w="1134" w:type="dxa"/>
            <w:vAlign w:val="center"/>
          </w:tcPr>
          <w:p w14:paraId="6EE73A13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40"/>
              <w:jc w:val="center"/>
            </w:pPr>
            <w:r>
              <w:t>431</w:t>
            </w:r>
          </w:p>
        </w:tc>
        <w:tc>
          <w:tcPr>
            <w:tcW w:w="1691" w:type="dxa"/>
            <w:vAlign w:val="center"/>
          </w:tcPr>
          <w:p w14:paraId="5481F4F1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37"/>
              <w:jc w:val="center"/>
            </w:pPr>
            <w:r>
              <w:t>Reconstructed human epidermis test</w:t>
            </w:r>
          </w:p>
        </w:tc>
        <w:tc>
          <w:tcPr>
            <w:tcW w:w="992" w:type="dxa"/>
            <w:vAlign w:val="center"/>
          </w:tcPr>
          <w:p w14:paraId="189E9B9E" w14:textId="77777777" w:rsidR="00153D42" w:rsidRDefault="00153D42" w:rsidP="008E1637">
            <w:pPr>
              <w:pStyle w:val="SingleTxtG"/>
              <w:tabs>
                <w:tab w:val="left" w:pos="1701"/>
              </w:tabs>
              <w:ind w:left="0" w:right="140"/>
              <w:jc w:val="center"/>
            </w:pPr>
          </w:p>
        </w:tc>
        <w:tc>
          <w:tcPr>
            <w:tcW w:w="2704" w:type="dxa"/>
            <w:vAlign w:val="center"/>
          </w:tcPr>
          <w:p w14:paraId="7184A00F" w14:textId="77777777" w:rsidR="00153D42" w:rsidRDefault="00153D42" w:rsidP="008E1637">
            <w:pPr>
              <w:pStyle w:val="SingleTxtG"/>
              <w:tabs>
                <w:tab w:val="left" w:pos="1701"/>
              </w:tabs>
              <w:ind w:left="0" w:right="284"/>
            </w:pPr>
            <w:r>
              <w:t>Non-corrosive</w:t>
            </w:r>
          </w:p>
        </w:tc>
      </w:tr>
      <w:tr w:rsidR="00153D42" w14:paraId="6C020EE8" w14:textId="77777777" w:rsidTr="00113C32">
        <w:trPr>
          <w:jc w:val="center"/>
        </w:trPr>
        <w:tc>
          <w:tcPr>
            <w:tcW w:w="1271" w:type="dxa"/>
            <w:vAlign w:val="center"/>
          </w:tcPr>
          <w:p w14:paraId="3C0A1F5E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54"/>
              <w:jc w:val="center"/>
            </w:pPr>
            <w:r>
              <w:t>Acute dermal toxicity</w:t>
            </w:r>
          </w:p>
        </w:tc>
        <w:tc>
          <w:tcPr>
            <w:tcW w:w="1134" w:type="dxa"/>
            <w:vAlign w:val="center"/>
          </w:tcPr>
          <w:p w14:paraId="7E5FA6B9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40"/>
              <w:jc w:val="center"/>
            </w:pPr>
            <w:r>
              <w:t>402</w:t>
            </w:r>
          </w:p>
        </w:tc>
        <w:tc>
          <w:tcPr>
            <w:tcW w:w="1691" w:type="dxa"/>
            <w:vAlign w:val="center"/>
          </w:tcPr>
          <w:p w14:paraId="52A3471B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37"/>
              <w:jc w:val="center"/>
            </w:pPr>
            <w:r>
              <w:t>Female Wistar rats</w:t>
            </w:r>
          </w:p>
        </w:tc>
        <w:tc>
          <w:tcPr>
            <w:tcW w:w="992" w:type="dxa"/>
            <w:vAlign w:val="center"/>
          </w:tcPr>
          <w:p w14:paraId="2E696470" w14:textId="77777777" w:rsidR="00153D42" w:rsidRDefault="00153D42" w:rsidP="008E1637">
            <w:pPr>
              <w:pStyle w:val="SingleTxtG"/>
              <w:tabs>
                <w:tab w:val="left" w:pos="1701"/>
              </w:tabs>
              <w:spacing w:after="0" w:line="240" w:lineRule="auto"/>
              <w:ind w:left="0" w:right="140"/>
              <w:jc w:val="center"/>
            </w:pPr>
            <w:r>
              <w:t>2000 (fixed)</w:t>
            </w:r>
          </w:p>
        </w:tc>
        <w:tc>
          <w:tcPr>
            <w:tcW w:w="2704" w:type="dxa"/>
            <w:vAlign w:val="center"/>
          </w:tcPr>
          <w:p w14:paraId="1C3EE55F" w14:textId="77777777" w:rsidR="00153D42" w:rsidRDefault="00153D42" w:rsidP="008E1637">
            <w:pPr>
              <w:pStyle w:val="SingleTxtG"/>
              <w:tabs>
                <w:tab w:val="left" w:pos="1701"/>
              </w:tabs>
              <w:ind w:left="0" w:right="284"/>
            </w:pPr>
            <w:r>
              <w:t>Number of deaths: 0 out of 3 animals; no clinical and no macroscopic changes.</w:t>
            </w:r>
          </w:p>
          <w:p w14:paraId="33F22855" w14:textId="77777777" w:rsidR="00153D42" w:rsidRDefault="00153D42" w:rsidP="008E1637">
            <w:pPr>
              <w:pStyle w:val="SingleTxtG"/>
              <w:tabs>
                <w:tab w:val="left" w:pos="1701"/>
              </w:tabs>
              <w:ind w:left="0" w:right="284"/>
            </w:pPr>
            <w:r>
              <w:t>LD 50 &gt; 2000 mg/kg</w:t>
            </w:r>
          </w:p>
        </w:tc>
      </w:tr>
    </w:tbl>
    <w:p w14:paraId="2602C5CE" w14:textId="77777777" w:rsidR="00153D42" w:rsidRDefault="00153D42" w:rsidP="00153D42">
      <w:pPr>
        <w:pStyle w:val="SingleTxtG"/>
        <w:tabs>
          <w:tab w:val="left" w:pos="1701"/>
        </w:tabs>
      </w:pPr>
    </w:p>
    <w:p w14:paraId="536B3C7D" w14:textId="77777777" w:rsidR="00153D42" w:rsidRDefault="00153D42" w:rsidP="00153D42">
      <w:pPr>
        <w:pStyle w:val="SingleTxtG"/>
        <w:numPr>
          <w:ilvl w:val="0"/>
          <w:numId w:val="4"/>
        </w:numPr>
        <w:tabs>
          <w:tab w:val="left" w:pos="1701"/>
        </w:tabs>
        <w:ind w:left="1134" w:firstLine="0"/>
      </w:pPr>
      <w:r>
        <w:lastRenderedPageBreak/>
        <w:t>For legal reasons, only the final test results are given in this informal paper. Further details are available through the expert from the Cefic delegation; contact Dieter.Heitkamp@bayer.com.</w:t>
      </w:r>
    </w:p>
    <w:p w14:paraId="53FC5A48" w14:textId="77777777" w:rsidR="00153D42" w:rsidRDefault="00153D42" w:rsidP="00153D42">
      <w:pPr>
        <w:pStyle w:val="SingleTxtG"/>
        <w:numPr>
          <w:ilvl w:val="0"/>
          <w:numId w:val="4"/>
        </w:numPr>
        <w:tabs>
          <w:tab w:val="left" w:pos="1701"/>
        </w:tabs>
        <w:ind w:left="1134" w:firstLine="0"/>
      </w:pPr>
      <w:r>
        <w:t>A study for inhalation toxicity could not be performed due to technical reasons. However, from the current data set only a very low hazard for this endpoint is to be anticipated.</w:t>
      </w:r>
    </w:p>
    <w:p w14:paraId="132051F4" w14:textId="35EAFCF5" w:rsidR="00153D42" w:rsidRPr="00FB0F8A" w:rsidRDefault="00153D42" w:rsidP="00153D42">
      <w:pPr>
        <w:pStyle w:val="HChG"/>
      </w:pPr>
      <w:r>
        <w:tab/>
      </w:r>
      <w:r>
        <w:tab/>
      </w:r>
      <w:r w:rsidRPr="00FB0F8A">
        <w:t>Conclusion</w:t>
      </w:r>
    </w:p>
    <w:p w14:paraId="59F4B04A" w14:textId="67636B3A" w:rsidR="00153D42" w:rsidRPr="00F44DEC" w:rsidRDefault="00153D42" w:rsidP="00153D42">
      <w:pPr>
        <w:pStyle w:val="SingleTxtG"/>
        <w:numPr>
          <w:ilvl w:val="0"/>
          <w:numId w:val="4"/>
        </w:numPr>
        <w:tabs>
          <w:tab w:val="left" w:pos="1701"/>
        </w:tabs>
        <w:ind w:left="1134" w:firstLine="0"/>
        <w:rPr>
          <w:u w:val="single"/>
        </w:rPr>
      </w:pPr>
      <w:r w:rsidRPr="00021934">
        <w:t xml:space="preserve">5-Trifluoromethyltetrazole, sodium salt (TFMT-Na) in acetone </w:t>
      </w:r>
      <w:r>
        <w:t xml:space="preserve">has no toxicity hazard according to </w:t>
      </w:r>
      <w:r w:rsidR="00943F41">
        <w:t>C</w:t>
      </w:r>
      <w:r>
        <w:t>hapter 2.6 of the UN Model Regulations</w:t>
      </w:r>
      <w:r w:rsidRPr="0063467E">
        <w:t>.</w:t>
      </w:r>
    </w:p>
    <w:p w14:paraId="1B1BFEFF" w14:textId="77777777" w:rsidR="00153D42" w:rsidRPr="0052658B" w:rsidRDefault="00153D42" w:rsidP="00153D42">
      <w:pPr>
        <w:pStyle w:val="SingleTxtG"/>
        <w:jc w:val="center"/>
      </w:pPr>
      <w:r w:rsidRPr="0052658B">
        <w:t>______________</w:t>
      </w:r>
    </w:p>
    <w:sectPr w:rsidR="00153D42" w:rsidRPr="0052658B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D648" w14:textId="77777777" w:rsidR="000E5B7B" w:rsidRDefault="000E5B7B"/>
  </w:endnote>
  <w:endnote w:type="continuationSeparator" w:id="0">
    <w:p w14:paraId="04A3A3B0" w14:textId="77777777" w:rsidR="000E5B7B" w:rsidRDefault="000E5B7B"/>
  </w:endnote>
  <w:endnote w:type="continuationNotice" w:id="1">
    <w:p w14:paraId="5648D24D" w14:textId="77777777" w:rsidR="000E5B7B" w:rsidRDefault="000E5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3C0C" w14:textId="77777777" w:rsidR="000E5B7B" w:rsidRPr="000B175B" w:rsidRDefault="000E5B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2DFC30" w14:textId="77777777" w:rsidR="000E5B7B" w:rsidRPr="00FC68B7" w:rsidRDefault="000E5B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F3E4D3" w14:textId="77777777" w:rsidR="000E5B7B" w:rsidRDefault="000E5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741E" w14:textId="031E0701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224BDB">
      <w:t>60</w:t>
    </w:r>
    <w:r>
      <w:t>/INF.</w:t>
    </w:r>
    <w:r w:rsidR="00153D42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B15" w14:textId="2E0424BA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224BDB">
      <w:t>60</w:t>
    </w:r>
    <w:r w:rsidR="00C07F9E">
      <w:t>/</w:t>
    </w:r>
    <w:r>
      <w:t>INF.</w:t>
    </w:r>
    <w:r w:rsidR="002F19CB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42B"/>
    <w:multiLevelType w:val="hybridMultilevel"/>
    <w:tmpl w:val="CA140E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0FE405A"/>
    <w:multiLevelType w:val="hybridMultilevel"/>
    <w:tmpl w:val="08DE7CE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65E5"/>
    <w:rsid w:val="00012767"/>
    <w:rsid w:val="000137FF"/>
    <w:rsid w:val="00013D99"/>
    <w:rsid w:val="0002214E"/>
    <w:rsid w:val="00024AB3"/>
    <w:rsid w:val="0003123C"/>
    <w:rsid w:val="00031CBB"/>
    <w:rsid w:val="00033B3D"/>
    <w:rsid w:val="00042858"/>
    <w:rsid w:val="00043E1A"/>
    <w:rsid w:val="0004433E"/>
    <w:rsid w:val="000448F5"/>
    <w:rsid w:val="0004495C"/>
    <w:rsid w:val="00050F6B"/>
    <w:rsid w:val="00051214"/>
    <w:rsid w:val="00054C58"/>
    <w:rsid w:val="0005512E"/>
    <w:rsid w:val="00057F51"/>
    <w:rsid w:val="000609DB"/>
    <w:rsid w:val="00065499"/>
    <w:rsid w:val="0006754E"/>
    <w:rsid w:val="000723E7"/>
    <w:rsid w:val="00072C8C"/>
    <w:rsid w:val="00076279"/>
    <w:rsid w:val="000765DD"/>
    <w:rsid w:val="00076E62"/>
    <w:rsid w:val="000778B2"/>
    <w:rsid w:val="00081647"/>
    <w:rsid w:val="00081F44"/>
    <w:rsid w:val="00083694"/>
    <w:rsid w:val="00083C33"/>
    <w:rsid w:val="000877CA"/>
    <w:rsid w:val="00090A51"/>
    <w:rsid w:val="000915A0"/>
    <w:rsid w:val="00092AAD"/>
    <w:rsid w:val="000931C0"/>
    <w:rsid w:val="0009390A"/>
    <w:rsid w:val="00096CD4"/>
    <w:rsid w:val="000A0664"/>
    <w:rsid w:val="000A18E8"/>
    <w:rsid w:val="000A22EE"/>
    <w:rsid w:val="000A2837"/>
    <w:rsid w:val="000A2BF0"/>
    <w:rsid w:val="000A3E88"/>
    <w:rsid w:val="000A5146"/>
    <w:rsid w:val="000B175B"/>
    <w:rsid w:val="000B3A0F"/>
    <w:rsid w:val="000B4C96"/>
    <w:rsid w:val="000C1589"/>
    <w:rsid w:val="000C25B7"/>
    <w:rsid w:val="000C38D0"/>
    <w:rsid w:val="000C5B0B"/>
    <w:rsid w:val="000C6544"/>
    <w:rsid w:val="000C6A00"/>
    <w:rsid w:val="000D191F"/>
    <w:rsid w:val="000D39F8"/>
    <w:rsid w:val="000D3B0C"/>
    <w:rsid w:val="000D7DB6"/>
    <w:rsid w:val="000E0415"/>
    <w:rsid w:val="000E1ED2"/>
    <w:rsid w:val="000E45CC"/>
    <w:rsid w:val="000E5B7B"/>
    <w:rsid w:val="000F2CE1"/>
    <w:rsid w:val="000F368C"/>
    <w:rsid w:val="000F3DDC"/>
    <w:rsid w:val="000F6C7B"/>
    <w:rsid w:val="00100A9D"/>
    <w:rsid w:val="00102373"/>
    <w:rsid w:val="001035FB"/>
    <w:rsid w:val="00107042"/>
    <w:rsid w:val="00110386"/>
    <w:rsid w:val="001106F2"/>
    <w:rsid w:val="0011098D"/>
    <w:rsid w:val="00110DF6"/>
    <w:rsid w:val="00111F3F"/>
    <w:rsid w:val="00113C32"/>
    <w:rsid w:val="0011793B"/>
    <w:rsid w:val="00120412"/>
    <w:rsid w:val="001220B8"/>
    <w:rsid w:val="00123D08"/>
    <w:rsid w:val="001240C5"/>
    <w:rsid w:val="0013106B"/>
    <w:rsid w:val="00132A27"/>
    <w:rsid w:val="00132EE2"/>
    <w:rsid w:val="0013397C"/>
    <w:rsid w:val="001362CB"/>
    <w:rsid w:val="0013641F"/>
    <w:rsid w:val="0013733A"/>
    <w:rsid w:val="00137D36"/>
    <w:rsid w:val="00144078"/>
    <w:rsid w:val="00153D42"/>
    <w:rsid w:val="001547CA"/>
    <w:rsid w:val="00156F3C"/>
    <w:rsid w:val="00162BF7"/>
    <w:rsid w:val="00163012"/>
    <w:rsid w:val="00163D0D"/>
    <w:rsid w:val="00165823"/>
    <w:rsid w:val="0016583F"/>
    <w:rsid w:val="00172643"/>
    <w:rsid w:val="001806E6"/>
    <w:rsid w:val="001832FF"/>
    <w:rsid w:val="00190AEA"/>
    <w:rsid w:val="00195105"/>
    <w:rsid w:val="00196CD0"/>
    <w:rsid w:val="001A1B3F"/>
    <w:rsid w:val="001A2C53"/>
    <w:rsid w:val="001A3CE1"/>
    <w:rsid w:val="001A42F3"/>
    <w:rsid w:val="001A62B6"/>
    <w:rsid w:val="001B1308"/>
    <w:rsid w:val="001B1F42"/>
    <w:rsid w:val="001B4B04"/>
    <w:rsid w:val="001B7FE6"/>
    <w:rsid w:val="001C6663"/>
    <w:rsid w:val="001C7895"/>
    <w:rsid w:val="001D1E09"/>
    <w:rsid w:val="001D1E2A"/>
    <w:rsid w:val="001D26DF"/>
    <w:rsid w:val="001D6D9F"/>
    <w:rsid w:val="001E47FD"/>
    <w:rsid w:val="001E4C75"/>
    <w:rsid w:val="001E710B"/>
    <w:rsid w:val="001F20EB"/>
    <w:rsid w:val="001F3237"/>
    <w:rsid w:val="00205370"/>
    <w:rsid w:val="00206DE0"/>
    <w:rsid w:val="00211ADF"/>
    <w:rsid w:val="00211D0D"/>
    <w:rsid w:val="00211E0B"/>
    <w:rsid w:val="00224BDB"/>
    <w:rsid w:val="00226D5F"/>
    <w:rsid w:val="00226D9D"/>
    <w:rsid w:val="00234380"/>
    <w:rsid w:val="002348F4"/>
    <w:rsid w:val="0023564D"/>
    <w:rsid w:val="00236E81"/>
    <w:rsid w:val="00237890"/>
    <w:rsid w:val="002401EF"/>
    <w:rsid w:val="002405A7"/>
    <w:rsid w:val="00244673"/>
    <w:rsid w:val="00245F5C"/>
    <w:rsid w:val="0024624B"/>
    <w:rsid w:val="002505DA"/>
    <w:rsid w:val="00252056"/>
    <w:rsid w:val="002570BC"/>
    <w:rsid w:val="00257E45"/>
    <w:rsid w:val="00262488"/>
    <w:rsid w:val="00263951"/>
    <w:rsid w:val="00265671"/>
    <w:rsid w:val="00266898"/>
    <w:rsid w:val="0027313E"/>
    <w:rsid w:val="00275D77"/>
    <w:rsid w:val="00284A54"/>
    <w:rsid w:val="00285613"/>
    <w:rsid w:val="00286659"/>
    <w:rsid w:val="002A537C"/>
    <w:rsid w:val="002A5947"/>
    <w:rsid w:val="002A5A2D"/>
    <w:rsid w:val="002A7047"/>
    <w:rsid w:val="002B079A"/>
    <w:rsid w:val="002B3993"/>
    <w:rsid w:val="002B5BE8"/>
    <w:rsid w:val="002B66EE"/>
    <w:rsid w:val="002B670E"/>
    <w:rsid w:val="002B6A44"/>
    <w:rsid w:val="002C133E"/>
    <w:rsid w:val="002C1386"/>
    <w:rsid w:val="002C21E5"/>
    <w:rsid w:val="002C22EC"/>
    <w:rsid w:val="002C710D"/>
    <w:rsid w:val="002D59D3"/>
    <w:rsid w:val="002E0624"/>
    <w:rsid w:val="002E6284"/>
    <w:rsid w:val="002E7C49"/>
    <w:rsid w:val="002F1024"/>
    <w:rsid w:val="002F1089"/>
    <w:rsid w:val="002F19CB"/>
    <w:rsid w:val="002F7CA4"/>
    <w:rsid w:val="00305C3C"/>
    <w:rsid w:val="003073F4"/>
    <w:rsid w:val="003107FA"/>
    <w:rsid w:val="003118D4"/>
    <w:rsid w:val="003127A2"/>
    <w:rsid w:val="003140CE"/>
    <w:rsid w:val="003217B0"/>
    <w:rsid w:val="00321878"/>
    <w:rsid w:val="003229D8"/>
    <w:rsid w:val="003234A7"/>
    <w:rsid w:val="0032442E"/>
    <w:rsid w:val="0032489E"/>
    <w:rsid w:val="003265CA"/>
    <w:rsid w:val="00334D85"/>
    <w:rsid w:val="003366EC"/>
    <w:rsid w:val="0033745A"/>
    <w:rsid w:val="00337513"/>
    <w:rsid w:val="003376D4"/>
    <w:rsid w:val="00342302"/>
    <w:rsid w:val="003443E5"/>
    <w:rsid w:val="00350692"/>
    <w:rsid w:val="003506B8"/>
    <w:rsid w:val="00351974"/>
    <w:rsid w:val="00352E14"/>
    <w:rsid w:val="00353DBA"/>
    <w:rsid w:val="003565E5"/>
    <w:rsid w:val="00360834"/>
    <w:rsid w:val="00364E58"/>
    <w:rsid w:val="00366CA7"/>
    <w:rsid w:val="0037249C"/>
    <w:rsid w:val="00373F65"/>
    <w:rsid w:val="003819B1"/>
    <w:rsid w:val="00382921"/>
    <w:rsid w:val="003841B8"/>
    <w:rsid w:val="003864F3"/>
    <w:rsid w:val="0038656E"/>
    <w:rsid w:val="00387A81"/>
    <w:rsid w:val="00390529"/>
    <w:rsid w:val="0039277A"/>
    <w:rsid w:val="003937A6"/>
    <w:rsid w:val="003972E0"/>
    <w:rsid w:val="003A26B0"/>
    <w:rsid w:val="003A402E"/>
    <w:rsid w:val="003A4B23"/>
    <w:rsid w:val="003A5D05"/>
    <w:rsid w:val="003B39CC"/>
    <w:rsid w:val="003B7321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B5B"/>
    <w:rsid w:val="003F0752"/>
    <w:rsid w:val="003F18A0"/>
    <w:rsid w:val="003F1ED3"/>
    <w:rsid w:val="003F29E4"/>
    <w:rsid w:val="003F4CBA"/>
    <w:rsid w:val="003F5E77"/>
    <w:rsid w:val="003F668F"/>
    <w:rsid w:val="003F6DAE"/>
    <w:rsid w:val="003F7973"/>
    <w:rsid w:val="003F7A75"/>
    <w:rsid w:val="0040598C"/>
    <w:rsid w:val="00410733"/>
    <w:rsid w:val="004127B7"/>
    <w:rsid w:val="00414137"/>
    <w:rsid w:val="004160C6"/>
    <w:rsid w:val="00416BC8"/>
    <w:rsid w:val="004230C0"/>
    <w:rsid w:val="00424C81"/>
    <w:rsid w:val="0042588C"/>
    <w:rsid w:val="00426C3A"/>
    <w:rsid w:val="00426C9C"/>
    <w:rsid w:val="00431C5B"/>
    <w:rsid w:val="004325CB"/>
    <w:rsid w:val="00433BFC"/>
    <w:rsid w:val="0043783F"/>
    <w:rsid w:val="00437EFC"/>
    <w:rsid w:val="00446DE4"/>
    <w:rsid w:val="00451562"/>
    <w:rsid w:val="0045333F"/>
    <w:rsid w:val="00460DD9"/>
    <w:rsid w:val="004618A1"/>
    <w:rsid w:val="0046228F"/>
    <w:rsid w:val="004750BF"/>
    <w:rsid w:val="004774B9"/>
    <w:rsid w:val="0048291A"/>
    <w:rsid w:val="004901B7"/>
    <w:rsid w:val="0049427E"/>
    <w:rsid w:val="00497A7B"/>
    <w:rsid w:val="004A2EA2"/>
    <w:rsid w:val="004A3F42"/>
    <w:rsid w:val="004A41CA"/>
    <w:rsid w:val="004A6072"/>
    <w:rsid w:val="004A6319"/>
    <w:rsid w:val="004A6C6E"/>
    <w:rsid w:val="004A707C"/>
    <w:rsid w:val="004A7239"/>
    <w:rsid w:val="004B6733"/>
    <w:rsid w:val="004C012B"/>
    <w:rsid w:val="004C7AF7"/>
    <w:rsid w:val="004D16C5"/>
    <w:rsid w:val="004D5CB2"/>
    <w:rsid w:val="004D6E91"/>
    <w:rsid w:val="004D7EFA"/>
    <w:rsid w:val="004E09B1"/>
    <w:rsid w:val="004E478E"/>
    <w:rsid w:val="004E5083"/>
    <w:rsid w:val="004E674C"/>
    <w:rsid w:val="004E76F6"/>
    <w:rsid w:val="004E7DE6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16318"/>
    <w:rsid w:val="0051748D"/>
    <w:rsid w:val="00517A1B"/>
    <w:rsid w:val="00525275"/>
    <w:rsid w:val="0052543F"/>
    <w:rsid w:val="00526E8A"/>
    <w:rsid w:val="00532EF8"/>
    <w:rsid w:val="005356FB"/>
    <w:rsid w:val="00540DD6"/>
    <w:rsid w:val="005420F2"/>
    <w:rsid w:val="005433C8"/>
    <w:rsid w:val="00545150"/>
    <w:rsid w:val="00545F1A"/>
    <w:rsid w:val="005504B6"/>
    <w:rsid w:val="00551AB9"/>
    <w:rsid w:val="00551FC6"/>
    <w:rsid w:val="00553222"/>
    <w:rsid w:val="00562548"/>
    <w:rsid w:val="00562694"/>
    <w:rsid w:val="0056627E"/>
    <w:rsid w:val="00567BC7"/>
    <w:rsid w:val="0057024D"/>
    <w:rsid w:val="00570364"/>
    <w:rsid w:val="00570CC4"/>
    <w:rsid w:val="00571FB2"/>
    <w:rsid w:val="00572B36"/>
    <w:rsid w:val="005777F3"/>
    <w:rsid w:val="00585A18"/>
    <w:rsid w:val="00586F4A"/>
    <w:rsid w:val="005900D3"/>
    <w:rsid w:val="00592D34"/>
    <w:rsid w:val="00592FDB"/>
    <w:rsid w:val="005A0903"/>
    <w:rsid w:val="005A1E22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C22AD"/>
    <w:rsid w:val="005C4858"/>
    <w:rsid w:val="005C53DB"/>
    <w:rsid w:val="005D33AB"/>
    <w:rsid w:val="005D425A"/>
    <w:rsid w:val="005D4725"/>
    <w:rsid w:val="005D529D"/>
    <w:rsid w:val="005E27AB"/>
    <w:rsid w:val="005E37E7"/>
    <w:rsid w:val="005E46D3"/>
    <w:rsid w:val="005E743D"/>
    <w:rsid w:val="005F2648"/>
    <w:rsid w:val="00600487"/>
    <w:rsid w:val="00602EE8"/>
    <w:rsid w:val="00602FF5"/>
    <w:rsid w:val="006034C6"/>
    <w:rsid w:val="00603B91"/>
    <w:rsid w:val="00603E59"/>
    <w:rsid w:val="006055EE"/>
    <w:rsid w:val="00606679"/>
    <w:rsid w:val="00611FC4"/>
    <w:rsid w:val="006176FB"/>
    <w:rsid w:val="006218CD"/>
    <w:rsid w:val="00623353"/>
    <w:rsid w:val="006241C1"/>
    <w:rsid w:val="00624260"/>
    <w:rsid w:val="0062490D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79D"/>
    <w:rsid w:val="006545BA"/>
    <w:rsid w:val="00654697"/>
    <w:rsid w:val="00661F7A"/>
    <w:rsid w:val="006632CE"/>
    <w:rsid w:val="00665595"/>
    <w:rsid w:val="006666F6"/>
    <w:rsid w:val="006743E5"/>
    <w:rsid w:val="0068043C"/>
    <w:rsid w:val="0068274A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A7392"/>
    <w:rsid w:val="006A7757"/>
    <w:rsid w:val="006B0029"/>
    <w:rsid w:val="006B195F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52B9"/>
    <w:rsid w:val="006D2106"/>
    <w:rsid w:val="006D36D1"/>
    <w:rsid w:val="006D383D"/>
    <w:rsid w:val="006D633D"/>
    <w:rsid w:val="006E1F95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2413"/>
    <w:rsid w:val="006F6BFA"/>
    <w:rsid w:val="00700E12"/>
    <w:rsid w:val="00702BA6"/>
    <w:rsid w:val="0071349F"/>
    <w:rsid w:val="00717E07"/>
    <w:rsid w:val="00720DEB"/>
    <w:rsid w:val="00720E11"/>
    <w:rsid w:val="00725594"/>
    <w:rsid w:val="0072632A"/>
    <w:rsid w:val="0073084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468B8"/>
    <w:rsid w:val="00752A06"/>
    <w:rsid w:val="00752BD5"/>
    <w:rsid w:val="0075458D"/>
    <w:rsid w:val="00754EE1"/>
    <w:rsid w:val="00762E85"/>
    <w:rsid w:val="00763C11"/>
    <w:rsid w:val="00766D93"/>
    <w:rsid w:val="0077406B"/>
    <w:rsid w:val="00774FA5"/>
    <w:rsid w:val="007750C3"/>
    <w:rsid w:val="00775D8C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A3FBD"/>
    <w:rsid w:val="007A4977"/>
    <w:rsid w:val="007A6A94"/>
    <w:rsid w:val="007B0262"/>
    <w:rsid w:val="007B6BA5"/>
    <w:rsid w:val="007B7FB2"/>
    <w:rsid w:val="007C3390"/>
    <w:rsid w:val="007C4F4B"/>
    <w:rsid w:val="007C6044"/>
    <w:rsid w:val="007E18A9"/>
    <w:rsid w:val="007E6124"/>
    <w:rsid w:val="007F025F"/>
    <w:rsid w:val="007F0B83"/>
    <w:rsid w:val="007F48EF"/>
    <w:rsid w:val="007F4FCD"/>
    <w:rsid w:val="007F6611"/>
    <w:rsid w:val="00806235"/>
    <w:rsid w:val="00812CCE"/>
    <w:rsid w:val="008151D2"/>
    <w:rsid w:val="00816933"/>
    <w:rsid w:val="0081732C"/>
    <w:rsid w:val="008175E9"/>
    <w:rsid w:val="00820370"/>
    <w:rsid w:val="0082231C"/>
    <w:rsid w:val="0082396E"/>
    <w:rsid w:val="008242D7"/>
    <w:rsid w:val="008259DF"/>
    <w:rsid w:val="00826EFF"/>
    <w:rsid w:val="00827E05"/>
    <w:rsid w:val="008311A3"/>
    <w:rsid w:val="00832795"/>
    <w:rsid w:val="008349EC"/>
    <w:rsid w:val="00836AF7"/>
    <w:rsid w:val="00847D11"/>
    <w:rsid w:val="0085028A"/>
    <w:rsid w:val="0086000D"/>
    <w:rsid w:val="0086055B"/>
    <w:rsid w:val="00862284"/>
    <w:rsid w:val="00865A21"/>
    <w:rsid w:val="00870D13"/>
    <w:rsid w:val="00871FD5"/>
    <w:rsid w:val="00872E35"/>
    <w:rsid w:val="00874FB8"/>
    <w:rsid w:val="00882090"/>
    <w:rsid w:val="008852E3"/>
    <w:rsid w:val="00887755"/>
    <w:rsid w:val="0089033B"/>
    <w:rsid w:val="00890B04"/>
    <w:rsid w:val="00893992"/>
    <w:rsid w:val="00896186"/>
    <w:rsid w:val="00897025"/>
    <w:rsid w:val="008979B1"/>
    <w:rsid w:val="00897BD7"/>
    <w:rsid w:val="008A6B25"/>
    <w:rsid w:val="008A6C1B"/>
    <w:rsid w:val="008A6C4F"/>
    <w:rsid w:val="008A7F3B"/>
    <w:rsid w:val="008B3F54"/>
    <w:rsid w:val="008B40B7"/>
    <w:rsid w:val="008B52E8"/>
    <w:rsid w:val="008B6E26"/>
    <w:rsid w:val="008C0DD5"/>
    <w:rsid w:val="008C3353"/>
    <w:rsid w:val="008C34B0"/>
    <w:rsid w:val="008C3FFB"/>
    <w:rsid w:val="008D02E6"/>
    <w:rsid w:val="008D314A"/>
    <w:rsid w:val="008D3F4B"/>
    <w:rsid w:val="008D6262"/>
    <w:rsid w:val="008D7B55"/>
    <w:rsid w:val="008E0E46"/>
    <w:rsid w:val="008E0FB3"/>
    <w:rsid w:val="008E1F9C"/>
    <w:rsid w:val="008E4640"/>
    <w:rsid w:val="008E4C4C"/>
    <w:rsid w:val="008E64AE"/>
    <w:rsid w:val="008F02B0"/>
    <w:rsid w:val="008F29C1"/>
    <w:rsid w:val="008F3CB0"/>
    <w:rsid w:val="008F583E"/>
    <w:rsid w:val="0090052B"/>
    <w:rsid w:val="00902BF1"/>
    <w:rsid w:val="0090431C"/>
    <w:rsid w:val="00907AD2"/>
    <w:rsid w:val="00910260"/>
    <w:rsid w:val="00911047"/>
    <w:rsid w:val="009134D8"/>
    <w:rsid w:val="00917321"/>
    <w:rsid w:val="00921DF8"/>
    <w:rsid w:val="009265B7"/>
    <w:rsid w:val="00927819"/>
    <w:rsid w:val="00930308"/>
    <w:rsid w:val="00931073"/>
    <w:rsid w:val="00933D9F"/>
    <w:rsid w:val="0093545E"/>
    <w:rsid w:val="00936565"/>
    <w:rsid w:val="0094040C"/>
    <w:rsid w:val="00940847"/>
    <w:rsid w:val="0094386E"/>
    <w:rsid w:val="00943F41"/>
    <w:rsid w:val="009440D4"/>
    <w:rsid w:val="009449FD"/>
    <w:rsid w:val="00944D2D"/>
    <w:rsid w:val="00946F0A"/>
    <w:rsid w:val="00951778"/>
    <w:rsid w:val="00952BE3"/>
    <w:rsid w:val="00956B99"/>
    <w:rsid w:val="00957AD6"/>
    <w:rsid w:val="009612BF"/>
    <w:rsid w:val="00963CBA"/>
    <w:rsid w:val="00963FED"/>
    <w:rsid w:val="0096659B"/>
    <w:rsid w:val="00966CD7"/>
    <w:rsid w:val="009715EE"/>
    <w:rsid w:val="00974146"/>
    <w:rsid w:val="00974A8D"/>
    <w:rsid w:val="00974ABE"/>
    <w:rsid w:val="00974C60"/>
    <w:rsid w:val="00974F4C"/>
    <w:rsid w:val="00975059"/>
    <w:rsid w:val="0098016B"/>
    <w:rsid w:val="00987072"/>
    <w:rsid w:val="0098707E"/>
    <w:rsid w:val="0099001C"/>
    <w:rsid w:val="00991261"/>
    <w:rsid w:val="009A0D5F"/>
    <w:rsid w:val="009A1082"/>
    <w:rsid w:val="009A527C"/>
    <w:rsid w:val="009A5B4A"/>
    <w:rsid w:val="009B43E1"/>
    <w:rsid w:val="009B4939"/>
    <w:rsid w:val="009B55EC"/>
    <w:rsid w:val="009B6D3A"/>
    <w:rsid w:val="009B71F3"/>
    <w:rsid w:val="009C17AC"/>
    <w:rsid w:val="009C31E7"/>
    <w:rsid w:val="009C36B5"/>
    <w:rsid w:val="009D0EC7"/>
    <w:rsid w:val="009D0FA6"/>
    <w:rsid w:val="009D1B37"/>
    <w:rsid w:val="009D45EE"/>
    <w:rsid w:val="009D49A6"/>
    <w:rsid w:val="009D623C"/>
    <w:rsid w:val="009E72B5"/>
    <w:rsid w:val="009E7885"/>
    <w:rsid w:val="009F16FB"/>
    <w:rsid w:val="009F3106"/>
    <w:rsid w:val="009F3A17"/>
    <w:rsid w:val="009F6CAF"/>
    <w:rsid w:val="00A0477C"/>
    <w:rsid w:val="00A123AB"/>
    <w:rsid w:val="00A1355C"/>
    <w:rsid w:val="00A1427D"/>
    <w:rsid w:val="00A1649D"/>
    <w:rsid w:val="00A20AEB"/>
    <w:rsid w:val="00A25163"/>
    <w:rsid w:val="00A257FA"/>
    <w:rsid w:val="00A25BA6"/>
    <w:rsid w:val="00A3227A"/>
    <w:rsid w:val="00A35008"/>
    <w:rsid w:val="00A35AE8"/>
    <w:rsid w:val="00A40A6E"/>
    <w:rsid w:val="00A429E3"/>
    <w:rsid w:val="00A463F1"/>
    <w:rsid w:val="00A50173"/>
    <w:rsid w:val="00A51DB9"/>
    <w:rsid w:val="00A52B4E"/>
    <w:rsid w:val="00A530ED"/>
    <w:rsid w:val="00A5477E"/>
    <w:rsid w:val="00A55FB2"/>
    <w:rsid w:val="00A67424"/>
    <w:rsid w:val="00A70749"/>
    <w:rsid w:val="00A70B89"/>
    <w:rsid w:val="00A71EC0"/>
    <w:rsid w:val="00A72F22"/>
    <w:rsid w:val="00A748A6"/>
    <w:rsid w:val="00A76B9A"/>
    <w:rsid w:val="00A77E77"/>
    <w:rsid w:val="00A805EB"/>
    <w:rsid w:val="00A80877"/>
    <w:rsid w:val="00A81711"/>
    <w:rsid w:val="00A8577D"/>
    <w:rsid w:val="00A879A4"/>
    <w:rsid w:val="00A91158"/>
    <w:rsid w:val="00A94CB3"/>
    <w:rsid w:val="00A958C8"/>
    <w:rsid w:val="00AA332B"/>
    <w:rsid w:val="00AA496B"/>
    <w:rsid w:val="00AA5028"/>
    <w:rsid w:val="00AA63F2"/>
    <w:rsid w:val="00AB1332"/>
    <w:rsid w:val="00AB16DB"/>
    <w:rsid w:val="00AB3FD6"/>
    <w:rsid w:val="00AB4960"/>
    <w:rsid w:val="00AB6B7D"/>
    <w:rsid w:val="00AB720C"/>
    <w:rsid w:val="00AC1F45"/>
    <w:rsid w:val="00AC35ED"/>
    <w:rsid w:val="00AC4E2F"/>
    <w:rsid w:val="00AD605D"/>
    <w:rsid w:val="00AE3219"/>
    <w:rsid w:val="00AE3D8F"/>
    <w:rsid w:val="00AE4E50"/>
    <w:rsid w:val="00AF1FB0"/>
    <w:rsid w:val="00AF22E6"/>
    <w:rsid w:val="00AF475E"/>
    <w:rsid w:val="00AF7D41"/>
    <w:rsid w:val="00B10465"/>
    <w:rsid w:val="00B10CA2"/>
    <w:rsid w:val="00B1509D"/>
    <w:rsid w:val="00B172A6"/>
    <w:rsid w:val="00B17E1A"/>
    <w:rsid w:val="00B208C1"/>
    <w:rsid w:val="00B30179"/>
    <w:rsid w:val="00B325A9"/>
    <w:rsid w:val="00B339D3"/>
    <w:rsid w:val="00B33EC0"/>
    <w:rsid w:val="00B33FCC"/>
    <w:rsid w:val="00B34226"/>
    <w:rsid w:val="00B35D77"/>
    <w:rsid w:val="00B36067"/>
    <w:rsid w:val="00B36BD5"/>
    <w:rsid w:val="00B4022A"/>
    <w:rsid w:val="00B406F6"/>
    <w:rsid w:val="00B47B0C"/>
    <w:rsid w:val="00B51069"/>
    <w:rsid w:val="00B520F8"/>
    <w:rsid w:val="00B523F6"/>
    <w:rsid w:val="00B52E4E"/>
    <w:rsid w:val="00B53CBD"/>
    <w:rsid w:val="00B5742C"/>
    <w:rsid w:val="00B577F4"/>
    <w:rsid w:val="00B61246"/>
    <w:rsid w:val="00B647CA"/>
    <w:rsid w:val="00B66E5A"/>
    <w:rsid w:val="00B74353"/>
    <w:rsid w:val="00B762D3"/>
    <w:rsid w:val="00B81E12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A515F"/>
    <w:rsid w:val="00BA5FB4"/>
    <w:rsid w:val="00BB129E"/>
    <w:rsid w:val="00BB60D4"/>
    <w:rsid w:val="00BB62BE"/>
    <w:rsid w:val="00BB6799"/>
    <w:rsid w:val="00BC3830"/>
    <w:rsid w:val="00BC5C60"/>
    <w:rsid w:val="00BC6B7B"/>
    <w:rsid w:val="00BC7496"/>
    <w:rsid w:val="00BC74E9"/>
    <w:rsid w:val="00BD138D"/>
    <w:rsid w:val="00BD2146"/>
    <w:rsid w:val="00BD2E27"/>
    <w:rsid w:val="00BD6280"/>
    <w:rsid w:val="00BD7385"/>
    <w:rsid w:val="00BE37C1"/>
    <w:rsid w:val="00BE4F74"/>
    <w:rsid w:val="00BE6017"/>
    <w:rsid w:val="00BE618E"/>
    <w:rsid w:val="00BE62C1"/>
    <w:rsid w:val="00BE6BC5"/>
    <w:rsid w:val="00BF3D59"/>
    <w:rsid w:val="00C01A22"/>
    <w:rsid w:val="00C030C9"/>
    <w:rsid w:val="00C04DFB"/>
    <w:rsid w:val="00C07F9E"/>
    <w:rsid w:val="00C10DD8"/>
    <w:rsid w:val="00C11473"/>
    <w:rsid w:val="00C127CB"/>
    <w:rsid w:val="00C133DE"/>
    <w:rsid w:val="00C17699"/>
    <w:rsid w:val="00C1778D"/>
    <w:rsid w:val="00C2005D"/>
    <w:rsid w:val="00C225E1"/>
    <w:rsid w:val="00C23A6D"/>
    <w:rsid w:val="00C25DDD"/>
    <w:rsid w:val="00C27AA0"/>
    <w:rsid w:val="00C31CDC"/>
    <w:rsid w:val="00C32D7F"/>
    <w:rsid w:val="00C32E0D"/>
    <w:rsid w:val="00C35408"/>
    <w:rsid w:val="00C37443"/>
    <w:rsid w:val="00C41A28"/>
    <w:rsid w:val="00C44676"/>
    <w:rsid w:val="00C463DD"/>
    <w:rsid w:val="00C505B2"/>
    <w:rsid w:val="00C51B28"/>
    <w:rsid w:val="00C527B3"/>
    <w:rsid w:val="00C55437"/>
    <w:rsid w:val="00C55A7E"/>
    <w:rsid w:val="00C564FA"/>
    <w:rsid w:val="00C56E7F"/>
    <w:rsid w:val="00C63480"/>
    <w:rsid w:val="00C6468A"/>
    <w:rsid w:val="00C67B25"/>
    <w:rsid w:val="00C7172A"/>
    <w:rsid w:val="00C745C3"/>
    <w:rsid w:val="00C7549B"/>
    <w:rsid w:val="00C766BF"/>
    <w:rsid w:val="00C900CD"/>
    <w:rsid w:val="00C90FCB"/>
    <w:rsid w:val="00CA1321"/>
    <w:rsid w:val="00CA2E8B"/>
    <w:rsid w:val="00CA390E"/>
    <w:rsid w:val="00CA56FF"/>
    <w:rsid w:val="00CA73A2"/>
    <w:rsid w:val="00CA797A"/>
    <w:rsid w:val="00CB1281"/>
    <w:rsid w:val="00CB13B0"/>
    <w:rsid w:val="00CB70D1"/>
    <w:rsid w:val="00CC1344"/>
    <w:rsid w:val="00CC44E0"/>
    <w:rsid w:val="00CC4AD6"/>
    <w:rsid w:val="00CE025D"/>
    <w:rsid w:val="00CE3324"/>
    <w:rsid w:val="00CE4A8F"/>
    <w:rsid w:val="00CE4B9D"/>
    <w:rsid w:val="00CE4DA7"/>
    <w:rsid w:val="00CF13A6"/>
    <w:rsid w:val="00CF2FA9"/>
    <w:rsid w:val="00CF5B9E"/>
    <w:rsid w:val="00CF6929"/>
    <w:rsid w:val="00CF6EE8"/>
    <w:rsid w:val="00D00141"/>
    <w:rsid w:val="00D008DB"/>
    <w:rsid w:val="00D030E1"/>
    <w:rsid w:val="00D067AA"/>
    <w:rsid w:val="00D06CD2"/>
    <w:rsid w:val="00D07175"/>
    <w:rsid w:val="00D0737E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5D8F"/>
    <w:rsid w:val="00D42106"/>
    <w:rsid w:val="00D427EE"/>
    <w:rsid w:val="00D43252"/>
    <w:rsid w:val="00D45103"/>
    <w:rsid w:val="00D54AB1"/>
    <w:rsid w:val="00D60093"/>
    <w:rsid w:val="00D61666"/>
    <w:rsid w:val="00D637C6"/>
    <w:rsid w:val="00D63AF3"/>
    <w:rsid w:val="00D655D5"/>
    <w:rsid w:val="00D71971"/>
    <w:rsid w:val="00D74237"/>
    <w:rsid w:val="00D74E9A"/>
    <w:rsid w:val="00D77993"/>
    <w:rsid w:val="00D81879"/>
    <w:rsid w:val="00D81A2B"/>
    <w:rsid w:val="00D91C9C"/>
    <w:rsid w:val="00D96B10"/>
    <w:rsid w:val="00D978C6"/>
    <w:rsid w:val="00DA2989"/>
    <w:rsid w:val="00DA3054"/>
    <w:rsid w:val="00DA4AC8"/>
    <w:rsid w:val="00DA67AD"/>
    <w:rsid w:val="00DB2A67"/>
    <w:rsid w:val="00DB2BED"/>
    <w:rsid w:val="00DB579F"/>
    <w:rsid w:val="00DB5D0F"/>
    <w:rsid w:val="00DC3156"/>
    <w:rsid w:val="00DC3242"/>
    <w:rsid w:val="00DC410C"/>
    <w:rsid w:val="00DC6B66"/>
    <w:rsid w:val="00DD5F36"/>
    <w:rsid w:val="00DD6DB6"/>
    <w:rsid w:val="00DD738F"/>
    <w:rsid w:val="00DE0552"/>
    <w:rsid w:val="00DE057D"/>
    <w:rsid w:val="00DE0580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6EAB"/>
    <w:rsid w:val="00E070E2"/>
    <w:rsid w:val="00E07263"/>
    <w:rsid w:val="00E130AB"/>
    <w:rsid w:val="00E1360D"/>
    <w:rsid w:val="00E25B91"/>
    <w:rsid w:val="00E26913"/>
    <w:rsid w:val="00E329E0"/>
    <w:rsid w:val="00E369CA"/>
    <w:rsid w:val="00E405EE"/>
    <w:rsid w:val="00E4125F"/>
    <w:rsid w:val="00E41B04"/>
    <w:rsid w:val="00E43A7D"/>
    <w:rsid w:val="00E57B4F"/>
    <w:rsid w:val="00E61D33"/>
    <w:rsid w:val="00E61DE0"/>
    <w:rsid w:val="00E61F55"/>
    <w:rsid w:val="00E6200B"/>
    <w:rsid w:val="00E64376"/>
    <w:rsid w:val="00E6498A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856"/>
    <w:rsid w:val="00E85ED4"/>
    <w:rsid w:val="00E87921"/>
    <w:rsid w:val="00E87EC4"/>
    <w:rsid w:val="00E96630"/>
    <w:rsid w:val="00E96D11"/>
    <w:rsid w:val="00E97278"/>
    <w:rsid w:val="00E97F8A"/>
    <w:rsid w:val="00EA0243"/>
    <w:rsid w:val="00EA264E"/>
    <w:rsid w:val="00EA2D43"/>
    <w:rsid w:val="00EA3A41"/>
    <w:rsid w:val="00EA4CA3"/>
    <w:rsid w:val="00EA7F49"/>
    <w:rsid w:val="00EB3339"/>
    <w:rsid w:val="00EB430E"/>
    <w:rsid w:val="00EB6C91"/>
    <w:rsid w:val="00EC2105"/>
    <w:rsid w:val="00EC326B"/>
    <w:rsid w:val="00EC3AE0"/>
    <w:rsid w:val="00EC48A8"/>
    <w:rsid w:val="00EC5C86"/>
    <w:rsid w:val="00EC65A6"/>
    <w:rsid w:val="00ED5C86"/>
    <w:rsid w:val="00ED7A2A"/>
    <w:rsid w:val="00EE6E0E"/>
    <w:rsid w:val="00EF09B7"/>
    <w:rsid w:val="00EF0A24"/>
    <w:rsid w:val="00EF1D7F"/>
    <w:rsid w:val="00EF3A31"/>
    <w:rsid w:val="00EF7CDC"/>
    <w:rsid w:val="00F05659"/>
    <w:rsid w:val="00F10E8A"/>
    <w:rsid w:val="00F14F1C"/>
    <w:rsid w:val="00F17440"/>
    <w:rsid w:val="00F23051"/>
    <w:rsid w:val="00F244D5"/>
    <w:rsid w:val="00F244F1"/>
    <w:rsid w:val="00F31D83"/>
    <w:rsid w:val="00F34768"/>
    <w:rsid w:val="00F359EF"/>
    <w:rsid w:val="00F366BF"/>
    <w:rsid w:val="00F36C4A"/>
    <w:rsid w:val="00F377FC"/>
    <w:rsid w:val="00F429EB"/>
    <w:rsid w:val="00F44963"/>
    <w:rsid w:val="00F52A98"/>
    <w:rsid w:val="00F52B1B"/>
    <w:rsid w:val="00F53A2D"/>
    <w:rsid w:val="00F53EDA"/>
    <w:rsid w:val="00F5718D"/>
    <w:rsid w:val="00F61158"/>
    <w:rsid w:val="00F618D8"/>
    <w:rsid w:val="00F65F0D"/>
    <w:rsid w:val="00F66BB0"/>
    <w:rsid w:val="00F707E4"/>
    <w:rsid w:val="00F70F95"/>
    <w:rsid w:val="00F74D26"/>
    <w:rsid w:val="00F75508"/>
    <w:rsid w:val="00F7753D"/>
    <w:rsid w:val="00F811D5"/>
    <w:rsid w:val="00F82356"/>
    <w:rsid w:val="00F8280A"/>
    <w:rsid w:val="00F85F34"/>
    <w:rsid w:val="00F93A12"/>
    <w:rsid w:val="00F96ABA"/>
    <w:rsid w:val="00FA06F7"/>
    <w:rsid w:val="00FA0B28"/>
    <w:rsid w:val="00FA3A6F"/>
    <w:rsid w:val="00FA51E0"/>
    <w:rsid w:val="00FA7945"/>
    <w:rsid w:val="00FB09F9"/>
    <w:rsid w:val="00FB171A"/>
    <w:rsid w:val="00FB213D"/>
    <w:rsid w:val="00FB48D5"/>
    <w:rsid w:val="00FB5541"/>
    <w:rsid w:val="00FC244C"/>
    <w:rsid w:val="00FC3D2E"/>
    <w:rsid w:val="00FC4669"/>
    <w:rsid w:val="00FC4F4B"/>
    <w:rsid w:val="00FC68B7"/>
    <w:rsid w:val="00FC6DE3"/>
    <w:rsid w:val="00FD3300"/>
    <w:rsid w:val="00FD4F7E"/>
    <w:rsid w:val="00FD7BF6"/>
    <w:rsid w:val="00FE57F9"/>
    <w:rsid w:val="00FE6FC6"/>
    <w:rsid w:val="00FE7DCB"/>
    <w:rsid w:val="00FF0A40"/>
    <w:rsid w:val="00FF1281"/>
    <w:rsid w:val="00FF233A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503228"/>
    <w:rPr>
      <w:color w:val="auto"/>
      <w:u w:val="none"/>
    </w:rPr>
  </w:style>
  <w:style w:type="character" w:styleId="FollowedHyperlink">
    <w:name w:val="FollowedHyperlink"/>
    <w:uiPriority w:val="99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paragraph" w:customStyle="1" w:styleId="xl64">
    <w:name w:val="xl64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sz w:val="24"/>
      <w:szCs w:val="24"/>
      <w:lang w:eastAsia="zh-CN"/>
    </w:rPr>
  </w:style>
  <w:style w:type="paragraph" w:customStyle="1" w:styleId="xl65">
    <w:name w:val="xl65"/>
    <w:basedOn w:val="Normal"/>
    <w:rsid w:val="00252056"/>
    <w:pPr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252056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zh-CN"/>
    </w:rPr>
  </w:style>
  <w:style w:type="paragraph" w:customStyle="1" w:styleId="xl63">
    <w:name w:val="xl63"/>
    <w:basedOn w:val="Normal"/>
    <w:rsid w:val="00AE3219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eastAsia="zh-CN"/>
    </w:rPr>
  </w:style>
  <w:style w:type="paragraph" w:customStyle="1" w:styleId="xl67">
    <w:name w:val="xl67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lang w:eastAsia="zh-CN"/>
    </w:rPr>
  </w:style>
  <w:style w:type="paragraph" w:customStyle="1" w:styleId="xl68">
    <w:name w:val="xl68"/>
    <w:basedOn w:val="Normal"/>
    <w:rsid w:val="00FF233A"/>
    <w:pPr>
      <w:suppressAutoHyphens w:val="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zh-CN"/>
    </w:rPr>
  </w:style>
  <w:style w:type="character" w:customStyle="1" w:styleId="H1GChar">
    <w:name w:val="_ H_1_G Char"/>
    <w:link w:val="H1G"/>
    <w:qFormat/>
    <w:rsid w:val="000A283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37838-D033-45CB-94E7-552F6DE2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Romain Hubert</cp:lastModifiedBy>
  <cp:revision>17</cp:revision>
  <cp:lastPrinted>2019-06-28T15:05:00Z</cp:lastPrinted>
  <dcterms:created xsi:type="dcterms:W3CDTF">2022-05-24T14:25:00Z</dcterms:created>
  <dcterms:modified xsi:type="dcterms:W3CDTF">2022-05-24T16:37:00Z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</Properties>
</file>