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1707A" w14:paraId="2CBE176E" w14:textId="77777777" w:rsidTr="000216CC">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C" w14:textId="4C65238D" w:rsidR="00FC215C" w:rsidRPr="00E1707A" w:rsidRDefault="00FC215C" w:rsidP="00FC215C">
            <w:pPr>
              <w:jc w:val="right"/>
              <w:rPr>
                <w:b/>
                <w:sz w:val="40"/>
                <w:szCs w:val="40"/>
                <w:lang w:val="fr-CH"/>
              </w:rPr>
            </w:pPr>
            <w:r w:rsidRPr="00E1707A">
              <w:rPr>
                <w:b/>
                <w:sz w:val="40"/>
                <w:szCs w:val="40"/>
                <w:lang w:val="fr-CH"/>
              </w:rPr>
              <w:t>UN/SCEGHS/</w:t>
            </w:r>
            <w:r w:rsidR="00DF2019">
              <w:rPr>
                <w:b/>
                <w:sz w:val="40"/>
                <w:szCs w:val="40"/>
                <w:lang w:val="fr-CH"/>
              </w:rPr>
              <w:t>42</w:t>
            </w:r>
            <w:r w:rsidRPr="00E1707A">
              <w:rPr>
                <w:b/>
                <w:sz w:val="40"/>
                <w:szCs w:val="40"/>
                <w:lang w:val="fr-CH"/>
              </w:rPr>
              <w:t>/INF.</w:t>
            </w:r>
            <w:r w:rsidR="00C12017">
              <w:rPr>
                <w:b/>
                <w:sz w:val="40"/>
                <w:szCs w:val="40"/>
                <w:lang w:val="fr-CH"/>
              </w:rPr>
              <w:t>8</w:t>
            </w:r>
          </w:p>
          <w:p w14:paraId="2CBE176D" w14:textId="77777777" w:rsidR="000216CC" w:rsidRPr="00E1707A" w:rsidRDefault="000216CC" w:rsidP="00497711">
            <w:pPr>
              <w:jc w:val="right"/>
              <w:rPr>
                <w:lang w:val="fr-CH"/>
              </w:rPr>
            </w:pPr>
          </w:p>
        </w:tc>
      </w:tr>
    </w:tbl>
    <w:tbl>
      <w:tblPr>
        <w:tblW w:w="10135" w:type="dxa"/>
        <w:tblInd w:w="108" w:type="dxa"/>
        <w:tblLayout w:type="fixed"/>
        <w:tblLook w:val="04A0" w:firstRow="1" w:lastRow="0" w:firstColumn="1" w:lastColumn="0" w:noHBand="0" w:noVBand="1"/>
      </w:tblPr>
      <w:tblGrid>
        <w:gridCol w:w="5137"/>
        <w:gridCol w:w="4998"/>
      </w:tblGrid>
      <w:tr w:rsidR="00E1707A" w:rsidRPr="00E1707A" w14:paraId="2CBE1771" w14:textId="77777777" w:rsidTr="00C567FD">
        <w:tc>
          <w:tcPr>
            <w:tcW w:w="10135" w:type="dxa"/>
            <w:gridSpan w:val="2"/>
            <w:tcMar>
              <w:top w:w="142" w:type="dxa"/>
              <w:left w:w="108" w:type="dxa"/>
              <w:bottom w:w="142" w:type="dxa"/>
              <w:right w:w="108" w:type="dxa"/>
            </w:tcMar>
          </w:tcPr>
          <w:p w14:paraId="2CBE1770" w14:textId="05FCF22C" w:rsidR="00645A0B" w:rsidRPr="00E1707A" w:rsidRDefault="00645A0B" w:rsidP="00F64C95">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C244EB" w:rsidRPr="00C244EB">
              <w:rPr>
                <w:b/>
              </w:rPr>
              <w:t>30</w:t>
            </w:r>
            <w:r w:rsidR="00DF2019" w:rsidRPr="00C244EB">
              <w:rPr>
                <w:b/>
              </w:rPr>
              <w:t xml:space="preserve"> May 2022</w:t>
            </w:r>
          </w:p>
        </w:tc>
      </w:tr>
      <w:tr w:rsidR="00645A0B" w:rsidRPr="000B4919" w14:paraId="2CBE1774" w14:textId="77777777" w:rsidTr="00C567FD">
        <w:tc>
          <w:tcPr>
            <w:tcW w:w="5137" w:type="dxa"/>
            <w:tcMar>
              <w:top w:w="57" w:type="dxa"/>
              <w:left w:w="108" w:type="dxa"/>
              <w:bottom w:w="0" w:type="dxa"/>
              <w:right w:w="108" w:type="dxa"/>
            </w:tcMar>
            <w:vAlign w:val="center"/>
          </w:tcPr>
          <w:p w14:paraId="2CBE1772" w14:textId="112B4661" w:rsidR="00645A0B" w:rsidRPr="000B4919" w:rsidRDefault="00C567FD" w:rsidP="00165735">
            <w:pPr>
              <w:spacing w:before="120"/>
              <w:rPr>
                <w:b/>
              </w:rPr>
            </w:pPr>
            <w:r w:rsidRPr="000B4919">
              <w:rPr>
                <w:b/>
              </w:rPr>
              <w:t>Sub-Committee of Experts on the Globally Harmonized System of Classification and Labelling of Chemicals</w:t>
            </w:r>
          </w:p>
        </w:tc>
        <w:tc>
          <w:tcPr>
            <w:tcW w:w="4993" w:type="dxa"/>
            <w:tcMar>
              <w:top w:w="57" w:type="dxa"/>
              <w:left w:w="108" w:type="dxa"/>
              <w:bottom w:w="0" w:type="dxa"/>
              <w:right w:w="108" w:type="dxa"/>
            </w:tcMar>
            <w:vAlign w:val="center"/>
          </w:tcPr>
          <w:p w14:paraId="2CBE1773" w14:textId="781AC307" w:rsidR="00645A0B" w:rsidRPr="000B4919" w:rsidRDefault="00645A0B" w:rsidP="00165735">
            <w:pPr>
              <w:spacing w:before="120"/>
              <w:rPr>
                <w:b/>
              </w:rPr>
            </w:pPr>
          </w:p>
        </w:tc>
      </w:tr>
      <w:tr w:rsidR="00645A0B" w:rsidRPr="000B4919" w14:paraId="2CBE1777" w14:textId="77777777" w:rsidTr="00C567FD">
        <w:tc>
          <w:tcPr>
            <w:tcW w:w="5137" w:type="dxa"/>
            <w:tcMar>
              <w:top w:w="57" w:type="dxa"/>
              <w:left w:w="108" w:type="dxa"/>
              <w:bottom w:w="0" w:type="dxa"/>
              <w:right w:w="108" w:type="dxa"/>
            </w:tcMar>
          </w:tcPr>
          <w:p w14:paraId="2CBE1775" w14:textId="2C4B5DA0" w:rsidR="00645A0B" w:rsidRPr="000B4919" w:rsidRDefault="00C567FD" w:rsidP="00F64C95">
            <w:pPr>
              <w:spacing w:before="120"/>
              <w:ind w:left="34" w:hanging="34"/>
              <w:rPr>
                <w:b/>
              </w:rPr>
            </w:pPr>
            <w:r>
              <w:rPr>
                <w:b/>
              </w:rPr>
              <w:t>Forty-second session</w:t>
            </w:r>
          </w:p>
        </w:tc>
        <w:tc>
          <w:tcPr>
            <w:tcW w:w="4993" w:type="dxa"/>
            <w:tcMar>
              <w:top w:w="57" w:type="dxa"/>
              <w:left w:w="108" w:type="dxa"/>
              <w:bottom w:w="0" w:type="dxa"/>
              <w:right w:w="108" w:type="dxa"/>
            </w:tcMar>
          </w:tcPr>
          <w:p w14:paraId="2CBE1776" w14:textId="30E03CCF" w:rsidR="00645A0B" w:rsidRPr="000B4919" w:rsidRDefault="00645A0B" w:rsidP="00E63DE8">
            <w:pPr>
              <w:spacing w:before="120"/>
              <w:ind w:left="34" w:hanging="34"/>
              <w:rPr>
                <w:b/>
              </w:rPr>
            </w:pPr>
          </w:p>
        </w:tc>
      </w:tr>
      <w:tr w:rsidR="00645A0B" w:rsidRPr="000B4919" w14:paraId="2CBE177F" w14:textId="77777777" w:rsidTr="00C567FD">
        <w:tc>
          <w:tcPr>
            <w:tcW w:w="5137" w:type="dxa"/>
            <w:tcMar>
              <w:top w:w="28" w:type="dxa"/>
              <w:left w:w="108" w:type="dxa"/>
              <w:bottom w:w="0" w:type="dxa"/>
              <w:right w:w="108" w:type="dxa"/>
            </w:tcMar>
          </w:tcPr>
          <w:p w14:paraId="3FDCD8EC" w14:textId="77777777" w:rsidR="00C567FD" w:rsidRDefault="00C567FD" w:rsidP="00C567FD">
            <w:r>
              <w:t>Geneva, 6-8 July 2022</w:t>
            </w:r>
            <w:r>
              <w:br/>
              <w:t>Item 2 (i) of the provisional agenda</w:t>
            </w:r>
          </w:p>
          <w:p w14:paraId="2CBE177A" w14:textId="167ABCB0" w:rsidR="00645A0B" w:rsidRPr="00A568A3" w:rsidRDefault="00C567FD" w:rsidP="00C567FD">
            <w:pPr>
              <w:spacing w:before="40"/>
              <w:ind w:left="-18" w:firstLine="18"/>
              <w:rPr>
                <w:b/>
                <w:bCs/>
              </w:rPr>
            </w:pPr>
            <w:r w:rsidRPr="007F4CBA">
              <w:rPr>
                <w:b/>
                <w:bCs/>
              </w:rPr>
              <w:t>Work on the Globally Harmonized System of Classification and Labelling of Chemicals: other matters</w:t>
            </w:r>
          </w:p>
        </w:tc>
        <w:tc>
          <w:tcPr>
            <w:tcW w:w="4993" w:type="dxa"/>
            <w:tcMar>
              <w:top w:w="28" w:type="dxa"/>
              <w:left w:w="108" w:type="dxa"/>
              <w:bottom w:w="0" w:type="dxa"/>
              <w:right w:w="108" w:type="dxa"/>
            </w:tcMar>
          </w:tcPr>
          <w:p w14:paraId="2CBE177E" w14:textId="2D63913B" w:rsidR="00645A0B" w:rsidRPr="007F4CBA" w:rsidRDefault="00645A0B" w:rsidP="006D51B8">
            <w:pPr>
              <w:rPr>
                <w:b/>
                <w:bCs/>
              </w:rPr>
            </w:pPr>
          </w:p>
        </w:tc>
      </w:tr>
    </w:tbl>
    <w:p w14:paraId="73728973" w14:textId="77777777" w:rsidR="002B0EAC" w:rsidRPr="00E80CF6" w:rsidRDefault="002B0EAC" w:rsidP="002B0EAC">
      <w:pPr>
        <w:pStyle w:val="HChG"/>
        <w:rPr>
          <w:lang w:val="en-US"/>
        </w:rPr>
      </w:pPr>
      <w:r w:rsidRPr="00E80CF6">
        <w:rPr>
          <w:rFonts w:eastAsia="MS Mincho"/>
          <w:lang w:val="en-US" w:eastAsia="ja-JP"/>
        </w:rPr>
        <w:tab/>
      </w:r>
      <w:r w:rsidRPr="00E80CF6">
        <w:rPr>
          <w:rFonts w:eastAsia="MS Mincho"/>
          <w:lang w:val="en-US" w:eastAsia="ja-JP"/>
        </w:rPr>
        <w:tab/>
      </w:r>
      <w:r w:rsidRPr="002B0EAC">
        <w:rPr>
          <w:rFonts w:eastAsia="MS Mincho"/>
        </w:rPr>
        <w:t>Amendments</w:t>
      </w:r>
      <w:r w:rsidRPr="00E80CF6">
        <w:rPr>
          <w:rFonts w:eastAsia="MS Mincho"/>
          <w:lang w:val="en-US" w:eastAsia="ja-JP"/>
        </w:rPr>
        <w:t xml:space="preserve"> to GHS Chapter 2.17 “Desensitized explosives”</w:t>
      </w:r>
    </w:p>
    <w:p w14:paraId="0C1004F4" w14:textId="6E0C03BE" w:rsidR="002B0EAC" w:rsidRPr="00E80CF6" w:rsidRDefault="002B0EAC" w:rsidP="002B0EAC">
      <w:pPr>
        <w:pStyle w:val="H1G"/>
        <w:rPr>
          <w:lang w:val="en-US"/>
        </w:rPr>
      </w:pPr>
      <w:r w:rsidRPr="00E80CF6">
        <w:rPr>
          <w:lang w:val="en-US"/>
        </w:rPr>
        <w:tab/>
      </w:r>
      <w:r w:rsidRPr="00E80CF6">
        <w:rPr>
          <w:lang w:val="en-US"/>
        </w:rPr>
        <w:tab/>
        <w:t>Transmitted by the expert</w:t>
      </w:r>
      <w:r>
        <w:rPr>
          <w:lang w:val="en-US"/>
        </w:rPr>
        <w:t>s</w:t>
      </w:r>
      <w:r w:rsidRPr="00E80CF6">
        <w:rPr>
          <w:lang w:val="en-US"/>
        </w:rPr>
        <w:t xml:space="preserve"> from Germany</w:t>
      </w:r>
      <w:r>
        <w:rPr>
          <w:lang w:val="en-US"/>
        </w:rPr>
        <w:t xml:space="preserve"> and the United States of America</w:t>
      </w:r>
      <w:r w:rsidR="00E772CC">
        <w:rPr>
          <w:rStyle w:val="FootnoteReference"/>
          <w:lang w:val="en-US"/>
        </w:rPr>
        <w:footnoteReference w:customMarkFollows="1" w:id="2"/>
        <w:t>*</w:t>
      </w:r>
    </w:p>
    <w:p w14:paraId="5D9AC800" w14:textId="77777777" w:rsidR="002B0EAC" w:rsidRDefault="002B0EAC" w:rsidP="002B0EAC">
      <w:pPr>
        <w:pStyle w:val="HChG"/>
      </w:pPr>
      <w:r>
        <w:tab/>
      </w:r>
      <w:r>
        <w:tab/>
        <w:t>Background</w:t>
      </w:r>
    </w:p>
    <w:p w14:paraId="15F78D28" w14:textId="4A5360BF" w:rsidR="002B0EAC" w:rsidRPr="00E80CF6" w:rsidRDefault="002B0EAC" w:rsidP="002B0EAC">
      <w:pPr>
        <w:pStyle w:val="SingleTxtG"/>
        <w:tabs>
          <w:tab w:val="left" w:pos="1701"/>
        </w:tabs>
        <w:rPr>
          <w:lang w:val="en-US"/>
        </w:rPr>
      </w:pPr>
      <w:r w:rsidRPr="00E80CF6">
        <w:rPr>
          <w:lang w:val="en-US"/>
        </w:rPr>
        <w:t>1.</w:t>
      </w:r>
      <w:r w:rsidRPr="00E80CF6">
        <w:rPr>
          <w:lang w:val="en-US"/>
        </w:rPr>
        <w:tab/>
        <w:t xml:space="preserve">In the </w:t>
      </w:r>
      <w:r>
        <w:rPr>
          <w:lang w:val="en-US"/>
        </w:rPr>
        <w:t>previous</w:t>
      </w:r>
      <w:r w:rsidRPr="00E80CF6">
        <w:rPr>
          <w:lang w:val="en-US"/>
        </w:rPr>
        <w:t xml:space="preserve"> meeting</w:t>
      </w:r>
      <w:r>
        <w:rPr>
          <w:lang w:val="en-US"/>
        </w:rPr>
        <w:t xml:space="preserve">s of the </w:t>
      </w:r>
      <w:r w:rsidR="00E772CC">
        <w:rPr>
          <w:lang w:val="en-US"/>
        </w:rPr>
        <w:t>s</w:t>
      </w:r>
      <w:r>
        <w:rPr>
          <w:lang w:val="en-US"/>
        </w:rPr>
        <w:t>ub</w:t>
      </w:r>
      <w:r w:rsidR="00E772CC">
        <w:rPr>
          <w:lang w:val="en-US"/>
        </w:rPr>
        <w:t>-c</w:t>
      </w:r>
      <w:r>
        <w:rPr>
          <w:lang w:val="en-US"/>
        </w:rPr>
        <w:t>ommittees</w:t>
      </w:r>
      <w:r w:rsidRPr="00E80CF6">
        <w:rPr>
          <w:lang w:val="en-US"/>
        </w:rPr>
        <w:t xml:space="preserve">, the expert from Germany proposed amendments to Chapter 2.17 “Desensitized explosives” of the GHS (including some consequential amendments to the Manual of Tests and Criteria), see </w:t>
      </w:r>
      <w:bookmarkStart w:id="0" w:name="_Hlk101788054"/>
      <w:r w:rsidRPr="00E80CF6">
        <w:rPr>
          <w:lang w:val="en-US"/>
        </w:rPr>
        <w:t>ST/SG/AC.10/C.3/2021/37-ST/SG/AC.10/C.4/2021/7</w:t>
      </w:r>
      <w:bookmarkEnd w:id="0"/>
      <w:r w:rsidRPr="00E80CF6">
        <w:rPr>
          <w:lang w:val="en-US"/>
        </w:rPr>
        <w:t>.</w:t>
      </w:r>
    </w:p>
    <w:p w14:paraId="54EEF340" w14:textId="23DD6208" w:rsidR="002B0EAC" w:rsidRPr="00E80CF6" w:rsidRDefault="002B0EAC" w:rsidP="002B0EAC">
      <w:pPr>
        <w:pStyle w:val="SingleTxtG"/>
        <w:tabs>
          <w:tab w:val="left" w:pos="1701"/>
        </w:tabs>
        <w:rPr>
          <w:lang w:val="en-US"/>
        </w:rPr>
      </w:pPr>
      <w:r w:rsidRPr="00E80CF6">
        <w:rPr>
          <w:lang w:val="en-US"/>
        </w:rPr>
        <w:t>2.</w:t>
      </w:r>
      <w:r w:rsidRPr="00E80CF6">
        <w:rPr>
          <w:lang w:val="en-US"/>
        </w:rPr>
        <w:tab/>
        <w:t xml:space="preserve">Some experts </w:t>
      </w:r>
      <w:r>
        <w:rPr>
          <w:lang w:val="en-US"/>
        </w:rPr>
        <w:t>picked up on</w:t>
      </w:r>
      <w:r w:rsidRPr="00E80CF6">
        <w:rPr>
          <w:lang w:val="en-US"/>
        </w:rPr>
        <w:t xml:space="preserve"> the invitation to provide comments after the meeting</w:t>
      </w:r>
      <w:r>
        <w:rPr>
          <w:lang w:val="en-US"/>
        </w:rPr>
        <w:t xml:space="preserve">, amongst them the expert from the United States of America. The expert from Germany </w:t>
      </w:r>
      <w:r w:rsidR="008743D3">
        <w:rPr>
          <w:lang w:val="en-US"/>
        </w:rPr>
        <w:t xml:space="preserve">is </w:t>
      </w:r>
      <w:r>
        <w:rPr>
          <w:lang w:val="en-US"/>
        </w:rPr>
        <w:t xml:space="preserve">grateful for the comments and together with the expert from the United States of America aim at their best consideration </w:t>
      </w:r>
      <w:proofErr w:type="gramStart"/>
      <w:r>
        <w:rPr>
          <w:lang w:val="en-US"/>
        </w:rPr>
        <w:t>in order to</w:t>
      </w:r>
      <w:proofErr w:type="gramEnd"/>
      <w:r>
        <w:rPr>
          <w:lang w:val="en-US"/>
        </w:rPr>
        <w:t xml:space="preserve"> facilitate </w:t>
      </w:r>
      <w:r w:rsidRPr="00E80CF6">
        <w:rPr>
          <w:lang w:val="en-US"/>
        </w:rPr>
        <w:t>the further process and discussions.</w:t>
      </w:r>
    </w:p>
    <w:p w14:paraId="6DF6AF2C" w14:textId="77777777" w:rsidR="002B0EAC" w:rsidRDefault="002B0EAC" w:rsidP="002B0EAC">
      <w:pPr>
        <w:pStyle w:val="SingleTxtG"/>
        <w:tabs>
          <w:tab w:val="left" w:pos="1701"/>
        </w:tabs>
        <w:rPr>
          <w:lang w:val="en-US"/>
        </w:rPr>
      </w:pPr>
      <w:r w:rsidRPr="00E80CF6">
        <w:rPr>
          <w:lang w:val="en-US"/>
        </w:rPr>
        <w:t>3.</w:t>
      </w:r>
      <w:r w:rsidRPr="00E80CF6">
        <w:rPr>
          <w:lang w:val="en-US"/>
        </w:rPr>
        <w:tab/>
      </w:r>
      <w:r>
        <w:rPr>
          <w:lang w:val="en-US"/>
        </w:rPr>
        <w:t xml:space="preserve">The comments received resulted in </w:t>
      </w:r>
      <w:r w:rsidRPr="00E80CF6">
        <w:rPr>
          <w:lang w:val="en-US"/>
        </w:rPr>
        <w:t>an extensive e-mail-exchange</w:t>
      </w:r>
      <w:r>
        <w:rPr>
          <w:lang w:val="en-US"/>
        </w:rPr>
        <w:t xml:space="preserve">. It turned out </w:t>
      </w:r>
      <w:r w:rsidRPr="00E80CF6">
        <w:rPr>
          <w:lang w:val="en-US"/>
        </w:rPr>
        <w:t xml:space="preserve">that some more general aspects of Chapter 2.17 of the GHS were </w:t>
      </w:r>
      <w:r>
        <w:rPr>
          <w:lang w:val="en-US"/>
        </w:rPr>
        <w:t>interpreted</w:t>
      </w:r>
      <w:r w:rsidRPr="00E80CF6">
        <w:rPr>
          <w:lang w:val="en-US"/>
        </w:rPr>
        <w:t xml:space="preserve"> differently by </w:t>
      </w:r>
      <w:r>
        <w:rPr>
          <w:lang w:val="en-US"/>
        </w:rPr>
        <w:t>the</w:t>
      </w:r>
      <w:r w:rsidRPr="00E80CF6">
        <w:rPr>
          <w:lang w:val="en-US"/>
        </w:rPr>
        <w:t xml:space="preserve"> experts. </w:t>
      </w:r>
      <w:proofErr w:type="gramStart"/>
      <w:r w:rsidRPr="00E80CF6">
        <w:rPr>
          <w:lang w:val="en-US"/>
        </w:rPr>
        <w:t>In order to</w:t>
      </w:r>
      <w:proofErr w:type="gramEnd"/>
      <w:r w:rsidRPr="00E80CF6">
        <w:rPr>
          <w:lang w:val="en-US"/>
        </w:rPr>
        <w:t xml:space="preserve"> find a common understanding on these points, a small web-meeting was held with the involved experts</w:t>
      </w:r>
      <w:r>
        <w:rPr>
          <w:lang w:val="en-US"/>
        </w:rPr>
        <w:t xml:space="preserve"> followed by some further e-mail exchange.</w:t>
      </w:r>
    </w:p>
    <w:p w14:paraId="2BAB0B6B" w14:textId="77777777" w:rsidR="002B0EAC" w:rsidRPr="005A1707" w:rsidRDefault="002B0EAC" w:rsidP="002B0EAC">
      <w:pPr>
        <w:pStyle w:val="SingleTxtG"/>
        <w:tabs>
          <w:tab w:val="left" w:pos="1701"/>
        </w:tabs>
        <w:rPr>
          <w:lang w:val="en-US"/>
        </w:rPr>
      </w:pPr>
      <w:r>
        <w:rPr>
          <w:lang w:val="en-US"/>
        </w:rPr>
        <w:t>4.</w:t>
      </w:r>
      <w:r>
        <w:rPr>
          <w:lang w:val="en-US"/>
        </w:rPr>
        <w:tab/>
        <w:t>Additionally, the differences in understanding of Chapter 2.17 result</w:t>
      </w:r>
      <w:r w:rsidRPr="005A1707">
        <w:rPr>
          <w:lang w:val="en-US"/>
        </w:rPr>
        <w:t xml:space="preserve"> also (at least partly) in di</w:t>
      </w:r>
      <w:r>
        <w:rPr>
          <w:lang w:val="en-US"/>
        </w:rPr>
        <w:t>verging</w:t>
      </w:r>
      <w:r w:rsidRPr="005A1707">
        <w:rPr>
          <w:lang w:val="en-US"/>
        </w:rPr>
        <w:t xml:space="preserve"> </w:t>
      </w:r>
      <w:r>
        <w:rPr>
          <w:lang w:val="en-US"/>
        </w:rPr>
        <w:t>views</w:t>
      </w:r>
      <w:r w:rsidRPr="005A1707">
        <w:rPr>
          <w:lang w:val="en-US"/>
        </w:rPr>
        <w:t xml:space="preserve"> as regards the necessity and rationale of </w:t>
      </w:r>
      <w:r>
        <w:rPr>
          <w:lang w:val="en-US"/>
        </w:rPr>
        <w:t xml:space="preserve">the </w:t>
      </w:r>
      <w:r w:rsidRPr="005A1707">
        <w:rPr>
          <w:lang w:val="en-US"/>
        </w:rPr>
        <w:t>original proposal</w:t>
      </w:r>
      <w:r>
        <w:rPr>
          <w:lang w:val="en-US"/>
        </w:rPr>
        <w:t xml:space="preserve"> as presented in the previous session in </w:t>
      </w:r>
      <w:r w:rsidRPr="00E80CF6">
        <w:rPr>
          <w:lang w:val="en-US"/>
        </w:rPr>
        <w:t>ST/SG/AC.10/C.3/2021/37-ST/SG/AC.10/C.4/2021/7</w:t>
      </w:r>
      <w:r w:rsidRPr="005A1707">
        <w:rPr>
          <w:lang w:val="en-US"/>
        </w:rPr>
        <w:t>. Therefore, we deem clarification of these issues helpful in two ways:</w:t>
      </w:r>
    </w:p>
    <w:p w14:paraId="5BE1D904" w14:textId="08306D26" w:rsidR="002B0EAC" w:rsidRPr="005A1707" w:rsidRDefault="0035391A" w:rsidP="00353AE3">
      <w:pPr>
        <w:pStyle w:val="Bullet1G"/>
        <w:numPr>
          <w:ilvl w:val="0"/>
          <w:numId w:val="0"/>
        </w:numPr>
        <w:ind w:left="2268" w:hanging="567"/>
        <w:rPr>
          <w:lang w:val="en-US"/>
        </w:rPr>
      </w:pPr>
      <w:r>
        <w:rPr>
          <w:lang w:val="en-US"/>
        </w:rPr>
        <w:t xml:space="preserve">(a) </w:t>
      </w:r>
      <w:r w:rsidR="00353AE3">
        <w:rPr>
          <w:lang w:val="en-US"/>
        </w:rPr>
        <w:tab/>
      </w:r>
      <w:r w:rsidR="002B0EAC">
        <w:rPr>
          <w:lang w:val="en-US"/>
        </w:rPr>
        <w:t>A</w:t>
      </w:r>
      <w:r w:rsidR="002B0EAC" w:rsidRPr="005A1707">
        <w:rPr>
          <w:lang w:val="en-US"/>
        </w:rPr>
        <w:t xml:space="preserve"> common understanding and </w:t>
      </w:r>
      <w:r w:rsidR="002B0EAC">
        <w:rPr>
          <w:lang w:val="en-US"/>
        </w:rPr>
        <w:t xml:space="preserve">accordingly </w:t>
      </w:r>
      <w:r w:rsidR="002B0EAC" w:rsidRPr="005A1707">
        <w:rPr>
          <w:lang w:val="en-US"/>
        </w:rPr>
        <w:t xml:space="preserve">improved wording </w:t>
      </w:r>
      <w:r w:rsidR="002B0EAC">
        <w:rPr>
          <w:lang w:val="en-US"/>
        </w:rPr>
        <w:t xml:space="preserve">promoting </w:t>
      </w:r>
      <w:r w:rsidR="002B0EAC" w:rsidRPr="005A1707">
        <w:rPr>
          <w:lang w:val="en-US"/>
        </w:rPr>
        <w:t xml:space="preserve">this common understanding </w:t>
      </w:r>
      <w:r w:rsidR="002B0EAC">
        <w:rPr>
          <w:lang w:val="en-US"/>
        </w:rPr>
        <w:t xml:space="preserve">would be </w:t>
      </w:r>
      <w:r w:rsidR="002B0EAC" w:rsidRPr="005A1707">
        <w:rPr>
          <w:lang w:val="en-US"/>
        </w:rPr>
        <w:t>in the interest of a globally harmonized interpretation.</w:t>
      </w:r>
    </w:p>
    <w:p w14:paraId="024F63CB" w14:textId="7F068506" w:rsidR="002B0EAC" w:rsidRPr="00E80CF6" w:rsidRDefault="0035391A" w:rsidP="00353AE3">
      <w:pPr>
        <w:pStyle w:val="Bullet1G"/>
        <w:numPr>
          <w:ilvl w:val="0"/>
          <w:numId w:val="0"/>
        </w:numPr>
        <w:ind w:left="2268" w:hanging="567"/>
        <w:rPr>
          <w:lang w:val="en-US"/>
        </w:rPr>
      </w:pPr>
      <w:r>
        <w:rPr>
          <w:lang w:val="en-US"/>
        </w:rPr>
        <w:t>(b)</w:t>
      </w:r>
      <w:r w:rsidR="002F0660">
        <w:rPr>
          <w:lang w:val="en-US"/>
        </w:rPr>
        <w:tab/>
      </w:r>
      <w:r w:rsidR="002B0EAC" w:rsidRPr="005A1707">
        <w:rPr>
          <w:lang w:val="en-US"/>
        </w:rPr>
        <w:t xml:space="preserve">It is a prerequisite to find a common understanding also as regards the original </w:t>
      </w:r>
      <w:r w:rsidR="002B0EAC">
        <w:rPr>
          <w:lang w:val="en-US"/>
        </w:rPr>
        <w:t>proposal of the previous session</w:t>
      </w:r>
      <w:r w:rsidR="002B0EAC" w:rsidRPr="005A1707">
        <w:rPr>
          <w:lang w:val="en-US"/>
        </w:rPr>
        <w:t>.</w:t>
      </w:r>
    </w:p>
    <w:p w14:paraId="0B2595FC" w14:textId="77777777" w:rsidR="00410237" w:rsidRDefault="00410237">
      <w:pPr>
        <w:suppressAutoHyphens w:val="0"/>
        <w:spacing w:line="240" w:lineRule="auto"/>
        <w:rPr>
          <w:lang w:val="en-US"/>
        </w:rPr>
      </w:pPr>
      <w:r>
        <w:rPr>
          <w:lang w:val="en-US"/>
        </w:rPr>
        <w:br w:type="page"/>
      </w:r>
    </w:p>
    <w:p w14:paraId="3AB42775" w14:textId="1E85B962" w:rsidR="002B0EAC" w:rsidRDefault="002B0EAC" w:rsidP="002B0EAC">
      <w:pPr>
        <w:pStyle w:val="SingleTxtG"/>
        <w:tabs>
          <w:tab w:val="left" w:pos="1701"/>
        </w:tabs>
        <w:rPr>
          <w:lang w:val="en-US"/>
        </w:rPr>
      </w:pPr>
      <w:r>
        <w:rPr>
          <w:lang w:val="en-US"/>
        </w:rPr>
        <w:lastRenderedPageBreak/>
        <w:t>5</w:t>
      </w:r>
      <w:r w:rsidRPr="00E80CF6">
        <w:rPr>
          <w:lang w:val="en-US"/>
        </w:rPr>
        <w:t>.</w:t>
      </w:r>
      <w:r w:rsidRPr="00E80CF6">
        <w:rPr>
          <w:lang w:val="en-US"/>
        </w:rPr>
        <w:tab/>
        <w:t>The</w:t>
      </w:r>
      <w:r>
        <w:rPr>
          <w:lang w:val="en-US"/>
        </w:rPr>
        <w:t xml:space="preserve"> issues that were discussed</w:t>
      </w:r>
      <w:r w:rsidRPr="00E80CF6">
        <w:rPr>
          <w:lang w:val="en-US"/>
        </w:rPr>
        <w:t xml:space="preserve"> are presented in the following sections. </w:t>
      </w:r>
      <w:r>
        <w:rPr>
          <w:lang w:val="en-US"/>
        </w:rPr>
        <w:t xml:space="preserve">The Annex to this document shows an amended section 2.17.1 and 2.17.2 </w:t>
      </w:r>
      <w:proofErr w:type="gramStart"/>
      <w:r>
        <w:rPr>
          <w:lang w:val="en-US"/>
        </w:rPr>
        <w:t>taking into account</w:t>
      </w:r>
      <w:proofErr w:type="gramEnd"/>
      <w:r>
        <w:rPr>
          <w:lang w:val="en-US"/>
        </w:rPr>
        <w:t xml:space="preserve"> the expert’s feedback as understood by the experts from Germany and the United States of America as good as possible.</w:t>
      </w:r>
    </w:p>
    <w:p w14:paraId="2C5A7CA3" w14:textId="77777777" w:rsidR="002B0EAC" w:rsidRPr="00512470" w:rsidRDefault="002B0EAC" w:rsidP="002B0EAC">
      <w:pPr>
        <w:pStyle w:val="HChG"/>
        <w:rPr>
          <w:lang w:val="en-US"/>
        </w:rPr>
      </w:pPr>
      <w:r w:rsidRPr="00512470">
        <w:rPr>
          <w:lang w:val="en-US"/>
        </w:rPr>
        <w:tab/>
      </w:r>
      <w:r w:rsidRPr="00512470">
        <w:rPr>
          <w:lang w:val="en-US"/>
        </w:rPr>
        <w:tab/>
        <w:t>Issues</w:t>
      </w:r>
    </w:p>
    <w:p w14:paraId="266C4E7C" w14:textId="03BCAAB6" w:rsidR="002B0EAC" w:rsidRPr="00E80CF6" w:rsidRDefault="002B0EAC" w:rsidP="002B0EAC">
      <w:pPr>
        <w:pStyle w:val="H1G"/>
        <w:rPr>
          <w:lang w:val="en-US"/>
        </w:rPr>
      </w:pPr>
      <w:r w:rsidRPr="00E80CF6">
        <w:rPr>
          <w:lang w:val="en-US"/>
        </w:rPr>
        <w:tab/>
      </w:r>
      <w:r w:rsidR="005D6108">
        <w:rPr>
          <w:lang w:val="en-US"/>
        </w:rPr>
        <w:t>I</w:t>
      </w:r>
      <w:r w:rsidR="001E3D5D">
        <w:rPr>
          <w:lang w:val="en-US"/>
        </w:rPr>
        <w:t>.</w:t>
      </w:r>
      <w:r>
        <w:rPr>
          <w:lang w:val="en-US"/>
        </w:rPr>
        <w:tab/>
      </w:r>
      <w:r w:rsidRPr="00E80CF6">
        <w:rPr>
          <w:lang w:val="en-US"/>
        </w:rPr>
        <w:t>Prerequisite for acceptance into Chapter 2.17 of the GHS</w:t>
      </w:r>
    </w:p>
    <w:p w14:paraId="240BB9A6" w14:textId="46E3590A" w:rsidR="002B0EAC" w:rsidRPr="00E80CF6" w:rsidRDefault="002B0EAC" w:rsidP="002B0EAC">
      <w:pPr>
        <w:pStyle w:val="SingleTxtG"/>
        <w:tabs>
          <w:tab w:val="left" w:pos="1701"/>
        </w:tabs>
        <w:rPr>
          <w:lang w:val="en-US"/>
        </w:rPr>
      </w:pPr>
      <w:r>
        <w:rPr>
          <w:lang w:val="en-US"/>
        </w:rPr>
        <w:t>6</w:t>
      </w:r>
      <w:r w:rsidRPr="00E80CF6">
        <w:rPr>
          <w:lang w:val="en-US"/>
        </w:rPr>
        <w:t>.</w:t>
      </w:r>
      <w:r w:rsidRPr="00E80CF6">
        <w:rPr>
          <w:lang w:val="en-US"/>
        </w:rPr>
        <w:tab/>
      </w:r>
      <w:r>
        <w:rPr>
          <w:lang w:val="en-US"/>
        </w:rPr>
        <w:t>One issue was</w:t>
      </w:r>
      <w:r w:rsidRPr="00E80CF6">
        <w:rPr>
          <w:lang w:val="en-US"/>
        </w:rPr>
        <w:t xml:space="preserve"> whether only explosives in the sense of Chapter 2.1 of the GHS that are phlegmatized are candidates for classification in Chapter 2.17 or whether also </w:t>
      </w:r>
      <w:r w:rsidRPr="00E80CF6">
        <w:rPr>
          <w:u w:val="single"/>
          <w:lang w:val="en-US"/>
        </w:rPr>
        <w:t>other</w:t>
      </w:r>
      <w:r w:rsidRPr="00E80CF6">
        <w:rPr>
          <w:lang w:val="en-US"/>
        </w:rPr>
        <w:t xml:space="preserve"> substances/mixtures having explosives properties that are phlegmatized are candidates for Chapter 2.17</w:t>
      </w:r>
      <w:r>
        <w:rPr>
          <w:lang w:val="en-US"/>
        </w:rPr>
        <w:t xml:space="preserve">. Based on the web-meeting and feedback provided by some of the experts afterwards, the experts seemed to agree that </w:t>
      </w:r>
      <w:r w:rsidRPr="00E80CF6">
        <w:rPr>
          <w:lang w:val="en-US"/>
        </w:rPr>
        <w:t>Chapter 2.17 should only apply to explosives in the s</w:t>
      </w:r>
      <w:r>
        <w:rPr>
          <w:lang w:val="en-US"/>
        </w:rPr>
        <w:t>cope</w:t>
      </w:r>
      <w:r w:rsidRPr="00E80CF6">
        <w:rPr>
          <w:lang w:val="en-US"/>
        </w:rPr>
        <w:t xml:space="preserve"> of Chapter 2.1 that are phlegmatized.</w:t>
      </w:r>
    </w:p>
    <w:p w14:paraId="70DDDD88" w14:textId="1ADBBA17" w:rsidR="002B0EAC" w:rsidRPr="00E80CF6" w:rsidRDefault="002B0EAC" w:rsidP="002B0EAC">
      <w:pPr>
        <w:pStyle w:val="SingleTxtG"/>
        <w:tabs>
          <w:tab w:val="left" w:pos="1701"/>
        </w:tabs>
        <w:rPr>
          <w:lang w:val="en-US"/>
        </w:rPr>
      </w:pPr>
      <w:r>
        <w:rPr>
          <w:lang w:val="en-US"/>
        </w:rPr>
        <w:t>7</w:t>
      </w:r>
      <w:r w:rsidRPr="00E80CF6">
        <w:rPr>
          <w:lang w:val="en-US"/>
        </w:rPr>
        <w:t>.</w:t>
      </w:r>
      <w:r w:rsidRPr="00E80CF6">
        <w:rPr>
          <w:lang w:val="en-US"/>
        </w:rPr>
        <w:tab/>
        <w:t xml:space="preserve">Therefore, it </w:t>
      </w:r>
      <w:r>
        <w:rPr>
          <w:lang w:val="en-US"/>
        </w:rPr>
        <w:t>should</w:t>
      </w:r>
      <w:r w:rsidRPr="00E80CF6">
        <w:rPr>
          <w:lang w:val="en-US"/>
        </w:rPr>
        <w:t xml:space="preserve"> be considered to state that more unambiguously. The current definition in </w:t>
      </w:r>
      <w:r w:rsidR="00DC3F3D">
        <w:rPr>
          <w:lang w:val="en-US"/>
        </w:rPr>
        <w:t>s</w:t>
      </w:r>
      <w:r w:rsidRPr="00E80CF6">
        <w:rPr>
          <w:lang w:val="en-US"/>
        </w:rPr>
        <w:t xml:space="preserve">ection 2.17.1.1 of the GHS refers to “solid or liquid explosive substances or mixtures”. This wording is probably chosen </w:t>
      </w:r>
      <w:proofErr w:type="gramStart"/>
      <w:r w:rsidRPr="00E80CF6">
        <w:rPr>
          <w:lang w:val="en-US"/>
        </w:rPr>
        <w:t>in order to</w:t>
      </w:r>
      <w:proofErr w:type="gramEnd"/>
      <w:r w:rsidRPr="00E80CF6">
        <w:rPr>
          <w:lang w:val="en-US"/>
        </w:rPr>
        <w:t xml:space="preserve"> exclude articles (which are not supposed to be covered by Chapter 2.17)</w:t>
      </w:r>
      <w:r>
        <w:rPr>
          <w:lang w:val="en-US"/>
        </w:rPr>
        <w:t xml:space="preserve">. However, this wording </w:t>
      </w:r>
      <w:r w:rsidRPr="00E80CF6">
        <w:rPr>
          <w:lang w:val="en-US"/>
        </w:rPr>
        <w:t>might cause confusion because it does not correspond exactly to the title of Chapter 2.1.</w:t>
      </w:r>
    </w:p>
    <w:p w14:paraId="0A88AE82" w14:textId="77777777" w:rsidR="002B0EAC" w:rsidRPr="00E80CF6" w:rsidRDefault="002B0EAC" w:rsidP="002B0EAC">
      <w:pPr>
        <w:pStyle w:val="SingleTxtG"/>
        <w:tabs>
          <w:tab w:val="left" w:pos="1701"/>
        </w:tabs>
        <w:rPr>
          <w:lang w:val="en-US"/>
        </w:rPr>
      </w:pPr>
      <w:r>
        <w:rPr>
          <w:lang w:val="en-US"/>
        </w:rPr>
        <w:t>8</w:t>
      </w:r>
      <w:r w:rsidRPr="00E80CF6">
        <w:rPr>
          <w:lang w:val="en-US"/>
        </w:rPr>
        <w:t>.</w:t>
      </w:r>
      <w:r w:rsidRPr="00E80CF6">
        <w:rPr>
          <w:lang w:val="en-US"/>
        </w:rPr>
        <w:tab/>
        <w:t xml:space="preserve">A possible solution might be to refer </w:t>
      </w:r>
      <w:r>
        <w:rPr>
          <w:lang w:val="en-US"/>
        </w:rPr>
        <w:t xml:space="preserve">instead </w:t>
      </w:r>
      <w:r w:rsidRPr="00E80CF6">
        <w:rPr>
          <w:lang w:val="en-US"/>
        </w:rPr>
        <w:t>to “substances and mixtures in the s</w:t>
      </w:r>
      <w:r>
        <w:rPr>
          <w:lang w:val="en-US"/>
        </w:rPr>
        <w:t>cope</w:t>
      </w:r>
      <w:r w:rsidRPr="00E80CF6">
        <w:rPr>
          <w:lang w:val="en-US"/>
        </w:rPr>
        <w:t xml:space="preserve"> of Chapter 2.1” (or similar).</w:t>
      </w:r>
    </w:p>
    <w:p w14:paraId="389B6DB2" w14:textId="41CCDC20" w:rsidR="002B0EAC" w:rsidRDefault="002B0EAC" w:rsidP="002B0EAC">
      <w:pPr>
        <w:pStyle w:val="H1G"/>
        <w:rPr>
          <w:lang w:val="en-US"/>
        </w:rPr>
      </w:pPr>
      <w:r w:rsidRPr="00E80CF6">
        <w:rPr>
          <w:lang w:val="en-US"/>
        </w:rPr>
        <w:tab/>
      </w:r>
      <w:r w:rsidR="005D6108">
        <w:rPr>
          <w:lang w:val="en-US"/>
        </w:rPr>
        <w:t>II</w:t>
      </w:r>
      <w:r w:rsidR="001E3D5D">
        <w:rPr>
          <w:lang w:val="en-US"/>
        </w:rPr>
        <w:t>.</w:t>
      </w:r>
      <w:r>
        <w:rPr>
          <w:lang w:val="en-US"/>
        </w:rPr>
        <w:tab/>
        <w:t>Consideration of test series 2</w:t>
      </w:r>
    </w:p>
    <w:p w14:paraId="3DCC0F8B" w14:textId="6F59E87F" w:rsidR="002B0EAC" w:rsidRPr="00E80CF6" w:rsidRDefault="002B0EAC" w:rsidP="002B0EAC">
      <w:pPr>
        <w:pStyle w:val="SingleTxtG"/>
        <w:tabs>
          <w:tab w:val="left" w:pos="1701"/>
        </w:tabs>
        <w:rPr>
          <w:lang w:val="en-US"/>
        </w:rPr>
      </w:pPr>
      <w:r>
        <w:rPr>
          <w:lang w:val="en-US"/>
        </w:rPr>
        <w:t>9</w:t>
      </w:r>
      <w:r w:rsidRPr="00E80CF6">
        <w:rPr>
          <w:lang w:val="en-US"/>
        </w:rPr>
        <w:t>.</w:t>
      </w:r>
      <w:r w:rsidRPr="00E80CF6">
        <w:rPr>
          <w:lang w:val="en-US"/>
        </w:rPr>
        <w:tab/>
        <w:t>As already discussed in the working document submitted to the last meeting (</w:t>
      </w:r>
      <w:r>
        <w:rPr>
          <w:lang w:val="en-US"/>
        </w:rPr>
        <w:t xml:space="preserve">for the rationale and justification </w:t>
      </w:r>
      <w:r w:rsidRPr="00E80CF6">
        <w:rPr>
          <w:lang w:val="en-US"/>
        </w:rPr>
        <w:t xml:space="preserve">see ST/SG/AC.10/C.3/2021/37-ST/SG/AC.10/C.4/2021/7), an explosive must be phlegmatized beyond a certain point (sufficiently) </w:t>
      </w:r>
      <w:proofErr w:type="gramStart"/>
      <w:r w:rsidRPr="00E80CF6">
        <w:rPr>
          <w:lang w:val="en-US"/>
        </w:rPr>
        <w:t>in order to</w:t>
      </w:r>
      <w:proofErr w:type="gramEnd"/>
      <w:r w:rsidRPr="00E80CF6">
        <w:rPr>
          <w:lang w:val="en-US"/>
        </w:rPr>
        <w:t xml:space="preserve"> be exempted from </w:t>
      </w:r>
      <w:r>
        <w:rPr>
          <w:lang w:val="en-US"/>
        </w:rPr>
        <w:t>Chapter 2.1</w:t>
      </w:r>
      <w:r w:rsidRPr="00E80CF6">
        <w:rPr>
          <w:lang w:val="en-US"/>
        </w:rPr>
        <w:t xml:space="preserve"> “Explosives” of the GHS. The criteria are given in </w:t>
      </w:r>
      <w:r>
        <w:rPr>
          <w:lang w:val="en-US"/>
        </w:rPr>
        <w:t xml:space="preserve">section </w:t>
      </w:r>
      <w:r w:rsidRPr="00E80CF6">
        <w:rPr>
          <w:lang w:val="en-US"/>
        </w:rPr>
        <w:t>2.17.2.1</w:t>
      </w:r>
      <w:r w:rsidR="00B366F1">
        <w:rPr>
          <w:lang w:val="en-US"/>
        </w:rPr>
        <w:t> </w:t>
      </w:r>
      <w:r w:rsidRPr="00E80CF6">
        <w:rPr>
          <w:lang w:val="en-US"/>
        </w:rPr>
        <w:t>(a) and</w:t>
      </w:r>
      <w:r w:rsidR="00B366F1">
        <w:rPr>
          <w:lang w:val="en-US"/>
        </w:rPr>
        <w:t> </w:t>
      </w:r>
      <w:r w:rsidRPr="00E80CF6">
        <w:rPr>
          <w:lang w:val="en-US"/>
        </w:rPr>
        <w:t xml:space="preserve">(b) in conjunction with Note 1 in that </w:t>
      </w:r>
      <w:r w:rsidR="00517A7F">
        <w:rPr>
          <w:lang w:val="en-US"/>
        </w:rPr>
        <w:t>s</w:t>
      </w:r>
      <w:r w:rsidRPr="00E80CF6">
        <w:rPr>
          <w:lang w:val="en-US"/>
        </w:rPr>
        <w:t>ection.</w:t>
      </w:r>
      <w:r>
        <w:rPr>
          <w:rStyle w:val="FootnoteReference"/>
          <w:lang w:val="en-US"/>
        </w:rPr>
        <w:footnoteReference w:id="3"/>
      </w:r>
    </w:p>
    <w:p w14:paraId="587D2515" w14:textId="2417799C" w:rsidR="002B0EAC" w:rsidRPr="00E80CF6" w:rsidRDefault="002B0EAC" w:rsidP="002B0EAC">
      <w:pPr>
        <w:pStyle w:val="SingleTxtG"/>
        <w:tabs>
          <w:tab w:val="left" w:pos="1701"/>
        </w:tabs>
        <w:rPr>
          <w:lang w:val="en-US"/>
        </w:rPr>
      </w:pPr>
      <w:r>
        <w:rPr>
          <w:lang w:val="en-US"/>
        </w:rPr>
        <w:t>10</w:t>
      </w:r>
      <w:r w:rsidRPr="00E80CF6">
        <w:rPr>
          <w:lang w:val="en-US"/>
        </w:rPr>
        <w:t>.</w:t>
      </w:r>
      <w:r w:rsidRPr="00E80CF6">
        <w:rPr>
          <w:lang w:val="en-US"/>
        </w:rPr>
        <w:tab/>
        <w:t xml:space="preserve">The experts found that their understanding/interpretation </w:t>
      </w:r>
      <w:r>
        <w:rPr>
          <w:lang w:val="en-US"/>
        </w:rPr>
        <w:t xml:space="preserve">was different </w:t>
      </w:r>
      <w:r w:rsidRPr="00E80CF6">
        <w:rPr>
          <w:lang w:val="en-US"/>
        </w:rPr>
        <w:t xml:space="preserve">as to when a phlegmatized explosive is </w:t>
      </w:r>
      <w:r>
        <w:rPr>
          <w:lang w:val="en-US"/>
        </w:rPr>
        <w:t xml:space="preserve">insufficiently desensitized for acceptance into Chapter 2.17 (and instead </w:t>
      </w:r>
      <w:proofErr w:type="gramStart"/>
      <w:r w:rsidRPr="00E80CF6">
        <w:rPr>
          <w:lang w:val="en-US"/>
        </w:rPr>
        <w:t>referred back</w:t>
      </w:r>
      <w:proofErr w:type="gramEnd"/>
      <w:r w:rsidRPr="00E80CF6">
        <w:rPr>
          <w:lang w:val="en-US"/>
        </w:rPr>
        <w:t xml:space="preserve"> to Chapter 2.1</w:t>
      </w:r>
      <w:r>
        <w:rPr>
          <w:lang w:val="en-US"/>
        </w:rPr>
        <w:t>)</w:t>
      </w:r>
      <w:r w:rsidRPr="00E80CF6">
        <w:rPr>
          <w:lang w:val="en-US"/>
        </w:rPr>
        <w:t>:</w:t>
      </w:r>
    </w:p>
    <w:p w14:paraId="54046B72" w14:textId="5F74772E" w:rsidR="002B0EAC" w:rsidRPr="00E80CF6" w:rsidRDefault="0033109F" w:rsidP="00353AE3">
      <w:pPr>
        <w:pStyle w:val="Bullet1G"/>
        <w:numPr>
          <w:ilvl w:val="0"/>
          <w:numId w:val="0"/>
        </w:numPr>
        <w:kinsoku w:val="0"/>
        <w:overflowPunct w:val="0"/>
        <w:autoSpaceDE w:val="0"/>
        <w:autoSpaceDN w:val="0"/>
        <w:adjustRightInd w:val="0"/>
        <w:snapToGrid w:val="0"/>
        <w:ind w:left="2268" w:hanging="567"/>
        <w:rPr>
          <w:lang w:val="en-US"/>
        </w:rPr>
      </w:pPr>
      <w:r>
        <w:rPr>
          <w:lang w:val="en-US"/>
        </w:rPr>
        <w:t>(a)</w:t>
      </w:r>
      <w:r>
        <w:rPr>
          <w:lang w:val="en-US"/>
        </w:rPr>
        <w:tab/>
      </w:r>
      <w:r w:rsidR="002B0EAC" w:rsidRPr="00E80CF6">
        <w:rPr>
          <w:lang w:val="en-US"/>
        </w:rPr>
        <w:t xml:space="preserve">Some understood that only the criteria mentioned in 2.17.2.1 (a) and (b) of the GHS would </w:t>
      </w:r>
      <w:proofErr w:type="gramStart"/>
      <w:r w:rsidR="002B0EAC" w:rsidRPr="00E80CF6">
        <w:rPr>
          <w:lang w:val="en-US"/>
        </w:rPr>
        <w:t>actually result</w:t>
      </w:r>
      <w:proofErr w:type="gramEnd"/>
      <w:r w:rsidR="002B0EAC" w:rsidRPr="00E80CF6">
        <w:rPr>
          <w:lang w:val="en-US"/>
        </w:rPr>
        <w:t xml:space="preserve"> in such a reference back to Chapter 2.1.</w:t>
      </w:r>
    </w:p>
    <w:p w14:paraId="489AE5EE" w14:textId="69AB0772" w:rsidR="002B0EAC" w:rsidRPr="00E80CF6" w:rsidRDefault="0033109F" w:rsidP="00353AE3">
      <w:pPr>
        <w:pStyle w:val="Bullet1G"/>
        <w:numPr>
          <w:ilvl w:val="0"/>
          <w:numId w:val="0"/>
        </w:numPr>
        <w:kinsoku w:val="0"/>
        <w:overflowPunct w:val="0"/>
        <w:autoSpaceDE w:val="0"/>
        <w:autoSpaceDN w:val="0"/>
        <w:adjustRightInd w:val="0"/>
        <w:snapToGrid w:val="0"/>
        <w:ind w:left="2268" w:hanging="567"/>
        <w:rPr>
          <w:lang w:val="en-US"/>
        </w:rPr>
      </w:pPr>
      <w:r>
        <w:rPr>
          <w:lang w:val="en-US"/>
        </w:rPr>
        <w:t>(b)</w:t>
      </w:r>
      <w:r>
        <w:rPr>
          <w:lang w:val="en-US"/>
        </w:rPr>
        <w:tab/>
      </w:r>
      <w:r w:rsidR="002B0EAC" w:rsidRPr="00E80CF6">
        <w:rPr>
          <w:lang w:val="en-US"/>
        </w:rPr>
        <w:t xml:space="preserve">Some others understood that a phlegmatized explosive should – in that state – no longer fulfill the criteria for classification as </w:t>
      </w:r>
      <w:r w:rsidR="002B0EAC">
        <w:rPr>
          <w:lang w:val="en-US"/>
        </w:rPr>
        <w:t xml:space="preserve">an </w:t>
      </w:r>
      <w:r w:rsidR="002B0EAC" w:rsidRPr="00E80CF6">
        <w:rPr>
          <w:lang w:val="en-US"/>
        </w:rPr>
        <w:t xml:space="preserve">explosive </w:t>
      </w:r>
      <w:r w:rsidR="002B0EAC">
        <w:rPr>
          <w:lang w:val="en-US"/>
        </w:rPr>
        <w:t xml:space="preserve">(in the sense of Chapter 2.1) </w:t>
      </w:r>
      <w:r w:rsidR="002B0EAC" w:rsidRPr="00E80CF6">
        <w:rPr>
          <w:lang w:val="en-US"/>
        </w:rPr>
        <w:t>and only then might be classified as desensitized explosive</w:t>
      </w:r>
      <w:r w:rsidR="002B0EAC">
        <w:rPr>
          <w:lang w:val="en-US"/>
        </w:rPr>
        <w:t xml:space="preserve"> (which would include passing test series 2)</w:t>
      </w:r>
      <w:r w:rsidR="002B0EAC" w:rsidRPr="00E80CF6">
        <w:rPr>
          <w:lang w:val="en-US"/>
        </w:rPr>
        <w:t>.</w:t>
      </w:r>
    </w:p>
    <w:p w14:paraId="7973BC6A" w14:textId="77777777" w:rsidR="002B0EAC" w:rsidRPr="00E80CF6" w:rsidRDefault="002B0EAC" w:rsidP="002B0EAC">
      <w:pPr>
        <w:pStyle w:val="SingleTxtG"/>
        <w:tabs>
          <w:tab w:val="left" w:pos="1701"/>
        </w:tabs>
        <w:rPr>
          <w:lang w:val="en-US"/>
        </w:rPr>
      </w:pPr>
      <w:r w:rsidRPr="00E80CF6">
        <w:rPr>
          <w:lang w:val="en-US"/>
        </w:rPr>
        <w:t>1</w:t>
      </w:r>
      <w:r>
        <w:rPr>
          <w:lang w:val="en-US"/>
        </w:rPr>
        <w:t>1</w:t>
      </w:r>
      <w:r w:rsidRPr="00E80CF6">
        <w:rPr>
          <w:lang w:val="en-US"/>
        </w:rPr>
        <w:t>.</w:t>
      </w:r>
      <w:r w:rsidRPr="00E80CF6">
        <w:rPr>
          <w:lang w:val="en-US"/>
        </w:rPr>
        <w:tab/>
      </w:r>
      <w:r>
        <w:rPr>
          <w:lang w:val="en-US"/>
        </w:rPr>
        <w:t>Consequently</w:t>
      </w:r>
      <w:r w:rsidRPr="00E80CF6">
        <w:rPr>
          <w:lang w:val="en-US"/>
        </w:rPr>
        <w:t xml:space="preserve">, there was some confusion in how far the results of test series 2 </w:t>
      </w:r>
      <w:r>
        <w:rPr>
          <w:lang w:val="en-US"/>
        </w:rPr>
        <w:t xml:space="preserve">of the Manual of Tests and Criteria </w:t>
      </w:r>
      <w:r w:rsidRPr="00E80CF6">
        <w:rPr>
          <w:lang w:val="en-US"/>
        </w:rPr>
        <w:t>should play a role when deciding if classification as “desensitized explosive” is possible.</w:t>
      </w:r>
    </w:p>
    <w:p w14:paraId="35DF650A" w14:textId="33A12C24" w:rsidR="00353AE3" w:rsidRDefault="002B0EAC" w:rsidP="002B0EAC">
      <w:pPr>
        <w:pStyle w:val="SingleTxtG"/>
        <w:tabs>
          <w:tab w:val="left" w:pos="1701"/>
        </w:tabs>
        <w:rPr>
          <w:lang w:val="en-US"/>
        </w:rPr>
      </w:pPr>
      <w:r w:rsidRPr="00E80CF6">
        <w:rPr>
          <w:lang w:val="en-US"/>
        </w:rPr>
        <w:t>1</w:t>
      </w:r>
      <w:r>
        <w:rPr>
          <w:lang w:val="en-US"/>
        </w:rPr>
        <w:t>2</w:t>
      </w:r>
      <w:r w:rsidRPr="00E80CF6">
        <w:rPr>
          <w:lang w:val="en-US"/>
        </w:rPr>
        <w:t>.</w:t>
      </w:r>
      <w:r w:rsidRPr="00E80CF6">
        <w:rPr>
          <w:lang w:val="en-US"/>
        </w:rPr>
        <w:tab/>
        <w:t xml:space="preserve">The latter </w:t>
      </w:r>
      <w:r>
        <w:rPr>
          <w:lang w:val="en-US"/>
        </w:rPr>
        <w:t>difference in understanding</w:t>
      </w:r>
      <w:r w:rsidRPr="00E80CF6">
        <w:rPr>
          <w:lang w:val="en-US"/>
        </w:rPr>
        <w:t xml:space="preserve"> was </w:t>
      </w:r>
      <w:r>
        <w:rPr>
          <w:lang w:val="en-US"/>
        </w:rPr>
        <w:t xml:space="preserve">also </w:t>
      </w:r>
      <w:r w:rsidRPr="00E80CF6">
        <w:rPr>
          <w:lang w:val="en-US"/>
        </w:rPr>
        <w:t xml:space="preserve">based on a reference to test series 2 in </w:t>
      </w:r>
      <w:r w:rsidR="0033109F">
        <w:rPr>
          <w:lang w:val="en-US"/>
        </w:rPr>
        <w:t>s</w:t>
      </w:r>
      <w:r w:rsidRPr="00E80CF6">
        <w:rPr>
          <w:lang w:val="en-US"/>
        </w:rPr>
        <w:t>ection 51.2.1 of the Manual. Formally</w:t>
      </w:r>
      <w:r>
        <w:rPr>
          <w:lang w:val="en-US"/>
        </w:rPr>
        <w:t>,</w:t>
      </w:r>
      <w:r w:rsidRPr="00E80CF6">
        <w:rPr>
          <w:lang w:val="en-US"/>
        </w:rPr>
        <w:t xml:space="preserve"> this reference to test series 2 is not a criterion in the sense of Chapter 2.17 of the GHS because</w:t>
      </w:r>
      <w:r w:rsidR="00353AE3">
        <w:rPr>
          <w:lang w:val="en-US"/>
        </w:rPr>
        <w:t>:</w:t>
      </w:r>
    </w:p>
    <w:p w14:paraId="5EAC95F4" w14:textId="7ED2F4A5" w:rsidR="00353AE3" w:rsidRDefault="002F0660" w:rsidP="00353AE3">
      <w:pPr>
        <w:pStyle w:val="SingleTxtG"/>
        <w:tabs>
          <w:tab w:val="left" w:pos="1701"/>
        </w:tabs>
        <w:ind w:left="1701" w:hanging="567"/>
        <w:rPr>
          <w:lang w:val="en-US"/>
        </w:rPr>
      </w:pPr>
      <w:r>
        <w:rPr>
          <w:lang w:val="en-US"/>
        </w:rPr>
        <w:tab/>
      </w:r>
      <w:r w:rsidR="002B0EAC">
        <w:rPr>
          <w:lang w:val="en-US"/>
        </w:rPr>
        <w:t>(</w:t>
      </w:r>
      <w:r w:rsidR="00353AE3">
        <w:rPr>
          <w:lang w:val="en-US"/>
        </w:rPr>
        <w:t>a</w:t>
      </w:r>
      <w:r w:rsidR="002B0EAC">
        <w:rPr>
          <w:lang w:val="en-US"/>
        </w:rPr>
        <w:t>)</w:t>
      </w:r>
      <w:r w:rsidR="002B0EAC" w:rsidRPr="00E80CF6">
        <w:rPr>
          <w:lang w:val="en-US"/>
        </w:rPr>
        <w:t xml:space="preserve"> </w:t>
      </w:r>
      <w:r w:rsidR="00353AE3">
        <w:rPr>
          <w:lang w:val="en-US"/>
        </w:rPr>
        <w:tab/>
      </w:r>
      <w:r w:rsidR="002B0EAC" w:rsidRPr="00E80CF6">
        <w:rPr>
          <w:lang w:val="en-US"/>
        </w:rPr>
        <w:t>Chapter 2.17 does not reference that section of the Manual at all</w:t>
      </w:r>
      <w:r>
        <w:rPr>
          <w:lang w:val="en-US"/>
        </w:rPr>
        <w:t>,</w:t>
      </w:r>
      <w:r w:rsidR="002B0EAC" w:rsidRPr="00E80CF6">
        <w:rPr>
          <w:lang w:val="en-US"/>
        </w:rPr>
        <w:t xml:space="preserve"> and </w:t>
      </w:r>
    </w:p>
    <w:p w14:paraId="6810305B" w14:textId="7E006808" w:rsidR="002B0EAC" w:rsidRPr="00E80CF6" w:rsidRDefault="002B0EAC" w:rsidP="002F0660">
      <w:pPr>
        <w:pStyle w:val="Bullet1G"/>
        <w:numPr>
          <w:ilvl w:val="0"/>
          <w:numId w:val="0"/>
        </w:numPr>
        <w:ind w:left="2268" w:hanging="567"/>
        <w:rPr>
          <w:lang w:val="en-US"/>
        </w:rPr>
      </w:pPr>
      <w:r>
        <w:rPr>
          <w:lang w:val="en-US"/>
        </w:rPr>
        <w:lastRenderedPageBreak/>
        <w:t>(</w:t>
      </w:r>
      <w:r w:rsidR="00353AE3">
        <w:rPr>
          <w:lang w:val="en-US"/>
        </w:rPr>
        <w:t>b</w:t>
      </w:r>
      <w:r>
        <w:rPr>
          <w:lang w:val="en-US"/>
        </w:rPr>
        <w:t>)</w:t>
      </w:r>
      <w:r w:rsidRPr="00E80CF6">
        <w:rPr>
          <w:lang w:val="en-US"/>
        </w:rPr>
        <w:t xml:space="preserve"> </w:t>
      </w:r>
      <w:r w:rsidR="00353AE3">
        <w:rPr>
          <w:lang w:val="en-US"/>
        </w:rPr>
        <w:tab/>
      </w:r>
      <w:r w:rsidRPr="00E80CF6">
        <w:rPr>
          <w:lang w:val="en-US"/>
        </w:rPr>
        <w:t>the reference to test series 2 is not contained in the criteria list of points</w:t>
      </w:r>
      <w:r w:rsidR="002F0660">
        <w:rPr>
          <w:lang w:val="en-US"/>
        </w:rPr>
        <w:t xml:space="preserve"> </w:t>
      </w:r>
      <w:r w:rsidRPr="00E80CF6">
        <w:rPr>
          <w:lang w:val="en-US"/>
        </w:rPr>
        <w:t>(a) and</w:t>
      </w:r>
      <w:r w:rsidR="002F0660">
        <w:rPr>
          <w:lang w:val="en-US"/>
        </w:rPr>
        <w:t> </w:t>
      </w:r>
      <w:r w:rsidRPr="00E80CF6">
        <w:rPr>
          <w:lang w:val="en-US"/>
        </w:rPr>
        <w:t xml:space="preserve">(b) in that </w:t>
      </w:r>
      <w:r>
        <w:rPr>
          <w:lang w:val="en-US"/>
        </w:rPr>
        <w:t>s</w:t>
      </w:r>
      <w:r w:rsidRPr="00E80CF6">
        <w:rPr>
          <w:lang w:val="en-US"/>
        </w:rPr>
        <w:t>ection of the Manual.</w:t>
      </w:r>
    </w:p>
    <w:p w14:paraId="501C0B05" w14:textId="77777777" w:rsidR="002B0EAC" w:rsidRDefault="002B0EAC" w:rsidP="002B0EAC">
      <w:pPr>
        <w:pStyle w:val="SingleTxtG"/>
        <w:tabs>
          <w:tab w:val="left" w:pos="1701"/>
        </w:tabs>
        <w:rPr>
          <w:lang w:val="en-US"/>
        </w:rPr>
      </w:pPr>
      <w:r w:rsidRPr="00E80CF6">
        <w:rPr>
          <w:lang w:val="en-US"/>
        </w:rPr>
        <w:t>1</w:t>
      </w:r>
      <w:r>
        <w:rPr>
          <w:lang w:val="en-US"/>
        </w:rPr>
        <w:t>3</w:t>
      </w:r>
      <w:r w:rsidRPr="00E80CF6">
        <w:rPr>
          <w:lang w:val="en-US"/>
        </w:rPr>
        <w:t>.</w:t>
      </w:r>
      <w:r w:rsidRPr="00E80CF6">
        <w:rPr>
          <w:lang w:val="en-US"/>
        </w:rPr>
        <w:tab/>
      </w:r>
      <w:r>
        <w:rPr>
          <w:lang w:val="en-US"/>
        </w:rPr>
        <w:t>In the web-meeting there seemed to be some agreement that</w:t>
      </w:r>
      <w:r w:rsidRPr="00E80CF6">
        <w:rPr>
          <w:lang w:val="en-US"/>
        </w:rPr>
        <w:t xml:space="preserve"> test series 2 should play a role for Chapter 2.17 as well. </w:t>
      </w:r>
      <w:r>
        <w:rPr>
          <w:lang w:val="en-US"/>
        </w:rPr>
        <w:t>This was also confirmed explicitly after the meeting by some of the experts. Based on the e-mails after the meeting, t</w:t>
      </w:r>
      <w:r w:rsidRPr="00E80CF6">
        <w:rPr>
          <w:lang w:val="en-US"/>
        </w:rPr>
        <w:t xml:space="preserve">he common understanding </w:t>
      </w:r>
      <w:r>
        <w:rPr>
          <w:lang w:val="en-US"/>
        </w:rPr>
        <w:t>seemed to be</w:t>
      </w:r>
      <w:r w:rsidRPr="00E80CF6">
        <w:rPr>
          <w:lang w:val="en-US"/>
        </w:rPr>
        <w:t xml:space="preserve"> that </w:t>
      </w:r>
      <w:r>
        <w:rPr>
          <w:lang w:val="en-US"/>
        </w:rPr>
        <w:t xml:space="preserve">an </w:t>
      </w:r>
      <w:r w:rsidRPr="009E78F8">
        <w:rPr>
          <w:u w:val="single"/>
          <w:lang w:val="en-US"/>
        </w:rPr>
        <w:t>option</w:t>
      </w:r>
      <w:r>
        <w:rPr>
          <w:lang w:val="en-US"/>
        </w:rPr>
        <w:t xml:space="preserve"> should be introduced: If a phlegmatized explosive passes test series 2 in that state (i.e. too insensitive for inclusion into in the class of explosives), there is no need to show that the phlegmatized explosive poses no mass explosion hazard acc. to test 6 (a) or 6 (b) because this is “inherently” covered/shown by passing test series 2.</w:t>
      </w:r>
    </w:p>
    <w:p w14:paraId="5EDF913C" w14:textId="4F45B3F5" w:rsidR="002B0EAC" w:rsidRDefault="002B0EAC" w:rsidP="002B0EAC">
      <w:pPr>
        <w:pStyle w:val="H1G"/>
        <w:rPr>
          <w:lang w:val="en-US"/>
        </w:rPr>
      </w:pPr>
      <w:r>
        <w:rPr>
          <w:lang w:val="en-US"/>
        </w:rPr>
        <w:tab/>
      </w:r>
      <w:r w:rsidR="005D6108">
        <w:rPr>
          <w:lang w:val="en-US"/>
        </w:rPr>
        <w:t>III</w:t>
      </w:r>
      <w:r w:rsidR="001E3D5D">
        <w:rPr>
          <w:lang w:val="en-US"/>
        </w:rPr>
        <w:t>.</w:t>
      </w:r>
      <w:r>
        <w:rPr>
          <w:lang w:val="en-US"/>
        </w:rPr>
        <w:tab/>
        <w:t xml:space="preserve">Original concern as presented in </w:t>
      </w:r>
      <w:r w:rsidRPr="00CB7308">
        <w:rPr>
          <w:lang w:val="en-US"/>
        </w:rPr>
        <w:t>ST/SG/AC.10/C.3/2021/37-ST/SG/AC.10/C.4/2021/7</w:t>
      </w:r>
    </w:p>
    <w:p w14:paraId="41D3A382" w14:textId="77777777" w:rsidR="002B0EAC" w:rsidRPr="00A828E6" w:rsidRDefault="002B0EAC" w:rsidP="002B0EAC">
      <w:pPr>
        <w:pStyle w:val="SingleTxtG"/>
        <w:tabs>
          <w:tab w:val="left" w:pos="1701"/>
        </w:tabs>
        <w:rPr>
          <w:lang w:val="en-US"/>
        </w:rPr>
      </w:pPr>
      <w:r>
        <w:rPr>
          <w:lang w:val="en-US"/>
        </w:rPr>
        <w:t>14.</w:t>
      </w:r>
      <w:r>
        <w:rPr>
          <w:lang w:val="en-US"/>
        </w:rPr>
        <w:tab/>
        <w:t xml:space="preserve">The proposal according to working document </w:t>
      </w:r>
      <w:r w:rsidRPr="00A828E6">
        <w:rPr>
          <w:lang w:val="en-US"/>
        </w:rPr>
        <w:t>ST/SG/AC.10/C.3/2021/37-ST/SG/AC.10/C.4/2021/7</w:t>
      </w:r>
      <w:r>
        <w:rPr>
          <w:lang w:val="en-US"/>
        </w:rPr>
        <w:t xml:space="preserve"> of the previous session aimed at adding a further condition that phlegmatized explosives </w:t>
      </w:r>
      <w:proofErr w:type="gramStart"/>
      <w:r>
        <w:rPr>
          <w:lang w:val="en-US"/>
        </w:rPr>
        <w:t>have to</w:t>
      </w:r>
      <w:proofErr w:type="gramEnd"/>
      <w:r>
        <w:rPr>
          <w:lang w:val="en-US"/>
        </w:rPr>
        <w:t xml:space="preserve"> fulfill in order to be accepted for classification as desensitized explosives according to Chapter 2.17. For details see specifically paragraphs 9 to 17 of </w:t>
      </w:r>
      <w:r w:rsidRPr="00A828E6">
        <w:rPr>
          <w:lang w:val="en-US"/>
        </w:rPr>
        <w:t>ST/SG/AC.10/C.3/2021/37-ST/SG/AC.10/C.4/2021/7</w:t>
      </w:r>
      <w:r>
        <w:rPr>
          <w:lang w:val="en-US"/>
        </w:rPr>
        <w:t>.</w:t>
      </w:r>
    </w:p>
    <w:p w14:paraId="6F347D9A" w14:textId="77777777" w:rsidR="002B0EAC" w:rsidRDefault="002B0EAC" w:rsidP="002B0EAC">
      <w:pPr>
        <w:pStyle w:val="SingleTxtG"/>
        <w:tabs>
          <w:tab w:val="left" w:pos="1701"/>
        </w:tabs>
        <w:rPr>
          <w:lang w:val="en-US"/>
        </w:rPr>
      </w:pPr>
      <w:r>
        <w:rPr>
          <w:lang w:val="en-US"/>
        </w:rPr>
        <w:t>15</w:t>
      </w:r>
      <w:r w:rsidRPr="00A828E6">
        <w:rPr>
          <w:lang w:val="en-US"/>
        </w:rPr>
        <w:t>.</w:t>
      </w:r>
      <w:r w:rsidRPr="00A828E6">
        <w:rPr>
          <w:lang w:val="en-US"/>
        </w:rPr>
        <w:tab/>
      </w:r>
      <w:r>
        <w:rPr>
          <w:lang w:val="en-US"/>
        </w:rPr>
        <w:t>E</w:t>
      </w:r>
      <w:r w:rsidRPr="00A828E6">
        <w:rPr>
          <w:lang w:val="en-US"/>
        </w:rPr>
        <w:t xml:space="preserve">xplosives that are too sensitive or </w:t>
      </w:r>
      <w:r>
        <w:rPr>
          <w:lang w:val="en-US"/>
        </w:rPr>
        <w:t xml:space="preserve">thermally </w:t>
      </w:r>
      <w:r w:rsidRPr="00A828E6">
        <w:rPr>
          <w:lang w:val="en-US"/>
        </w:rPr>
        <w:t xml:space="preserve">unstable according to test series 3 (as mentioned in footnote 1 in section 2.17.1.1) should at least be diluted in such a way that they are no longer too sensitive or unstable according to test series 3 </w:t>
      </w:r>
      <w:proofErr w:type="gramStart"/>
      <w:r w:rsidRPr="00A828E6">
        <w:rPr>
          <w:lang w:val="en-US"/>
        </w:rPr>
        <w:t>in order to</w:t>
      </w:r>
      <w:proofErr w:type="gramEnd"/>
      <w:r w:rsidRPr="00A828E6">
        <w:rPr>
          <w:lang w:val="en-US"/>
        </w:rPr>
        <w:t xml:space="preserve"> classify them as desensitized explosives in the sense of Chapter 2.17. </w:t>
      </w:r>
      <w:r>
        <w:rPr>
          <w:lang w:val="en-US"/>
        </w:rPr>
        <w:t>H</w:t>
      </w:r>
      <w:r w:rsidRPr="00A828E6">
        <w:rPr>
          <w:lang w:val="en-US"/>
        </w:rPr>
        <w:t xml:space="preserve">owever, </w:t>
      </w:r>
      <w:r>
        <w:rPr>
          <w:lang w:val="en-US"/>
        </w:rPr>
        <w:t xml:space="preserve">currently that </w:t>
      </w:r>
      <w:r w:rsidRPr="00A828E6">
        <w:rPr>
          <w:lang w:val="en-US"/>
        </w:rPr>
        <w:t>goes without stating it explicitly.</w:t>
      </w:r>
      <w:r>
        <w:rPr>
          <w:lang w:val="en-US"/>
        </w:rPr>
        <w:t xml:space="preserve"> This requirement (naturally) can be waived if the explosive itself is not too sensitive or thermally unstable according to test series 3. It is also not necessary if the phlegmatized explosive, in that state, has passed test series 2 (</w:t>
      </w:r>
      <w:proofErr w:type="gramStart"/>
      <w:r>
        <w:rPr>
          <w:lang w:val="en-US"/>
        </w:rPr>
        <w:t>i.e.</w:t>
      </w:r>
      <w:proofErr w:type="gramEnd"/>
      <w:r>
        <w:rPr>
          <w:lang w:val="en-US"/>
        </w:rPr>
        <w:t xml:space="preserve"> if it is too insensitive for inclusion into Chapter 2.1).</w:t>
      </w:r>
    </w:p>
    <w:p w14:paraId="4BC372CF" w14:textId="77777777" w:rsidR="002B0EAC" w:rsidRDefault="002B0EAC" w:rsidP="002B0EAC">
      <w:pPr>
        <w:pStyle w:val="SingleTxtG"/>
        <w:tabs>
          <w:tab w:val="left" w:pos="1701"/>
        </w:tabs>
        <w:rPr>
          <w:lang w:val="en-US"/>
        </w:rPr>
      </w:pPr>
      <w:bookmarkStart w:id="1" w:name="_Hlk102044128"/>
      <w:r>
        <w:rPr>
          <w:lang w:val="en-US"/>
        </w:rPr>
        <w:t>16.</w:t>
      </w:r>
      <w:r>
        <w:rPr>
          <w:lang w:val="en-US"/>
        </w:rPr>
        <w:tab/>
        <w:t>The current footnote 1 in 2.17.1.1 is then no longer necessary because it would be ensured that desensitized explosives are not too sensitive or thermally unstable in the sense of test series 3. Additionally, the according information for the SDS is covered by Section 9 in Annex 4 to the GHS.</w:t>
      </w:r>
    </w:p>
    <w:bookmarkEnd w:id="1"/>
    <w:p w14:paraId="24183E67" w14:textId="77777777" w:rsidR="002B0EAC" w:rsidRPr="00147BB9" w:rsidRDefault="002B0EAC" w:rsidP="002B0EAC">
      <w:pPr>
        <w:pStyle w:val="SingleTxtG"/>
        <w:tabs>
          <w:tab w:val="left" w:pos="1701"/>
        </w:tabs>
        <w:rPr>
          <w:lang w:val="en-US"/>
        </w:rPr>
      </w:pPr>
      <w:r w:rsidRPr="00147BB9">
        <w:rPr>
          <w:lang w:val="en-US"/>
        </w:rPr>
        <w:t>1</w:t>
      </w:r>
      <w:r>
        <w:rPr>
          <w:lang w:val="en-US"/>
        </w:rPr>
        <w:t>7.</w:t>
      </w:r>
      <w:r>
        <w:rPr>
          <w:lang w:val="en-US"/>
        </w:rPr>
        <w:tab/>
      </w:r>
      <w:r w:rsidRPr="00147BB9">
        <w:rPr>
          <w:lang w:val="en-US"/>
        </w:rPr>
        <w:t xml:space="preserve">In addition, </w:t>
      </w:r>
      <w:r>
        <w:rPr>
          <w:lang w:val="en-US"/>
        </w:rPr>
        <w:t xml:space="preserve">the </w:t>
      </w:r>
      <w:r w:rsidRPr="00147BB9">
        <w:rPr>
          <w:lang w:val="en-US"/>
        </w:rPr>
        <w:t xml:space="preserve">nitrocellulose </w:t>
      </w:r>
      <w:r>
        <w:rPr>
          <w:lang w:val="en-US"/>
        </w:rPr>
        <w:t xml:space="preserve">in nitrocellulose </w:t>
      </w:r>
      <w:r w:rsidRPr="00147BB9">
        <w:rPr>
          <w:lang w:val="en-US"/>
        </w:rPr>
        <w:t xml:space="preserve">mixtures should be stable in the sense of Appendix 10 of the Manual of Tests and Criteria </w:t>
      </w:r>
      <w:proofErr w:type="gramStart"/>
      <w:r w:rsidRPr="00147BB9">
        <w:rPr>
          <w:lang w:val="en-US"/>
        </w:rPr>
        <w:t>in order to</w:t>
      </w:r>
      <w:proofErr w:type="gramEnd"/>
      <w:r w:rsidRPr="00147BB9">
        <w:rPr>
          <w:lang w:val="en-US"/>
        </w:rPr>
        <w:t xml:space="preserve"> classify them as desensitized explosives in the sense of Chapter 2.17 of the GHS.</w:t>
      </w:r>
    </w:p>
    <w:p w14:paraId="511EA8AB" w14:textId="47C57674" w:rsidR="002B0EAC" w:rsidRPr="00E80CF6" w:rsidRDefault="002B0EAC" w:rsidP="002B0EAC">
      <w:pPr>
        <w:pStyle w:val="HChG"/>
        <w:rPr>
          <w:lang w:val="en-US"/>
        </w:rPr>
      </w:pPr>
      <w:r>
        <w:rPr>
          <w:lang w:val="en-US"/>
        </w:rPr>
        <w:tab/>
      </w:r>
      <w:r>
        <w:rPr>
          <w:lang w:val="en-US"/>
        </w:rPr>
        <w:tab/>
        <w:t xml:space="preserve">Discussion points and request </w:t>
      </w:r>
      <w:r w:rsidRPr="00E80CF6">
        <w:rPr>
          <w:lang w:val="en-US"/>
        </w:rPr>
        <w:t xml:space="preserve">to the </w:t>
      </w:r>
      <w:r w:rsidR="00677A93">
        <w:rPr>
          <w:lang w:val="en-US"/>
        </w:rPr>
        <w:t>S</w:t>
      </w:r>
      <w:r w:rsidRPr="00E80CF6">
        <w:rPr>
          <w:lang w:val="en-US"/>
        </w:rPr>
        <w:t>ub-</w:t>
      </w:r>
      <w:r w:rsidR="00677A93">
        <w:rPr>
          <w:lang w:val="en-US"/>
        </w:rPr>
        <w:t>C</w:t>
      </w:r>
      <w:r w:rsidRPr="00E80CF6">
        <w:rPr>
          <w:lang w:val="en-US"/>
        </w:rPr>
        <w:t>ommittee</w:t>
      </w:r>
    </w:p>
    <w:p w14:paraId="20398B41" w14:textId="77777777" w:rsidR="002B0EAC" w:rsidRDefault="002B0EAC" w:rsidP="002B0EAC">
      <w:pPr>
        <w:pStyle w:val="SingleTxtG"/>
        <w:tabs>
          <w:tab w:val="left" w:pos="1701"/>
        </w:tabs>
        <w:rPr>
          <w:lang w:val="en-US"/>
        </w:rPr>
      </w:pPr>
      <w:r>
        <w:rPr>
          <w:lang w:val="en-US"/>
        </w:rPr>
        <w:t>18</w:t>
      </w:r>
      <w:r w:rsidRPr="00E80CF6">
        <w:rPr>
          <w:lang w:val="en-US"/>
        </w:rPr>
        <w:t>.</w:t>
      </w:r>
      <w:r w:rsidRPr="00E80CF6">
        <w:rPr>
          <w:lang w:val="en-US"/>
        </w:rPr>
        <w:tab/>
      </w:r>
      <w:r>
        <w:rPr>
          <w:lang w:val="en-US"/>
        </w:rPr>
        <w:t>The Annex to this document shows sections 2.17.1 and 2.17.2 of the GHS with the following amendments:</w:t>
      </w:r>
    </w:p>
    <w:p w14:paraId="5A9FFC00" w14:textId="6EC48400" w:rsidR="002B0EAC" w:rsidRDefault="0070729F" w:rsidP="0070729F">
      <w:pPr>
        <w:pStyle w:val="Bullet1G"/>
        <w:numPr>
          <w:ilvl w:val="0"/>
          <w:numId w:val="0"/>
        </w:numPr>
        <w:ind w:left="2268" w:hanging="567"/>
        <w:rPr>
          <w:lang w:val="en-US"/>
        </w:rPr>
      </w:pPr>
      <w:r>
        <w:rPr>
          <w:lang w:val="en-US"/>
        </w:rPr>
        <w:t>(a)</w:t>
      </w:r>
      <w:r>
        <w:rPr>
          <w:lang w:val="en-US"/>
        </w:rPr>
        <w:tab/>
      </w:r>
      <w:r w:rsidR="002B0EAC">
        <w:rPr>
          <w:lang w:val="en-US"/>
        </w:rPr>
        <w:t xml:space="preserve">Amended wording to clearly indicate that only explosives in the sense of Chapter 2.1 that are phlegmatized are candidates for Chapter 2.17, </w:t>
      </w:r>
      <w:proofErr w:type="gramStart"/>
      <w:r w:rsidR="002B0EAC">
        <w:rPr>
          <w:lang w:val="en-US"/>
        </w:rPr>
        <w:t>i.e.</w:t>
      </w:r>
      <w:proofErr w:type="gramEnd"/>
      <w:r w:rsidR="002B0EAC">
        <w:rPr>
          <w:lang w:val="en-US"/>
        </w:rPr>
        <w:t xml:space="preserve"> that Chapter 2.17 is a derivative of Chapter 2.1 (see section 1, paragraphs 6 to 8 above);</w:t>
      </w:r>
    </w:p>
    <w:p w14:paraId="46937F77" w14:textId="31EC44D5" w:rsidR="002B0EAC" w:rsidRDefault="0070729F" w:rsidP="0070729F">
      <w:pPr>
        <w:pStyle w:val="Bullet1G"/>
        <w:numPr>
          <w:ilvl w:val="0"/>
          <w:numId w:val="0"/>
        </w:numPr>
        <w:ind w:left="2268" w:hanging="567"/>
        <w:rPr>
          <w:lang w:val="en-US"/>
        </w:rPr>
      </w:pPr>
      <w:r>
        <w:rPr>
          <w:lang w:val="en-US"/>
        </w:rPr>
        <w:t>(b)</w:t>
      </w:r>
      <w:r>
        <w:rPr>
          <w:lang w:val="en-US"/>
        </w:rPr>
        <w:tab/>
      </w:r>
      <w:r w:rsidR="002B0EAC">
        <w:rPr>
          <w:lang w:val="en-US"/>
        </w:rPr>
        <w:t>Inclusion of test series 2 as an option to show that an explosive is phlegmatized sufficiently to be accepted into Chapter 2.17 (see section 2, paragraphs 9 to 13 above</w:t>
      </w:r>
      <w:proofErr w:type="gramStart"/>
      <w:r w:rsidR="002B0EAC">
        <w:rPr>
          <w:lang w:val="en-US"/>
        </w:rPr>
        <w:t>);</w:t>
      </w:r>
      <w:proofErr w:type="gramEnd"/>
    </w:p>
    <w:p w14:paraId="238DCE8D" w14:textId="70A3F21D" w:rsidR="002B0EAC" w:rsidRDefault="0070729F" w:rsidP="0070729F">
      <w:pPr>
        <w:pStyle w:val="Bullet1G"/>
        <w:numPr>
          <w:ilvl w:val="0"/>
          <w:numId w:val="0"/>
        </w:numPr>
        <w:ind w:left="2268" w:hanging="567"/>
        <w:rPr>
          <w:lang w:val="en-US"/>
        </w:rPr>
      </w:pPr>
      <w:r>
        <w:rPr>
          <w:lang w:val="en-US"/>
        </w:rPr>
        <w:t xml:space="preserve">(c) </w:t>
      </w:r>
      <w:r>
        <w:rPr>
          <w:lang w:val="en-US"/>
        </w:rPr>
        <w:tab/>
      </w:r>
      <w:r w:rsidR="002B0EAC">
        <w:rPr>
          <w:lang w:val="en-US"/>
        </w:rPr>
        <w:t xml:space="preserve">Inclusion of conditions regarding sensitivity and thermal stability </w:t>
      </w:r>
      <w:proofErr w:type="gramStart"/>
      <w:r w:rsidR="002B0EAC">
        <w:rPr>
          <w:lang w:val="en-US"/>
        </w:rPr>
        <w:t>in order to</w:t>
      </w:r>
      <w:proofErr w:type="gramEnd"/>
      <w:r w:rsidR="002B0EAC">
        <w:rPr>
          <w:lang w:val="en-US"/>
        </w:rPr>
        <w:t xml:space="preserve"> be accepted into Chapter 2.17 (see </w:t>
      </w:r>
      <w:r>
        <w:rPr>
          <w:lang w:val="en-US"/>
        </w:rPr>
        <w:t>s</w:t>
      </w:r>
      <w:r w:rsidR="002B0EAC">
        <w:rPr>
          <w:lang w:val="en-US"/>
        </w:rPr>
        <w:t>ection 3, paragraphs 14 to 17 above).</w:t>
      </w:r>
    </w:p>
    <w:p w14:paraId="1239B44B" w14:textId="7D5E15B5" w:rsidR="002B0EAC" w:rsidRDefault="002B0EAC" w:rsidP="002B0EAC">
      <w:pPr>
        <w:pStyle w:val="SingleTxtG"/>
        <w:tabs>
          <w:tab w:val="left" w:pos="1701"/>
        </w:tabs>
        <w:rPr>
          <w:lang w:val="en-US"/>
        </w:rPr>
      </w:pPr>
      <w:r>
        <w:rPr>
          <w:lang w:val="en-US"/>
        </w:rPr>
        <w:t>19.</w:t>
      </w:r>
      <w:r>
        <w:rPr>
          <w:lang w:val="en-US"/>
        </w:rPr>
        <w:tab/>
        <w:t xml:space="preserve">The </w:t>
      </w:r>
      <w:r w:rsidR="00DF0DAA">
        <w:rPr>
          <w:lang w:val="en-US"/>
        </w:rPr>
        <w:t>S</w:t>
      </w:r>
      <w:r>
        <w:rPr>
          <w:lang w:val="en-US"/>
        </w:rPr>
        <w:t>ub-</w:t>
      </w:r>
      <w:r w:rsidR="00DF0DAA">
        <w:rPr>
          <w:lang w:val="en-US"/>
        </w:rPr>
        <w:t>C</w:t>
      </w:r>
      <w:r>
        <w:rPr>
          <w:lang w:val="en-US"/>
        </w:rPr>
        <w:t xml:space="preserve">ommittee </w:t>
      </w:r>
      <w:r w:rsidR="000C575A">
        <w:rPr>
          <w:lang w:val="en-US"/>
        </w:rPr>
        <w:t xml:space="preserve">is </w:t>
      </w:r>
      <w:r>
        <w:rPr>
          <w:lang w:val="en-US"/>
        </w:rPr>
        <w:t xml:space="preserve">invited to discuss the outlined proposal. During the previous meeting of the </w:t>
      </w:r>
      <w:r w:rsidR="00AE0C57">
        <w:rPr>
          <w:lang w:val="en-US"/>
        </w:rPr>
        <w:t xml:space="preserve">GHS </w:t>
      </w:r>
      <w:r>
        <w:rPr>
          <w:lang w:val="en-US"/>
        </w:rPr>
        <w:t xml:space="preserve">Sub-Committee, </w:t>
      </w:r>
      <w:proofErr w:type="gramStart"/>
      <w:r>
        <w:rPr>
          <w:lang w:val="en-US"/>
        </w:rPr>
        <w:t>a number of</w:t>
      </w:r>
      <w:proofErr w:type="gramEnd"/>
      <w:r>
        <w:rPr>
          <w:lang w:val="en-US"/>
        </w:rPr>
        <w:t xml:space="preserve"> experts asked that this issue should also be discussed by the Working </w:t>
      </w:r>
      <w:r w:rsidR="00AE0C57">
        <w:rPr>
          <w:lang w:val="en-US"/>
        </w:rPr>
        <w:t>G</w:t>
      </w:r>
      <w:r>
        <w:rPr>
          <w:lang w:val="en-US"/>
        </w:rPr>
        <w:t xml:space="preserve">roup on Explosives. </w:t>
      </w:r>
      <w:r w:rsidR="000C575A">
        <w:rPr>
          <w:lang w:val="en-US"/>
        </w:rPr>
        <w:t xml:space="preserve">We will share with the TDG </w:t>
      </w:r>
      <w:r w:rsidR="00C244EB">
        <w:rPr>
          <w:lang w:val="en-US"/>
        </w:rPr>
        <w:t>S</w:t>
      </w:r>
      <w:r w:rsidR="000C575A">
        <w:rPr>
          <w:lang w:val="en-US"/>
        </w:rPr>
        <w:t>ub</w:t>
      </w:r>
      <w:r w:rsidR="00C244EB">
        <w:rPr>
          <w:lang w:val="en-US"/>
        </w:rPr>
        <w:t>-C</w:t>
      </w:r>
      <w:r w:rsidR="000C575A">
        <w:rPr>
          <w:lang w:val="en-US"/>
        </w:rPr>
        <w:t xml:space="preserve">ommittee as we progress the issue. </w:t>
      </w:r>
    </w:p>
    <w:p w14:paraId="273CF02D" w14:textId="6927B4E8" w:rsidR="00410237" w:rsidRDefault="002B0EAC" w:rsidP="002B0EAC">
      <w:pPr>
        <w:pStyle w:val="SingleTxtG"/>
        <w:tabs>
          <w:tab w:val="left" w:pos="1701"/>
        </w:tabs>
        <w:rPr>
          <w:lang w:val="en-US"/>
        </w:rPr>
      </w:pPr>
      <w:r>
        <w:rPr>
          <w:lang w:val="en-US"/>
        </w:rPr>
        <w:lastRenderedPageBreak/>
        <w:t>20.</w:t>
      </w:r>
      <w:r>
        <w:rPr>
          <w:lang w:val="en-US"/>
        </w:rPr>
        <w:tab/>
        <w:t xml:space="preserve">Based on the feedback received, the experts from Germany and the United States of America would follow-up as appropriate and prepare a working document for the next session of the </w:t>
      </w:r>
      <w:r w:rsidR="00AE0C57">
        <w:rPr>
          <w:lang w:val="en-US"/>
        </w:rPr>
        <w:t>s</w:t>
      </w:r>
      <w:r>
        <w:rPr>
          <w:lang w:val="en-US"/>
        </w:rPr>
        <w:t>ub-</w:t>
      </w:r>
      <w:r w:rsidR="00AE0C57">
        <w:rPr>
          <w:lang w:val="en-US"/>
        </w:rPr>
        <w:t>c</w:t>
      </w:r>
      <w:r>
        <w:rPr>
          <w:lang w:val="en-US"/>
        </w:rPr>
        <w:t>ommittees.</w:t>
      </w:r>
    </w:p>
    <w:p w14:paraId="30DCC3E2" w14:textId="77777777" w:rsidR="00410237" w:rsidRDefault="00410237" w:rsidP="002B0EAC">
      <w:pPr>
        <w:pStyle w:val="SingleTxtG"/>
        <w:tabs>
          <w:tab w:val="left" w:pos="1701"/>
        </w:tabs>
        <w:rPr>
          <w:lang w:val="en-US"/>
        </w:rPr>
      </w:pPr>
    </w:p>
    <w:p w14:paraId="41771B86" w14:textId="77777777" w:rsidR="00410237" w:rsidRDefault="00410237" w:rsidP="002B0EAC">
      <w:pPr>
        <w:pStyle w:val="SingleTxtG"/>
        <w:tabs>
          <w:tab w:val="left" w:pos="1701"/>
        </w:tabs>
        <w:rPr>
          <w:lang w:val="en-US"/>
        </w:rPr>
      </w:pPr>
    </w:p>
    <w:p w14:paraId="5379CD84" w14:textId="77777777" w:rsidR="00410237" w:rsidRDefault="00410237" w:rsidP="002B0EAC">
      <w:pPr>
        <w:pStyle w:val="SingleTxtG"/>
        <w:tabs>
          <w:tab w:val="left" w:pos="1701"/>
        </w:tabs>
        <w:rPr>
          <w:lang w:val="en-US"/>
        </w:rPr>
      </w:pPr>
    </w:p>
    <w:p w14:paraId="4AC65625" w14:textId="1167BAE6" w:rsidR="002B0EAC" w:rsidRDefault="002B0EAC" w:rsidP="002B0EAC">
      <w:pPr>
        <w:pStyle w:val="SingleTxtG"/>
        <w:tabs>
          <w:tab w:val="left" w:pos="1701"/>
        </w:tabs>
        <w:rPr>
          <w:lang w:val="en-US"/>
        </w:rPr>
      </w:pPr>
      <w:r>
        <w:rPr>
          <w:lang w:val="en-US"/>
        </w:rPr>
        <w:br w:type="page"/>
      </w:r>
    </w:p>
    <w:p w14:paraId="3673E01A" w14:textId="61027387" w:rsidR="00410237" w:rsidRDefault="00AE0C57" w:rsidP="002B0EAC">
      <w:pPr>
        <w:pStyle w:val="HChG"/>
        <w:tabs>
          <w:tab w:val="clear" w:pos="851"/>
          <w:tab w:val="left" w:pos="1134"/>
        </w:tabs>
        <w:rPr>
          <w:lang w:val="en-US"/>
        </w:rPr>
      </w:pPr>
      <w:r>
        <w:rPr>
          <w:lang w:val="en-US"/>
        </w:rPr>
        <w:lastRenderedPageBreak/>
        <w:tab/>
      </w:r>
      <w:r w:rsidR="002B0EAC">
        <w:rPr>
          <w:lang w:val="en-US"/>
        </w:rPr>
        <w:t>Annex</w:t>
      </w:r>
      <w:r w:rsidR="002B0EAC">
        <w:rPr>
          <w:lang w:val="en-US"/>
        </w:rPr>
        <w:tab/>
      </w:r>
    </w:p>
    <w:p w14:paraId="35E3AC6C" w14:textId="1669195F" w:rsidR="002B0EAC" w:rsidRDefault="00410237" w:rsidP="002B0EAC">
      <w:pPr>
        <w:pStyle w:val="HChG"/>
        <w:tabs>
          <w:tab w:val="clear" w:pos="851"/>
          <w:tab w:val="left" w:pos="1134"/>
        </w:tabs>
        <w:rPr>
          <w:lang w:val="en-US"/>
        </w:rPr>
      </w:pPr>
      <w:r>
        <w:rPr>
          <w:lang w:val="en-US"/>
        </w:rPr>
        <w:tab/>
      </w:r>
      <w:r w:rsidR="002B0EAC">
        <w:rPr>
          <w:lang w:val="en-US"/>
        </w:rPr>
        <w:t>Amended</w:t>
      </w:r>
      <w:r w:rsidR="002B0EAC" w:rsidRPr="00B7339C">
        <w:rPr>
          <w:lang w:val="en-US"/>
        </w:rPr>
        <w:t xml:space="preserve"> sections 2.17.1 </w:t>
      </w:r>
      <w:r w:rsidR="002B0EAC">
        <w:rPr>
          <w:lang w:val="en-US"/>
        </w:rPr>
        <w:t>to</w:t>
      </w:r>
      <w:r w:rsidR="002B0EAC" w:rsidRPr="00B7339C">
        <w:rPr>
          <w:lang w:val="en-US"/>
        </w:rPr>
        <w:t xml:space="preserve"> 2.17.2 of Chapter 2.17 of the GHS</w:t>
      </w:r>
    </w:p>
    <w:p w14:paraId="7A5A830C" w14:textId="75F5D282" w:rsidR="002B0EAC" w:rsidRPr="00C004ED" w:rsidRDefault="002B0EAC" w:rsidP="00894282">
      <w:pPr>
        <w:pStyle w:val="SingleTxtG"/>
        <w:tabs>
          <w:tab w:val="left" w:pos="1701"/>
        </w:tabs>
        <w:jc w:val="left"/>
        <w:rPr>
          <w:i/>
          <w:iCs/>
          <w:color w:val="000000" w:themeColor="text1"/>
          <w:lang w:val="en-US"/>
        </w:rPr>
      </w:pPr>
      <w:r w:rsidRPr="00C004ED">
        <w:rPr>
          <w:i/>
          <w:iCs/>
          <w:color w:val="000000" w:themeColor="text1"/>
          <w:lang w:val="en-US"/>
        </w:rPr>
        <w:t>(Explanatory remarks are in brackets.</w:t>
      </w:r>
      <w:r w:rsidR="00031558" w:rsidRPr="00C004ED">
        <w:rPr>
          <w:i/>
          <w:iCs/>
          <w:color w:val="000000" w:themeColor="text1"/>
          <w:lang w:val="en-US"/>
        </w:rPr>
        <w:t xml:space="preserve"> </w:t>
      </w:r>
      <w:r w:rsidRPr="00C004ED">
        <w:rPr>
          <w:i/>
          <w:iCs/>
          <w:color w:val="000000" w:themeColor="text1"/>
          <w:lang w:val="en-US"/>
        </w:rPr>
        <w:t>(Amendments compared to the current text are shown as follows: additions are underlined, deletions in strikethrough.)</w:t>
      </w:r>
    </w:p>
    <w:p w14:paraId="7D625F10" w14:textId="318170B0" w:rsidR="002B0EAC" w:rsidRPr="001C5C76" w:rsidRDefault="002B0EAC" w:rsidP="00031558">
      <w:pPr>
        <w:pStyle w:val="SingleTxtG"/>
        <w:tabs>
          <w:tab w:val="left" w:pos="1134"/>
        </w:tabs>
        <w:rPr>
          <w:b/>
          <w:bCs/>
          <w:lang w:val="en-US"/>
        </w:rPr>
      </w:pPr>
      <w:r w:rsidRPr="001C5C76">
        <w:rPr>
          <w:b/>
          <w:bCs/>
          <w:lang w:val="en-US"/>
        </w:rPr>
        <w:t>2.17.1</w:t>
      </w:r>
      <w:r>
        <w:rPr>
          <w:b/>
          <w:bCs/>
          <w:lang w:val="en-US"/>
        </w:rPr>
        <w:tab/>
      </w:r>
      <w:r w:rsidRPr="001C5C76">
        <w:rPr>
          <w:b/>
          <w:bCs/>
          <w:lang w:val="en-US"/>
        </w:rPr>
        <w:t>Definitions and general considerations</w:t>
      </w:r>
    </w:p>
    <w:p w14:paraId="41E5E4D2" w14:textId="77777777" w:rsidR="002B0EAC" w:rsidRDefault="002B0EAC" w:rsidP="00031558">
      <w:pPr>
        <w:pStyle w:val="SingleTxtG"/>
        <w:tabs>
          <w:tab w:val="left" w:pos="1134"/>
        </w:tabs>
        <w:rPr>
          <w:strike/>
          <w:vertAlign w:val="superscript"/>
          <w:lang w:val="en-US"/>
        </w:rPr>
      </w:pPr>
      <w:r w:rsidRPr="00FB0E0F">
        <w:rPr>
          <w:lang w:val="en-US"/>
        </w:rPr>
        <w:t>2.17.1.1</w:t>
      </w:r>
      <w:r>
        <w:rPr>
          <w:lang w:val="en-US"/>
        </w:rPr>
        <w:tab/>
      </w:r>
      <w:r w:rsidRPr="00FB0E0F">
        <w:rPr>
          <w:lang w:val="en-US"/>
        </w:rPr>
        <w:t xml:space="preserve">Desensitized explosives are </w:t>
      </w:r>
      <w:r w:rsidRPr="00675086">
        <w:rPr>
          <w:u w:val="single"/>
          <w:lang w:val="en-US"/>
        </w:rPr>
        <w:t>substances and mixtures in the scope of Chapter 2.1</w:t>
      </w:r>
      <w:r>
        <w:rPr>
          <w:lang w:val="en-US"/>
        </w:rPr>
        <w:t xml:space="preserve"> </w:t>
      </w:r>
      <w:r w:rsidRPr="00675086">
        <w:rPr>
          <w:strike/>
          <w:lang w:val="en-US"/>
        </w:rPr>
        <w:t>solid or liquid explosive substances or mixtures</w:t>
      </w:r>
      <w:r>
        <w:rPr>
          <w:lang w:val="en-US"/>
        </w:rPr>
        <w:t xml:space="preserve"> which</w:t>
      </w:r>
      <w:r w:rsidRPr="00FB0E0F">
        <w:rPr>
          <w:lang w:val="en-US"/>
        </w:rPr>
        <w:t xml:space="preserve"> are phlegmatized to</w:t>
      </w:r>
      <w:r>
        <w:rPr>
          <w:lang w:val="en-US"/>
        </w:rPr>
        <w:t xml:space="preserve"> </w:t>
      </w:r>
      <w:r w:rsidRPr="00FB0E0F">
        <w:rPr>
          <w:lang w:val="en-US"/>
        </w:rPr>
        <w:t xml:space="preserve">suppress their explosive </w:t>
      </w:r>
      <w:r w:rsidRPr="004D5F74">
        <w:rPr>
          <w:lang w:val="en-US"/>
        </w:rPr>
        <w:t xml:space="preserve">properties </w:t>
      </w:r>
      <w:r>
        <w:rPr>
          <w:lang w:val="en-US"/>
        </w:rPr>
        <w:t xml:space="preserve">in such a manner that they </w:t>
      </w:r>
      <w:r w:rsidRPr="00CB5C1B">
        <w:rPr>
          <w:u w:val="single"/>
          <w:lang w:val="en-US"/>
        </w:rPr>
        <w:t xml:space="preserve">meet the criteria as specified in section 2.17.2 and thus </w:t>
      </w:r>
      <w:r w:rsidRPr="00CB5C1B">
        <w:rPr>
          <w:strike/>
          <w:lang w:val="en-US"/>
        </w:rPr>
        <w:t>do not mass explode and do not burn too rapidly and therefore</w:t>
      </w:r>
      <w:r>
        <w:rPr>
          <w:lang w:val="en-US"/>
        </w:rPr>
        <w:t xml:space="preserve"> may be exempted from the hazard class “Explosives”</w:t>
      </w:r>
      <w:r w:rsidRPr="00FB0E0F">
        <w:rPr>
          <w:lang w:val="en-US"/>
        </w:rPr>
        <w:t xml:space="preserve"> (Chapter 2.1; see paragraph 2.1.</w:t>
      </w:r>
      <w:r>
        <w:rPr>
          <w:lang w:val="en-US"/>
        </w:rPr>
        <w:t>1.</w:t>
      </w:r>
      <w:r w:rsidRPr="00FB0E0F">
        <w:rPr>
          <w:lang w:val="en-US"/>
        </w:rPr>
        <w:t>2.2).</w:t>
      </w:r>
      <w:r w:rsidRPr="00CB286B">
        <w:rPr>
          <w:strike/>
          <w:vertAlign w:val="superscript"/>
          <w:lang w:val="en-US"/>
        </w:rPr>
        <w:t>1</w:t>
      </w:r>
    </w:p>
    <w:p w14:paraId="2B881772" w14:textId="77777777" w:rsidR="002B0EAC" w:rsidRPr="00FB0E0F" w:rsidRDefault="002B0EAC" w:rsidP="00031558">
      <w:pPr>
        <w:pStyle w:val="SingleTxtG"/>
        <w:tabs>
          <w:tab w:val="left" w:pos="1134"/>
        </w:tabs>
        <w:rPr>
          <w:lang w:val="en-US"/>
        </w:rPr>
      </w:pPr>
      <w:r w:rsidRPr="00FB0E0F">
        <w:rPr>
          <w:lang w:val="en-US"/>
        </w:rPr>
        <w:t>2.17.1.2</w:t>
      </w:r>
      <w:r>
        <w:rPr>
          <w:lang w:val="en-US"/>
        </w:rPr>
        <w:tab/>
      </w:r>
      <w:r w:rsidRPr="00FB0E0F">
        <w:rPr>
          <w:lang w:val="en-US"/>
        </w:rPr>
        <w:t>The class of desensitized explosives comprises:</w:t>
      </w:r>
    </w:p>
    <w:p w14:paraId="1EF82B03" w14:textId="77777777" w:rsidR="002B0EAC" w:rsidRPr="00FB0E0F" w:rsidRDefault="002B0EAC" w:rsidP="00031558">
      <w:pPr>
        <w:suppressAutoHyphens w:val="0"/>
        <w:kinsoku w:val="0"/>
        <w:overflowPunct w:val="0"/>
        <w:autoSpaceDE w:val="0"/>
        <w:autoSpaceDN w:val="0"/>
        <w:adjustRightInd w:val="0"/>
        <w:snapToGrid w:val="0"/>
        <w:spacing w:after="120" w:line="264" w:lineRule="auto"/>
        <w:ind w:left="2835" w:right="1134" w:hanging="567"/>
        <w:jc w:val="both"/>
        <w:rPr>
          <w:lang w:val="en-US"/>
        </w:rPr>
      </w:pPr>
      <w:r w:rsidRPr="00FB0E0F">
        <w:rPr>
          <w:lang w:val="en-US"/>
        </w:rPr>
        <w:t>(a)</w:t>
      </w:r>
      <w:r>
        <w:rPr>
          <w:lang w:val="en-US"/>
        </w:rPr>
        <w:tab/>
      </w:r>
      <w:r w:rsidRPr="00FB0E0F">
        <w:rPr>
          <w:lang w:val="en-US"/>
        </w:rPr>
        <w:t xml:space="preserve">Solid desensitized explosives: </w:t>
      </w:r>
      <w:r w:rsidRPr="002F3475">
        <w:rPr>
          <w:lang w:val="en-US"/>
        </w:rPr>
        <w:t>explosive substances or mixtures which</w:t>
      </w:r>
      <w:r w:rsidRPr="00FB0E0F">
        <w:rPr>
          <w:lang w:val="en-US"/>
        </w:rPr>
        <w:t xml:space="preserve"> are wetted with water or</w:t>
      </w:r>
      <w:r>
        <w:rPr>
          <w:lang w:val="en-US"/>
        </w:rPr>
        <w:t xml:space="preserve"> </w:t>
      </w:r>
      <w:r w:rsidRPr="00FB0E0F">
        <w:rPr>
          <w:lang w:val="en-US"/>
        </w:rPr>
        <w:t>alcohols or are diluted with other substances, to form a homogeneous solid mixture to suppress</w:t>
      </w:r>
      <w:r>
        <w:rPr>
          <w:lang w:val="en-US"/>
        </w:rPr>
        <w:t xml:space="preserve"> </w:t>
      </w:r>
      <w:r w:rsidRPr="00FB0E0F">
        <w:rPr>
          <w:lang w:val="en-US"/>
        </w:rPr>
        <w:t>their explosive properties.</w:t>
      </w:r>
    </w:p>
    <w:p w14:paraId="3196C737" w14:textId="77777777" w:rsidR="002B0EAC" w:rsidRPr="004D5F74" w:rsidRDefault="002B0EAC" w:rsidP="00031558">
      <w:pPr>
        <w:suppressAutoHyphens w:val="0"/>
        <w:kinsoku w:val="0"/>
        <w:overflowPunct w:val="0"/>
        <w:autoSpaceDE w:val="0"/>
        <w:autoSpaceDN w:val="0"/>
        <w:adjustRightInd w:val="0"/>
        <w:snapToGrid w:val="0"/>
        <w:spacing w:after="120" w:line="264" w:lineRule="auto"/>
        <w:ind w:left="2835" w:right="1134" w:hanging="567"/>
        <w:jc w:val="both"/>
        <w:rPr>
          <w:i/>
          <w:iCs/>
          <w:lang w:val="en-US"/>
        </w:rPr>
      </w:pPr>
      <w:r>
        <w:rPr>
          <w:lang w:val="en-US"/>
        </w:rPr>
        <w:tab/>
      </w:r>
      <w:r w:rsidRPr="004D5F74">
        <w:rPr>
          <w:i/>
          <w:iCs/>
          <w:lang w:val="en-US"/>
        </w:rPr>
        <w:t>NOTE: This includes desensitization achieved by formation of hydrates of the substances.</w:t>
      </w:r>
    </w:p>
    <w:p w14:paraId="00655A82" w14:textId="77777777" w:rsidR="002B0EAC" w:rsidRPr="00FB0E0F" w:rsidRDefault="002B0EAC" w:rsidP="00031558">
      <w:pPr>
        <w:suppressAutoHyphens w:val="0"/>
        <w:kinsoku w:val="0"/>
        <w:overflowPunct w:val="0"/>
        <w:autoSpaceDE w:val="0"/>
        <w:autoSpaceDN w:val="0"/>
        <w:adjustRightInd w:val="0"/>
        <w:snapToGrid w:val="0"/>
        <w:spacing w:after="120" w:line="264" w:lineRule="auto"/>
        <w:ind w:left="2835" w:right="1134" w:hanging="567"/>
        <w:jc w:val="both"/>
        <w:rPr>
          <w:lang w:val="en-US"/>
        </w:rPr>
      </w:pPr>
      <w:r w:rsidRPr="00FB0E0F">
        <w:rPr>
          <w:lang w:val="en-US"/>
        </w:rPr>
        <w:t>(b)</w:t>
      </w:r>
      <w:r>
        <w:rPr>
          <w:lang w:val="en-US"/>
        </w:rPr>
        <w:tab/>
      </w:r>
      <w:r w:rsidRPr="00FB0E0F">
        <w:rPr>
          <w:lang w:val="en-US"/>
        </w:rPr>
        <w:t xml:space="preserve">Liquid desensitized explosives: </w:t>
      </w:r>
      <w:r w:rsidRPr="002F3475">
        <w:rPr>
          <w:lang w:val="en-US"/>
        </w:rPr>
        <w:t>explosive substances or mixtures which</w:t>
      </w:r>
      <w:r w:rsidRPr="00FB0E0F">
        <w:rPr>
          <w:lang w:val="en-US"/>
        </w:rPr>
        <w:t xml:space="preserve"> are dissolved or</w:t>
      </w:r>
      <w:r>
        <w:rPr>
          <w:lang w:val="en-US"/>
        </w:rPr>
        <w:t xml:space="preserve"> </w:t>
      </w:r>
      <w:r w:rsidRPr="00FB0E0F">
        <w:rPr>
          <w:lang w:val="en-US"/>
        </w:rPr>
        <w:t>suspended in water or other liquid substances, to form a homogeneous liquid mixture to suppress</w:t>
      </w:r>
      <w:r>
        <w:rPr>
          <w:lang w:val="en-US"/>
        </w:rPr>
        <w:t xml:space="preserve"> </w:t>
      </w:r>
      <w:r w:rsidRPr="00FB0E0F">
        <w:rPr>
          <w:lang w:val="en-US"/>
        </w:rPr>
        <w:t>their explosive properties.</w:t>
      </w:r>
    </w:p>
    <w:p w14:paraId="4B4DD251" w14:textId="77777777" w:rsidR="002B0EAC" w:rsidRDefault="002B0EAC" w:rsidP="00031558">
      <w:pPr>
        <w:pStyle w:val="SingleTxtG"/>
        <w:tabs>
          <w:tab w:val="left" w:pos="1134"/>
        </w:tabs>
        <w:rPr>
          <w:b/>
          <w:bCs/>
          <w:lang w:val="en-US"/>
        </w:rPr>
      </w:pPr>
      <w:r w:rsidRPr="001C5C76">
        <w:rPr>
          <w:b/>
          <w:bCs/>
          <w:lang w:val="en-US"/>
        </w:rPr>
        <w:t>2.17.2</w:t>
      </w:r>
      <w:r>
        <w:rPr>
          <w:b/>
          <w:bCs/>
          <w:lang w:val="en-US"/>
        </w:rPr>
        <w:tab/>
      </w:r>
      <w:r w:rsidRPr="001C5C76">
        <w:rPr>
          <w:b/>
          <w:bCs/>
          <w:lang w:val="en-US"/>
        </w:rPr>
        <w:t>Classification criteria</w:t>
      </w:r>
    </w:p>
    <w:p w14:paraId="038A43E6" w14:textId="77777777" w:rsidR="002B0EAC" w:rsidRPr="00C004ED" w:rsidRDefault="002B0EAC" w:rsidP="00031558">
      <w:pPr>
        <w:pStyle w:val="SingleTxtG"/>
        <w:tabs>
          <w:tab w:val="left" w:pos="1134"/>
        </w:tabs>
        <w:rPr>
          <w:b/>
          <w:bCs/>
          <w:i/>
          <w:iCs/>
          <w:lang w:val="en-US"/>
        </w:rPr>
      </w:pPr>
      <w:r w:rsidRPr="00C004ED">
        <w:rPr>
          <w:i/>
          <w:iCs/>
          <w:lang w:val="en-US"/>
        </w:rPr>
        <w:t xml:space="preserve">(As opposed to the current text (which works with “unless”) it is suggested to word the text “positively”, </w:t>
      </w:r>
      <w:proofErr w:type="gramStart"/>
      <w:r w:rsidRPr="00C004ED">
        <w:rPr>
          <w:i/>
          <w:iCs/>
          <w:lang w:val="en-US"/>
        </w:rPr>
        <w:t>i.e.</w:t>
      </w:r>
      <w:proofErr w:type="gramEnd"/>
      <w:r w:rsidRPr="00C004ED">
        <w:rPr>
          <w:i/>
          <w:iCs/>
          <w:lang w:val="en-US"/>
        </w:rPr>
        <w:t xml:space="preserve"> list the conditions that have to be met.)</w:t>
      </w:r>
    </w:p>
    <w:p w14:paraId="6A5B8194" w14:textId="77777777" w:rsidR="002B0EAC" w:rsidRPr="005C42B0" w:rsidRDefault="002B0EAC" w:rsidP="00031558">
      <w:pPr>
        <w:pStyle w:val="SingleTxtG"/>
        <w:tabs>
          <w:tab w:val="left" w:pos="1134"/>
        </w:tabs>
        <w:rPr>
          <w:u w:val="single"/>
          <w:lang w:val="en-US"/>
        </w:rPr>
      </w:pPr>
      <w:r w:rsidRPr="005C42B0">
        <w:rPr>
          <w:u w:val="single"/>
          <w:lang w:val="en-US"/>
        </w:rPr>
        <w:t>2.17.2.1</w:t>
      </w:r>
      <w:r w:rsidRPr="005C42B0">
        <w:rPr>
          <w:u w:val="single"/>
          <w:lang w:val="en-US"/>
        </w:rPr>
        <w:tab/>
        <w:t>An explosive which is phlegmatized should be considered in this class if, in that state, the exothermic decomposition energy is ≥ 300 J/g.</w:t>
      </w:r>
    </w:p>
    <w:p w14:paraId="5386FF5A" w14:textId="77777777" w:rsidR="002B0EAC" w:rsidRPr="005C42B0" w:rsidRDefault="002B0EAC" w:rsidP="00031558">
      <w:pPr>
        <w:pStyle w:val="SingleTxtG"/>
        <w:rPr>
          <w:i/>
          <w:iCs/>
          <w:u w:val="single"/>
          <w:lang w:val="en-US"/>
        </w:rPr>
      </w:pPr>
      <w:r w:rsidRPr="00073FC2">
        <w:rPr>
          <w:b/>
          <w:bCs/>
          <w:i/>
          <w:iCs/>
          <w:u w:val="single"/>
          <w:lang w:val="en-US"/>
        </w:rPr>
        <w:t>NOTE 1:</w:t>
      </w:r>
      <w:r w:rsidRPr="001C701A">
        <w:rPr>
          <w:i/>
          <w:iCs/>
          <w:u w:val="single"/>
          <w:lang w:val="en-US"/>
        </w:rPr>
        <w:tab/>
      </w:r>
      <w:r w:rsidRPr="005C42B0">
        <w:rPr>
          <w:i/>
          <w:iCs/>
          <w:u w:val="single"/>
          <w:lang w:val="en-US"/>
        </w:rPr>
        <w:t>The exothermic decomposition energy may be estimated using a suitable calorimetric technique (see section 20, sub-section 20.3.3.3 in Part II of the Manual of Tests and Criteria).</w:t>
      </w:r>
    </w:p>
    <w:p w14:paraId="7CFF11CF" w14:textId="77777777" w:rsidR="002B0EAC" w:rsidRPr="005C42B0" w:rsidRDefault="002B0EAC" w:rsidP="00031558">
      <w:pPr>
        <w:pStyle w:val="SingleTxtG"/>
        <w:rPr>
          <w:i/>
          <w:iCs/>
          <w:u w:val="single"/>
          <w:lang w:val="en-US"/>
        </w:rPr>
      </w:pPr>
      <w:r w:rsidRPr="00073FC2">
        <w:rPr>
          <w:b/>
          <w:bCs/>
          <w:i/>
          <w:iCs/>
          <w:u w:val="single"/>
          <w:lang w:val="en-US"/>
        </w:rPr>
        <w:t>NOTE 2:</w:t>
      </w:r>
      <w:r w:rsidRPr="001C701A">
        <w:rPr>
          <w:i/>
          <w:iCs/>
          <w:u w:val="single"/>
          <w:lang w:val="en-US"/>
        </w:rPr>
        <w:tab/>
      </w:r>
      <w:r w:rsidRPr="005C42B0">
        <w:rPr>
          <w:i/>
          <w:iCs/>
          <w:u w:val="single"/>
          <w:lang w:val="en-US"/>
        </w:rPr>
        <w:t>Substances and mixtures with an exothermic decomposition energy &lt; 300 J/g should be considered for other physical hazard classes (</w:t>
      </w:r>
      <w:proofErr w:type="gramStart"/>
      <w:r w:rsidRPr="005C42B0">
        <w:rPr>
          <w:i/>
          <w:iCs/>
          <w:u w:val="single"/>
          <w:lang w:val="en-US"/>
        </w:rPr>
        <w:t>e.g.</w:t>
      </w:r>
      <w:proofErr w:type="gramEnd"/>
      <w:r w:rsidRPr="005C42B0">
        <w:rPr>
          <w:i/>
          <w:iCs/>
          <w:u w:val="single"/>
          <w:lang w:val="en-US"/>
        </w:rPr>
        <w:t xml:space="preserve"> as flammable liquids or flammable solids).</w:t>
      </w:r>
    </w:p>
    <w:p w14:paraId="605B248A" w14:textId="77777777" w:rsidR="002B0EAC" w:rsidRPr="005C42B0" w:rsidRDefault="002B0EAC" w:rsidP="00031558">
      <w:pPr>
        <w:pStyle w:val="SingleTxtG"/>
        <w:tabs>
          <w:tab w:val="left" w:pos="1134"/>
        </w:tabs>
        <w:rPr>
          <w:u w:val="single"/>
          <w:lang w:val="en-US"/>
        </w:rPr>
      </w:pPr>
      <w:r w:rsidRPr="005C42B0">
        <w:rPr>
          <w:u w:val="single"/>
          <w:lang w:val="en-US"/>
        </w:rPr>
        <w:t>2.17.2.2</w:t>
      </w:r>
      <w:r w:rsidRPr="005C42B0">
        <w:rPr>
          <w:u w:val="single"/>
          <w:lang w:val="en-US"/>
        </w:rPr>
        <w:tab/>
        <w:t xml:space="preserve">An explosive which is phlegmatized should be considered in this class if, in that state, </w:t>
      </w:r>
      <w:r>
        <w:rPr>
          <w:u w:val="single"/>
          <w:lang w:val="en-US"/>
        </w:rPr>
        <w:t xml:space="preserve">it meets the </w:t>
      </w:r>
      <w:r w:rsidRPr="005C42B0">
        <w:rPr>
          <w:u w:val="single"/>
          <w:lang w:val="en-US"/>
        </w:rPr>
        <w:t>following criteria:</w:t>
      </w:r>
    </w:p>
    <w:p w14:paraId="2395A32B" w14:textId="77777777" w:rsidR="002B0EAC" w:rsidRPr="005C42B0" w:rsidRDefault="002B0EAC" w:rsidP="00031558">
      <w:pPr>
        <w:tabs>
          <w:tab w:val="left" w:pos="1560"/>
        </w:tabs>
        <w:suppressAutoHyphens w:val="0"/>
        <w:kinsoku w:val="0"/>
        <w:overflowPunct w:val="0"/>
        <w:autoSpaceDE w:val="0"/>
        <w:autoSpaceDN w:val="0"/>
        <w:adjustRightInd w:val="0"/>
        <w:snapToGrid w:val="0"/>
        <w:spacing w:after="120" w:line="264" w:lineRule="auto"/>
        <w:ind w:left="2835" w:right="1134" w:hanging="567"/>
        <w:jc w:val="both"/>
        <w:rPr>
          <w:u w:val="single"/>
          <w:lang w:val="en-US"/>
        </w:rPr>
      </w:pPr>
      <w:r w:rsidRPr="005C42B0">
        <w:rPr>
          <w:u w:val="single"/>
          <w:lang w:val="en-US"/>
        </w:rPr>
        <w:t>(a)</w:t>
      </w:r>
      <w:r w:rsidRPr="005C42B0">
        <w:rPr>
          <w:u w:val="single"/>
          <w:lang w:val="en-US"/>
        </w:rPr>
        <w:tab/>
        <w:t>It is not intended to produce a practical explosive or pyrotechnic effect; and</w:t>
      </w:r>
    </w:p>
    <w:p w14:paraId="3EA164B7" w14:textId="77777777" w:rsidR="002B0EAC" w:rsidRPr="005C42B0" w:rsidRDefault="002B0EAC" w:rsidP="00031558">
      <w:pPr>
        <w:tabs>
          <w:tab w:val="left" w:pos="1560"/>
        </w:tabs>
        <w:suppressAutoHyphens w:val="0"/>
        <w:kinsoku w:val="0"/>
        <w:overflowPunct w:val="0"/>
        <w:autoSpaceDE w:val="0"/>
        <w:autoSpaceDN w:val="0"/>
        <w:adjustRightInd w:val="0"/>
        <w:snapToGrid w:val="0"/>
        <w:spacing w:after="120" w:line="264" w:lineRule="auto"/>
        <w:ind w:left="2835" w:right="1134" w:hanging="567"/>
        <w:jc w:val="both"/>
        <w:rPr>
          <w:u w:val="single"/>
          <w:lang w:val="en-US"/>
        </w:rPr>
      </w:pPr>
      <w:r w:rsidRPr="005C42B0">
        <w:rPr>
          <w:u w:val="single"/>
          <w:lang w:val="en-US"/>
        </w:rPr>
        <w:t>(b)</w:t>
      </w:r>
      <w:r w:rsidRPr="005C42B0">
        <w:rPr>
          <w:u w:val="single"/>
          <w:lang w:val="en-US"/>
        </w:rPr>
        <w:tab/>
        <w:t>it is phlegmatized to an extent that,</w:t>
      </w:r>
    </w:p>
    <w:p w14:paraId="50A18DE1" w14:textId="77777777" w:rsidR="002B0EAC" w:rsidRPr="005C42B0" w:rsidRDefault="002B0EAC" w:rsidP="00031558">
      <w:pPr>
        <w:tabs>
          <w:tab w:val="left" w:pos="1985"/>
        </w:tabs>
        <w:suppressAutoHyphens w:val="0"/>
        <w:kinsoku w:val="0"/>
        <w:overflowPunct w:val="0"/>
        <w:autoSpaceDE w:val="0"/>
        <w:autoSpaceDN w:val="0"/>
        <w:adjustRightInd w:val="0"/>
        <w:snapToGrid w:val="0"/>
        <w:spacing w:after="120" w:line="264" w:lineRule="auto"/>
        <w:ind w:left="3261" w:right="1134" w:hanging="426"/>
        <w:jc w:val="both"/>
        <w:rPr>
          <w:u w:val="single"/>
          <w:lang w:val="en-US"/>
        </w:rPr>
      </w:pPr>
      <w:r w:rsidRPr="005C42B0">
        <w:rPr>
          <w:u w:val="single"/>
          <w:lang w:val="en-US"/>
        </w:rPr>
        <w:t>(i)</w:t>
      </w:r>
      <w:r w:rsidRPr="005C42B0">
        <w:rPr>
          <w:u w:val="single"/>
          <w:lang w:val="en-US"/>
        </w:rPr>
        <w:tab/>
        <w:t xml:space="preserve">it has no mass explosion hazard according to test 6 (a) or 6 (b) of the </w:t>
      </w:r>
      <w:r w:rsidRPr="005C42B0">
        <w:rPr>
          <w:i/>
          <w:iCs/>
          <w:u w:val="single"/>
          <w:lang w:val="en-US"/>
        </w:rPr>
        <w:t>Manual of Tests and Criteria</w:t>
      </w:r>
      <w:r w:rsidRPr="005C42B0">
        <w:rPr>
          <w:u w:val="single"/>
          <w:lang w:val="en-US"/>
        </w:rPr>
        <w:t>; and</w:t>
      </w:r>
    </w:p>
    <w:p w14:paraId="60CCE2ED" w14:textId="77777777" w:rsidR="002B0EAC" w:rsidRPr="005C42B0" w:rsidRDefault="002B0EAC" w:rsidP="00031558">
      <w:pPr>
        <w:tabs>
          <w:tab w:val="left" w:pos="1985"/>
        </w:tabs>
        <w:suppressAutoHyphens w:val="0"/>
        <w:kinsoku w:val="0"/>
        <w:overflowPunct w:val="0"/>
        <w:autoSpaceDE w:val="0"/>
        <w:autoSpaceDN w:val="0"/>
        <w:adjustRightInd w:val="0"/>
        <w:snapToGrid w:val="0"/>
        <w:spacing w:after="120" w:line="264" w:lineRule="auto"/>
        <w:ind w:left="3261" w:right="1134" w:hanging="426"/>
        <w:jc w:val="both"/>
        <w:rPr>
          <w:u w:val="single"/>
          <w:lang w:val="en-US"/>
        </w:rPr>
      </w:pPr>
      <w:r w:rsidRPr="005C42B0">
        <w:rPr>
          <w:u w:val="single"/>
          <w:lang w:val="en-US"/>
        </w:rPr>
        <w:t>(ii)</w:t>
      </w:r>
      <w:r w:rsidRPr="005C42B0">
        <w:rPr>
          <w:u w:val="single"/>
          <w:lang w:val="en-US"/>
        </w:rPr>
        <w:tab/>
        <w:t>it is not too sensitive or thermally unstable according to test series 3</w:t>
      </w:r>
      <w:r w:rsidRPr="006834D5">
        <w:rPr>
          <w:u w:val="single"/>
          <w:lang w:val="en-US"/>
        </w:rPr>
        <w:t xml:space="preserve"> </w:t>
      </w:r>
      <w:r w:rsidRPr="005C42B0">
        <w:rPr>
          <w:u w:val="single"/>
          <w:lang w:val="en-US"/>
        </w:rPr>
        <w:t xml:space="preserve">of the </w:t>
      </w:r>
      <w:r w:rsidRPr="005C42B0">
        <w:rPr>
          <w:i/>
          <w:iCs/>
          <w:u w:val="single"/>
          <w:lang w:val="en-US"/>
        </w:rPr>
        <w:t xml:space="preserve">Manual of Tests and </w:t>
      </w:r>
      <w:proofErr w:type="gramStart"/>
      <w:r w:rsidRPr="005C42B0">
        <w:rPr>
          <w:i/>
          <w:iCs/>
          <w:u w:val="single"/>
          <w:lang w:val="en-US"/>
        </w:rPr>
        <w:t>Criteria</w:t>
      </w:r>
      <w:r w:rsidRPr="005C42B0">
        <w:rPr>
          <w:u w:val="single"/>
          <w:lang w:val="en-US"/>
        </w:rPr>
        <w:t>;</w:t>
      </w:r>
      <w:proofErr w:type="gramEnd"/>
    </w:p>
    <w:p w14:paraId="2F2A9768" w14:textId="77777777" w:rsidR="002B0EAC" w:rsidRPr="005C42B0" w:rsidRDefault="002B0EAC" w:rsidP="00031558">
      <w:pPr>
        <w:suppressAutoHyphens w:val="0"/>
        <w:kinsoku w:val="0"/>
        <w:overflowPunct w:val="0"/>
        <w:autoSpaceDE w:val="0"/>
        <w:autoSpaceDN w:val="0"/>
        <w:adjustRightInd w:val="0"/>
        <w:snapToGrid w:val="0"/>
        <w:spacing w:after="120" w:line="264" w:lineRule="auto"/>
        <w:ind w:left="3261" w:right="1134" w:hanging="426"/>
        <w:jc w:val="both"/>
        <w:rPr>
          <w:u w:val="single"/>
          <w:lang w:val="en-US"/>
        </w:rPr>
      </w:pPr>
      <w:r w:rsidRPr="005C42B0">
        <w:rPr>
          <w:u w:val="single"/>
          <w:lang w:val="en-US"/>
        </w:rPr>
        <w:t>or that</w:t>
      </w:r>
    </w:p>
    <w:p w14:paraId="0FFF4D8C" w14:textId="77777777" w:rsidR="002B0EAC" w:rsidRPr="005C42B0" w:rsidRDefault="002B0EAC" w:rsidP="00031558">
      <w:pPr>
        <w:suppressAutoHyphens w:val="0"/>
        <w:kinsoku w:val="0"/>
        <w:overflowPunct w:val="0"/>
        <w:autoSpaceDE w:val="0"/>
        <w:autoSpaceDN w:val="0"/>
        <w:adjustRightInd w:val="0"/>
        <w:snapToGrid w:val="0"/>
        <w:spacing w:after="120" w:line="264" w:lineRule="auto"/>
        <w:ind w:left="3261" w:right="1134" w:hanging="426"/>
        <w:jc w:val="both"/>
        <w:rPr>
          <w:u w:val="single"/>
          <w:lang w:val="en-US"/>
        </w:rPr>
      </w:pPr>
      <w:r w:rsidRPr="005C42B0">
        <w:rPr>
          <w:u w:val="single"/>
          <w:lang w:val="en-US"/>
        </w:rPr>
        <w:t>(</w:t>
      </w:r>
      <w:r>
        <w:rPr>
          <w:u w:val="single"/>
          <w:lang w:val="en-US"/>
        </w:rPr>
        <w:t>iii</w:t>
      </w:r>
      <w:r w:rsidRPr="005C42B0">
        <w:rPr>
          <w:u w:val="single"/>
          <w:lang w:val="en-US"/>
        </w:rPr>
        <w:t>)</w:t>
      </w:r>
      <w:r w:rsidRPr="005C42B0">
        <w:rPr>
          <w:u w:val="single"/>
          <w:lang w:val="en-US"/>
        </w:rPr>
        <w:tab/>
        <w:t>it is too insensitive for inclusion into in the class of explosives according to test series 2</w:t>
      </w:r>
      <w:r w:rsidRPr="006834D5">
        <w:rPr>
          <w:u w:val="single"/>
          <w:lang w:val="en-US"/>
        </w:rPr>
        <w:t xml:space="preserve"> </w:t>
      </w:r>
      <w:r w:rsidRPr="005C42B0">
        <w:rPr>
          <w:u w:val="single"/>
          <w:lang w:val="en-US"/>
        </w:rPr>
        <w:t xml:space="preserve">of the </w:t>
      </w:r>
      <w:r w:rsidRPr="005C42B0">
        <w:rPr>
          <w:i/>
          <w:iCs/>
          <w:u w:val="single"/>
          <w:lang w:val="en-US"/>
        </w:rPr>
        <w:t>Manual of Tests and Criteria</w:t>
      </w:r>
      <w:r w:rsidRPr="005C42B0">
        <w:rPr>
          <w:u w:val="single"/>
          <w:lang w:val="en-US"/>
        </w:rPr>
        <w:t>; and</w:t>
      </w:r>
    </w:p>
    <w:p w14:paraId="504EA264" w14:textId="77777777" w:rsidR="002B0EAC" w:rsidRPr="005C42B0" w:rsidRDefault="002B0EAC" w:rsidP="00031558">
      <w:pPr>
        <w:tabs>
          <w:tab w:val="left" w:pos="1560"/>
        </w:tabs>
        <w:suppressAutoHyphens w:val="0"/>
        <w:kinsoku w:val="0"/>
        <w:overflowPunct w:val="0"/>
        <w:autoSpaceDE w:val="0"/>
        <w:autoSpaceDN w:val="0"/>
        <w:adjustRightInd w:val="0"/>
        <w:snapToGrid w:val="0"/>
        <w:spacing w:after="120" w:line="264" w:lineRule="auto"/>
        <w:ind w:left="2835" w:right="1134" w:hanging="567"/>
        <w:jc w:val="both"/>
        <w:rPr>
          <w:u w:val="single"/>
          <w:lang w:val="en-US"/>
        </w:rPr>
      </w:pPr>
      <w:r w:rsidRPr="005C42B0">
        <w:rPr>
          <w:u w:val="single"/>
          <w:lang w:val="en-US"/>
        </w:rPr>
        <w:lastRenderedPageBreak/>
        <w:t>(c)</w:t>
      </w:r>
      <w:r w:rsidRPr="005C42B0">
        <w:rPr>
          <w:u w:val="single"/>
          <w:lang w:val="en-US"/>
        </w:rPr>
        <w:tab/>
        <w:t xml:space="preserve">it has no mass explosion hazard </w:t>
      </w:r>
      <w:r>
        <w:rPr>
          <w:u w:val="single"/>
          <w:lang w:val="en-US"/>
        </w:rPr>
        <w:t xml:space="preserve">and a </w:t>
      </w:r>
      <w:r w:rsidRPr="005C42B0">
        <w:rPr>
          <w:u w:val="single"/>
          <w:lang w:val="en-US"/>
        </w:rPr>
        <w:t xml:space="preserve">corrected burning rate ≤ 1200 kg/min according </w:t>
      </w:r>
      <w:r>
        <w:rPr>
          <w:u w:val="single"/>
          <w:lang w:val="en-US"/>
        </w:rPr>
        <w:t xml:space="preserve">to the </w:t>
      </w:r>
      <w:r w:rsidRPr="005C42B0">
        <w:rPr>
          <w:u w:val="single"/>
          <w:lang w:val="en-US"/>
        </w:rPr>
        <w:t xml:space="preserve">burning rate test </w:t>
      </w:r>
      <w:r>
        <w:rPr>
          <w:u w:val="single"/>
          <w:lang w:val="en-US"/>
        </w:rPr>
        <w:t xml:space="preserve">of </w:t>
      </w:r>
      <w:r w:rsidRPr="005C42B0">
        <w:rPr>
          <w:u w:val="single"/>
          <w:lang w:val="en-US"/>
        </w:rPr>
        <w:t xml:space="preserve">sub-section 51.4 of the </w:t>
      </w:r>
      <w:r w:rsidRPr="00031558">
        <w:rPr>
          <w:u w:val="single"/>
          <w:lang w:val="en-US"/>
        </w:rPr>
        <w:t>Manual of Tests and Criteria</w:t>
      </w:r>
      <w:r w:rsidRPr="005C42B0">
        <w:rPr>
          <w:u w:val="single"/>
          <w:lang w:val="en-US"/>
        </w:rPr>
        <w:t>.</w:t>
      </w:r>
    </w:p>
    <w:p w14:paraId="73B8A872" w14:textId="77777777" w:rsidR="002B0EAC" w:rsidRPr="005C42B0" w:rsidRDefault="002B0EAC" w:rsidP="00031558">
      <w:pPr>
        <w:pStyle w:val="SingleTxtG"/>
        <w:rPr>
          <w:i/>
          <w:iCs/>
          <w:u w:val="single"/>
          <w:lang w:val="en-US"/>
        </w:rPr>
      </w:pPr>
      <w:r w:rsidRPr="00073FC2">
        <w:rPr>
          <w:b/>
          <w:bCs/>
          <w:i/>
          <w:iCs/>
          <w:u w:val="single"/>
          <w:lang w:val="en-US"/>
        </w:rPr>
        <w:t>NOTE:</w:t>
      </w:r>
      <w:r w:rsidRPr="001C701A">
        <w:rPr>
          <w:i/>
          <w:iCs/>
          <w:u w:val="single"/>
          <w:lang w:val="en-US"/>
        </w:rPr>
        <w:tab/>
      </w:r>
      <w:r w:rsidRPr="005C42B0">
        <w:rPr>
          <w:i/>
          <w:iCs/>
          <w:u w:val="single"/>
          <w:lang w:val="en-US"/>
        </w:rPr>
        <w:t>Substances and mixtures which do not meet the criteria of this section 2.17.2.2 should be classified as explosives (see Chapter 2.1).</w:t>
      </w:r>
    </w:p>
    <w:p w14:paraId="0E23209E" w14:textId="77777777" w:rsidR="002B0EAC" w:rsidRPr="005C42B0" w:rsidRDefault="002B0EAC" w:rsidP="00031558">
      <w:pPr>
        <w:pStyle w:val="SingleTxtG"/>
        <w:tabs>
          <w:tab w:val="left" w:pos="1134"/>
        </w:tabs>
        <w:rPr>
          <w:u w:val="single"/>
          <w:lang w:val="en-US"/>
        </w:rPr>
      </w:pPr>
      <w:r w:rsidRPr="005C42B0">
        <w:rPr>
          <w:u w:val="single"/>
          <w:lang w:val="en-US"/>
        </w:rPr>
        <w:t>2.17.2.3</w:t>
      </w:r>
      <w:r w:rsidRPr="005C42B0">
        <w:rPr>
          <w:u w:val="single"/>
          <w:lang w:val="en-US"/>
        </w:rPr>
        <w:tab/>
        <w:t xml:space="preserve">In addition to the criteria in sections 2.17.2.1 and 2.17.2.2, </w:t>
      </w:r>
      <w:r>
        <w:rPr>
          <w:u w:val="single"/>
          <w:lang w:val="en-US"/>
        </w:rPr>
        <w:t>n</w:t>
      </w:r>
      <w:r w:rsidRPr="005C42B0">
        <w:rPr>
          <w:u w:val="single"/>
          <w:lang w:val="en-US"/>
        </w:rPr>
        <w:t xml:space="preserve">itrocellulose in nitrocellulose mixtures considered for this class should be stable according to Appendix 10 of the </w:t>
      </w:r>
      <w:r w:rsidRPr="005C42B0">
        <w:rPr>
          <w:i/>
          <w:iCs/>
          <w:u w:val="single"/>
          <w:lang w:val="en-US"/>
        </w:rPr>
        <w:t>Manual of Tests and Criteria.</w:t>
      </w:r>
    </w:p>
    <w:p w14:paraId="74A702F8" w14:textId="77777777" w:rsidR="002B0EAC" w:rsidRPr="005C42B0" w:rsidRDefault="002B0EAC" w:rsidP="00031558">
      <w:pPr>
        <w:pStyle w:val="SingleTxtG"/>
        <w:rPr>
          <w:i/>
          <w:iCs/>
          <w:u w:val="single"/>
          <w:lang w:val="en-US"/>
        </w:rPr>
      </w:pPr>
      <w:r w:rsidRPr="005E5AA8">
        <w:rPr>
          <w:b/>
          <w:bCs/>
          <w:i/>
          <w:iCs/>
          <w:u w:val="single"/>
          <w:lang w:val="en-US"/>
        </w:rPr>
        <w:t>NOTE:</w:t>
      </w:r>
      <w:r w:rsidRPr="001C701A">
        <w:rPr>
          <w:i/>
          <w:iCs/>
          <w:u w:val="single"/>
          <w:lang w:val="en-US"/>
        </w:rPr>
        <w:tab/>
      </w:r>
      <w:r>
        <w:rPr>
          <w:i/>
          <w:iCs/>
          <w:u w:val="single"/>
          <w:lang w:val="en-US"/>
        </w:rPr>
        <w:t>Nitrocellulose mixtures containing no other explosives than nitrocellulose, do not need to meet the criterion of Section 2.17.2.2 (b) (ii)</w:t>
      </w:r>
      <w:r w:rsidRPr="005C42B0">
        <w:rPr>
          <w:i/>
          <w:iCs/>
          <w:u w:val="single"/>
          <w:lang w:val="en-US"/>
        </w:rPr>
        <w:t>.</w:t>
      </w:r>
    </w:p>
    <w:p w14:paraId="4629DF6D" w14:textId="77777777" w:rsidR="002B0EAC" w:rsidRPr="005C42B0" w:rsidRDefault="002B0EAC" w:rsidP="00031558">
      <w:pPr>
        <w:pStyle w:val="SingleTxtG"/>
        <w:tabs>
          <w:tab w:val="left" w:pos="1134"/>
        </w:tabs>
        <w:rPr>
          <w:strike/>
          <w:lang w:val="en-US"/>
        </w:rPr>
      </w:pPr>
      <w:r w:rsidRPr="005C42B0">
        <w:rPr>
          <w:strike/>
          <w:lang w:val="en-US"/>
        </w:rPr>
        <w:t>2.17.2.1</w:t>
      </w:r>
      <w:r w:rsidRPr="005C42B0">
        <w:rPr>
          <w:strike/>
          <w:lang w:val="en-US"/>
        </w:rPr>
        <w:tab/>
        <w:t>Any explosive while in a desensitized state shall be considered in this class unless, in that state:</w:t>
      </w:r>
    </w:p>
    <w:p w14:paraId="4F6D31D6" w14:textId="77777777" w:rsidR="002B0EAC" w:rsidRPr="005C42B0" w:rsidRDefault="002B0EAC" w:rsidP="00031558">
      <w:pPr>
        <w:tabs>
          <w:tab w:val="left" w:pos="1560"/>
        </w:tabs>
        <w:suppressAutoHyphens w:val="0"/>
        <w:kinsoku w:val="0"/>
        <w:overflowPunct w:val="0"/>
        <w:autoSpaceDE w:val="0"/>
        <w:autoSpaceDN w:val="0"/>
        <w:adjustRightInd w:val="0"/>
        <w:snapToGrid w:val="0"/>
        <w:spacing w:after="120" w:line="264" w:lineRule="auto"/>
        <w:ind w:left="1134" w:right="1134" w:hanging="426"/>
        <w:jc w:val="both"/>
        <w:rPr>
          <w:strike/>
          <w:lang w:val="en-US"/>
        </w:rPr>
      </w:pPr>
      <w:r w:rsidRPr="005C42B0">
        <w:rPr>
          <w:strike/>
          <w:lang w:val="en-US"/>
        </w:rPr>
        <w:t>(a)</w:t>
      </w:r>
      <w:r w:rsidRPr="005C42B0">
        <w:rPr>
          <w:strike/>
          <w:lang w:val="en-US"/>
        </w:rPr>
        <w:tab/>
        <w:t xml:space="preserve">It is intended to produce a practical explosive or pyrotechnic </w:t>
      </w:r>
      <w:proofErr w:type="gramStart"/>
      <w:r w:rsidRPr="005C42B0">
        <w:rPr>
          <w:strike/>
          <w:lang w:val="en-US"/>
        </w:rPr>
        <w:t>effect;</w:t>
      </w:r>
      <w:proofErr w:type="gramEnd"/>
    </w:p>
    <w:p w14:paraId="2B1DC565" w14:textId="77777777" w:rsidR="002B0EAC" w:rsidRPr="005C42B0" w:rsidRDefault="002B0EAC" w:rsidP="00031558">
      <w:pPr>
        <w:tabs>
          <w:tab w:val="left" w:pos="1560"/>
        </w:tabs>
        <w:suppressAutoHyphens w:val="0"/>
        <w:kinsoku w:val="0"/>
        <w:overflowPunct w:val="0"/>
        <w:autoSpaceDE w:val="0"/>
        <w:autoSpaceDN w:val="0"/>
        <w:adjustRightInd w:val="0"/>
        <w:snapToGrid w:val="0"/>
        <w:spacing w:after="120" w:line="264" w:lineRule="auto"/>
        <w:ind w:left="1134" w:right="1134" w:hanging="426"/>
        <w:jc w:val="both"/>
        <w:rPr>
          <w:strike/>
          <w:lang w:val="en-US"/>
        </w:rPr>
      </w:pPr>
      <w:r w:rsidRPr="005C42B0">
        <w:rPr>
          <w:strike/>
          <w:lang w:val="en-US"/>
        </w:rPr>
        <w:t>(b)</w:t>
      </w:r>
      <w:r w:rsidRPr="005C42B0">
        <w:rPr>
          <w:strike/>
          <w:lang w:val="en-US"/>
        </w:rPr>
        <w:tab/>
        <w:t>It has a mass explosion hazard according to test series 6 (a) or 6 (b) or the corrected burning rate according to the burning rate test described in part V, subsection 51.4 of the Manual of Tests and Criteria is greater than 1200 kg/</w:t>
      </w:r>
      <w:proofErr w:type="gramStart"/>
      <w:r w:rsidRPr="005C42B0">
        <w:rPr>
          <w:strike/>
          <w:lang w:val="en-US"/>
        </w:rPr>
        <w:t>min;</w:t>
      </w:r>
      <w:proofErr w:type="gramEnd"/>
      <w:r w:rsidRPr="005C42B0">
        <w:rPr>
          <w:strike/>
          <w:lang w:val="en-US"/>
        </w:rPr>
        <w:t xml:space="preserve"> or</w:t>
      </w:r>
    </w:p>
    <w:p w14:paraId="302A87B0" w14:textId="77777777" w:rsidR="002B0EAC" w:rsidRPr="005C42B0" w:rsidRDefault="002B0EAC" w:rsidP="00031558">
      <w:pPr>
        <w:tabs>
          <w:tab w:val="left" w:pos="1560"/>
        </w:tabs>
        <w:suppressAutoHyphens w:val="0"/>
        <w:kinsoku w:val="0"/>
        <w:overflowPunct w:val="0"/>
        <w:autoSpaceDE w:val="0"/>
        <w:autoSpaceDN w:val="0"/>
        <w:adjustRightInd w:val="0"/>
        <w:snapToGrid w:val="0"/>
        <w:spacing w:after="120" w:line="264" w:lineRule="auto"/>
        <w:ind w:left="1134" w:right="1134" w:hanging="426"/>
        <w:jc w:val="both"/>
        <w:rPr>
          <w:strike/>
          <w:lang w:val="en-US"/>
        </w:rPr>
      </w:pPr>
      <w:r w:rsidRPr="005C42B0">
        <w:rPr>
          <w:strike/>
          <w:lang w:val="en-US"/>
        </w:rPr>
        <w:t>(c)</w:t>
      </w:r>
      <w:r w:rsidRPr="005C42B0">
        <w:rPr>
          <w:strike/>
          <w:lang w:val="en-US"/>
        </w:rPr>
        <w:tab/>
        <w:t>The exothermic decomposition energy is less than 300 J/g.</w:t>
      </w:r>
    </w:p>
    <w:p w14:paraId="6AA4362A" w14:textId="77777777" w:rsidR="002B0EAC" w:rsidRPr="005C42B0" w:rsidRDefault="002B0EAC" w:rsidP="00031558">
      <w:pPr>
        <w:pStyle w:val="SingleTxtG"/>
        <w:tabs>
          <w:tab w:val="left" w:pos="1134"/>
        </w:tabs>
        <w:rPr>
          <w:i/>
          <w:iCs/>
          <w:strike/>
          <w:lang w:val="en-US"/>
        </w:rPr>
      </w:pPr>
      <w:r w:rsidRPr="005C42B0">
        <w:rPr>
          <w:i/>
          <w:iCs/>
          <w:strike/>
          <w:lang w:val="en-US"/>
        </w:rPr>
        <w:t>NOTE 1:</w:t>
      </w:r>
      <w:r w:rsidRPr="005C42B0">
        <w:rPr>
          <w:i/>
          <w:iCs/>
          <w:strike/>
          <w:lang w:val="en-US"/>
        </w:rPr>
        <w:tab/>
        <w:t>Substances or mixtures which meet the criterion (a) or (b) in their desensitized state shall be classified as explosives (see Chapter 2.1). Substances or mixtures which meet the criterion (c) may fall within the scope of other physical hazard classes.</w:t>
      </w:r>
    </w:p>
    <w:p w14:paraId="38BED12F" w14:textId="0D4B189A" w:rsidR="002B0EAC" w:rsidRPr="005C42B0" w:rsidRDefault="002B0EAC" w:rsidP="00031558">
      <w:pPr>
        <w:pStyle w:val="SingleTxtG"/>
        <w:tabs>
          <w:tab w:val="left" w:pos="1134"/>
        </w:tabs>
        <w:rPr>
          <w:rFonts w:eastAsia="Calibri" w:cs="TimesNewRomanPSMT"/>
          <w:i/>
          <w:iCs/>
          <w:strike/>
          <w:lang w:val="en-US"/>
        </w:rPr>
      </w:pPr>
      <w:r w:rsidRPr="005C42B0">
        <w:rPr>
          <w:i/>
          <w:iCs/>
          <w:strike/>
          <w:lang w:val="en-US"/>
        </w:rPr>
        <w:t>NOTE 2:</w:t>
      </w:r>
      <w:r w:rsidRPr="005C42B0">
        <w:rPr>
          <w:i/>
          <w:iCs/>
          <w:strike/>
          <w:lang w:val="en-US"/>
        </w:rPr>
        <w:tab/>
        <w:t>The exothermic decomposition energy may be estimated using a suitable calorimetric technique (see section 20, sub-section 20.3.3.3 in Part II of the Manual of Tests and Criteria)</w:t>
      </w:r>
      <w:r w:rsidRPr="005C42B0">
        <w:rPr>
          <w:rFonts w:eastAsia="Calibri" w:cs="TimesNewRomanPSMT"/>
          <w:i/>
          <w:iCs/>
          <w:strike/>
          <w:lang w:val="en-US"/>
        </w:rPr>
        <w:t>.</w:t>
      </w:r>
      <w:r w:rsidR="00031558">
        <w:rPr>
          <w:rFonts w:eastAsia="Calibri" w:cs="TimesNewRomanPSMT"/>
          <w:i/>
          <w:iCs/>
          <w:strike/>
          <w:lang w:val="en-US"/>
        </w:rPr>
        <w:t>”</w:t>
      </w:r>
    </w:p>
    <w:p w14:paraId="0B6BCF72" w14:textId="329A6989" w:rsidR="002B0EAC" w:rsidRPr="00031558" w:rsidRDefault="002B0EAC" w:rsidP="00A412DE">
      <w:pPr>
        <w:pStyle w:val="SingleTxtG"/>
        <w:tabs>
          <w:tab w:val="left" w:pos="1134"/>
        </w:tabs>
        <w:ind w:left="709"/>
        <w:jc w:val="left"/>
        <w:rPr>
          <w:i/>
          <w:iCs/>
          <w:lang w:val="en-US"/>
        </w:rPr>
      </w:pPr>
      <w:r w:rsidRPr="00031558">
        <w:rPr>
          <w:rFonts w:eastAsia="Calibri" w:cs="TimesNewRomanPSMT"/>
          <w:i/>
          <w:iCs/>
          <w:lang w:val="en-US"/>
        </w:rPr>
        <w:t xml:space="preserve">(No </w:t>
      </w:r>
      <w:r w:rsidRPr="00031558">
        <w:rPr>
          <w:i/>
          <w:iCs/>
          <w:lang w:val="en-US"/>
        </w:rPr>
        <w:t>amendments</w:t>
      </w:r>
      <w:r w:rsidRPr="00031558">
        <w:rPr>
          <w:rFonts w:eastAsia="Calibri" w:cs="TimesNewRomanPSMT"/>
          <w:i/>
          <w:iCs/>
          <w:lang w:val="en-US"/>
        </w:rPr>
        <w:t xml:space="preserve"> are foreseen in the further text of the current Section 2.17.2; only the numbering of the sections </w:t>
      </w:r>
      <w:proofErr w:type="gramStart"/>
      <w:r w:rsidRPr="00031558">
        <w:rPr>
          <w:rFonts w:eastAsia="Calibri" w:cs="TimesNewRomanPSMT"/>
          <w:i/>
          <w:iCs/>
          <w:lang w:val="en-US"/>
        </w:rPr>
        <w:t>has to</w:t>
      </w:r>
      <w:proofErr w:type="gramEnd"/>
      <w:r w:rsidRPr="00031558">
        <w:rPr>
          <w:rFonts w:eastAsia="Calibri" w:cs="TimesNewRomanPSMT"/>
          <w:i/>
          <w:iCs/>
          <w:lang w:val="en-US"/>
        </w:rPr>
        <w:t xml:space="preserve"> be adapted.</w:t>
      </w:r>
      <w:r w:rsidR="00A412DE">
        <w:rPr>
          <w:rFonts w:eastAsia="Calibri" w:cs="TimesNewRomanPSMT"/>
          <w:i/>
          <w:iCs/>
          <w:lang w:val="en-US"/>
        </w:rPr>
        <w:t xml:space="preserve"> </w:t>
      </w:r>
      <w:r w:rsidRPr="00031558">
        <w:rPr>
          <w:rFonts w:eastAsia="Calibri" w:cs="TimesNewRomanPSMT"/>
          <w:i/>
          <w:iCs/>
          <w:lang w:val="en-US"/>
        </w:rPr>
        <w:t>Consequential amendments would be needed in the remainder of Chapter 2.17, and in Section 51 of the Manual of Tests and Criteria.)</w:t>
      </w:r>
    </w:p>
    <w:p w14:paraId="4201F3F3" w14:textId="77777777" w:rsidR="002B0EAC" w:rsidRPr="00561D93" w:rsidRDefault="002B0EAC" w:rsidP="002B0EAC">
      <w:pPr>
        <w:spacing w:before="240"/>
        <w:jc w:val="center"/>
        <w:rPr>
          <w:lang w:val="en-US"/>
        </w:rPr>
      </w:pPr>
      <w:r w:rsidRPr="00561D93">
        <w:rPr>
          <w:u w:val="single"/>
          <w:lang w:val="en-US"/>
        </w:rPr>
        <w:tab/>
      </w:r>
      <w:r w:rsidRPr="00561D93">
        <w:rPr>
          <w:u w:val="single"/>
          <w:lang w:val="en-US"/>
        </w:rPr>
        <w:tab/>
      </w:r>
      <w:r w:rsidRPr="00561D93">
        <w:rPr>
          <w:u w:val="single"/>
          <w:lang w:val="en-US"/>
        </w:rPr>
        <w:tab/>
      </w:r>
    </w:p>
    <w:p w14:paraId="286FC205" w14:textId="77777777" w:rsidR="002B0EAC" w:rsidRPr="00890B55" w:rsidRDefault="002B0EAC" w:rsidP="002B0EAC">
      <w:pPr>
        <w:pStyle w:val="SingleTxtG"/>
      </w:pPr>
    </w:p>
    <w:sectPr w:rsidR="002B0EAC" w:rsidRPr="00890B55" w:rsidSect="00F63C7A">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1559" w:right="1134" w:bottom="1418"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70CE" w14:textId="77777777" w:rsidR="008F4D2E" w:rsidRDefault="008F4D2E"/>
  </w:endnote>
  <w:endnote w:type="continuationSeparator" w:id="0">
    <w:p w14:paraId="4BB4981C" w14:textId="77777777" w:rsidR="008F4D2E" w:rsidRDefault="008F4D2E"/>
  </w:endnote>
  <w:endnote w:type="continuationNotice" w:id="1">
    <w:p w14:paraId="22B9D368" w14:textId="77777777" w:rsidR="008F4D2E" w:rsidRDefault="008F4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3" w14:textId="05FC512B" w:rsidR="00DE236F" w:rsidRPr="000216CC" w:rsidRDefault="00976DEF">
    <w:pPr>
      <w:pStyle w:val="Footer"/>
      <w:rPr>
        <w:sz w:val="20"/>
      </w:rPr>
    </w:pPr>
    <w:r>
      <w:rPr>
        <w:noProof/>
      </w:rPr>
      <w:drawing>
        <wp:anchor distT="0" distB="0" distL="114300" distR="114300" simplePos="0" relativeHeight="251658240" behindDoc="0" locked="1" layoutInCell="1" allowOverlap="1" wp14:anchorId="2CBE1794" wp14:editId="422E5193">
          <wp:simplePos x="0" y="0"/>
          <wp:positionH relativeFrom="column">
            <wp:posOffset>5148580</wp:posOffset>
          </wp:positionH>
          <wp:positionV relativeFrom="paragraph">
            <wp:posOffset>-79375</wp:posOffset>
          </wp:positionV>
          <wp:extent cx="930275" cy="230505"/>
          <wp:effectExtent l="0" t="0" r="0"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AF1C" w14:textId="77777777" w:rsidR="008F4D2E" w:rsidRPr="000B175B" w:rsidRDefault="008F4D2E" w:rsidP="000B175B">
      <w:pPr>
        <w:tabs>
          <w:tab w:val="right" w:pos="2155"/>
        </w:tabs>
        <w:spacing w:after="80"/>
        <w:ind w:left="680"/>
        <w:rPr>
          <w:u w:val="single"/>
        </w:rPr>
      </w:pPr>
      <w:r>
        <w:rPr>
          <w:u w:val="single"/>
        </w:rPr>
        <w:tab/>
      </w:r>
    </w:p>
  </w:footnote>
  <w:footnote w:type="continuationSeparator" w:id="0">
    <w:p w14:paraId="35B9E370" w14:textId="77777777" w:rsidR="008F4D2E" w:rsidRPr="00FC68B7" w:rsidRDefault="008F4D2E" w:rsidP="00FC68B7">
      <w:pPr>
        <w:tabs>
          <w:tab w:val="left" w:pos="2155"/>
        </w:tabs>
        <w:spacing w:after="80"/>
        <w:ind w:left="680"/>
        <w:rPr>
          <w:u w:val="single"/>
        </w:rPr>
      </w:pPr>
      <w:r>
        <w:rPr>
          <w:u w:val="single"/>
        </w:rPr>
        <w:tab/>
      </w:r>
    </w:p>
  </w:footnote>
  <w:footnote w:type="continuationNotice" w:id="1">
    <w:p w14:paraId="2358A345" w14:textId="77777777" w:rsidR="008F4D2E" w:rsidRDefault="008F4D2E"/>
  </w:footnote>
  <w:footnote w:id="2">
    <w:p w14:paraId="5339329E" w14:textId="1A61F495" w:rsidR="00691D1B" w:rsidRDefault="00E772CC" w:rsidP="00E772CC">
      <w:pPr>
        <w:pStyle w:val="FootnoteText"/>
        <w:ind w:firstLine="0"/>
        <w:rPr>
          <w:lang w:val="en-US"/>
        </w:rPr>
      </w:pPr>
      <w:r>
        <w:rPr>
          <w:rStyle w:val="FootnoteReference"/>
        </w:rPr>
        <w:t>*</w:t>
      </w:r>
      <w:r>
        <w:t xml:space="preserve"> </w:t>
      </w:r>
      <w:r w:rsidRPr="009F020E">
        <w:rPr>
          <w:lang w:val="en-US"/>
        </w:rPr>
        <w:t>based on paragraphs 28 to 31 of t</w:t>
      </w:r>
      <w:r>
        <w:rPr>
          <w:lang w:val="en-US"/>
        </w:rPr>
        <w:t xml:space="preserve">he report </w:t>
      </w:r>
      <w:r w:rsidR="00691D1B">
        <w:rPr>
          <w:lang w:val="en-US"/>
        </w:rPr>
        <w:t xml:space="preserve">of the </w:t>
      </w:r>
      <w:r>
        <w:rPr>
          <w:lang w:val="en-US"/>
        </w:rPr>
        <w:t>GHS</w:t>
      </w:r>
      <w:r w:rsidR="00691D1B">
        <w:rPr>
          <w:lang w:val="en-US"/>
        </w:rPr>
        <w:t xml:space="preserve"> Sub-Committee on its forty-first session</w:t>
      </w:r>
    </w:p>
    <w:p w14:paraId="5DF88F07" w14:textId="5D937856" w:rsidR="00E772CC" w:rsidRPr="00E772CC" w:rsidRDefault="00E772CC" w:rsidP="00E772CC">
      <w:pPr>
        <w:pStyle w:val="FootnoteText"/>
        <w:ind w:firstLine="0"/>
        <w:rPr>
          <w:lang w:val="fr-CH"/>
        </w:rPr>
      </w:pPr>
      <w:r>
        <w:rPr>
          <w:lang w:val="en-US"/>
        </w:rPr>
        <w:t>(</w:t>
      </w:r>
      <w:r w:rsidRPr="00A66D93">
        <w:rPr>
          <w:lang w:val="en-US"/>
        </w:rPr>
        <w:t>ST/SG/AC.10/C.4/82</w:t>
      </w:r>
      <w:r>
        <w:rPr>
          <w:lang w:val="en-US"/>
        </w:rPr>
        <w:t>) and paragraph 81 of the report</w:t>
      </w:r>
      <w:r w:rsidR="00CD4C1D">
        <w:rPr>
          <w:lang w:val="en-US"/>
        </w:rPr>
        <w:t xml:space="preserve"> of the </w:t>
      </w:r>
      <w:r>
        <w:rPr>
          <w:lang w:val="en-US"/>
        </w:rPr>
        <w:t>TDG</w:t>
      </w:r>
      <w:r w:rsidR="00CD4C1D">
        <w:rPr>
          <w:lang w:val="en-US"/>
        </w:rPr>
        <w:t xml:space="preserve"> Sub-Committee on its fifty-ninth session</w:t>
      </w:r>
      <w:r>
        <w:rPr>
          <w:lang w:val="en-US"/>
        </w:rPr>
        <w:t xml:space="preserve"> (see </w:t>
      </w:r>
      <w:r>
        <w:t>ST/SG/AC.10/C.3/118</w:t>
      </w:r>
      <w:r>
        <w:rPr>
          <w:lang w:val="en-US"/>
        </w:rPr>
        <w:t>).</w:t>
      </w:r>
    </w:p>
  </w:footnote>
  <w:footnote w:id="3">
    <w:p w14:paraId="5A4ECE7A" w14:textId="77777777" w:rsidR="002B0EAC" w:rsidRPr="00277EE8" w:rsidRDefault="002B0EAC" w:rsidP="002B0EAC">
      <w:pPr>
        <w:pStyle w:val="FootnoteText"/>
        <w:tabs>
          <w:tab w:val="clear" w:pos="1021"/>
        </w:tabs>
        <w:ind w:left="1418" w:hanging="284"/>
        <w:rPr>
          <w:lang w:val="en-US"/>
        </w:rPr>
      </w:pPr>
      <w:r>
        <w:rPr>
          <w:rStyle w:val="FootnoteReference"/>
        </w:rPr>
        <w:footnoteRef/>
      </w:r>
      <w:r>
        <w:tab/>
      </w:r>
      <w:r w:rsidRPr="00D5298A">
        <w:rPr>
          <w:lang w:val="en-US"/>
        </w:rPr>
        <w:t>So</w:t>
      </w:r>
      <w:r>
        <w:rPr>
          <w:lang w:val="en-US"/>
        </w:rPr>
        <w:t>me</w:t>
      </w:r>
      <w:r w:rsidRPr="00277EE8">
        <w:rPr>
          <w:lang w:val="en-US"/>
        </w:rPr>
        <w:t xml:space="preserve"> expl</w:t>
      </w:r>
      <w:r>
        <w:rPr>
          <w:lang w:val="en-US"/>
        </w:rPr>
        <w:t>o</w:t>
      </w:r>
      <w:r w:rsidRPr="00277EE8">
        <w:rPr>
          <w:lang w:val="en-US"/>
        </w:rPr>
        <w:t>s</w:t>
      </w:r>
      <w:r>
        <w:rPr>
          <w:lang w:val="en-US"/>
        </w:rPr>
        <w:t>i</w:t>
      </w:r>
      <w:r w:rsidRPr="00277EE8">
        <w:rPr>
          <w:lang w:val="en-US"/>
        </w:rPr>
        <w:t>ves are p</w:t>
      </w:r>
      <w:r>
        <w:rPr>
          <w:lang w:val="en-US"/>
        </w:rPr>
        <w:t>hlegmatized but remain in the hazard class of explosives, for example because they (still) have a mass explosion hazard (one prominent example is PETN wetted with water, see UN No. 0150 in the Model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D" w14:textId="01A222F3" w:rsidR="00DE236F" w:rsidRPr="00B5392B" w:rsidRDefault="00DE236F">
    <w:pPr>
      <w:pStyle w:val="Header"/>
      <w:rPr>
        <w:lang w:val="nl-NL"/>
      </w:rPr>
    </w:pPr>
    <w:r w:rsidRPr="00E1707A">
      <w:rPr>
        <w:lang w:val="nl-NL"/>
      </w:rPr>
      <w:t>UN/SCEGHS/</w:t>
    </w:r>
    <w:r w:rsidR="00E1707A" w:rsidRPr="00E1707A">
      <w:rPr>
        <w:lang w:val="nl-NL"/>
      </w:rPr>
      <w:t>4</w:t>
    </w:r>
    <w:r w:rsidR="002E5936">
      <w:rPr>
        <w:lang w:val="nl-NL"/>
      </w:rPr>
      <w:t>2</w:t>
    </w:r>
    <w:r w:rsidRPr="00E1707A">
      <w:rPr>
        <w:lang w:val="nl-NL"/>
      </w:rPr>
      <w:t>/INF.</w:t>
    </w:r>
    <w:r w:rsidR="00410237">
      <w:rPr>
        <w:lang w:val="nl-N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E" w14:textId="0977B71A" w:rsidR="00DE236F" w:rsidRPr="00E638E2" w:rsidRDefault="008B2FD9" w:rsidP="008B2FD9">
    <w:pPr>
      <w:pStyle w:val="Header"/>
      <w:jc w:val="right"/>
      <w:rPr>
        <w:lang w:val="fr-CH"/>
      </w:rPr>
    </w:pPr>
    <w:r w:rsidRPr="00E1707A">
      <w:rPr>
        <w:lang w:val="nl-NL"/>
      </w:rPr>
      <w:t>UN/SCEGHS/4</w:t>
    </w:r>
    <w:r w:rsidR="00716AD6">
      <w:rPr>
        <w:lang w:val="nl-NL"/>
      </w:rPr>
      <w:t>2</w:t>
    </w:r>
    <w:r w:rsidRPr="00E1707A">
      <w:rPr>
        <w:lang w:val="nl-NL"/>
      </w:rPr>
      <w:t>/INF.</w:t>
    </w:r>
    <w:r w:rsidR="00716AD6">
      <w:rPr>
        <w:lang w:val="nl-NL"/>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1" w14:textId="77777777" w:rsidR="00DE236F" w:rsidRDefault="00DE236F" w:rsidP="00796F36">
    <w:pPr>
      <w:pStyle w:val="Header"/>
      <w:pBdr>
        <w:bottom w:val="none" w:sz="0" w:space="0" w:color="auto"/>
      </w:pBdr>
    </w:pPr>
  </w:p>
  <w:p w14:paraId="2CBE1792" w14:textId="77777777" w:rsidR="00DE236F" w:rsidRDefault="00DE23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1"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3"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5"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9"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3"/>
  </w:num>
  <w:num w:numId="14">
    <w:abstractNumId w:val="39"/>
  </w:num>
  <w:num w:numId="15">
    <w:abstractNumId w:val="43"/>
  </w:num>
  <w:num w:numId="16">
    <w:abstractNumId w:val="29"/>
  </w:num>
  <w:num w:numId="17">
    <w:abstractNumId w:val="33"/>
  </w:num>
  <w:num w:numId="18">
    <w:abstractNumId w:val="41"/>
  </w:num>
  <w:num w:numId="19">
    <w:abstractNumId w:val="28"/>
  </w:num>
  <w:num w:numId="20">
    <w:abstractNumId w:val="40"/>
  </w:num>
  <w:num w:numId="21">
    <w:abstractNumId w:val="25"/>
  </w:num>
  <w:num w:numId="22">
    <w:abstractNumId w:val="31"/>
  </w:num>
  <w:num w:numId="23">
    <w:abstractNumId w:val="44"/>
  </w:num>
  <w:num w:numId="24">
    <w:abstractNumId w:val="21"/>
  </w:num>
  <w:num w:numId="25">
    <w:abstractNumId w:val="30"/>
  </w:num>
  <w:num w:numId="26">
    <w:abstractNumId w:val="19"/>
  </w:num>
  <w:num w:numId="27">
    <w:abstractNumId w:val="11"/>
  </w:num>
  <w:num w:numId="28">
    <w:abstractNumId w:val="20"/>
  </w:num>
  <w:num w:numId="29">
    <w:abstractNumId w:val="22"/>
  </w:num>
  <w:num w:numId="30">
    <w:abstractNumId w:val="18"/>
  </w:num>
  <w:num w:numId="31">
    <w:abstractNumId w:val="26"/>
  </w:num>
  <w:num w:numId="32">
    <w:abstractNumId w:val="23"/>
  </w:num>
  <w:num w:numId="33">
    <w:abstractNumId w:val="24"/>
  </w:num>
  <w:num w:numId="34">
    <w:abstractNumId w:val="42"/>
  </w:num>
  <w:num w:numId="35">
    <w:abstractNumId w:val="38"/>
  </w:num>
  <w:num w:numId="36">
    <w:abstractNumId w:val="35"/>
  </w:num>
  <w:num w:numId="37">
    <w:abstractNumId w:val="10"/>
  </w:num>
  <w:num w:numId="38">
    <w:abstractNumId w:val="16"/>
  </w:num>
  <w:num w:numId="39">
    <w:abstractNumId w:val="37"/>
  </w:num>
  <w:num w:numId="40">
    <w:abstractNumId w:val="15"/>
  </w:num>
  <w:num w:numId="41">
    <w:abstractNumId w:val="34"/>
  </w:num>
  <w:num w:numId="42">
    <w:abstractNumId w:val="27"/>
  </w:num>
  <w:num w:numId="43">
    <w:abstractNumId w:val="32"/>
  </w:num>
  <w:num w:numId="44">
    <w:abstractNumId w:val="14"/>
  </w:num>
  <w:num w:numId="45">
    <w:abstractNumId w:val="12"/>
  </w:num>
  <w:num w:numId="46">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EE4"/>
    <w:rsid w:val="0000630C"/>
    <w:rsid w:val="00006FAE"/>
    <w:rsid w:val="000133C5"/>
    <w:rsid w:val="00013F48"/>
    <w:rsid w:val="000144C7"/>
    <w:rsid w:val="000168D8"/>
    <w:rsid w:val="0001748E"/>
    <w:rsid w:val="00017D24"/>
    <w:rsid w:val="0002125F"/>
    <w:rsid w:val="000216CC"/>
    <w:rsid w:val="00031558"/>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3FC2"/>
    <w:rsid w:val="00075F99"/>
    <w:rsid w:val="00076A0A"/>
    <w:rsid w:val="000819E1"/>
    <w:rsid w:val="00082CE1"/>
    <w:rsid w:val="00083598"/>
    <w:rsid w:val="00084632"/>
    <w:rsid w:val="0008612B"/>
    <w:rsid w:val="000867EA"/>
    <w:rsid w:val="00087CFD"/>
    <w:rsid w:val="00091046"/>
    <w:rsid w:val="000911D9"/>
    <w:rsid w:val="00091419"/>
    <w:rsid w:val="00091740"/>
    <w:rsid w:val="00091CB3"/>
    <w:rsid w:val="000931C0"/>
    <w:rsid w:val="00094D14"/>
    <w:rsid w:val="000A2236"/>
    <w:rsid w:val="000A25BA"/>
    <w:rsid w:val="000A35F2"/>
    <w:rsid w:val="000A3747"/>
    <w:rsid w:val="000A3A48"/>
    <w:rsid w:val="000A4C38"/>
    <w:rsid w:val="000B175B"/>
    <w:rsid w:val="000B3A0F"/>
    <w:rsid w:val="000B4919"/>
    <w:rsid w:val="000B49DC"/>
    <w:rsid w:val="000B7AF2"/>
    <w:rsid w:val="000B7D55"/>
    <w:rsid w:val="000C1ED8"/>
    <w:rsid w:val="000C575A"/>
    <w:rsid w:val="000C5D4B"/>
    <w:rsid w:val="000C61D8"/>
    <w:rsid w:val="000C623B"/>
    <w:rsid w:val="000C717F"/>
    <w:rsid w:val="000D0B8F"/>
    <w:rsid w:val="000D481F"/>
    <w:rsid w:val="000D6D97"/>
    <w:rsid w:val="000D759E"/>
    <w:rsid w:val="000D7830"/>
    <w:rsid w:val="000E0415"/>
    <w:rsid w:val="000F52D6"/>
    <w:rsid w:val="000F6A20"/>
    <w:rsid w:val="00100142"/>
    <w:rsid w:val="0010461A"/>
    <w:rsid w:val="00107652"/>
    <w:rsid w:val="00110EC5"/>
    <w:rsid w:val="00115303"/>
    <w:rsid w:val="00117787"/>
    <w:rsid w:val="00117D0D"/>
    <w:rsid w:val="00121EB7"/>
    <w:rsid w:val="00131B10"/>
    <w:rsid w:val="00131D42"/>
    <w:rsid w:val="00133637"/>
    <w:rsid w:val="00133C50"/>
    <w:rsid w:val="001406F4"/>
    <w:rsid w:val="00141FDE"/>
    <w:rsid w:val="00161E15"/>
    <w:rsid w:val="00162E8B"/>
    <w:rsid w:val="001633FB"/>
    <w:rsid w:val="00163A1B"/>
    <w:rsid w:val="00165735"/>
    <w:rsid w:val="00167786"/>
    <w:rsid w:val="001760F4"/>
    <w:rsid w:val="00180A6A"/>
    <w:rsid w:val="00181019"/>
    <w:rsid w:val="001835BF"/>
    <w:rsid w:val="00184B86"/>
    <w:rsid w:val="00184FC8"/>
    <w:rsid w:val="001855B8"/>
    <w:rsid w:val="001A02A4"/>
    <w:rsid w:val="001A3A37"/>
    <w:rsid w:val="001A7D61"/>
    <w:rsid w:val="001B35EE"/>
    <w:rsid w:val="001B4277"/>
    <w:rsid w:val="001B4B04"/>
    <w:rsid w:val="001B6B72"/>
    <w:rsid w:val="001C3B32"/>
    <w:rsid w:val="001C429D"/>
    <w:rsid w:val="001C6663"/>
    <w:rsid w:val="001C7895"/>
    <w:rsid w:val="001D26DF"/>
    <w:rsid w:val="001D2FDC"/>
    <w:rsid w:val="001D3123"/>
    <w:rsid w:val="001D3A88"/>
    <w:rsid w:val="001D4B2D"/>
    <w:rsid w:val="001D4E70"/>
    <w:rsid w:val="001E3D5D"/>
    <w:rsid w:val="001E797C"/>
    <w:rsid w:val="001F3EF5"/>
    <w:rsid w:val="001F7E3C"/>
    <w:rsid w:val="00210EB3"/>
    <w:rsid w:val="00211B12"/>
    <w:rsid w:val="00211E0B"/>
    <w:rsid w:val="0021481D"/>
    <w:rsid w:val="002153F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4DD9"/>
    <w:rsid w:val="00276AD2"/>
    <w:rsid w:val="00277896"/>
    <w:rsid w:val="00280EB7"/>
    <w:rsid w:val="00282C5A"/>
    <w:rsid w:val="00282D44"/>
    <w:rsid w:val="002974E6"/>
    <w:rsid w:val="002976CF"/>
    <w:rsid w:val="002A0BD2"/>
    <w:rsid w:val="002A56D0"/>
    <w:rsid w:val="002A5B17"/>
    <w:rsid w:val="002B067A"/>
    <w:rsid w:val="002B0EAC"/>
    <w:rsid w:val="002B1514"/>
    <w:rsid w:val="002B1CDA"/>
    <w:rsid w:val="002B4530"/>
    <w:rsid w:val="002B49C4"/>
    <w:rsid w:val="002B7739"/>
    <w:rsid w:val="002C01A4"/>
    <w:rsid w:val="002C16CD"/>
    <w:rsid w:val="002C17B9"/>
    <w:rsid w:val="002C7F25"/>
    <w:rsid w:val="002D328B"/>
    <w:rsid w:val="002D5A85"/>
    <w:rsid w:val="002D5C7D"/>
    <w:rsid w:val="002E35BB"/>
    <w:rsid w:val="002E5936"/>
    <w:rsid w:val="002F0660"/>
    <w:rsid w:val="002F0A0F"/>
    <w:rsid w:val="002F4395"/>
    <w:rsid w:val="002F68FD"/>
    <w:rsid w:val="00304656"/>
    <w:rsid w:val="003107FA"/>
    <w:rsid w:val="00315D73"/>
    <w:rsid w:val="00316FF9"/>
    <w:rsid w:val="0032121A"/>
    <w:rsid w:val="00321716"/>
    <w:rsid w:val="003229D8"/>
    <w:rsid w:val="00322A8D"/>
    <w:rsid w:val="00327D0A"/>
    <w:rsid w:val="0033109F"/>
    <w:rsid w:val="003312A7"/>
    <w:rsid w:val="003415E7"/>
    <w:rsid w:val="003517C3"/>
    <w:rsid w:val="0035391A"/>
    <w:rsid w:val="00353AE3"/>
    <w:rsid w:val="00355502"/>
    <w:rsid w:val="00356BC7"/>
    <w:rsid w:val="00357A20"/>
    <w:rsid w:val="00362334"/>
    <w:rsid w:val="0036641E"/>
    <w:rsid w:val="003678A8"/>
    <w:rsid w:val="00372F06"/>
    <w:rsid w:val="003753C8"/>
    <w:rsid w:val="00376AD2"/>
    <w:rsid w:val="00380C4F"/>
    <w:rsid w:val="0038277A"/>
    <w:rsid w:val="00383045"/>
    <w:rsid w:val="00391647"/>
    <w:rsid w:val="0039277A"/>
    <w:rsid w:val="00396A06"/>
    <w:rsid w:val="00396F6A"/>
    <w:rsid w:val="003972E0"/>
    <w:rsid w:val="003A1EC2"/>
    <w:rsid w:val="003A27EB"/>
    <w:rsid w:val="003A28DC"/>
    <w:rsid w:val="003A52D7"/>
    <w:rsid w:val="003A5669"/>
    <w:rsid w:val="003A5A16"/>
    <w:rsid w:val="003B5C07"/>
    <w:rsid w:val="003B656D"/>
    <w:rsid w:val="003C0657"/>
    <w:rsid w:val="003C0FEC"/>
    <w:rsid w:val="003C18C9"/>
    <w:rsid w:val="003C2CC4"/>
    <w:rsid w:val="003C388D"/>
    <w:rsid w:val="003C655D"/>
    <w:rsid w:val="003C664B"/>
    <w:rsid w:val="003D4B23"/>
    <w:rsid w:val="003D7399"/>
    <w:rsid w:val="003E06FC"/>
    <w:rsid w:val="003E497C"/>
    <w:rsid w:val="003F23A4"/>
    <w:rsid w:val="003F5B52"/>
    <w:rsid w:val="00403EC6"/>
    <w:rsid w:val="00406CD4"/>
    <w:rsid w:val="00410237"/>
    <w:rsid w:val="00412406"/>
    <w:rsid w:val="00414400"/>
    <w:rsid w:val="00416028"/>
    <w:rsid w:val="0041F112"/>
    <w:rsid w:val="0042348E"/>
    <w:rsid w:val="00426195"/>
    <w:rsid w:val="0042717A"/>
    <w:rsid w:val="00430051"/>
    <w:rsid w:val="00430086"/>
    <w:rsid w:val="00430918"/>
    <w:rsid w:val="004325CB"/>
    <w:rsid w:val="00437F3F"/>
    <w:rsid w:val="00440CA9"/>
    <w:rsid w:val="00446DE4"/>
    <w:rsid w:val="00452D10"/>
    <w:rsid w:val="00454036"/>
    <w:rsid w:val="004553E9"/>
    <w:rsid w:val="004562AA"/>
    <w:rsid w:val="0046443A"/>
    <w:rsid w:val="004653B3"/>
    <w:rsid w:val="004654C4"/>
    <w:rsid w:val="0046668F"/>
    <w:rsid w:val="0046773D"/>
    <w:rsid w:val="0046788D"/>
    <w:rsid w:val="0048304D"/>
    <w:rsid w:val="004835C0"/>
    <w:rsid w:val="00484A9B"/>
    <w:rsid w:val="00492AF9"/>
    <w:rsid w:val="00494C77"/>
    <w:rsid w:val="00497711"/>
    <w:rsid w:val="004977CE"/>
    <w:rsid w:val="004B1E47"/>
    <w:rsid w:val="004B2C9D"/>
    <w:rsid w:val="004B5939"/>
    <w:rsid w:val="004B73D6"/>
    <w:rsid w:val="004C39D0"/>
    <w:rsid w:val="004C4F1A"/>
    <w:rsid w:val="004C571E"/>
    <w:rsid w:val="004C6D6D"/>
    <w:rsid w:val="004D56A5"/>
    <w:rsid w:val="004E0C5D"/>
    <w:rsid w:val="004E1969"/>
    <w:rsid w:val="004F1E93"/>
    <w:rsid w:val="004F2F21"/>
    <w:rsid w:val="004F3AC0"/>
    <w:rsid w:val="004F4240"/>
    <w:rsid w:val="004F77CD"/>
    <w:rsid w:val="00507CF1"/>
    <w:rsid w:val="00514EDD"/>
    <w:rsid w:val="00517A7F"/>
    <w:rsid w:val="00522177"/>
    <w:rsid w:val="00527910"/>
    <w:rsid w:val="00530C66"/>
    <w:rsid w:val="005420F2"/>
    <w:rsid w:val="00542505"/>
    <w:rsid w:val="005458A2"/>
    <w:rsid w:val="005475D4"/>
    <w:rsid w:val="00547C8B"/>
    <w:rsid w:val="00555CDB"/>
    <w:rsid w:val="00561B6D"/>
    <w:rsid w:val="00562D45"/>
    <w:rsid w:val="0056615B"/>
    <w:rsid w:val="00567DFB"/>
    <w:rsid w:val="00571721"/>
    <w:rsid w:val="00571DAA"/>
    <w:rsid w:val="0058129D"/>
    <w:rsid w:val="00584BB9"/>
    <w:rsid w:val="005869A6"/>
    <w:rsid w:val="00590144"/>
    <w:rsid w:val="0059682C"/>
    <w:rsid w:val="005A3DE1"/>
    <w:rsid w:val="005A5ECE"/>
    <w:rsid w:val="005A64DD"/>
    <w:rsid w:val="005A7236"/>
    <w:rsid w:val="005B09F0"/>
    <w:rsid w:val="005B0CED"/>
    <w:rsid w:val="005B3DB3"/>
    <w:rsid w:val="005B528A"/>
    <w:rsid w:val="005B7CDD"/>
    <w:rsid w:val="005C4CB5"/>
    <w:rsid w:val="005D0C6C"/>
    <w:rsid w:val="005D0F42"/>
    <w:rsid w:val="005D1BB4"/>
    <w:rsid w:val="005D277F"/>
    <w:rsid w:val="005D602E"/>
    <w:rsid w:val="005D6108"/>
    <w:rsid w:val="005E1CCD"/>
    <w:rsid w:val="005E5946"/>
    <w:rsid w:val="005E5AA8"/>
    <w:rsid w:val="005F3597"/>
    <w:rsid w:val="005F3A39"/>
    <w:rsid w:val="005F5C2F"/>
    <w:rsid w:val="005F7BB1"/>
    <w:rsid w:val="00602490"/>
    <w:rsid w:val="00603E3C"/>
    <w:rsid w:val="0060505C"/>
    <w:rsid w:val="00610576"/>
    <w:rsid w:val="00611167"/>
    <w:rsid w:val="00611FC4"/>
    <w:rsid w:val="00612812"/>
    <w:rsid w:val="006143F6"/>
    <w:rsid w:val="006176FB"/>
    <w:rsid w:val="006179CB"/>
    <w:rsid w:val="00621335"/>
    <w:rsid w:val="00626B06"/>
    <w:rsid w:val="006279AC"/>
    <w:rsid w:val="00630D9D"/>
    <w:rsid w:val="0063419C"/>
    <w:rsid w:val="00635381"/>
    <w:rsid w:val="00636677"/>
    <w:rsid w:val="00636986"/>
    <w:rsid w:val="00636F1E"/>
    <w:rsid w:val="00637542"/>
    <w:rsid w:val="00640B26"/>
    <w:rsid w:val="00641194"/>
    <w:rsid w:val="00645A0B"/>
    <w:rsid w:val="006500BA"/>
    <w:rsid w:val="006506DB"/>
    <w:rsid w:val="00662121"/>
    <w:rsid w:val="00662E09"/>
    <w:rsid w:val="006648AD"/>
    <w:rsid w:val="0066648F"/>
    <w:rsid w:val="00670CF0"/>
    <w:rsid w:val="00675F87"/>
    <w:rsid w:val="00677A93"/>
    <w:rsid w:val="00687476"/>
    <w:rsid w:val="00690CD6"/>
    <w:rsid w:val="00691D1B"/>
    <w:rsid w:val="006950DB"/>
    <w:rsid w:val="00696D43"/>
    <w:rsid w:val="006A3932"/>
    <w:rsid w:val="006A42B2"/>
    <w:rsid w:val="006A4C67"/>
    <w:rsid w:val="006A63E3"/>
    <w:rsid w:val="006A7392"/>
    <w:rsid w:val="006B1C55"/>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564B"/>
    <w:rsid w:val="007025C0"/>
    <w:rsid w:val="0070729F"/>
    <w:rsid w:val="00707F04"/>
    <w:rsid w:val="00710842"/>
    <w:rsid w:val="00711637"/>
    <w:rsid w:val="007149A0"/>
    <w:rsid w:val="00714F4F"/>
    <w:rsid w:val="00716AD6"/>
    <w:rsid w:val="00716B23"/>
    <w:rsid w:val="0072632A"/>
    <w:rsid w:val="0073435C"/>
    <w:rsid w:val="00736E6A"/>
    <w:rsid w:val="007371D2"/>
    <w:rsid w:val="00741F59"/>
    <w:rsid w:val="0074697D"/>
    <w:rsid w:val="00752E9E"/>
    <w:rsid w:val="00755EBE"/>
    <w:rsid w:val="0075710E"/>
    <w:rsid w:val="00761619"/>
    <w:rsid w:val="0076177C"/>
    <w:rsid w:val="007626C8"/>
    <w:rsid w:val="00763C33"/>
    <w:rsid w:val="00766322"/>
    <w:rsid w:val="00767E6C"/>
    <w:rsid w:val="00770BCD"/>
    <w:rsid w:val="00771904"/>
    <w:rsid w:val="00773353"/>
    <w:rsid w:val="00774129"/>
    <w:rsid w:val="00774E8F"/>
    <w:rsid w:val="00774EAA"/>
    <w:rsid w:val="0078123B"/>
    <w:rsid w:val="007855F6"/>
    <w:rsid w:val="00786434"/>
    <w:rsid w:val="00786A9D"/>
    <w:rsid w:val="00790791"/>
    <w:rsid w:val="00796F36"/>
    <w:rsid w:val="00797966"/>
    <w:rsid w:val="00797FDD"/>
    <w:rsid w:val="007A2C46"/>
    <w:rsid w:val="007A2CDB"/>
    <w:rsid w:val="007A62EC"/>
    <w:rsid w:val="007B14CA"/>
    <w:rsid w:val="007B1A7E"/>
    <w:rsid w:val="007B2BA8"/>
    <w:rsid w:val="007B4FC4"/>
    <w:rsid w:val="007B6BA5"/>
    <w:rsid w:val="007C2C0D"/>
    <w:rsid w:val="007C3162"/>
    <w:rsid w:val="007C3390"/>
    <w:rsid w:val="007C3D2F"/>
    <w:rsid w:val="007C4B64"/>
    <w:rsid w:val="007C4F4B"/>
    <w:rsid w:val="007C644D"/>
    <w:rsid w:val="007D7663"/>
    <w:rsid w:val="007D7BC6"/>
    <w:rsid w:val="007E0CE9"/>
    <w:rsid w:val="007E3C94"/>
    <w:rsid w:val="007E43AB"/>
    <w:rsid w:val="007E4BD3"/>
    <w:rsid w:val="007E5D7C"/>
    <w:rsid w:val="007F2A54"/>
    <w:rsid w:val="007F4CBA"/>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57284"/>
    <w:rsid w:val="00860824"/>
    <w:rsid w:val="00860A81"/>
    <w:rsid w:val="0086107D"/>
    <w:rsid w:val="00862BD5"/>
    <w:rsid w:val="00863D94"/>
    <w:rsid w:val="00864231"/>
    <w:rsid w:val="00864251"/>
    <w:rsid w:val="00867EC4"/>
    <w:rsid w:val="00871FD5"/>
    <w:rsid w:val="008743D3"/>
    <w:rsid w:val="0087567B"/>
    <w:rsid w:val="00876A20"/>
    <w:rsid w:val="00881213"/>
    <w:rsid w:val="00884233"/>
    <w:rsid w:val="0088642C"/>
    <w:rsid w:val="00890B55"/>
    <w:rsid w:val="008916A5"/>
    <w:rsid w:val="00894282"/>
    <w:rsid w:val="008979B1"/>
    <w:rsid w:val="008A0B75"/>
    <w:rsid w:val="008A1542"/>
    <w:rsid w:val="008A6B25"/>
    <w:rsid w:val="008A6C4F"/>
    <w:rsid w:val="008A7679"/>
    <w:rsid w:val="008A7AB3"/>
    <w:rsid w:val="008B2FD9"/>
    <w:rsid w:val="008B309F"/>
    <w:rsid w:val="008B3EC4"/>
    <w:rsid w:val="008B65FB"/>
    <w:rsid w:val="008C3B3C"/>
    <w:rsid w:val="008C4283"/>
    <w:rsid w:val="008C5EA7"/>
    <w:rsid w:val="008C6F95"/>
    <w:rsid w:val="008C7192"/>
    <w:rsid w:val="008C74C3"/>
    <w:rsid w:val="008C7BF7"/>
    <w:rsid w:val="008D134F"/>
    <w:rsid w:val="008D3C75"/>
    <w:rsid w:val="008D6942"/>
    <w:rsid w:val="008E0E46"/>
    <w:rsid w:val="008E1DAE"/>
    <w:rsid w:val="008E295A"/>
    <w:rsid w:val="008F2D9A"/>
    <w:rsid w:val="008F44B8"/>
    <w:rsid w:val="008F483C"/>
    <w:rsid w:val="008F4D2E"/>
    <w:rsid w:val="008F504A"/>
    <w:rsid w:val="00904EBC"/>
    <w:rsid w:val="00917870"/>
    <w:rsid w:val="00923019"/>
    <w:rsid w:val="00923160"/>
    <w:rsid w:val="00924B63"/>
    <w:rsid w:val="009363B6"/>
    <w:rsid w:val="00940F46"/>
    <w:rsid w:val="00941ECC"/>
    <w:rsid w:val="00945A5D"/>
    <w:rsid w:val="00946A0D"/>
    <w:rsid w:val="00955109"/>
    <w:rsid w:val="00955ECC"/>
    <w:rsid w:val="00963B67"/>
    <w:rsid w:val="00963CBA"/>
    <w:rsid w:val="0096556A"/>
    <w:rsid w:val="009701ED"/>
    <w:rsid w:val="00970463"/>
    <w:rsid w:val="009768AA"/>
    <w:rsid w:val="00976DEF"/>
    <w:rsid w:val="00983103"/>
    <w:rsid w:val="00983354"/>
    <w:rsid w:val="00984471"/>
    <w:rsid w:val="00985F37"/>
    <w:rsid w:val="009879EA"/>
    <w:rsid w:val="009908A5"/>
    <w:rsid w:val="0099124E"/>
    <w:rsid w:val="00991261"/>
    <w:rsid w:val="009953D5"/>
    <w:rsid w:val="009A1D29"/>
    <w:rsid w:val="009B31F4"/>
    <w:rsid w:val="009C4856"/>
    <w:rsid w:val="009C6394"/>
    <w:rsid w:val="009D0E2A"/>
    <w:rsid w:val="009D0F0E"/>
    <w:rsid w:val="009D1AAE"/>
    <w:rsid w:val="009D5536"/>
    <w:rsid w:val="009D634E"/>
    <w:rsid w:val="009D6B51"/>
    <w:rsid w:val="009E1560"/>
    <w:rsid w:val="009E380E"/>
    <w:rsid w:val="009E3C0B"/>
    <w:rsid w:val="009E7BEE"/>
    <w:rsid w:val="009F0F06"/>
    <w:rsid w:val="009F1735"/>
    <w:rsid w:val="009F4FC5"/>
    <w:rsid w:val="00A0219F"/>
    <w:rsid w:val="00A04238"/>
    <w:rsid w:val="00A1427D"/>
    <w:rsid w:val="00A1699F"/>
    <w:rsid w:val="00A235F1"/>
    <w:rsid w:val="00A24B4B"/>
    <w:rsid w:val="00A349AE"/>
    <w:rsid w:val="00A34B00"/>
    <w:rsid w:val="00A36529"/>
    <w:rsid w:val="00A3777A"/>
    <w:rsid w:val="00A412DE"/>
    <w:rsid w:val="00A44CB5"/>
    <w:rsid w:val="00A50077"/>
    <w:rsid w:val="00A54CA8"/>
    <w:rsid w:val="00A568A3"/>
    <w:rsid w:val="00A60196"/>
    <w:rsid w:val="00A6199C"/>
    <w:rsid w:val="00A622AF"/>
    <w:rsid w:val="00A62445"/>
    <w:rsid w:val="00A649E3"/>
    <w:rsid w:val="00A65F4A"/>
    <w:rsid w:val="00A66636"/>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A1D9A"/>
    <w:rsid w:val="00AA2ED7"/>
    <w:rsid w:val="00AA32EB"/>
    <w:rsid w:val="00AB382F"/>
    <w:rsid w:val="00AB4CF1"/>
    <w:rsid w:val="00AB5EE8"/>
    <w:rsid w:val="00AB63FA"/>
    <w:rsid w:val="00AC7E57"/>
    <w:rsid w:val="00AD34EE"/>
    <w:rsid w:val="00AD5CD4"/>
    <w:rsid w:val="00AD7C88"/>
    <w:rsid w:val="00AE0C57"/>
    <w:rsid w:val="00AE45DE"/>
    <w:rsid w:val="00AF0878"/>
    <w:rsid w:val="00AF2F9D"/>
    <w:rsid w:val="00AF5774"/>
    <w:rsid w:val="00AF6710"/>
    <w:rsid w:val="00B013E6"/>
    <w:rsid w:val="00B01E71"/>
    <w:rsid w:val="00B04D66"/>
    <w:rsid w:val="00B10C19"/>
    <w:rsid w:val="00B1157C"/>
    <w:rsid w:val="00B1292B"/>
    <w:rsid w:val="00B1501F"/>
    <w:rsid w:val="00B22B5C"/>
    <w:rsid w:val="00B26710"/>
    <w:rsid w:val="00B26B3C"/>
    <w:rsid w:val="00B27ED7"/>
    <w:rsid w:val="00B28366"/>
    <w:rsid w:val="00B30179"/>
    <w:rsid w:val="00B3317B"/>
    <w:rsid w:val="00B3578D"/>
    <w:rsid w:val="00B366F1"/>
    <w:rsid w:val="00B41384"/>
    <w:rsid w:val="00B4398E"/>
    <w:rsid w:val="00B47F37"/>
    <w:rsid w:val="00B50E39"/>
    <w:rsid w:val="00B5392B"/>
    <w:rsid w:val="00B71E2B"/>
    <w:rsid w:val="00B73DA8"/>
    <w:rsid w:val="00B74F7C"/>
    <w:rsid w:val="00B758FC"/>
    <w:rsid w:val="00B75E05"/>
    <w:rsid w:val="00B81E12"/>
    <w:rsid w:val="00B84AAC"/>
    <w:rsid w:val="00B90F54"/>
    <w:rsid w:val="00B91CC3"/>
    <w:rsid w:val="00B92A0C"/>
    <w:rsid w:val="00B93068"/>
    <w:rsid w:val="00B931A6"/>
    <w:rsid w:val="00BA255F"/>
    <w:rsid w:val="00BA5059"/>
    <w:rsid w:val="00BA62F0"/>
    <w:rsid w:val="00BB176D"/>
    <w:rsid w:val="00BB26DB"/>
    <w:rsid w:val="00BB28DD"/>
    <w:rsid w:val="00BB3B28"/>
    <w:rsid w:val="00BC2ED1"/>
    <w:rsid w:val="00BC74E9"/>
    <w:rsid w:val="00BD6FBB"/>
    <w:rsid w:val="00BE1FF8"/>
    <w:rsid w:val="00BE289D"/>
    <w:rsid w:val="00BE50CA"/>
    <w:rsid w:val="00BE618E"/>
    <w:rsid w:val="00BF57C3"/>
    <w:rsid w:val="00C004ED"/>
    <w:rsid w:val="00C0263F"/>
    <w:rsid w:val="00C03B44"/>
    <w:rsid w:val="00C10E79"/>
    <w:rsid w:val="00C11170"/>
    <w:rsid w:val="00C12017"/>
    <w:rsid w:val="00C13A85"/>
    <w:rsid w:val="00C218A4"/>
    <w:rsid w:val="00C244EB"/>
    <w:rsid w:val="00C2756F"/>
    <w:rsid w:val="00C323C9"/>
    <w:rsid w:val="00C36D37"/>
    <w:rsid w:val="00C45BF0"/>
    <w:rsid w:val="00C463DD"/>
    <w:rsid w:val="00C46D5B"/>
    <w:rsid w:val="00C5156B"/>
    <w:rsid w:val="00C5189A"/>
    <w:rsid w:val="00C537D5"/>
    <w:rsid w:val="00C567FD"/>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255D"/>
    <w:rsid w:val="00CC4CA6"/>
    <w:rsid w:val="00CD0009"/>
    <w:rsid w:val="00CD30EE"/>
    <w:rsid w:val="00CD3225"/>
    <w:rsid w:val="00CD4C1D"/>
    <w:rsid w:val="00CD5BEB"/>
    <w:rsid w:val="00CE4083"/>
    <w:rsid w:val="00CE46BA"/>
    <w:rsid w:val="00CE4A8F"/>
    <w:rsid w:val="00CE5A6F"/>
    <w:rsid w:val="00CE75E0"/>
    <w:rsid w:val="00CF6F32"/>
    <w:rsid w:val="00CF778D"/>
    <w:rsid w:val="00D01787"/>
    <w:rsid w:val="00D0631B"/>
    <w:rsid w:val="00D06C3A"/>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2650"/>
    <w:rsid w:val="00D658FA"/>
    <w:rsid w:val="00D730E3"/>
    <w:rsid w:val="00D750AD"/>
    <w:rsid w:val="00D753D8"/>
    <w:rsid w:val="00D76A70"/>
    <w:rsid w:val="00D77A1B"/>
    <w:rsid w:val="00D9256B"/>
    <w:rsid w:val="00D9274F"/>
    <w:rsid w:val="00D96248"/>
    <w:rsid w:val="00D96CC5"/>
    <w:rsid w:val="00D978C6"/>
    <w:rsid w:val="00D97B77"/>
    <w:rsid w:val="00DA62E3"/>
    <w:rsid w:val="00DA6620"/>
    <w:rsid w:val="00DA67AD"/>
    <w:rsid w:val="00DC2F1C"/>
    <w:rsid w:val="00DC3F3D"/>
    <w:rsid w:val="00DD0B71"/>
    <w:rsid w:val="00DD0E29"/>
    <w:rsid w:val="00DD42A0"/>
    <w:rsid w:val="00DE236F"/>
    <w:rsid w:val="00DE3ECB"/>
    <w:rsid w:val="00DE4785"/>
    <w:rsid w:val="00DE7267"/>
    <w:rsid w:val="00DF0A4D"/>
    <w:rsid w:val="00DF0DAA"/>
    <w:rsid w:val="00DF2019"/>
    <w:rsid w:val="00DF3039"/>
    <w:rsid w:val="00DF3A04"/>
    <w:rsid w:val="00DF4518"/>
    <w:rsid w:val="00DF72F6"/>
    <w:rsid w:val="00E130AB"/>
    <w:rsid w:val="00E141A9"/>
    <w:rsid w:val="00E1495C"/>
    <w:rsid w:val="00E1679E"/>
    <w:rsid w:val="00E1707A"/>
    <w:rsid w:val="00E239A0"/>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607DC"/>
    <w:rsid w:val="00E631BA"/>
    <w:rsid w:val="00E638E2"/>
    <w:rsid w:val="00E63DE8"/>
    <w:rsid w:val="00E6613A"/>
    <w:rsid w:val="00E71F0F"/>
    <w:rsid w:val="00E7260F"/>
    <w:rsid w:val="00E730D8"/>
    <w:rsid w:val="00E772CC"/>
    <w:rsid w:val="00E77880"/>
    <w:rsid w:val="00E81230"/>
    <w:rsid w:val="00E81B98"/>
    <w:rsid w:val="00E83D46"/>
    <w:rsid w:val="00E8535A"/>
    <w:rsid w:val="00E864BE"/>
    <w:rsid w:val="00E90647"/>
    <w:rsid w:val="00E93458"/>
    <w:rsid w:val="00E96630"/>
    <w:rsid w:val="00EA0364"/>
    <w:rsid w:val="00EA116E"/>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502"/>
    <w:rsid w:val="00ED7A2A"/>
    <w:rsid w:val="00EE3269"/>
    <w:rsid w:val="00EE484D"/>
    <w:rsid w:val="00EE4D59"/>
    <w:rsid w:val="00EE73C3"/>
    <w:rsid w:val="00EF1D7F"/>
    <w:rsid w:val="00EF3795"/>
    <w:rsid w:val="00EF4AAC"/>
    <w:rsid w:val="00F01C57"/>
    <w:rsid w:val="00F03FA2"/>
    <w:rsid w:val="00F05283"/>
    <w:rsid w:val="00F07537"/>
    <w:rsid w:val="00F07E12"/>
    <w:rsid w:val="00F111C5"/>
    <w:rsid w:val="00F1200D"/>
    <w:rsid w:val="00F30A8A"/>
    <w:rsid w:val="00F33ED7"/>
    <w:rsid w:val="00F34267"/>
    <w:rsid w:val="00F3574D"/>
    <w:rsid w:val="00F363DE"/>
    <w:rsid w:val="00F36AAE"/>
    <w:rsid w:val="00F375DC"/>
    <w:rsid w:val="00F40295"/>
    <w:rsid w:val="00F40E75"/>
    <w:rsid w:val="00F412D3"/>
    <w:rsid w:val="00F44172"/>
    <w:rsid w:val="00F444E3"/>
    <w:rsid w:val="00F453C3"/>
    <w:rsid w:val="00F5087E"/>
    <w:rsid w:val="00F51BAB"/>
    <w:rsid w:val="00F535BE"/>
    <w:rsid w:val="00F54674"/>
    <w:rsid w:val="00F63C7A"/>
    <w:rsid w:val="00F64C95"/>
    <w:rsid w:val="00F66D55"/>
    <w:rsid w:val="00F73F05"/>
    <w:rsid w:val="00F75E96"/>
    <w:rsid w:val="00F76A73"/>
    <w:rsid w:val="00F928DC"/>
    <w:rsid w:val="00F93C5A"/>
    <w:rsid w:val="00FA00A0"/>
    <w:rsid w:val="00FA0155"/>
    <w:rsid w:val="00FA3D6B"/>
    <w:rsid w:val="00FA3FB7"/>
    <w:rsid w:val="00FB5794"/>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5296-10D4-440F-B61F-69EEAE80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54</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Rosa Garcia Couto</cp:lastModifiedBy>
  <cp:revision>21</cp:revision>
  <cp:lastPrinted>2014-03-14T07:40:00Z</cp:lastPrinted>
  <dcterms:created xsi:type="dcterms:W3CDTF">2022-05-27T17:56:00Z</dcterms:created>
  <dcterms:modified xsi:type="dcterms:W3CDTF">2022-05-30T08:39:00Z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ies>
</file>