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77E8F0D8" w14:textId="77777777" w:rsidTr="00F01738">
        <w:trPr>
          <w:trHeight w:hRule="exact" w:val="851"/>
        </w:trPr>
        <w:tc>
          <w:tcPr>
            <w:tcW w:w="1276" w:type="dxa"/>
            <w:tcBorders>
              <w:bottom w:val="single" w:sz="4" w:space="0" w:color="auto"/>
            </w:tcBorders>
          </w:tcPr>
          <w:p w14:paraId="3C67E297" w14:textId="77777777" w:rsidR="00132EA9" w:rsidRPr="00DB58B5" w:rsidRDefault="00132EA9" w:rsidP="00A1078B"/>
        </w:tc>
        <w:tc>
          <w:tcPr>
            <w:tcW w:w="2268" w:type="dxa"/>
            <w:tcBorders>
              <w:bottom w:val="single" w:sz="4" w:space="0" w:color="auto"/>
            </w:tcBorders>
            <w:vAlign w:val="bottom"/>
          </w:tcPr>
          <w:p w14:paraId="786C8AF3"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71B9325" w14:textId="69434250" w:rsidR="00132EA9" w:rsidRPr="00DB58B5" w:rsidRDefault="00A1078B" w:rsidP="00A1078B">
            <w:pPr>
              <w:jc w:val="right"/>
            </w:pPr>
            <w:r w:rsidRPr="00A1078B">
              <w:rPr>
                <w:sz w:val="40"/>
              </w:rPr>
              <w:t>ST</w:t>
            </w:r>
            <w:r>
              <w:t>/SG/AC.10/C.3/2022/24</w:t>
            </w:r>
          </w:p>
        </w:tc>
      </w:tr>
      <w:tr w:rsidR="00132EA9" w:rsidRPr="00DB58B5" w14:paraId="30C153A5" w14:textId="77777777" w:rsidTr="00F01738">
        <w:trPr>
          <w:trHeight w:hRule="exact" w:val="2835"/>
        </w:trPr>
        <w:tc>
          <w:tcPr>
            <w:tcW w:w="1276" w:type="dxa"/>
            <w:tcBorders>
              <w:top w:val="single" w:sz="4" w:space="0" w:color="auto"/>
              <w:bottom w:val="single" w:sz="12" w:space="0" w:color="auto"/>
            </w:tcBorders>
          </w:tcPr>
          <w:p w14:paraId="3E6C78CB" w14:textId="77777777" w:rsidR="00132EA9" w:rsidRPr="00DB58B5" w:rsidRDefault="00132EA9" w:rsidP="00F01738">
            <w:pPr>
              <w:spacing w:before="120"/>
              <w:jc w:val="center"/>
            </w:pPr>
            <w:r>
              <w:rPr>
                <w:noProof/>
                <w:lang w:eastAsia="fr-CH"/>
              </w:rPr>
              <w:drawing>
                <wp:inline distT="0" distB="0" distL="0" distR="0" wp14:anchorId="7786E0ED" wp14:editId="0C6FCCD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62D3FE"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D635AC9" w14:textId="77777777" w:rsidR="00132EA9" w:rsidRDefault="00A1078B" w:rsidP="00F01738">
            <w:pPr>
              <w:spacing w:before="240"/>
            </w:pPr>
            <w:r>
              <w:t>Distr. générale</w:t>
            </w:r>
          </w:p>
          <w:p w14:paraId="42E3E31B" w14:textId="77777777" w:rsidR="00A1078B" w:rsidRDefault="00A1078B" w:rsidP="00A1078B">
            <w:pPr>
              <w:spacing w:line="240" w:lineRule="exact"/>
            </w:pPr>
            <w:r>
              <w:t>7 avril 2022</w:t>
            </w:r>
          </w:p>
          <w:p w14:paraId="5FBFBF8F" w14:textId="77777777" w:rsidR="00A1078B" w:rsidRDefault="00A1078B" w:rsidP="00A1078B">
            <w:pPr>
              <w:spacing w:line="240" w:lineRule="exact"/>
            </w:pPr>
            <w:r>
              <w:t>Français</w:t>
            </w:r>
          </w:p>
          <w:p w14:paraId="046BA5B9" w14:textId="4F594F48" w:rsidR="00A1078B" w:rsidRPr="00DB58B5" w:rsidRDefault="00A1078B" w:rsidP="00A1078B">
            <w:pPr>
              <w:spacing w:line="240" w:lineRule="exact"/>
            </w:pPr>
            <w:r>
              <w:t>Original : anglais</w:t>
            </w:r>
          </w:p>
        </w:tc>
      </w:tr>
    </w:tbl>
    <w:p w14:paraId="783CB071" w14:textId="77777777" w:rsidR="00A1078B" w:rsidRPr="00CA0680" w:rsidRDefault="00A1078B"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4B49E7A5" w14:textId="77777777" w:rsidR="00A1078B" w:rsidRPr="00CA0680" w:rsidRDefault="00A1078B" w:rsidP="000305D3">
      <w:pPr>
        <w:spacing w:before="120"/>
        <w:rPr>
          <w:b/>
        </w:rPr>
      </w:pPr>
      <w:r w:rsidRPr="00CA0680">
        <w:rPr>
          <w:b/>
        </w:rPr>
        <w:t>Sous</w:t>
      </w:r>
      <w:r>
        <w:rPr>
          <w:b/>
        </w:rPr>
        <w:t>-</w:t>
      </w:r>
      <w:r w:rsidRPr="00CA0680">
        <w:rPr>
          <w:b/>
        </w:rPr>
        <w:t>Comité d’experts du transport des marchandises dangereuses</w:t>
      </w:r>
    </w:p>
    <w:p w14:paraId="48F1AE9F" w14:textId="77777777" w:rsidR="0024276D" w:rsidRDefault="0024276D" w:rsidP="0024276D">
      <w:pPr>
        <w:spacing w:before="120"/>
        <w:rPr>
          <w:b/>
        </w:rPr>
      </w:pPr>
      <w:r>
        <w:rPr>
          <w:b/>
        </w:rPr>
        <w:t>Soixantième session</w:t>
      </w:r>
    </w:p>
    <w:p w14:paraId="7AC4E2C6" w14:textId="77777777" w:rsidR="0024276D" w:rsidRPr="006500BA" w:rsidRDefault="0024276D" w:rsidP="0024276D">
      <w:r>
        <w:t>Genève, 27 juin-6 juillet 2022</w:t>
      </w:r>
    </w:p>
    <w:p w14:paraId="6E3CBE0A" w14:textId="77777777" w:rsidR="0024276D" w:rsidRPr="006500BA" w:rsidRDefault="0024276D" w:rsidP="0024276D">
      <w:r>
        <w:t>Point 3 de l’ordre du jour provisoire</w:t>
      </w:r>
    </w:p>
    <w:p w14:paraId="2B536611" w14:textId="77777777" w:rsidR="0024276D" w:rsidRDefault="0024276D" w:rsidP="0024276D">
      <w:pPr>
        <w:rPr>
          <w:b/>
          <w:bCs/>
        </w:rPr>
      </w:pPr>
      <w:r>
        <w:rPr>
          <w:b/>
        </w:rPr>
        <w:t>Inscription, classement et emballage</w:t>
      </w:r>
    </w:p>
    <w:p w14:paraId="397F6B53" w14:textId="2440BF77" w:rsidR="0024276D" w:rsidRPr="003C5896" w:rsidRDefault="0024276D" w:rsidP="00FE6003">
      <w:pPr>
        <w:pStyle w:val="HChG"/>
      </w:pPr>
      <w:r>
        <w:tab/>
      </w:r>
      <w:r>
        <w:tab/>
        <w:t xml:space="preserve">Révision du classement de l’hydroxyde </w:t>
      </w:r>
      <w:r w:rsidR="00FE6003">
        <w:br/>
      </w:r>
      <w:r>
        <w:t>de tétraméthylammonium</w:t>
      </w:r>
    </w:p>
    <w:p w14:paraId="68451E20" w14:textId="77777777" w:rsidR="0024276D" w:rsidRPr="003C5896" w:rsidRDefault="0024276D" w:rsidP="00FE6003">
      <w:pPr>
        <w:pStyle w:val="H1G"/>
      </w:pPr>
      <w:r>
        <w:tab/>
      </w:r>
      <w:r>
        <w:tab/>
        <w:t>Communication de l’expert des Pays-Bas</w:t>
      </w:r>
      <w:r w:rsidRPr="00FE6003">
        <w:rPr>
          <w:b w:val="0"/>
          <w:bCs/>
          <w:sz w:val="20"/>
        </w:rPr>
        <w:footnoteReference w:customMarkFollows="1" w:id="2"/>
        <w:t>*</w:t>
      </w:r>
    </w:p>
    <w:p w14:paraId="3EA19CB3" w14:textId="77777777" w:rsidR="0024276D" w:rsidRPr="003C5896" w:rsidRDefault="0024276D" w:rsidP="00FE6003">
      <w:pPr>
        <w:pStyle w:val="HChG"/>
      </w:pPr>
      <w:r>
        <w:tab/>
      </w:r>
      <w:r>
        <w:tab/>
        <w:t>Introduction</w:t>
      </w:r>
    </w:p>
    <w:p w14:paraId="59054828" w14:textId="20C97A1D" w:rsidR="0024276D" w:rsidRPr="008438C2" w:rsidRDefault="0024276D" w:rsidP="00FE6003">
      <w:pPr>
        <w:pStyle w:val="SingleTxtG"/>
      </w:pPr>
      <w:r>
        <w:t>1.</w:t>
      </w:r>
      <w:r>
        <w:tab/>
        <w:t>À la cinquante-neuvième session du Sous-Comité, un document a été présenté (document informel INF.12 (</w:t>
      </w:r>
      <w:r w:rsidR="00204596">
        <w:t>cinquante-neuvième</w:t>
      </w:r>
      <w:r>
        <w:t xml:space="preserve"> session</w:t>
      </w:r>
      <w:r w:rsidRPr="00204596">
        <w:rPr>
          <w:bCs/>
        </w:rPr>
        <w:t>)</w:t>
      </w:r>
      <w:r>
        <w:t>) en vue de l</w:t>
      </w:r>
      <w:r>
        <w:rPr>
          <w:b/>
        </w:rPr>
        <w:t>’</w:t>
      </w:r>
      <w:r>
        <w:t>examen de la révision du classement de l</w:t>
      </w:r>
      <w:r>
        <w:rPr>
          <w:b/>
        </w:rPr>
        <w:t>’</w:t>
      </w:r>
      <w:r>
        <w:t>hydroxyde de tétraméthylammonium (TMAH). De nombreux délégués qui ont soumis des commentaires au cours de cette session ou par correspondance se sont déclarés favorables à l’affectation supplémentaire de l’hydroxyde de tétraméthylammonium à la division</w:t>
      </w:r>
      <w:r w:rsidR="00204596">
        <w:t> </w:t>
      </w:r>
      <w:r>
        <w:t>6.1. Les</w:t>
      </w:r>
      <w:r w:rsidR="00145446">
        <w:t> </w:t>
      </w:r>
      <w:r>
        <w:t xml:space="preserve">Pays-Bas sont très reconnaissants pour les précieuses observations qui ont été communiquées. </w:t>
      </w:r>
    </w:p>
    <w:p w14:paraId="3AAE0B29" w14:textId="12B1E4F9" w:rsidR="0024276D" w:rsidRDefault="0024276D" w:rsidP="00FE6003">
      <w:pPr>
        <w:pStyle w:val="SingleTxtG"/>
      </w:pPr>
      <w:r>
        <w:t>2.</w:t>
      </w:r>
      <w:r>
        <w:tab/>
      </w:r>
      <w:r w:rsidRPr="005118A7">
        <w:rPr>
          <w:spacing w:val="-1"/>
        </w:rPr>
        <w:t>Le TMAH est un ammonium quaternaire utilisé dans l’industrie chimique sous forme solide et en solution. La forme solide est affectée au No</w:t>
      </w:r>
      <w:r w:rsidR="00145446" w:rsidRPr="005118A7">
        <w:rPr>
          <w:spacing w:val="-1"/>
        </w:rPr>
        <w:t> </w:t>
      </w:r>
      <w:r w:rsidRPr="005118A7">
        <w:rPr>
          <w:spacing w:val="-1"/>
        </w:rPr>
        <w:t>ONU 3423 HYDROXYDE DE TETRAMÉTHYLAMMONIUM, SOLIDE, classe 8, GE II, tandis que les solutions de TMAH sont affectées au No</w:t>
      </w:r>
      <w:r w:rsidR="005118A7" w:rsidRPr="005118A7">
        <w:rPr>
          <w:spacing w:val="-1"/>
        </w:rPr>
        <w:t> </w:t>
      </w:r>
      <w:r w:rsidRPr="005118A7">
        <w:rPr>
          <w:spacing w:val="-1"/>
        </w:rPr>
        <w:t>ONU 1835 HYDROXYDE DE TETRAMÉTHYLAMMONIUM EN SOLUTION, classe 8, GE II ou III. Les solutions de TMAH sont généralement transportées à des concentrations de 2,38 %, 20 % et 25 %.</w:t>
      </w:r>
    </w:p>
    <w:p w14:paraId="41EEFB90" w14:textId="25B9FF58" w:rsidR="0024276D" w:rsidRPr="00932D3E" w:rsidRDefault="0024276D" w:rsidP="00FE6003">
      <w:pPr>
        <w:pStyle w:val="SingleTxtG"/>
      </w:pPr>
      <w:r>
        <w:t>3.</w:t>
      </w:r>
      <w:r>
        <w:tab/>
        <w:t>Selon les sources documentaires, le TMAH est un composé alcalin corrosif qui peut provoquer des brûlures chimiques de la peau, et un neurotoxique systémique (agoniste cholinergique) pouvant entraîner une insuffisance respiratoire et un arrêt cardiaque. La</w:t>
      </w:r>
      <w:r w:rsidR="005118A7">
        <w:t> </w:t>
      </w:r>
      <w:r>
        <w:t>corrosivité du TMAH en solution entraîne des lésions de la peau, ce qui accro</w:t>
      </w:r>
      <w:r w:rsidR="005118A7">
        <w:t>î</w:t>
      </w:r>
      <w:r>
        <w:t>t l’absorption cutanée du TMAH. Le TMAH solide est hygroscopique et absorbe l’eau ou se dissout dans l’humidité de surface de la peau</w:t>
      </w:r>
      <w:r w:rsidR="00E919B7">
        <w:rPr>
          <w:rStyle w:val="FootnoteReference"/>
        </w:rPr>
        <w:footnoteReference w:id="3"/>
      </w:r>
      <w:r>
        <w:t>. Le classement actuel du TMAH dans la liste des marchandises dangereuses ne reflète pas la toxicité aiguë de la substance. Les fiches de renseignements actuelles du TMAH figurent aux annexes III (forme solide) et IV (solution) à titre d’information.</w:t>
      </w:r>
    </w:p>
    <w:p w14:paraId="08358AB9" w14:textId="1408967A" w:rsidR="0024276D" w:rsidRPr="00516A40" w:rsidRDefault="0024276D" w:rsidP="00FE6003">
      <w:pPr>
        <w:pStyle w:val="SingleTxtG"/>
      </w:pPr>
      <w:r>
        <w:lastRenderedPageBreak/>
        <w:t>4.</w:t>
      </w:r>
      <w:r>
        <w:tab/>
        <w:t>Le Règlement type pour le transport des marchandises dangereuses indique à plusieurs endroits que l’affectation à un groupe d’emballage doit tenir compte des effets connus sur l’homme</w:t>
      </w:r>
      <w:r w:rsidR="00D56880">
        <w:t> </w:t>
      </w:r>
      <w:r>
        <w:t>: au 2.6.2.2.2 s’agissant des matières toxiques, et au 2.8.3.1 et au 2.8.3.2. s’agissant des matières corrosives. Cependant, aucun critère quantitatif de classement reposant sur les effets connus sur l’homme n’est donné.</w:t>
      </w:r>
    </w:p>
    <w:p w14:paraId="091792A8" w14:textId="2E6E4036" w:rsidR="0024276D" w:rsidRDefault="0024276D" w:rsidP="00FE6003">
      <w:pPr>
        <w:pStyle w:val="SingleTxtG"/>
      </w:pPr>
      <w:r>
        <w:t>5.</w:t>
      </w:r>
      <w:r>
        <w:tab/>
        <w:t>Il est nécessaire d’actualiser le classement du TMAH sur la base des connaissances les plus récentes pour garantir la sécurité des personnes, des biens et de l’environnement. Ce</w:t>
      </w:r>
      <w:r w:rsidR="009109FC">
        <w:t> </w:t>
      </w:r>
      <w:r>
        <w:t>faisant, le Sous-Comité s’aligne sur le troisième objectif de développement durable, qui consiste à permettre à tous de vivre en bonne santé et à promouvoir le bien-être de tous à tout âge.</w:t>
      </w:r>
    </w:p>
    <w:p w14:paraId="6861FA64" w14:textId="045CDFCA" w:rsidR="0024276D" w:rsidRPr="00516A40" w:rsidRDefault="0024276D" w:rsidP="00FE6003">
      <w:pPr>
        <w:pStyle w:val="SingleTxtG"/>
      </w:pPr>
      <w:r>
        <w:t>6.</w:t>
      </w:r>
      <w:r>
        <w:tab/>
        <w:t>Le présent document de travail commence par un aperçu des données disponibles sur des incidents concernant des êtres humains, suivi d’une analyse de ces incidents et d’une proposition d’affectation aux groupes d’emballage pour les effets toxiques et corrosifs. La</w:t>
      </w:r>
      <w:r w:rsidR="00CD2F79">
        <w:t> </w:t>
      </w:r>
      <w:r>
        <w:t>seconde partie du document synthétise des données provenant d’essais menés sur les animaux et indique le classement qui en découle (les données elles-mêmes figurent aux annexes</w:t>
      </w:r>
      <w:r w:rsidR="009109FC">
        <w:t> </w:t>
      </w:r>
      <w:r>
        <w:t>I et</w:t>
      </w:r>
      <w:r w:rsidR="009109FC">
        <w:t> </w:t>
      </w:r>
      <w:r>
        <w:t>II). Dans un troisième temps, le document présente sous forme condensée la proposition de classement du TMAH fondée sur les données issues d’incidents concernant des êtres humains et d’études menées sur les animaux, qui donne la priorité aux données obtenues sur l’homme. La dernière partie est consacrée à la mise à jour des conditions de transport en fonction de la proposition de classement, comme indiqué au paragraphe</w:t>
      </w:r>
      <w:r w:rsidR="009109FC">
        <w:t> </w:t>
      </w:r>
      <w:r>
        <w:t>21 du présent document.</w:t>
      </w:r>
    </w:p>
    <w:p w14:paraId="11CFB37C" w14:textId="77777777" w:rsidR="0024276D" w:rsidRPr="004F5A1D" w:rsidRDefault="0024276D" w:rsidP="00B97070">
      <w:pPr>
        <w:pStyle w:val="HChG"/>
      </w:pPr>
      <w:r>
        <w:tab/>
      </w:r>
      <w:r>
        <w:tab/>
        <w:t>Données issues d’incidents touchant des êtres humains</w:t>
      </w:r>
    </w:p>
    <w:p w14:paraId="682557C3" w14:textId="1E69A636" w:rsidR="0024276D" w:rsidRDefault="0024276D" w:rsidP="00FE6003">
      <w:pPr>
        <w:pStyle w:val="SingleTxtG"/>
      </w:pPr>
      <w:r>
        <w:t>7.</w:t>
      </w:r>
      <w:r>
        <w:tab/>
        <w:t>Les données proviennent de trois études bibliographiques</w:t>
      </w:r>
      <w:r w:rsidRPr="00B97070">
        <w:rPr>
          <w:rStyle w:val="FootnoteReference"/>
        </w:rPr>
        <w:footnoteReference w:id="4"/>
      </w:r>
      <w:r>
        <w:rPr>
          <w:vertAlign w:val="superscript"/>
        </w:rPr>
        <w:t>,</w:t>
      </w:r>
      <w:r w:rsidR="00B97070">
        <w:rPr>
          <w:vertAlign w:val="superscript"/>
        </w:rPr>
        <w:t xml:space="preserve"> </w:t>
      </w:r>
      <w:r w:rsidRPr="00B97070">
        <w:rPr>
          <w:rStyle w:val="FootnoteReference"/>
        </w:rPr>
        <w:footnoteReference w:id="5"/>
      </w:r>
      <w:r>
        <w:rPr>
          <w:vertAlign w:val="superscript"/>
        </w:rPr>
        <w:t>,</w:t>
      </w:r>
      <w:r w:rsidR="00B97070">
        <w:rPr>
          <w:vertAlign w:val="superscript"/>
        </w:rPr>
        <w:t xml:space="preserve"> </w:t>
      </w:r>
      <w:r w:rsidRPr="00B97070">
        <w:rPr>
          <w:rStyle w:val="FootnoteReference"/>
        </w:rPr>
        <w:footnoteReference w:id="6"/>
      </w:r>
      <w:r>
        <w:t>, qui font état au total de 37</w:t>
      </w:r>
      <w:r w:rsidR="00B97070">
        <w:t> </w:t>
      </w:r>
      <w:r>
        <w:t>cas d’exposition humaine accidentelle, dont quatre ont entraîné la mort (voir tableau</w:t>
      </w:r>
      <w:r w:rsidR="00B97070">
        <w:t> </w:t>
      </w:r>
      <w:r>
        <w:t>1).</w:t>
      </w:r>
      <w:r>
        <w:rPr>
          <w:rStyle w:val="Hyperlink"/>
        </w:rPr>
        <w:t xml:space="preserve"> </w:t>
      </w:r>
      <w:r w:rsidRPr="00B97070">
        <w:rPr>
          <w:rStyle w:val="Hyperlink"/>
          <w:color w:val="auto"/>
        </w:rPr>
        <w:t xml:space="preserve">Les accidents impliquaient des solutions de TMAH dont les concentrations étaient comprises entre de 0,5 % et 25 %. Les cas dans lesquels la concentration de TMAH était inconnue ont été retirés du tableau, car ils ne peuvent pas être utilisés à des fins de classement. </w:t>
      </w:r>
      <w:r>
        <w:t>Certaines victimes ont été traitées avec de la Diphotérine, une solution de décontamination d’urgence qui a permis de limiter la gravité des effets sur la santé. Les incidents sont classés en fonction de la concentration de la solution, du pourcentage de surface corporelle exposée, du temps écoulé entre l’exposition et la décontamination, des anomalies cliniques et de laboratoire, ainsi que du traitement et de son résultat. Les publications originales contiennent des informations supplémentaires sur les particularités de certains des cas et les signes cliniques observés.</w:t>
      </w:r>
    </w:p>
    <w:p w14:paraId="60BF3C7E" w14:textId="77777777" w:rsidR="00467561" w:rsidRDefault="00467561">
      <w:pPr>
        <w:suppressAutoHyphens w:val="0"/>
        <w:kinsoku/>
        <w:overflowPunct/>
        <w:autoSpaceDE/>
        <w:autoSpaceDN/>
        <w:adjustRightInd/>
        <w:snapToGrid/>
        <w:spacing w:after="200" w:line="276" w:lineRule="auto"/>
      </w:pPr>
      <w:r>
        <w:br w:type="page"/>
      </w:r>
    </w:p>
    <w:p w14:paraId="7BA4CB1F" w14:textId="5AD96331" w:rsidR="0024276D" w:rsidRPr="004F01D7" w:rsidRDefault="0024276D" w:rsidP="00467561">
      <w:pPr>
        <w:pStyle w:val="Heading1"/>
        <w:spacing w:after="120"/>
        <w:ind w:left="0"/>
        <w:rPr>
          <w:bCs/>
          <w:i/>
          <w:iCs/>
        </w:rPr>
      </w:pPr>
      <w:r>
        <w:lastRenderedPageBreak/>
        <w:t>Tableau 1</w:t>
      </w:r>
      <w:r w:rsidR="00B97070">
        <w:br/>
      </w:r>
      <w:r w:rsidRPr="00B97070">
        <w:rPr>
          <w:b/>
          <w:bCs/>
        </w:rPr>
        <w:t>Cas d’exposition humaine accidentelle au TMAH (contact cutané)</w:t>
      </w:r>
    </w:p>
    <w:tbl>
      <w:tblPr>
        <w:tblW w:w="9763" w:type="dxa"/>
        <w:tblCellMar>
          <w:left w:w="70" w:type="dxa"/>
          <w:right w:w="70" w:type="dxa"/>
        </w:tblCellMar>
        <w:tblLook w:val="04A0" w:firstRow="1" w:lastRow="0" w:firstColumn="1" w:lastColumn="0" w:noHBand="0" w:noVBand="1"/>
      </w:tblPr>
      <w:tblGrid>
        <w:gridCol w:w="1092"/>
        <w:gridCol w:w="1969"/>
        <w:gridCol w:w="966"/>
        <w:gridCol w:w="2893"/>
        <w:gridCol w:w="1727"/>
        <w:gridCol w:w="1190"/>
      </w:tblGrid>
      <w:tr w:rsidR="0024276D" w:rsidRPr="003D65BD" w14:paraId="0F22AFBD" w14:textId="77777777" w:rsidTr="00AC5EC1">
        <w:trPr>
          <w:trHeight w:val="256"/>
          <w:tblHeader/>
        </w:trPr>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16B0E" w14:textId="77777777" w:rsidR="0024276D" w:rsidRPr="003D65BD" w:rsidRDefault="0024276D" w:rsidP="003D65BD">
            <w:pPr>
              <w:suppressAutoHyphens w:val="0"/>
              <w:kinsoku/>
              <w:overflowPunct/>
              <w:autoSpaceDE/>
              <w:autoSpaceDN/>
              <w:adjustRightInd/>
              <w:snapToGrid/>
              <w:spacing w:before="60" w:after="60" w:line="240" w:lineRule="auto"/>
              <w:rPr>
                <w:rFonts w:eastAsia="Times New Roman"/>
                <w:b/>
                <w:bCs/>
                <w:i/>
                <w:iCs/>
                <w:color w:val="000000"/>
                <w:sz w:val="16"/>
                <w:szCs w:val="16"/>
              </w:rPr>
            </w:pPr>
            <w:r w:rsidRPr="003D65BD">
              <w:rPr>
                <w:b/>
                <w:i/>
                <w:color w:val="000000"/>
                <w:sz w:val="16"/>
                <w:szCs w:val="16"/>
              </w:rPr>
              <w:t xml:space="preserve">Concentration de la solution de TMAH </w:t>
            </w:r>
          </w:p>
        </w:tc>
        <w:tc>
          <w:tcPr>
            <w:tcW w:w="1969" w:type="dxa"/>
            <w:tcBorders>
              <w:top w:val="single" w:sz="4" w:space="0" w:color="auto"/>
              <w:left w:val="nil"/>
              <w:bottom w:val="single" w:sz="4" w:space="0" w:color="auto"/>
              <w:right w:val="single" w:sz="4" w:space="0" w:color="auto"/>
            </w:tcBorders>
            <w:shd w:val="clear" w:color="auto" w:fill="auto"/>
            <w:noWrap/>
            <w:vAlign w:val="center"/>
            <w:hideMark/>
          </w:tcPr>
          <w:p w14:paraId="4344EF99" w14:textId="77777777" w:rsidR="0024276D" w:rsidRPr="003D65BD" w:rsidRDefault="0024276D" w:rsidP="003D65BD">
            <w:pPr>
              <w:suppressAutoHyphens w:val="0"/>
              <w:kinsoku/>
              <w:overflowPunct/>
              <w:autoSpaceDE/>
              <w:autoSpaceDN/>
              <w:adjustRightInd/>
              <w:snapToGrid/>
              <w:spacing w:before="60" w:after="60" w:line="240" w:lineRule="auto"/>
              <w:rPr>
                <w:rFonts w:eastAsia="Times New Roman"/>
                <w:b/>
                <w:bCs/>
                <w:i/>
                <w:iCs/>
                <w:color w:val="000000"/>
                <w:sz w:val="16"/>
                <w:szCs w:val="16"/>
              </w:rPr>
            </w:pPr>
            <w:r w:rsidRPr="003D65BD">
              <w:rPr>
                <w:b/>
                <w:i/>
                <w:color w:val="000000"/>
                <w:sz w:val="16"/>
                <w:szCs w:val="16"/>
              </w:rPr>
              <w:t>Surface corporelle exposée</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14:paraId="46A88FA2" w14:textId="77777777" w:rsidR="0024276D" w:rsidRPr="003D65BD" w:rsidRDefault="0024276D" w:rsidP="003D65BD">
            <w:pPr>
              <w:suppressAutoHyphens w:val="0"/>
              <w:kinsoku/>
              <w:overflowPunct/>
              <w:autoSpaceDE/>
              <w:autoSpaceDN/>
              <w:adjustRightInd/>
              <w:snapToGrid/>
              <w:spacing w:before="60" w:after="60" w:line="240" w:lineRule="auto"/>
              <w:rPr>
                <w:rFonts w:eastAsia="Times New Roman"/>
                <w:b/>
                <w:bCs/>
                <w:i/>
                <w:iCs/>
                <w:color w:val="000000"/>
                <w:sz w:val="16"/>
                <w:szCs w:val="16"/>
              </w:rPr>
            </w:pPr>
            <w:r w:rsidRPr="003D65BD">
              <w:rPr>
                <w:b/>
                <w:i/>
                <w:color w:val="000000"/>
                <w:sz w:val="16"/>
                <w:szCs w:val="16"/>
              </w:rPr>
              <w:t>Durée d’exposition</w:t>
            </w:r>
          </w:p>
        </w:tc>
        <w:tc>
          <w:tcPr>
            <w:tcW w:w="2893" w:type="dxa"/>
            <w:tcBorders>
              <w:top w:val="single" w:sz="4" w:space="0" w:color="auto"/>
              <w:left w:val="nil"/>
              <w:bottom w:val="single" w:sz="4" w:space="0" w:color="auto"/>
              <w:right w:val="single" w:sz="4" w:space="0" w:color="auto"/>
            </w:tcBorders>
            <w:shd w:val="clear" w:color="auto" w:fill="auto"/>
            <w:noWrap/>
            <w:vAlign w:val="center"/>
            <w:hideMark/>
          </w:tcPr>
          <w:p w14:paraId="4B9B0587" w14:textId="5A3504B0" w:rsidR="0024276D" w:rsidRPr="003D65BD" w:rsidRDefault="0024276D" w:rsidP="003D65BD">
            <w:pPr>
              <w:suppressAutoHyphens w:val="0"/>
              <w:kinsoku/>
              <w:overflowPunct/>
              <w:autoSpaceDE/>
              <w:autoSpaceDN/>
              <w:adjustRightInd/>
              <w:snapToGrid/>
              <w:spacing w:before="60" w:after="60" w:line="240" w:lineRule="auto"/>
              <w:rPr>
                <w:rFonts w:eastAsia="Times New Roman"/>
                <w:b/>
                <w:bCs/>
                <w:i/>
                <w:iCs/>
                <w:color w:val="000000"/>
                <w:sz w:val="16"/>
                <w:szCs w:val="16"/>
              </w:rPr>
            </w:pPr>
            <w:r w:rsidRPr="003D65BD">
              <w:rPr>
                <w:b/>
                <w:i/>
                <w:color w:val="000000"/>
                <w:sz w:val="16"/>
                <w:szCs w:val="16"/>
              </w:rPr>
              <w:t xml:space="preserve">Anomalies cliniques et anomalies </w:t>
            </w:r>
            <w:r w:rsidR="00467561">
              <w:rPr>
                <w:b/>
                <w:i/>
                <w:color w:val="000000"/>
                <w:sz w:val="16"/>
                <w:szCs w:val="16"/>
              </w:rPr>
              <w:br/>
            </w:r>
            <w:r w:rsidRPr="003D65BD">
              <w:rPr>
                <w:b/>
                <w:i/>
                <w:color w:val="000000"/>
                <w:sz w:val="16"/>
                <w:szCs w:val="16"/>
              </w:rPr>
              <w:t>de laboratoire</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14:paraId="152FF76B" w14:textId="77777777" w:rsidR="0024276D" w:rsidRPr="003D65BD" w:rsidRDefault="0024276D" w:rsidP="003D65BD">
            <w:pPr>
              <w:suppressAutoHyphens w:val="0"/>
              <w:kinsoku/>
              <w:overflowPunct/>
              <w:autoSpaceDE/>
              <w:autoSpaceDN/>
              <w:adjustRightInd/>
              <w:snapToGrid/>
              <w:spacing w:before="60" w:after="60" w:line="240" w:lineRule="auto"/>
              <w:rPr>
                <w:rFonts w:eastAsia="Times New Roman"/>
                <w:b/>
                <w:bCs/>
                <w:i/>
                <w:iCs/>
                <w:color w:val="000000"/>
                <w:sz w:val="16"/>
                <w:szCs w:val="16"/>
              </w:rPr>
            </w:pPr>
            <w:r w:rsidRPr="003D65BD">
              <w:rPr>
                <w:b/>
                <w:i/>
                <w:color w:val="000000"/>
                <w:sz w:val="16"/>
                <w:szCs w:val="16"/>
              </w:rPr>
              <w:t>Traitement/résultat</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6C338282" w14:textId="77777777" w:rsidR="0024276D" w:rsidRPr="003D65BD" w:rsidRDefault="0024276D" w:rsidP="003D65BD">
            <w:pPr>
              <w:suppressAutoHyphens w:val="0"/>
              <w:kinsoku/>
              <w:overflowPunct/>
              <w:autoSpaceDE/>
              <w:autoSpaceDN/>
              <w:adjustRightInd/>
              <w:snapToGrid/>
              <w:spacing w:before="60" w:after="60" w:line="240" w:lineRule="auto"/>
              <w:rPr>
                <w:rFonts w:eastAsia="Times New Roman"/>
                <w:b/>
                <w:bCs/>
                <w:i/>
                <w:iCs/>
                <w:color w:val="000000"/>
                <w:sz w:val="16"/>
                <w:szCs w:val="16"/>
              </w:rPr>
            </w:pPr>
            <w:r w:rsidRPr="003D65BD">
              <w:rPr>
                <w:b/>
                <w:i/>
                <w:color w:val="000000"/>
                <w:sz w:val="16"/>
                <w:szCs w:val="16"/>
              </w:rPr>
              <w:t xml:space="preserve">Référence bibliographique </w:t>
            </w:r>
          </w:p>
        </w:tc>
      </w:tr>
      <w:tr w:rsidR="0024276D" w:rsidRPr="003D65BD" w14:paraId="55336B6D" w14:textId="77777777" w:rsidTr="00D65132">
        <w:trPr>
          <w:trHeight w:val="256"/>
        </w:trPr>
        <w:tc>
          <w:tcPr>
            <w:tcW w:w="1092" w:type="dxa"/>
            <w:tcBorders>
              <w:top w:val="nil"/>
              <w:left w:val="single" w:sz="4" w:space="0" w:color="auto"/>
              <w:bottom w:val="single" w:sz="4" w:space="0" w:color="auto"/>
              <w:right w:val="single" w:sz="4" w:space="0" w:color="auto"/>
            </w:tcBorders>
            <w:shd w:val="clear" w:color="auto" w:fill="auto"/>
            <w:noWrap/>
            <w:hideMark/>
          </w:tcPr>
          <w:p w14:paraId="40BC9889"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0,50 %</w:t>
            </w:r>
          </w:p>
        </w:tc>
        <w:tc>
          <w:tcPr>
            <w:tcW w:w="1969" w:type="dxa"/>
            <w:tcBorders>
              <w:top w:val="nil"/>
              <w:left w:val="nil"/>
              <w:bottom w:val="single" w:sz="4" w:space="0" w:color="auto"/>
              <w:right w:val="single" w:sz="4" w:space="0" w:color="auto"/>
            </w:tcBorders>
            <w:shd w:val="clear" w:color="auto" w:fill="auto"/>
            <w:noWrap/>
            <w:hideMark/>
          </w:tcPr>
          <w:p w14:paraId="1E34A66C"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Quasi-totalité du corps</w:t>
            </w:r>
          </w:p>
        </w:tc>
        <w:tc>
          <w:tcPr>
            <w:tcW w:w="966" w:type="dxa"/>
            <w:tcBorders>
              <w:top w:val="nil"/>
              <w:left w:val="nil"/>
              <w:bottom w:val="single" w:sz="4" w:space="0" w:color="auto"/>
              <w:right w:val="single" w:sz="4" w:space="0" w:color="auto"/>
            </w:tcBorders>
            <w:shd w:val="clear" w:color="auto" w:fill="auto"/>
            <w:noWrap/>
            <w:hideMark/>
          </w:tcPr>
          <w:p w14:paraId="64E1513A"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30 min</w:t>
            </w:r>
          </w:p>
        </w:tc>
        <w:tc>
          <w:tcPr>
            <w:tcW w:w="2893" w:type="dxa"/>
            <w:tcBorders>
              <w:top w:val="nil"/>
              <w:left w:val="nil"/>
              <w:bottom w:val="single" w:sz="4" w:space="0" w:color="auto"/>
              <w:right w:val="single" w:sz="4" w:space="0" w:color="auto"/>
            </w:tcBorders>
            <w:shd w:val="clear" w:color="auto" w:fill="auto"/>
            <w:noWrap/>
            <w:hideMark/>
          </w:tcPr>
          <w:p w14:paraId="32F60FAA"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Aucune</w:t>
            </w:r>
          </w:p>
        </w:tc>
        <w:tc>
          <w:tcPr>
            <w:tcW w:w="1727" w:type="dxa"/>
            <w:tcBorders>
              <w:top w:val="nil"/>
              <w:left w:val="nil"/>
              <w:bottom w:val="single" w:sz="4" w:space="0" w:color="auto"/>
              <w:right w:val="single" w:sz="4" w:space="0" w:color="auto"/>
            </w:tcBorders>
            <w:shd w:val="clear" w:color="auto" w:fill="auto"/>
            <w:noWrap/>
            <w:hideMark/>
          </w:tcPr>
          <w:p w14:paraId="24C3AE52"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Traitement de soutien/a survécu</w:t>
            </w:r>
          </w:p>
        </w:tc>
        <w:tc>
          <w:tcPr>
            <w:tcW w:w="1116" w:type="dxa"/>
            <w:tcBorders>
              <w:top w:val="nil"/>
              <w:left w:val="nil"/>
              <w:bottom w:val="single" w:sz="4" w:space="0" w:color="auto"/>
              <w:right w:val="single" w:sz="4" w:space="0" w:color="auto"/>
            </w:tcBorders>
            <w:shd w:val="clear" w:color="auto" w:fill="auto"/>
            <w:noWrap/>
            <w:hideMark/>
          </w:tcPr>
          <w:p w14:paraId="02035729" w14:textId="2EB5038E"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 xml:space="preserve">Huang </w:t>
            </w:r>
            <w:r w:rsidR="00467561" w:rsidRPr="00467561">
              <w:rPr>
                <w:i/>
                <w:color w:val="000000"/>
                <w:sz w:val="18"/>
                <w:szCs w:val="18"/>
              </w:rPr>
              <w:t>et al.</w:t>
            </w:r>
          </w:p>
        </w:tc>
      </w:tr>
      <w:tr w:rsidR="0024276D" w:rsidRPr="003D65BD" w14:paraId="5FB3E7D4" w14:textId="77777777" w:rsidTr="00D65132">
        <w:trPr>
          <w:trHeight w:val="256"/>
        </w:trPr>
        <w:tc>
          <w:tcPr>
            <w:tcW w:w="1092" w:type="dxa"/>
            <w:tcBorders>
              <w:top w:val="nil"/>
              <w:left w:val="single" w:sz="4" w:space="0" w:color="auto"/>
              <w:bottom w:val="single" w:sz="4" w:space="0" w:color="auto"/>
              <w:right w:val="single" w:sz="4" w:space="0" w:color="auto"/>
            </w:tcBorders>
            <w:shd w:val="clear" w:color="auto" w:fill="auto"/>
            <w:noWrap/>
            <w:hideMark/>
          </w:tcPr>
          <w:p w14:paraId="30AD22E5"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0,50 %</w:t>
            </w:r>
          </w:p>
        </w:tc>
        <w:tc>
          <w:tcPr>
            <w:tcW w:w="1969" w:type="dxa"/>
            <w:tcBorders>
              <w:top w:val="nil"/>
              <w:left w:val="nil"/>
              <w:bottom w:val="single" w:sz="4" w:space="0" w:color="auto"/>
              <w:right w:val="single" w:sz="4" w:space="0" w:color="auto"/>
            </w:tcBorders>
            <w:shd w:val="clear" w:color="auto" w:fill="auto"/>
            <w:noWrap/>
            <w:hideMark/>
          </w:tcPr>
          <w:p w14:paraId="7D20840E"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Quasi-totalité du corps</w:t>
            </w:r>
          </w:p>
        </w:tc>
        <w:tc>
          <w:tcPr>
            <w:tcW w:w="966" w:type="dxa"/>
            <w:tcBorders>
              <w:top w:val="nil"/>
              <w:left w:val="nil"/>
              <w:bottom w:val="single" w:sz="4" w:space="0" w:color="auto"/>
              <w:right w:val="single" w:sz="4" w:space="0" w:color="auto"/>
            </w:tcBorders>
            <w:shd w:val="clear" w:color="auto" w:fill="auto"/>
            <w:noWrap/>
            <w:hideMark/>
          </w:tcPr>
          <w:p w14:paraId="6376F742"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30 min</w:t>
            </w:r>
          </w:p>
        </w:tc>
        <w:tc>
          <w:tcPr>
            <w:tcW w:w="2893" w:type="dxa"/>
            <w:tcBorders>
              <w:top w:val="nil"/>
              <w:left w:val="nil"/>
              <w:bottom w:val="single" w:sz="4" w:space="0" w:color="auto"/>
              <w:right w:val="single" w:sz="4" w:space="0" w:color="auto"/>
            </w:tcBorders>
            <w:shd w:val="clear" w:color="auto" w:fill="auto"/>
            <w:noWrap/>
            <w:hideMark/>
          </w:tcPr>
          <w:p w14:paraId="65F887A6"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Aucune</w:t>
            </w:r>
          </w:p>
        </w:tc>
        <w:tc>
          <w:tcPr>
            <w:tcW w:w="1727" w:type="dxa"/>
            <w:tcBorders>
              <w:top w:val="nil"/>
              <w:left w:val="nil"/>
              <w:bottom w:val="single" w:sz="4" w:space="0" w:color="auto"/>
              <w:right w:val="single" w:sz="4" w:space="0" w:color="auto"/>
            </w:tcBorders>
            <w:shd w:val="clear" w:color="auto" w:fill="auto"/>
            <w:noWrap/>
            <w:hideMark/>
          </w:tcPr>
          <w:p w14:paraId="0A78E1FF"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Traitement de soutien/a survécu</w:t>
            </w:r>
          </w:p>
        </w:tc>
        <w:tc>
          <w:tcPr>
            <w:tcW w:w="1116" w:type="dxa"/>
            <w:tcBorders>
              <w:top w:val="nil"/>
              <w:left w:val="nil"/>
              <w:bottom w:val="single" w:sz="4" w:space="0" w:color="auto"/>
              <w:right w:val="single" w:sz="4" w:space="0" w:color="auto"/>
            </w:tcBorders>
            <w:shd w:val="clear" w:color="auto" w:fill="auto"/>
            <w:noWrap/>
            <w:hideMark/>
          </w:tcPr>
          <w:p w14:paraId="5A829C52" w14:textId="1055A696"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 xml:space="preserve">Huang </w:t>
            </w:r>
            <w:r w:rsidR="00467561" w:rsidRPr="00467561">
              <w:rPr>
                <w:i/>
                <w:color w:val="000000"/>
                <w:sz w:val="18"/>
                <w:szCs w:val="18"/>
              </w:rPr>
              <w:t>et al.</w:t>
            </w:r>
          </w:p>
        </w:tc>
      </w:tr>
      <w:tr w:rsidR="0024276D" w:rsidRPr="003D65BD" w14:paraId="025662FB" w14:textId="77777777" w:rsidTr="00D65132">
        <w:trPr>
          <w:trHeight w:val="256"/>
        </w:trPr>
        <w:tc>
          <w:tcPr>
            <w:tcW w:w="1092" w:type="dxa"/>
            <w:tcBorders>
              <w:top w:val="nil"/>
              <w:left w:val="single" w:sz="4" w:space="0" w:color="auto"/>
              <w:bottom w:val="single" w:sz="4" w:space="0" w:color="auto"/>
              <w:right w:val="single" w:sz="4" w:space="0" w:color="auto"/>
            </w:tcBorders>
            <w:shd w:val="clear" w:color="auto" w:fill="auto"/>
            <w:noWrap/>
            <w:hideMark/>
          </w:tcPr>
          <w:p w14:paraId="13D19B64" w14:textId="53F516D6"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1</w:t>
            </w:r>
            <w:r w:rsidR="00AC5EC1">
              <w:rPr>
                <w:color w:val="000000"/>
                <w:sz w:val="18"/>
                <w:szCs w:val="18"/>
              </w:rPr>
              <w:t>-</w:t>
            </w:r>
            <w:r w:rsidRPr="003D65BD">
              <w:rPr>
                <w:color w:val="000000"/>
                <w:sz w:val="18"/>
                <w:szCs w:val="18"/>
              </w:rPr>
              <w:t>3</w:t>
            </w:r>
            <w:r w:rsidR="00AC5EC1">
              <w:rPr>
                <w:color w:val="000000"/>
                <w:sz w:val="18"/>
                <w:szCs w:val="18"/>
              </w:rPr>
              <w:t> </w:t>
            </w:r>
            <w:r w:rsidRPr="003D65BD">
              <w:rPr>
                <w:color w:val="000000"/>
                <w:sz w:val="18"/>
                <w:szCs w:val="18"/>
              </w:rPr>
              <w:t>%</w:t>
            </w:r>
          </w:p>
        </w:tc>
        <w:tc>
          <w:tcPr>
            <w:tcW w:w="1969" w:type="dxa"/>
            <w:tcBorders>
              <w:top w:val="nil"/>
              <w:left w:val="nil"/>
              <w:bottom w:val="single" w:sz="4" w:space="0" w:color="auto"/>
              <w:right w:val="single" w:sz="4" w:space="0" w:color="auto"/>
            </w:tcBorders>
            <w:shd w:val="clear" w:color="auto" w:fill="auto"/>
            <w:noWrap/>
            <w:hideMark/>
          </w:tcPr>
          <w:p w14:paraId="6B4309F7" w14:textId="04AEFAED" w:rsidR="0024276D" w:rsidRPr="003D65BD" w:rsidRDefault="00AC5EC1" w:rsidP="00D65132">
            <w:pPr>
              <w:suppressAutoHyphens w:val="0"/>
              <w:kinsoku/>
              <w:overflowPunct/>
              <w:autoSpaceDE/>
              <w:autoSpaceDN/>
              <w:adjustRightInd/>
              <w:snapToGrid/>
              <w:spacing w:before="60" w:after="60" w:line="240" w:lineRule="auto"/>
              <w:rPr>
                <w:rFonts w:eastAsia="Times New Roman"/>
                <w:color w:val="000000"/>
                <w:sz w:val="18"/>
                <w:szCs w:val="18"/>
              </w:rPr>
            </w:pPr>
            <w:r>
              <w:rPr>
                <w:color w:val="000000"/>
                <w:sz w:val="18"/>
                <w:szCs w:val="18"/>
              </w:rPr>
              <w:t>&lt;</w:t>
            </w:r>
            <w:r w:rsidR="0024276D" w:rsidRPr="003D65BD">
              <w:rPr>
                <w:color w:val="000000"/>
                <w:sz w:val="18"/>
                <w:szCs w:val="18"/>
              </w:rPr>
              <w:t>1 %</w:t>
            </w:r>
          </w:p>
        </w:tc>
        <w:tc>
          <w:tcPr>
            <w:tcW w:w="966" w:type="dxa"/>
            <w:tcBorders>
              <w:top w:val="nil"/>
              <w:left w:val="nil"/>
              <w:bottom w:val="single" w:sz="4" w:space="0" w:color="auto"/>
              <w:right w:val="single" w:sz="4" w:space="0" w:color="auto"/>
            </w:tcBorders>
            <w:shd w:val="clear" w:color="auto" w:fill="auto"/>
            <w:noWrap/>
            <w:hideMark/>
          </w:tcPr>
          <w:p w14:paraId="05E2433E"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Aucune</w:t>
            </w:r>
          </w:p>
        </w:tc>
        <w:tc>
          <w:tcPr>
            <w:tcW w:w="2893" w:type="dxa"/>
            <w:tcBorders>
              <w:top w:val="nil"/>
              <w:left w:val="nil"/>
              <w:bottom w:val="single" w:sz="4" w:space="0" w:color="auto"/>
              <w:right w:val="single" w:sz="4" w:space="0" w:color="auto"/>
            </w:tcBorders>
            <w:shd w:val="clear" w:color="auto" w:fill="auto"/>
            <w:noWrap/>
            <w:hideMark/>
          </w:tcPr>
          <w:p w14:paraId="543A5466"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Brûlures chimiques du premier degré</w:t>
            </w:r>
          </w:p>
        </w:tc>
        <w:tc>
          <w:tcPr>
            <w:tcW w:w="1727" w:type="dxa"/>
            <w:tcBorders>
              <w:top w:val="nil"/>
              <w:left w:val="nil"/>
              <w:bottom w:val="single" w:sz="4" w:space="0" w:color="auto"/>
              <w:right w:val="single" w:sz="4" w:space="0" w:color="auto"/>
            </w:tcBorders>
            <w:shd w:val="clear" w:color="auto" w:fill="auto"/>
            <w:noWrap/>
            <w:hideMark/>
          </w:tcPr>
          <w:p w14:paraId="5CC4B3B4"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Traitement de soutien/a survécu</w:t>
            </w:r>
          </w:p>
        </w:tc>
        <w:tc>
          <w:tcPr>
            <w:tcW w:w="1116" w:type="dxa"/>
            <w:tcBorders>
              <w:top w:val="nil"/>
              <w:left w:val="nil"/>
              <w:bottom w:val="single" w:sz="4" w:space="0" w:color="auto"/>
              <w:right w:val="single" w:sz="4" w:space="0" w:color="auto"/>
            </w:tcBorders>
            <w:shd w:val="clear" w:color="auto" w:fill="auto"/>
            <w:noWrap/>
            <w:hideMark/>
          </w:tcPr>
          <w:p w14:paraId="012EFAC1" w14:textId="1C2EFFD5"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 xml:space="preserve">Huang </w:t>
            </w:r>
            <w:r w:rsidR="00467561" w:rsidRPr="00467561">
              <w:rPr>
                <w:i/>
                <w:color w:val="000000"/>
                <w:sz w:val="18"/>
                <w:szCs w:val="18"/>
              </w:rPr>
              <w:t>et al.</w:t>
            </w:r>
          </w:p>
        </w:tc>
      </w:tr>
      <w:tr w:rsidR="0024276D" w:rsidRPr="003D65BD" w14:paraId="7F63A353" w14:textId="77777777" w:rsidTr="00D65132">
        <w:trPr>
          <w:trHeight w:val="256"/>
        </w:trPr>
        <w:tc>
          <w:tcPr>
            <w:tcW w:w="1092" w:type="dxa"/>
            <w:tcBorders>
              <w:top w:val="nil"/>
              <w:left w:val="single" w:sz="4" w:space="0" w:color="auto"/>
              <w:bottom w:val="single" w:sz="4" w:space="0" w:color="auto"/>
              <w:right w:val="single" w:sz="4" w:space="0" w:color="auto"/>
            </w:tcBorders>
            <w:shd w:val="clear" w:color="auto" w:fill="auto"/>
            <w:noWrap/>
            <w:hideMark/>
          </w:tcPr>
          <w:p w14:paraId="471FF8BF"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2,36 %</w:t>
            </w:r>
          </w:p>
        </w:tc>
        <w:tc>
          <w:tcPr>
            <w:tcW w:w="1969" w:type="dxa"/>
            <w:tcBorders>
              <w:top w:val="nil"/>
              <w:left w:val="nil"/>
              <w:bottom w:val="single" w:sz="4" w:space="0" w:color="auto"/>
              <w:right w:val="single" w:sz="4" w:space="0" w:color="auto"/>
            </w:tcBorders>
            <w:shd w:val="clear" w:color="auto" w:fill="auto"/>
            <w:noWrap/>
            <w:hideMark/>
          </w:tcPr>
          <w:p w14:paraId="30969A41" w14:textId="05CDBDB1" w:rsidR="0024276D" w:rsidRPr="003D65BD" w:rsidRDefault="00AC5EC1" w:rsidP="00D65132">
            <w:pPr>
              <w:suppressAutoHyphens w:val="0"/>
              <w:kinsoku/>
              <w:overflowPunct/>
              <w:autoSpaceDE/>
              <w:autoSpaceDN/>
              <w:adjustRightInd/>
              <w:snapToGrid/>
              <w:spacing w:before="60" w:after="60" w:line="240" w:lineRule="auto"/>
              <w:rPr>
                <w:rFonts w:eastAsia="Times New Roman"/>
                <w:color w:val="000000"/>
                <w:sz w:val="18"/>
                <w:szCs w:val="18"/>
              </w:rPr>
            </w:pPr>
            <w:r>
              <w:rPr>
                <w:color w:val="000000"/>
                <w:sz w:val="18"/>
                <w:szCs w:val="18"/>
              </w:rPr>
              <w:t>&lt;</w:t>
            </w:r>
            <w:r w:rsidR="0024276D" w:rsidRPr="003D65BD">
              <w:rPr>
                <w:color w:val="000000"/>
                <w:sz w:val="18"/>
                <w:szCs w:val="18"/>
              </w:rPr>
              <w:t xml:space="preserve">2 % </w:t>
            </w:r>
          </w:p>
        </w:tc>
        <w:tc>
          <w:tcPr>
            <w:tcW w:w="966" w:type="dxa"/>
            <w:tcBorders>
              <w:top w:val="nil"/>
              <w:left w:val="nil"/>
              <w:bottom w:val="single" w:sz="4" w:space="0" w:color="auto"/>
              <w:right w:val="single" w:sz="4" w:space="0" w:color="auto"/>
            </w:tcBorders>
            <w:shd w:val="clear" w:color="auto" w:fill="auto"/>
            <w:noWrap/>
            <w:hideMark/>
          </w:tcPr>
          <w:p w14:paraId="1CA87932"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s.o.</w:t>
            </w:r>
          </w:p>
        </w:tc>
        <w:tc>
          <w:tcPr>
            <w:tcW w:w="2893" w:type="dxa"/>
            <w:tcBorders>
              <w:top w:val="nil"/>
              <w:left w:val="nil"/>
              <w:bottom w:val="single" w:sz="4" w:space="0" w:color="auto"/>
              <w:right w:val="single" w:sz="4" w:space="0" w:color="auto"/>
            </w:tcBorders>
            <w:shd w:val="clear" w:color="auto" w:fill="auto"/>
            <w:noWrap/>
            <w:hideMark/>
          </w:tcPr>
          <w:p w14:paraId="063E34E1"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Aucune</w:t>
            </w:r>
          </w:p>
        </w:tc>
        <w:tc>
          <w:tcPr>
            <w:tcW w:w="1727" w:type="dxa"/>
            <w:tcBorders>
              <w:top w:val="nil"/>
              <w:left w:val="nil"/>
              <w:bottom w:val="single" w:sz="4" w:space="0" w:color="auto"/>
              <w:right w:val="single" w:sz="4" w:space="0" w:color="auto"/>
            </w:tcBorders>
            <w:shd w:val="clear" w:color="auto" w:fill="auto"/>
            <w:noWrap/>
            <w:hideMark/>
          </w:tcPr>
          <w:p w14:paraId="1B7F5AAE"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Traitement de soutien/a survécu</w:t>
            </w:r>
          </w:p>
        </w:tc>
        <w:tc>
          <w:tcPr>
            <w:tcW w:w="1116" w:type="dxa"/>
            <w:tcBorders>
              <w:top w:val="nil"/>
              <w:left w:val="nil"/>
              <w:bottom w:val="single" w:sz="4" w:space="0" w:color="auto"/>
              <w:right w:val="single" w:sz="4" w:space="0" w:color="auto"/>
            </w:tcBorders>
            <w:shd w:val="clear" w:color="auto" w:fill="auto"/>
            <w:noWrap/>
            <w:hideMark/>
          </w:tcPr>
          <w:p w14:paraId="7FC68EDD" w14:textId="2FDD6AC3"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 xml:space="preserve">Huang </w:t>
            </w:r>
            <w:r w:rsidR="00467561" w:rsidRPr="00467561">
              <w:rPr>
                <w:i/>
                <w:color w:val="000000"/>
                <w:sz w:val="18"/>
                <w:szCs w:val="18"/>
              </w:rPr>
              <w:t>et al.</w:t>
            </w:r>
          </w:p>
        </w:tc>
      </w:tr>
      <w:tr w:rsidR="0024276D" w:rsidRPr="003D65BD" w14:paraId="757342E3" w14:textId="77777777" w:rsidTr="00D65132">
        <w:trPr>
          <w:trHeight w:val="256"/>
        </w:trPr>
        <w:tc>
          <w:tcPr>
            <w:tcW w:w="1092" w:type="dxa"/>
            <w:tcBorders>
              <w:top w:val="nil"/>
              <w:left w:val="single" w:sz="4" w:space="0" w:color="auto"/>
              <w:bottom w:val="single" w:sz="4" w:space="0" w:color="auto"/>
              <w:right w:val="single" w:sz="4" w:space="0" w:color="auto"/>
            </w:tcBorders>
            <w:shd w:val="clear" w:color="auto" w:fill="auto"/>
            <w:noWrap/>
            <w:hideMark/>
          </w:tcPr>
          <w:p w14:paraId="2C7DAED9"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2,38 %</w:t>
            </w:r>
          </w:p>
        </w:tc>
        <w:tc>
          <w:tcPr>
            <w:tcW w:w="1969" w:type="dxa"/>
            <w:tcBorders>
              <w:top w:val="nil"/>
              <w:left w:val="nil"/>
              <w:bottom w:val="single" w:sz="4" w:space="0" w:color="auto"/>
              <w:right w:val="single" w:sz="4" w:space="0" w:color="auto"/>
            </w:tcBorders>
            <w:shd w:val="clear" w:color="auto" w:fill="auto"/>
            <w:noWrap/>
            <w:hideMark/>
          </w:tcPr>
          <w:p w14:paraId="6CA992DF"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28 %</w:t>
            </w:r>
          </w:p>
        </w:tc>
        <w:tc>
          <w:tcPr>
            <w:tcW w:w="966" w:type="dxa"/>
            <w:tcBorders>
              <w:top w:val="nil"/>
              <w:left w:val="nil"/>
              <w:bottom w:val="single" w:sz="4" w:space="0" w:color="auto"/>
              <w:right w:val="single" w:sz="4" w:space="0" w:color="auto"/>
            </w:tcBorders>
            <w:shd w:val="clear" w:color="auto" w:fill="auto"/>
            <w:noWrap/>
            <w:hideMark/>
          </w:tcPr>
          <w:p w14:paraId="40745F43"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10 min</w:t>
            </w:r>
          </w:p>
        </w:tc>
        <w:tc>
          <w:tcPr>
            <w:tcW w:w="2893" w:type="dxa"/>
            <w:tcBorders>
              <w:top w:val="nil"/>
              <w:left w:val="nil"/>
              <w:bottom w:val="single" w:sz="4" w:space="0" w:color="auto"/>
              <w:right w:val="single" w:sz="4" w:space="0" w:color="auto"/>
            </w:tcBorders>
            <w:shd w:val="clear" w:color="auto" w:fill="auto"/>
            <w:noWrap/>
            <w:hideMark/>
          </w:tcPr>
          <w:p w14:paraId="4B7756B2"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Brûlures chimiques du deuxième au troisième degré, dyspnée, salivation, insuffisance respiratoire, faiblesse, hyperglycémie, leucocytose</w:t>
            </w:r>
          </w:p>
        </w:tc>
        <w:tc>
          <w:tcPr>
            <w:tcW w:w="1727" w:type="dxa"/>
            <w:tcBorders>
              <w:top w:val="nil"/>
              <w:left w:val="nil"/>
              <w:bottom w:val="single" w:sz="4" w:space="0" w:color="auto"/>
              <w:right w:val="single" w:sz="4" w:space="0" w:color="auto"/>
            </w:tcBorders>
            <w:shd w:val="clear" w:color="auto" w:fill="auto"/>
            <w:noWrap/>
            <w:hideMark/>
          </w:tcPr>
          <w:p w14:paraId="3C45BDD6"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Soins intensifs/a survécu</w:t>
            </w:r>
          </w:p>
        </w:tc>
        <w:tc>
          <w:tcPr>
            <w:tcW w:w="1116" w:type="dxa"/>
            <w:tcBorders>
              <w:top w:val="nil"/>
              <w:left w:val="nil"/>
              <w:bottom w:val="single" w:sz="4" w:space="0" w:color="auto"/>
              <w:right w:val="single" w:sz="4" w:space="0" w:color="auto"/>
            </w:tcBorders>
            <w:shd w:val="clear" w:color="auto" w:fill="auto"/>
            <w:noWrap/>
            <w:hideMark/>
          </w:tcPr>
          <w:p w14:paraId="5A90860B" w14:textId="5B1B9E89"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 xml:space="preserve">Lin </w:t>
            </w:r>
            <w:r w:rsidR="00467561" w:rsidRPr="00467561">
              <w:rPr>
                <w:i/>
                <w:color w:val="000000"/>
                <w:sz w:val="18"/>
                <w:szCs w:val="18"/>
              </w:rPr>
              <w:t>et al.</w:t>
            </w:r>
          </w:p>
        </w:tc>
      </w:tr>
      <w:tr w:rsidR="0024276D" w:rsidRPr="003D65BD" w14:paraId="15CA2782" w14:textId="77777777" w:rsidTr="00D65132">
        <w:trPr>
          <w:trHeight w:val="256"/>
        </w:trPr>
        <w:tc>
          <w:tcPr>
            <w:tcW w:w="1092" w:type="dxa"/>
            <w:tcBorders>
              <w:top w:val="nil"/>
              <w:left w:val="single" w:sz="4" w:space="0" w:color="auto"/>
              <w:bottom w:val="single" w:sz="4" w:space="0" w:color="auto"/>
              <w:right w:val="single" w:sz="4" w:space="0" w:color="auto"/>
            </w:tcBorders>
            <w:shd w:val="clear" w:color="auto" w:fill="auto"/>
            <w:noWrap/>
            <w:hideMark/>
          </w:tcPr>
          <w:p w14:paraId="61D9F812"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2,38 %</w:t>
            </w:r>
          </w:p>
        </w:tc>
        <w:tc>
          <w:tcPr>
            <w:tcW w:w="1969" w:type="dxa"/>
            <w:tcBorders>
              <w:top w:val="nil"/>
              <w:left w:val="nil"/>
              <w:bottom w:val="single" w:sz="4" w:space="0" w:color="auto"/>
              <w:right w:val="single" w:sz="4" w:space="0" w:color="auto"/>
            </w:tcBorders>
            <w:shd w:val="clear" w:color="auto" w:fill="auto"/>
            <w:noWrap/>
            <w:hideMark/>
          </w:tcPr>
          <w:p w14:paraId="020EC341"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5 %</w:t>
            </w:r>
          </w:p>
        </w:tc>
        <w:tc>
          <w:tcPr>
            <w:tcW w:w="966" w:type="dxa"/>
            <w:tcBorders>
              <w:top w:val="nil"/>
              <w:left w:val="nil"/>
              <w:bottom w:val="single" w:sz="4" w:space="0" w:color="auto"/>
              <w:right w:val="single" w:sz="4" w:space="0" w:color="auto"/>
            </w:tcBorders>
            <w:shd w:val="clear" w:color="auto" w:fill="auto"/>
            <w:noWrap/>
            <w:hideMark/>
          </w:tcPr>
          <w:p w14:paraId="0B6539A2" w14:textId="3F073414" w:rsidR="0024276D" w:rsidRPr="003D65BD" w:rsidRDefault="00AC5EC1" w:rsidP="00D65132">
            <w:pPr>
              <w:suppressAutoHyphens w:val="0"/>
              <w:kinsoku/>
              <w:overflowPunct/>
              <w:autoSpaceDE/>
              <w:autoSpaceDN/>
              <w:adjustRightInd/>
              <w:snapToGrid/>
              <w:spacing w:before="60" w:after="60" w:line="240" w:lineRule="auto"/>
              <w:rPr>
                <w:rFonts w:eastAsia="Times New Roman"/>
                <w:color w:val="000000"/>
                <w:sz w:val="18"/>
                <w:szCs w:val="18"/>
              </w:rPr>
            </w:pPr>
            <w:r>
              <w:rPr>
                <w:color w:val="000000"/>
                <w:sz w:val="18"/>
                <w:szCs w:val="18"/>
              </w:rPr>
              <w:t>&lt;</w:t>
            </w:r>
            <w:r w:rsidR="0024276D" w:rsidRPr="003D65BD">
              <w:rPr>
                <w:color w:val="000000"/>
                <w:sz w:val="18"/>
                <w:szCs w:val="18"/>
              </w:rPr>
              <w:t>10 min</w:t>
            </w:r>
          </w:p>
        </w:tc>
        <w:tc>
          <w:tcPr>
            <w:tcW w:w="2893" w:type="dxa"/>
            <w:tcBorders>
              <w:top w:val="nil"/>
              <w:left w:val="nil"/>
              <w:bottom w:val="single" w:sz="4" w:space="0" w:color="auto"/>
              <w:right w:val="single" w:sz="4" w:space="0" w:color="auto"/>
            </w:tcBorders>
            <w:shd w:val="clear" w:color="auto" w:fill="auto"/>
            <w:noWrap/>
            <w:hideMark/>
          </w:tcPr>
          <w:p w14:paraId="4560A4FD"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Brûlures chimiques du premier au troisième degré, douleur cutanée, éruptions cutanées</w:t>
            </w:r>
          </w:p>
        </w:tc>
        <w:tc>
          <w:tcPr>
            <w:tcW w:w="1727" w:type="dxa"/>
            <w:tcBorders>
              <w:top w:val="nil"/>
              <w:left w:val="nil"/>
              <w:bottom w:val="single" w:sz="4" w:space="0" w:color="auto"/>
              <w:right w:val="single" w:sz="4" w:space="0" w:color="auto"/>
            </w:tcBorders>
            <w:shd w:val="clear" w:color="auto" w:fill="auto"/>
            <w:noWrap/>
            <w:hideMark/>
          </w:tcPr>
          <w:p w14:paraId="27A66408"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Traitement de soutien/a survécu</w:t>
            </w:r>
          </w:p>
        </w:tc>
        <w:tc>
          <w:tcPr>
            <w:tcW w:w="1116" w:type="dxa"/>
            <w:tcBorders>
              <w:top w:val="nil"/>
              <w:left w:val="nil"/>
              <w:bottom w:val="single" w:sz="4" w:space="0" w:color="auto"/>
              <w:right w:val="single" w:sz="4" w:space="0" w:color="auto"/>
            </w:tcBorders>
            <w:shd w:val="clear" w:color="auto" w:fill="auto"/>
            <w:noWrap/>
            <w:hideMark/>
          </w:tcPr>
          <w:p w14:paraId="35584134" w14:textId="3B442338"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 xml:space="preserve">Lin </w:t>
            </w:r>
            <w:r w:rsidR="00467561" w:rsidRPr="00467561">
              <w:rPr>
                <w:i/>
                <w:color w:val="000000"/>
                <w:sz w:val="18"/>
                <w:szCs w:val="18"/>
              </w:rPr>
              <w:t>et al.</w:t>
            </w:r>
          </w:p>
        </w:tc>
      </w:tr>
      <w:tr w:rsidR="0024276D" w:rsidRPr="003D65BD" w14:paraId="3EE1DBA9" w14:textId="77777777" w:rsidTr="00D65132">
        <w:trPr>
          <w:trHeight w:val="256"/>
        </w:trPr>
        <w:tc>
          <w:tcPr>
            <w:tcW w:w="1092" w:type="dxa"/>
            <w:tcBorders>
              <w:top w:val="nil"/>
              <w:left w:val="single" w:sz="4" w:space="0" w:color="auto"/>
              <w:bottom w:val="single" w:sz="4" w:space="0" w:color="auto"/>
              <w:right w:val="single" w:sz="4" w:space="0" w:color="auto"/>
            </w:tcBorders>
            <w:shd w:val="clear" w:color="auto" w:fill="auto"/>
            <w:noWrap/>
            <w:hideMark/>
          </w:tcPr>
          <w:p w14:paraId="075A61E0"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2,38 %</w:t>
            </w:r>
          </w:p>
        </w:tc>
        <w:tc>
          <w:tcPr>
            <w:tcW w:w="1969" w:type="dxa"/>
            <w:tcBorders>
              <w:top w:val="nil"/>
              <w:left w:val="nil"/>
              <w:bottom w:val="single" w:sz="4" w:space="0" w:color="auto"/>
              <w:right w:val="single" w:sz="4" w:space="0" w:color="auto"/>
            </w:tcBorders>
            <w:shd w:val="clear" w:color="auto" w:fill="auto"/>
            <w:noWrap/>
            <w:hideMark/>
          </w:tcPr>
          <w:p w14:paraId="316971F8" w14:textId="66228ED0" w:rsidR="0024276D" w:rsidRPr="003D65BD" w:rsidRDefault="00AC5EC1" w:rsidP="00D65132">
            <w:pPr>
              <w:suppressAutoHyphens w:val="0"/>
              <w:kinsoku/>
              <w:overflowPunct/>
              <w:autoSpaceDE/>
              <w:autoSpaceDN/>
              <w:adjustRightInd/>
              <w:snapToGrid/>
              <w:spacing w:before="60" w:after="60" w:line="240" w:lineRule="auto"/>
              <w:rPr>
                <w:rFonts w:eastAsia="Times New Roman"/>
                <w:color w:val="000000"/>
                <w:sz w:val="18"/>
                <w:szCs w:val="18"/>
              </w:rPr>
            </w:pPr>
            <w:r>
              <w:rPr>
                <w:color w:val="000000"/>
                <w:sz w:val="18"/>
                <w:szCs w:val="18"/>
              </w:rPr>
              <w:t>&lt;</w:t>
            </w:r>
            <w:r w:rsidR="0024276D" w:rsidRPr="003D65BD">
              <w:rPr>
                <w:color w:val="000000"/>
                <w:sz w:val="18"/>
                <w:szCs w:val="18"/>
              </w:rPr>
              <w:t>1 %</w:t>
            </w:r>
          </w:p>
        </w:tc>
        <w:tc>
          <w:tcPr>
            <w:tcW w:w="966" w:type="dxa"/>
            <w:tcBorders>
              <w:top w:val="nil"/>
              <w:left w:val="nil"/>
              <w:bottom w:val="single" w:sz="4" w:space="0" w:color="auto"/>
              <w:right w:val="single" w:sz="4" w:space="0" w:color="auto"/>
            </w:tcBorders>
            <w:shd w:val="clear" w:color="auto" w:fill="auto"/>
            <w:noWrap/>
            <w:hideMark/>
          </w:tcPr>
          <w:p w14:paraId="3545F549" w14:textId="2AB55A3C" w:rsidR="0024276D" w:rsidRPr="003D65BD" w:rsidRDefault="00AC5EC1" w:rsidP="00D65132">
            <w:pPr>
              <w:suppressAutoHyphens w:val="0"/>
              <w:kinsoku/>
              <w:overflowPunct/>
              <w:autoSpaceDE/>
              <w:autoSpaceDN/>
              <w:adjustRightInd/>
              <w:snapToGrid/>
              <w:spacing w:before="60" w:after="60" w:line="240" w:lineRule="auto"/>
              <w:rPr>
                <w:rFonts w:eastAsia="Times New Roman"/>
                <w:color w:val="000000"/>
                <w:sz w:val="18"/>
                <w:szCs w:val="18"/>
              </w:rPr>
            </w:pPr>
            <w:r>
              <w:rPr>
                <w:color w:val="000000"/>
                <w:sz w:val="18"/>
                <w:szCs w:val="18"/>
              </w:rPr>
              <w:t>&lt;</w:t>
            </w:r>
            <w:r w:rsidR="0024276D" w:rsidRPr="003D65BD">
              <w:rPr>
                <w:color w:val="000000"/>
                <w:sz w:val="18"/>
                <w:szCs w:val="18"/>
              </w:rPr>
              <w:t>10 min</w:t>
            </w:r>
          </w:p>
        </w:tc>
        <w:tc>
          <w:tcPr>
            <w:tcW w:w="2893" w:type="dxa"/>
            <w:tcBorders>
              <w:top w:val="nil"/>
              <w:left w:val="nil"/>
              <w:bottom w:val="single" w:sz="4" w:space="0" w:color="auto"/>
              <w:right w:val="single" w:sz="4" w:space="0" w:color="auto"/>
            </w:tcBorders>
            <w:shd w:val="clear" w:color="auto" w:fill="auto"/>
            <w:noWrap/>
            <w:hideMark/>
          </w:tcPr>
          <w:p w14:paraId="57DFC237"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Aucune</w:t>
            </w:r>
          </w:p>
        </w:tc>
        <w:tc>
          <w:tcPr>
            <w:tcW w:w="1727" w:type="dxa"/>
            <w:tcBorders>
              <w:top w:val="nil"/>
              <w:left w:val="nil"/>
              <w:bottom w:val="single" w:sz="4" w:space="0" w:color="auto"/>
              <w:right w:val="single" w:sz="4" w:space="0" w:color="auto"/>
            </w:tcBorders>
            <w:shd w:val="clear" w:color="auto" w:fill="auto"/>
            <w:noWrap/>
            <w:hideMark/>
          </w:tcPr>
          <w:p w14:paraId="3E2AA9DF"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Traitement de soutien/a survécu</w:t>
            </w:r>
          </w:p>
        </w:tc>
        <w:tc>
          <w:tcPr>
            <w:tcW w:w="1116" w:type="dxa"/>
            <w:tcBorders>
              <w:top w:val="nil"/>
              <w:left w:val="nil"/>
              <w:bottom w:val="single" w:sz="4" w:space="0" w:color="auto"/>
              <w:right w:val="single" w:sz="4" w:space="0" w:color="auto"/>
            </w:tcBorders>
            <w:shd w:val="clear" w:color="auto" w:fill="auto"/>
            <w:noWrap/>
            <w:hideMark/>
          </w:tcPr>
          <w:p w14:paraId="05C3AD74" w14:textId="0DFF4A9C"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 xml:space="preserve">Lin </w:t>
            </w:r>
            <w:r w:rsidR="00467561" w:rsidRPr="00467561">
              <w:rPr>
                <w:i/>
                <w:color w:val="000000"/>
                <w:sz w:val="18"/>
                <w:szCs w:val="18"/>
              </w:rPr>
              <w:t>et al.</w:t>
            </w:r>
          </w:p>
        </w:tc>
      </w:tr>
      <w:tr w:rsidR="0024276D" w:rsidRPr="003D65BD" w14:paraId="299D9CD3" w14:textId="77777777" w:rsidTr="00D65132">
        <w:trPr>
          <w:trHeight w:val="256"/>
        </w:trPr>
        <w:tc>
          <w:tcPr>
            <w:tcW w:w="1092" w:type="dxa"/>
            <w:tcBorders>
              <w:top w:val="nil"/>
              <w:left w:val="single" w:sz="4" w:space="0" w:color="auto"/>
              <w:bottom w:val="single" w:sz="4" w:space="0" w:color="auto"/>
              <w:right w:val="single" w:sz="4" w:space="0" w:color="auto"/>
            </w:tcBorders>
            <w:shd w:val="clear" w:color="auto" w:fill="auto"/>
            <w:noWrap/>
            <w:hideMark/>
          </w:tcPr>
          <w:p w14:paraId="79B4B5C9"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2,38 %</w:t>
            </w:r>
          </w:p>
        </w:tc>
        <w:tc>
          <w:tcPr>
            <w:tcW w:w="1969" w:type="dxa"/>
            <w:tcBorders>
              <w:top w:val="nil"/>
              <w:left w:val="nil"/>
              <w:bottom w:val="single" w:sz="4" w:space="0" w:color="auto"/>
              <w:right w:val="single" w:sz="4" w:space="0" w:color="auto"/>
            </w:tcBorders>
            <w:shd w:val="clear" w:color="auto" w:fill="auto"/>
            <w:noWrap/>
            <w:hideMark/>
          </w:tcPr>
          <w:p w14:paraId="24AEE698" w14:textId="40DFAEE1" w:rsidR="0024276D" w:rsidRPr="003D65BD" w:rsidRDefault="00AC5EC1" w:rsidP="00D65132">
            <w:pPr>
              <w:suppressAutoHyphens w:val="0"/>
              <w:kinsoku/>
              <w:overflowPunct/>
              <w:autoSpaceDE/>
              <w:autoSpaceDN/>
              <w:adjustRightInd/>
              <w:snapToGrid/>
              <w:spacing w:before="60" w:after="60" w:line="240" w:lineRule="auto"/>
              <w:rPr>
                <w:rFonts w:eastAsia="Times New Roman"/>
                <w:color w:val="000000"/>
                <w:sz w:val="18"/>
                <w:szCs w:val="18"/>
              </w:rPr>
            </w:pPr>
            <w:r>
              <w:rPr>
                <w:color w:val="000000"/>
                <w:sz w:val="18"/>
                <w:szCs w:val="18"/>
              </w:rPr>
              <w:t>&lt;</w:t>
            </w:r>
            <w:r w:rsidR="0024276D" w:rsidRPr="003D65BD">
              <w:rPr>
                <w:color w:val="000000"/>
                <w:sz w:val="18"/>
                <w:szCs w:val="18"/>
              </w:rPr>
              <w:t>1 %</w:t>
            </w:r>
          </w:p>
        </w:tc>
        <w:tc>
          <w:tcPr>
            <w:tcW w:w="966" w:type="dxa"/>
            <w:tcBorders>
              <w:top w:val="nil"/>
              <w:left w:val="nil"/>
              <w:bottom w:val="single" w:sz="4" w:space="0" w:color="auto"/>
              <w:right w:val="single" w:sz="4" w:space="0" w:color="auto"/>
            </w:tcBorders>
            <w:shd w:val="clear" w:color="auto" w:fill="auto"/>
            <w:noWrap/>
            <w:hideMark/>
          </w:tcPr>
          <w:p w14:paraId="64D11162" w14:textId="4A58A28C" w:rsidR="0024276D" w:rsidRPr="003D65BD" w:rsidRDefault="00AC5EC1" w:rsidP="00D65132">
            <w:pPr>
              <w:suppressAutoHyphens w:val="0"/>
              <w:kinsoku/>
              <w:overflowPunct/>
              <w:autoSpaceDE/>
              <w:autoSpaceDN/>
              <w:adjustRightInd/>
              <w:snapToGrid/>
              <w:spacing w:before="60" w:after="60" w:line="240" w:lineRule="auto"/>
              <w:rPr>
                <w:rFonts w:eastAsia="Times New Roman"/>
                <w:color w:val="000000"/>
                <w:sz w:val="18"/>
                <w:szCs w:val="18"/>
              </w:rPr>
            </w:pPr>
            <w:r>
              <w:rPr>
                <w:color w:val="000000"/>
                <w:sz w:val="18"/>
                <w:szCs w:val="18"/>
              </w:rPr>
              <w:t>&lt;</w:t>
            </w:r>
            <w:r w:rsidR="0024276D" w:rsidRPr="003D65BD">
              <w:rPr>
                <w:color w:val="000000"/>
                <w:sz w:val="18"/>
                <w:szCs w:val="18"/>
              </w:rPr>
              <w:t>10 min</w:t>
            </w:r>
          </w:p>
        </w:tc>
        <w:tc>
          <w:tcPr>
            <w:tcW w:w="2893" w:type="dxa"/>
            <w:tcBorders>
              <w:top w:val="nil"/>
              <w:left w:val="nil"/>
              <w:bottom w:val="single" w:sz="4" w:space="0" w:color="auto"/>
              <w:right w:val="single" w:sz="4" w:space="0" w:color="auto"/>
            </w:tcBorders>
            <w:shd w:val="clear" w:color="auto" w:fill="auto"/>
            <w:noWrap/>
            <w:hideMark/>
          </w:tcPr>
          <w:p w14:paraId="4394D756"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Aucune</w:t>
            </w:r>
          </w:p>
        </w:tc>
        <w:tc>
          <w:tcPr>
            <w:tcW w:w="1727" w:type="dxa"/>
            <w:tcBorders>
              <w:top w:val="nil"/>
              <w:left w:val="nil"/>
              <w:bottom w:val="single" w:sz="4" w:space="0" w:color="auto"/>
              <w:right w:val="single" w:sz="4" w:space="0" w:color="auto"/>
            </w:tcBorders>
            <w:shd w:val="clear" w:color="auto" w:fill="auto"/>
            <w:noWrap/>
            <w:hideMark/>
          </w:tcPr>
          <w:p w14:paraId="4015C5F3"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Traitement de soutien/a survécu</w:t>
            </w:r>
          </w:p>
        </w:tc>
        <w:tc>
          <w:tcPr>
            <w:tcW w:w="1116" w:type="dxa"/>
            <w:tcBorders>
              <w:top w:val="nil"/>
              <w:left w:val="nil"/>
              <w:bottom w:val="single" w:sz="4" w:space="0" w:color="auto"/>
              <w:right w:val="single" w:sz="4" w:space="0" w:color="auto"/>
            </w:tcBorders>
            <w:shd w:val="clear" w:color="auto" w:fill="auto"/>
            <w:noWrap/>
            <w:hideMark/>
          </w:tcPr>
          <w:p w14:paraId="1E57CE9A" w14:textId="7FBD1B86"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 xml:space="preserve">Lin </w:t>
            </w:r>
            <w:r w:rsidR="00467561" w:rsidRPr="00467561">
              <w:rPr>
                <w:i/>
                <w:color w:val="000000"/>
                <w:sz w:val="18"/>
                <w:szCs w:val="18"/>
              </w:rPr>
              <w:t>et al.</w:t>
            </w:r>
          </w:p>
        </w:tc>
      </w:tr>
      <w:tr w:rsidR="0024276D" w:rsidRPr="003D65BD" w14:paraId="7F3B6DC4" w14:textId="77777777" w:rsidTr="00D65132">
        <w:trPr>
          <w:trHeight w:val="256"/>
        </w:trPr>
        <w:tc>
          <w:tcPr>
            <w:tcW w:w="1092" w:type="dxa"/>
            <w:tcBorders>
              <w:top w:val="nil"/>
              <w:left w:val="single" w:sz="4" w:space="0" w:color="auto"/>
              <w:bottom w:val="single" w:sz="4" w:space="0" w:color="auto"/>
              <w:right w:val="single" w:sz="4" w:space="0" w:color="auto"/>
            </w:tcBorders>
            <w:shd w:val="clear" w:color="auto" w:fill="auto"/>
            <w:noWrap/>
            <w:hideMark/>
          </w:tcPr>
          <w:p w14:paraId="1E960AF1"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2,38 %</w:t>
            </w:r>
          </w:p>
        </w:tc>
        <w:tc>
          <w:tcPr>
            <w:tcW w:w="1969" w:type="dxa"/>
            <w:tcBorders>
              <w:top w:val="nil"/>
              <w:left w:val="nil"/>
              <w:bottom w:val="single" w:sz="4" w:space="0" w:color="auto"/>
              <w:right w:val="single" w:sz="4" w:space="0" w:color="auto"/>
            </w:tcBorders>
            <w:shd w:val="clear" w:color="auto" w:fill="auto"/>
            <w:noWrap/>
            <w:hideMark/>
          </w:tcPr>
          <w:p w14:paraId="7D2E938B"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18 %</w:t>
            </w:r>
          </w:p>
        </w:tc>
        <w:tc>
          <w:tcPr>
            <w:tcW w:w="966" w:type="dxa"/>
            <w:tcBorders>
              <w:top w:val="nil"/>
              <w:left w:val="nil"/>
              <w:bottom w:val="single" w:sz="4" w:space="0" w:color="auto"/>
              <w:right w:val="single" w:sz="4" w:space="0" w:color="auto"/>
            </w:tcBorders>
            <w:shd w:val="clear" w:color="auto" w:fill="auto"/>
            <w:noWrap/>
            <w:hideMark/>
          </w:tcPr>
          <w:p w14:paraId="7EDF2D15"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Inconnu</w:t>
            </w:r>
          </w:p>
        </w:tc>
        <w:tc>
          <w:tcPr>
            <w:tcW w:w="2893" w:type="dxa"/>
            <w:tcBorders>
              <w:top w:val="nil"/>
              <w:left w:val="nil"/>
              <w:bottom w:val="single" w:sz="4" w:space="0" w:color="auto"/>
              <w:right w:val="single" w:sz="4" w:space="0" w:color="auto"/>
            </w:tcBorders>
            <w:shd w:val="clear" w:color="auto" w:fill="auto"/>
            <w:noWrap/>
            <w:hideMark/>
          </w:tcPr>
          <w:p w14:paraId="52D18CEB"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Brûlures chimiques du premier au deuxième degré</w:t>
            </w:r>
          </w:p>
        </w:tc>
        <w:tc>
          <w:tcPr>
            <w:tcW w:w="1727" w:type="dxa"/>
            <w:tcBorders>
              <w:top w:val="nil"/>
              <w:left w:val="nil"/>
              <w:bottom w:val="single" w:sz="4" w:space="0" w:color="auto"/>
              <w:right w:val="single" w:sz="4" w:space="0" w:color="auto"/>
            </w:tcBorders>
            <w:shd w:val="clear" w:color="auto" w:fill="auto"/>
            <w:noWrap/>
            <w:hideMark/>
          </w:tcPr>
          <w:p w14:paraId="4C17EAD0"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Traitement de soutien/a survécu</w:t>
            </w:r>
          </w:p>
        </w:tc>
        <w:tc>
          <w:tcPr>
            <w:tcW w:w="1116" w:type="dxa"/>
            <w:tcBorders>
              <w:top w:val="nil"/>
              <w:left w:val="nil"/>
              <w:bottom w:val="single" w:sz="4" w:space="0" w:color="auto"/>
              <w:right w:val="single" w:sz="4" w:space="0" w:color="auto"/>
            </w:tcBorders>
            <w:shd w:val="clear" w:color="auto" w:fill="auto"/>
            <w:noWrap/>
            <w:hideMark/>
          </w:tcPr>
          <w:p w14:paraId="4C98066D" w14:textId="6CD923BE"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 xml:space="preserve">Lin </w:t>
            </w:r>
            <w:r w:rsidR="00467561" w:rsidRPr="00467561">
              <w:rPr>
                <w:i/>
                <w:color w:val="000000"/>
                <w:sz w:val="18"/>
                <w:szCs w:val="18"/>
              </w:rPr>
              <w:t>et al.</w:t>
            </w:r>
          </w:p>
        </w:tc>
      </w:tr>
      <w:tr w:rsidR="0024276D" w:rsidRPr="003D65BD" w14:paraId="2EFDA8D5" w14:textId="77777777" w:rsidTr="00D65132">
        <w:trPr>
          <w:trHeight w:val="256"/>
        </w:trPr>
        <w:tc>
          <w:tcPr>
            <w:tcW w:w="1092" w:type="dxa"/>
            <w:tcBorders>
              <w:top w:val="nil"/>
              <w:left w:val="single" w:sz="4" w:space="0" w:color="auto"/>
              <w:bottom w:val="single" w:sz="4" w:space="0" w:color="auto"/>
              <w:right w:val="single" w:sz="4" w:space="0" w:color="auto"/>
            </w:tcBorders>
            <w:shd w:val="clear" w:color="auto" w:fill="auto"/>
            <w:noWrap/>
            <w:hideMark/>
          </w:tcPr>
          <w:p w14:paraId="25EF072B"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2,38 %</w:t>
            </w:r>
          </w:p>
        </w:tc>
        <w:tc>
          <w:tcPr>
            <w:tcW w:w="1969" w:type="dxa"/>
            <w:tcBorders>
              <w:top w:val="nil"/>
              <w:left w:val="nil"/>
              <w:bottom w:val="single" w:sz="4" w:space="0" w:color="auto"/>
              <w:right w:val="single" w:sz="4" w:space="0" w:color="auto"/>
            </w:tcBorders>
            <w:shd w:val="clear" w:color="auto" w:fill="auto"/>
            <w:noWrap/>
            <w:hideMark/>
          </w:tcPr>
          <w:p w14:paraId="5DF2C5F9"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5 % (visage)</w:t>
            </w:r>
          </w:p>
        </w:tc>
        <w:tc>
          <w:tcPr>
            <w:tcW w:w="966" w:type="dxa"/>
            <w:tcBorders>
              <w:top w:val="nil"/>
              <w:left w:val="nil"/>
              <w:bottom w:val="single" w:sz="4" w:space="0" w:color="auto"/>
              <w:right w:val="single" w:sz="4" w:space="0" w:color="auto"/>
            </w:tcBorders>
            <w:shd w:val="clear" w:color="auto" w:fill="auto"/>
            <w:noWrap/>
            <w:hideMark/>
          </w:tcPr>
          <w:p w14:paraId="45A1DAFE" w14:textId="2B9BDDDC" w:rsidR="0024276D" w:rsidRPr="003D65BD" w:rsidRDefault="00AC5EC1" w:rsidP="00D65132">
            <w:pPr>
              <w:suppressAutoHyphens w:val="0"/>
              <w:kinsoku/>
              <w:overflowPunct/>
              <w:autoSpaceDE/>
              <w:autoSpaceDN/>
              <w:adjustRightInd/>
              <w:snapToGrid/>
              <w:spacing w:before="60" w:after="60" w:line="240" w:lineRule="auto"/>
              <w:rPr>
                <w:rFonts w:eastAsia="Times New Roman"/>
                <w:color w:val="000000"/>
                <w:sz w:val="18"/>
                <w:szCs w:val="18"/>
              </w:rPr>
            </w:pPr>
            <w:r>
              <w:rPr>
                <w:color w:val="000000"/>
                <w:sz w:val="18"/>
                <w:szCs w:val="18"/>
              </w:rPr>
              <w:t>&lt;</w:t>
            </w:r>
            <w:r w:rsidR="0024276D" w:rsidRPr="003D65BD">
              <w:rPr>
                <w:color w:val="000000"/>
                <w:sz w:val="18"/>
                <w:szCs w:val="18"/>
              </w:rPr>
              <w:t>1 min</w:t>
            </w:r>
          </w:p>
        </w:tc>
        <w:tc>
          <w:tcPr>
            <w:tcW w:w="2893" w:type="dxa"/>
            <w:tcBorders>
              <w:top w:val="nil"/>
              <w:left w:val="nil"/>
              <w:bottom w:val="single" w:sz="4" w:space="0" w:color="auto"/>
              <w:right w:val="single" w:sz="4" w:space="0" w:color="auto"/>
            </w:tcBorders>
            <w:shd w:val="clear" w:color="auto" w:fill="auto"/>
            <w:noWrap/>
            <w:hideMark/>
          </w:tcPr>
          <w:p w14:paraId="6D5B0D93"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Faiblesse des membres, éruptions cutanées</w:t>
            </w:r>
          </w:p>
        </w:tc>
        <w:tc>
          <w:tcPr>
            <w:tcW w:w="1727" w:type="dxa"/>
            <w:tcBorders>
              <w:top w:val="nil"/>
              <w:left w:val="nil"/>
              <w:bottom w:val="single" w:sz="4" w:space="0" w:color="auto"/>
              <w:right w:val="single" w:sz="4" w:space="0" w:color="auto"/>
            </w:tcBorders>
            <w:shd w:val="clear" w:color="auto" w:fill="auto"/>
            <w:noWrap/>
            <w:hideMark/>
          </w:tcPr>
          <w:p w14:paraId="5924AF4C"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Traitement de soutien/a survécu</w:t>
            </w:r>
          </w:p>
        </w:tc>
        <w:tc>
          <w:tcPr>
            <w:tcW w:w="1116" w:type="dxa"/>
            <w:tcBorders>
              <w:top w:val="nil"/>
              <w:left w:val="nil"/>
              <w:bottom w:val="single" w:sz="4" w:space="0" w:color="auto"/>
              <w:right w:val="single" w:sz="4" w:space="0" w:color="auto"/>
            </w:tcBorders>
            <w:shd w:val="clear" w:color="auto" w:fill="auto"/>
            <w:noWrap/>
            <w:hideMark/>
          </w:tcPr>
          <w:p w14:paraId="6F65C9DA" w14:textId="01172DED"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 xml:space="preserve">Lin </w:t>
            </w:r>
            <w:r w:rsidR="00467561" w:rsidRPr="00467561">
              <w:rPr>
                <w:i/>
                <w:color w:val="000000"/>
                <w:sz w:val="18"/>
                <w:szCs w:val="18"/>
              </w:rPr>
              <w:t>et al.</w:t>
            </w:r>
          </w:p>
        </w:tc>
      </w:tr>
      <w:tr w:rsidR="0024276D" w:rsidRPr="003D65BD" w14:paraId="602966FF" w14:textId="77777777" w:rsidTr="00D65132">
        <w:trPr>
          <w:trHeight w:val="256"/>
        </w:trPr>
        <w:tc>
          <w:tcPr>
            <w:tcW w:w="1092" w:type="dxa"/>
            <w:tcBorders>
              <w:top w:val="nil"/>
              <w:left w:val="single" w:sz="4" w:space="0" w:color="auto"/>
              <w:bottom w:val="single" w:sz="4" w:space="0" w:color="auto"/>
              <w:right w:val="single" w:sz="4" w:space="0" w:color="auto"/>
            </w:tcBorders>
            <w:shd w:val="clear" w:color="auto" w:fill="auto"/>
            <w:noWrap/>
            <w:hideMark/>
          </w:tcPr>
          <w:p w14:paraId="5442B7F0"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2,38 %</w:t>
            </w:r>
          </w:p>
        </w:tc>
        <w:tc>
          <w:tcPr>
            <w:tcW w:w="1969" w:type="dxa"/>
            <w:tcBorders>
              <w:top w:val="nil"/>
              <w:left w:val="nil"/>
              <w:bottom w:val="single" w:sz="4" w:space="0" w:color="auto"/>
              <w:right w:val="single" w:sz="4" w:space="0" w:color="auto"/>
            </w:tcBorders>
            <w:shd w:val="clear" w:color="auto" w:fill="auto"/>
            <w:noWrap/>
            <w:hideMark/>
          </w:tcPr>
          <w:p w14:paraId="1E9753BF"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1 % (doigt)</w:t>
            </w:r>
          </w:p>
        </w:tc>
        <w:tc>
          <w:tcPr>
            <w:tcW w:w="966" w:type="dxa"/>
            <w:tcBorders>
              <w:top w:val="nil"/>
              <w:left w:val="nil"/>
              <w:bottom w:val="single" w:sz="4" w:space="0" w:color="auto"/>
              <w:right w:val="single" w:sz="4" w:space="0" w:color="auto"/>
            </w:tcBorders>
            <w:shd w:val="clear" w:color="auto" w:fill="auto"/>
            <w:noWrap/>
            <w:hideMark/>
          </w:tcPr>
          <w:p w14:paraId="2E748CE5"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 xml:space="preserve">2 h </w:t>
            </w:r>
          </w:p>
        </w:tc>
        <w:tc>
          <w:tcPr>
            <w:tcW w:w="2893" w:type="dxa"/>
            <w:tcBorders>
              <w:top w:val="nil"/>
              <w:left w:val="nil"/>
              <w:bottom w:val="single" w:sz="4" w:space="0" w:color="auto"/>
              <w:right w:val="single" w:sz="4" w:space="0" w:color="auto"/>
            </w:tcBorders>
            <w:shd w:val="clear" w:color="auto" w:fill="auto"/>
            <w:noWrap/>
            <w:hideMark/>
          </w:tcPr>
          <w:p w14:paraId="484E041C"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Douleurs et gonflements cutanés, éruptions cutanées</w:t>
            </w:r>
          </w:p>
        </w:tc>
        <w:tc>
          <w:tcPr>
            <w:tcW w:w="1727" w:type="dxa"/>
            <w:tcBorders>
              <w:top w:val="nil"/>
              <w:left w:val="nil"/>
              <w:bottom w:val="single" w:sz="4" w:space="0" w:color="auto"/>
              <w:right w:val="single" w:sz="4" w:space="0" w:color="auto"/>
            </w:tcBorders>
            <w:shd w:val="clear" w:color="auto" w:fill="auto"/>
            <w:noWrap/>
            <w:hideMark/>
          </w:tcPr>
          <w:p w14:paraId="7400749E"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Traitement de soutien/a survécu</w:t>
            </w:r>
          </w:p>
        </w:tc>
        <w:tc>
          <w:tcPr>
            <w:tcW w:w="1116" w:type="dxa"/>
            <w:tcBorders>
              <w:top w:val="nil"/>
              <w:left w:val="nil"/>
              <w:bottom w:val="single" w:sz="4" w:space="0" w:color="auto"/>
              <w:right w:val="single" w:sz="4" w:space="0" w:color="auto"/>
            </w:tcBorders>
            <w:shd w:val="clear" w:color="auto" w:fill="auto"/>
            <w:noWrap/>
            <w:hideMark/>
          </w:tcPr>
          <w:p w14:paraId="5086D86B" w14:textId="2D19D624"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 xml:space="preserve">Lin </w:t>
            </w:r>
            <w:r w:rsidR="00467561" w:rsidRPr="00467561">
              <w:rPr>
                <w:i/>
                <w:color w:val="000000"/>
                <w:sz w:val="18"/>
                <w:szCs w:val="18"/>
              </w:rPr>
              <w:t>et al.</w:t>
            </w:r>
          </w:p>
        </w:tc>
      </w:tr>
      <w:tr w:rsidR="0024276D" w:rsidRPr="003D65BD" w14:paraId="05A3F99F" w14:textId="77777777" w:rsidTr="00D65132">
        <w:trPr>
          <w:trHeight w:val="256"/>
        </w:trPr>
        <w:tc>
          <w:tcPr>
            <w:tcW w:w="1092" w:type="dxa"/>
            <w:tcBorders>
              <w:top w:val="nil"/>
              <w:left w:val="single" w:sz="4" w:space="0" w:color="auto"/>
              <w:bottom w:val="single" w:sz="4" w:space="0" w:color="auto"/>
              <w:right w:val="single" w:sz="4" w:space="0" w:color="auto"/>
            </w:tcBorders>
            <w:shd w:val="clear" w:color="auto" w:fill="auto"/>
            <w:noWrap/>
            <w:hideMark/>
          </w:tcPr>
          <w:p w14:paraId="2F613495"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2,38 %</w:t>
            </w:r>
          </w:p>
        </w:tc>
        <w:tc>
          <w:tcPr>
            <w:tcW w:w="1969" w:type="dxa"/>
            <w:tcBorders>
              <w:top w:val="nil"/>
              <w:left w:val="nil"/>
              <w:bottom w:val="single" w:sz="4" w:space="0" w:color="auto"/>
              <w:right w:val="single" w:sz="4" w:space="0" w:color="auto"/>
            </w:tcBorders>
            <w:shd w:val="clear" w:color="auto" w:fill="auto"/>
            <w:noWrap/>
            <w:hideMark/>
          </w:tcPr>
          <w:p w14:paraId="3F2AF9D7"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Œil</w:t>
            </w:r>
          </w:p>
        </w:tc>
        <w:tc>
          <w:tcPr>
            <w:tcW w:w="966" w:type="dxa"/>
            <w:tcBorders>
              <w:top w:val="nil"/>
              <w:left w:val="nil"/>
              <w:bottom w:val="single" w:sz="4" w:space="0" w:color="auto"/>
              <w:right w:val="single" w:sz="4" w:space="0" w:color="auto"/>
            </w:tcBorders>
            <w:shd w:val="clear" w:color="auto" w:fill="auto"/>
            <w:noWrap/>
            <w:hideMark/>
          </w:tcPr>
          <w:p w14:paraId="6EBF9268" w14:textId="7A8F5A4F" w:rsidR="0024276D" w:rsidRPr="003D65BD" w:rsidRDefault="00AC5EC1" w:rsidP="00D65132">
            <w:pPr>
              <w:suppressAutoHyphens w:val="0"/>
              <w:kinsoku/>
              <w:overflowPunct/>
              <w:autoSpaceDE/>
              <w:autoSpaceDN/>
              <w:adjustRightInd/>
              <w:snapToGrid/>
              <w:spacing w:before="60" w:after="60" w:line="240" w:lineRule="auto"/>
              <w:rPr>
                <w:rFonts w:eastAsia="Times New Roman"/>
                <w:color w:val="000000"/>
                <w:sz w:val="18"/>
                <w:szCs w:val="18"/>
              </w:rPr>
            </w:pPr>
            <w:r>
              <w:rPr>
                <w:color w:val="000000"/>
                <w:sz w:val="18"/>
                <w:szCs w:val="18"/>
              </w:rPr>
              <w:t>&lt;</w:t>
            </w:r>
            <w:r w:rsidR="0024276D" w:rsidRPr="003D65BD">
              <w:rPr>
                <w:color w:val="000000"/>
                <w:sz w:val="18"/>
                <w:szCs w:val="18"/>
              </w:rPr>
              <w:t>1 min</w:t>
            </w:r>
          </w:p>
        </w:tc>
        <w:tc>
          <w:tcPr>
            <w:tcW w:w="2893" w:type="dxa"/>
            <w:tcBorders>
              <w:top w:val="nil"/>
              <w:left w:val="nil"/>
              <w:bottom w:val="single" w:sz="4" w:space="0" w:color="auto"/>
              <w:right w:val="single" w:sz="4" w:space="0" w:color="auto"/>
            </w:tcBorders>
            <w:shd w:val="clear" w:color="auto" w:fill="auto"/>
            <w:noWrap/>
            <w:hideMark/>
          </w:tcPr>
          <w:p w14:paraId="46608FCD"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Conjonctivite</w:t>
            </w:r>
          </w:p>
        </w:tc>
        <w:tc>
          <w:tcPr>
            <w:tcW w:w="1727" w:type="dxa"/>
            <w:tcBorders>
              <w:top w:val="nil"/>
              <w:left w:val="nil"/>
              <w:bottom w:val="single" w:sz="4" w:space="0" w:color="auto"/>
              <w:right w:val="single" w:sz="4" w:space="0" w:color="auto"/>
            </w:tcBorders>
            <w:shd w:val="clear" w:color="auto" w:fill="auto"/>
            <w:noWrap/>
            <w:hideMark/>
          </w:tcPr>
          <w:p w14:paraId="0179743B"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Traitement de soutien/a survécu</w:t>
            </w:r>
          </w:p>
        </w:tc>
        <w:tc>
          <w:tcPr>
            <w:tcW w:w="1116" w:type="dxa"/>
            <w:tcBorders>
              <w:top w:val="nil"/>
              <w:left w:val="nil"/>
              <w:bottom w:val="single" w:sz="4" w:space="0" w:color="auto"/>
              <w:right w:val="single" w:sz="4" w:space="0" w:color="auto"/>
            </w:tcBorders>
            <w:shd w:val="clear" w:color="auto" w:fill="auto"/>
            <w:noWrap/>
            <w:hideMark/>
          </w:tcPr>
          <w:p w14:paraId="2B6CBD39" w14:textId="475ACDF2"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 xml:space="preserve">Lin </w:t>
            </w:r>
            <w:r w:rsidR="00467561" w:rsidRPr="00467561">
              <w:rPr>
                <w:i/>
                <w:color w:val="000000"/>
                <w:sz w:val="18"/>
                <w:szCs w:val="18"/>
              </w:rPr>
              <w:t>et al.</w:t>
            </w:r>
          </w:p>
        </w:tc>
      </w:tr>
      <w:tr w:rsidR="0024276D" w:rsidRPr="003D65BD" w14:paraId="7B2C4B1B" w14:textId="77777777" w:rsidTr="00D65132">
        <w:trPr>
          <w:trHeight w:val="256"/>
        </w:trPr>
        <w:tc>
          <w:tcPr>
            <w:tcW w:w="1092" w:type="dxa"/>
            <w:tcBorders>
              <w:top w:val="nil"/>
              <w:left w:val="single" w:sz="4" w:space="0" w:color="auto"/>
              <w:bottom w:val="single" w:sz="4" w:space="0" w:color="auto"/>
              <w:right w:val="single" w:sz="4" w:space="0" w:color="auto"/>
            </w:tcBorders>
            <w:shd w:val="clear" w:color="auto" w:fill="auto"/>
            <w:noWrap/>
            <w:hideMark/>
          </w:tcPr>
          <w:p w14:paraId="7EABF36E"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2,38 %</w:t>
            </w:r>
          </w:p>
        </w:tc>
        <w:tc>
          <w:tcPr>
            <w:tcW w:w="1969" w:type="dxa"/>
            <w:tcBorders>
              <w:top w:val="nil"/>
              <w:left w:val="nil"/>
              <w:bottom w:val="single" w:sz="4" w:space="0" w:color="auto"/>
              <w:right w:val="single" w:sz="4" w:space="0" w:color="auto"/>
            </w:tcBorders>
            <w:shd w:val="clear" w:color="auto" w:fill="auto"/>
            <w:noWrap/>
            <w:hideMark/>
          </w:tcPr>
          <w:p w14:paraId="25A6C108"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2 %</w:t>
            </w:r>
          </w:p>
        </w:tc>
        <w:tc>
          <w:tcPr>
            <w:tcW w:w="966" w:type="dxa"/>
            <w:tcBorders>
              <w:top w:val="nil"/>
              <w:left w:val="nil"/>
              <w:bottom w:val="single" w:sz="4" w:space="0" w:color="auto"/>
              <w:right w:val="single" w:sz="4" w:space="0" w:color="auto"/>
            </w:tcBorders>
            <w:shd w:val="clear" w:color="auto" w:fill="auto"/>
            <w:noWrap/>
            <w:hideMark/>
          </w:tcPr>
          <w:p w14:paraId="094807BB" w14:textId="59E76D01" w:rsidR="0024276D" w:rsidRPr="003D65BD" w:rsidRDefault="00AC5EC1" w:rsidP="00D65132">
            <w:pPr>
              <w:suppressAutoHyphens w:val="0"/>
              <w:kinsoku/>
              <w:overflowPunct/>
              <w:autoSpaceDE/>
              <w:autoSpaceDN/>
              <w:adjustRightInd/>
              <w:snapToGrid/>
              <w:spacing w:before="60" w:after="60" w:line="240" w:lineRule="auto"/>
              <w:rPr>
                <w:rFonts w:eastAsia="Times New Roman"/>
                <w:color w:val="000000"/>
                <w:sz w:val="18"/>
                <w:szCs w:val="18"/>
              </w:rPr>
            </w:pPr>
            <w:r>
              <w:rPr>
                <w:color w:val="000000"/>
                <w:sz w:val="18"/>
                <w:szCs w:val="18"/>
              </w:rPr>
              <w:t>&lt;</w:t>
            </w:r>
            <w:r w:rsidR="0024276D" w:rsidRPr="003D65BD">
              <w:rPr>
                <w:color w:val="000000"/>
                <w:sz w:val="18"/>
                <w:szCs w:val="18"/>
              </w:rPr>
              <w:t>1 min</w:t>
            </w:r>
          </w:p>
        </w:tc>
        <w:tc>
          <w:tcPr>
            <w:tcW w:w="2893" w:type="dxa"/>
            <w:tcBorders>
              <w:top w:val="nil"/>
              <w:left w:val="nil"/>
              <w:bottom w:val="single" w:sz="4" w:space="0" w:color="auto"/>
              <w:right w:val="single" w:sz="4" w:space="0" w:color="auto"/>
            </w:tcBorders>
            <w:shd w:val="clear" w:color="auto" w:fill="auto"/>
            <w:noWrap/>
            <w:hideMark/>
          </w:tcPr>
          <w:p w14:paraId="2B5D50C6"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Brûlures chimiques du premier au deuxième degré, douleur cutanée, éruptions cutanées</w:t>
            </w:r>
          </w:p>
        </w:tc>
        <w:tc>
          <w:tcPr>
            <w:tcW w:w="1727" w:type="dxa"/>
            <w:tcBorders>
              <w:top w:val="nil"/>
              <w:left w:val="nil"/>
              <w:bottom w:val="single" w:sz="4" w:space="0" w:color="auto"/>
              <w:right w:val="single" w:sz="4" w:space="0" w:color="auto"/>
            </w:tcBorders>
            <w:shd w:val="clear" w:color="auto" w:fill="auto"/>
            <w:noWrap/>
            <w:hideMark/>
          </w:tcPr>
          <w:p w14:paraId="35F08C7B"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Traitement de soutien/a survécu</w:t>
            </w:r>
          </w:p>
        </w:tc>
        <w:tc>
          <w:tcPr>
            <w:tcW w:w="1116" w:type="dxa"/>
            <w:tcBorders>
              <w:top w:val="nil"/>
              <w:left w:val="nil"/>
              <w:bottom w:val="single" w:sz="4" w:space="0" w:color="auto"/>
              <w:right w:val="single" w:sz="4" w:space="0" w:color="auto"/>
            </w:tcBorders>
            <w:shd w:val="clear" w:color="auto" w:fill="auto"/>
            <w:noWrap/>
            <w:hideMark/>
          </w:tcPr>
          <w:p w14:paraId="684A0846" w14:textId="4A68EAF9"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 xml:space="preserve">Lin </w:t>
            </w:r>
            <w:r w:rsidR="00467561" w:rsidRPr="00467561">
              <w:rPr>
                <w:i/>
                <w:color w:val="000000"/>
                <w:sz w:val="18"/>
                <w:szCs w:val="18"/>
              </w:rPr>
              <w:t>et al.</w:t>
            </w:r>
          </w:p>
        </w:tc>
      </w:tr>
      <w:tr w:rsidR="0024276D" w:rsidRPr="003D65BD" w14:paraId="25E53A4A" w14:textId="77777777" w:rsidTr="00D65132">
        <w:trPr>
          <w:trHeight w:val="256"/>
        </w:trPr>
        <w:tc>
          <w:tcPr>
            <w:tcW w:w="1092" w:type="dxa"/>
            <w:tcBorders>
              <w:top w:val="nil"/>
              <w:left w:val="single" w:sz="4" w:space="0" w:color="auto"/>
              <w:bottom w:val="single" w:sz="4" w:space="0" w:color="auto"/>
              <w:right w:val="single" w:sz="4" w:space="0" w:color="auto"/>
            </w:tcBorders>
            <w:shd w:val="clear" w:color="auto" w:fill="auto"/>
            <w:noWrap/>
            <w:hideMark/>
          </w:tcPr>
          <w:p w14:paraId="6D4A374D"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2,38 %</w:t>
            </w:r>
          </w:p>
        </w:tc>
        <w:tc>
          <w:tcPr>
            <w:tcW w:w="1969" w:type="dxa"/>
            <w:tcBorders>
              <w:top w:val="nil"/>
              <w:left w:val="nil"/>
              <w:bottom w:val="single" w:sz="4" w:space="0" w:color="auto"/>
              <w:right w:val="single" w:sz="4" w:space="0" w:color="auto"/>
            </w:tcBorders>
            <w:shd w:val="clear" w:color="auto" w:fill="auto"/>
            <w:noWrap/>
            <w:hideMark/>
          </w:tcPr>
          <w:p w14:paraId="533885C6" w14:textId="247C34BA" w:rsidR="0024276D" w:rsidRPr="003D65BD" w:rsidRDefault="00AC5EC1" w:rsidP="00D65132">
            <w:pPr>
              <w:suppressAutoHyphens w:val="0"/>
              <w:kinsoku/>
              <w:overflowPunct/>
              <w:autoSpaceDE/>
              <w:autoSpaceDN/>
              <w:adjustRightInd/>
              <w:snapToGrid/>
              <w:spacing w:before="60" w:after="60" w:line="240" w:lineRule="auto"/>
              <w:rPr>
                <w:rFonts w:eastAsia="Times New Roman"/>
                <w:color w:val="000000"/>
                <w:sz w:val="18"/>
                <w:szCs w:val="18"/>
              </w:rPr>
            </w:pPr>
            <w:r>
              <w:rPr>
                <w:color w:val="000000"/>
                <w:sz w:val="18"/>
                <w:szCs w:val="18"/>
              </w:rPr>
              <w:t>&lt;</w:t>
            </w:r>
            <w:r w:rsidR="0024276D" w:rsidRPr="003D65BD">
              <w:rPr>
                <w:color w:val="000000"/>
                <w:sz w:val="18"/>
                <w:szCs w:val="18"/>
              </w:rPr>
              <w:t xml:space="preserve">1 % </w:t>
            </w:r>
          </w:p>
        </w:tc>
        <w:tc>
          <w:tcPr>
            <w:tcW w:w="966" w:type="dxa"/>
            <w:tcBorders>
              <w:top w:val="nil"/>
              <w:left w:val="nil"/>
              <w:bottom w:val="single" w:sz="4" w:space="0" w:color="auto"/>
              <w:right w:val="single" w:sz="4" w:space="0" w:color="auto"/>
            </w:tcBorders>
            <w:shd w:val="clear" w:color="auto" w:fill="auto"/>
            <w:noWrap/>
            <w:hideMark/>
          </w:tcPr>
          <w:p w14:paraId="3A70E00F"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s.o.</w:t>
            </w:r>
          </w:p>
        </w:tc>
        <w:tc>
          <w:tcPr>
            <w:tcW w:w="2893" w:type="dxa"/>
            <w:tcBorders>
              <w:top w:val="nil"/>
              <w:left w:val="nil"/>
              <w:bottom w:val="single" w:sz="4" w:space="0" w:color="auto"/>
              <w:right w:val="single" w:sz="4" w:space="0" w:color="auto"/>
            </w:tcBorders>
            <w:shd w:val="clear" w:color="auto" w:fill="auto"/>
            <w:noWrap/>
            <w:hideMark/>
          </w:tcPr>
          <w:p w14:paraId="17508534"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Brûlures chimiques du premier degré</w:t>
            </w:r>
          </w:p>
        </w:tc>
        <w:tc>
          <w:tcPr>
            <w:tcW w:w="1727" w:type="dxa"/>
            <w:tcBorders>
              <w:top w:val="nil"/>
              <w:left w:val="nil"/>
              <w:bottom w:val="single" w:sz="4" w:space="0" w:color="auto"/>
              <w:right w:val="single" w:sz="4" w:space="0" w:color="auto"/>
            </w:tcBorders>
            <w:shd w:val="clear" w:color="auto" w:fill="auto"/>
            <w:noWrap/>
            <w:hideMark/>
          </w:tcPr>
          <w:p w14:paraId="0712E8FF"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Traitement de soutien/a survécu</w:t>
            </w:r>
          </w:p>
        </w:tc>
        <w:tc>
          <w:tcPr>
            <w:tcW w:w="1116" w:type="dxa"/>
            <w:tcBorders>
              <w:top w:val="nil"/>
              <w:left w:val="nil"/>
              <w:bottom w:val="single" w:sz="4" w:space="0" w:color="auto"/>
              <w:right w:val="single" w:sz="4" w:space="0" w:color="auto"/>
            </w:tcBorders>
            <w:shd w:val="clear" w:color="auto" w:fill="auto"/>
            <w:noWrap/>
            <w:hideMark/>
          </w:tcPr>
          <w:p w14:paraId="7B812E96" w14:textId="65D1BB31"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 xml:space="preserve">Huang </w:t>
            </w:r>
            <w:r w:rsidR="00467561" w:rsidRPr="00467561">
              <w:rPr>
                <w:i/>
                <w:color w:val="000000"/>
                <w:sz w:val="18"/>
                <w:szCs w:val="18"/>
              </w:rPr>
              <w:t>et al.</w:t>
            </w:r>
          </w:p>
        </w:tc>
      </w:tr>
      <w:tr w:rsidR="0024276D" w:rsidRPr="003D65BD" w14:paraId="0DAF5053" w14:textId="77777777" w:rsidTr="00D65132">
        <w:trPr>
          <w:trHeight w:val="256"/>
        </w:trPr>
        <w:tc>
          <w:tcPr>
            <w:tcW w:w="1092" w:type="dxa"/>
            <w:tcBorders>
              <w:top w:val="nil"/>
              <w:left w:val="single" w:sz="4" w:space="0" w:color="auto"/>
              <w:bottom w:val="single" w:sz="4" w:space="0" w:color="auto"/>
              <w:right w:val="single" w:sz="4" w:space="0" w:color="auto"/>
            </w:tcBorders>
            <w:shd w:val="clear" w:color="auto" w:fill="auto"/>
            <w:noWrap/>
            <w:hideMark/>
          </w:tcPr>
          <w:p w14:paraId="65F9DDDB"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2,38 %</w:t>
            </w:r>
          </w:p>
        </w:tc>
        <w:tc>
          <w:tcPr>
            <w:tcW w:w="1969" w:type="dxa"/>
            <w:tcBorders>
              <w:top w:val="nil"/>
              <w:left w:val="nil"/>
              <w:bottom w:val="single" w:sz="4" w:space="0" w:color="auto"/>
              <w:right w:val="single" w:sz="4" w:space="0" w:color="auto"/>
            </w:tcBorders>
            <w:shd w:val="clear" w:color="auto" w:fill="auto"/>
            <w:noWrap/>
            <w:hideMark/>
          </w:tcPr>
          <w:p w14:paraId="3DC10482" w14:textId="22B7B6D6" w:rsidR="0024276D" w:rsidRPr="003D65BD" w:rsidRDefault="00AC5EC1" w:rsidP="00D65132">
            <w:pPr>
              <w:suppressAutoHyphens w:val="0"/>
              <w:kinsoku/>
              <w:overflowPunct/>
              <w:autoSpaceDE/>
              <w:autoSpaceDN/>
              <w:adjustRightInd/>
              <w:snapToGrid/>
              <w:spacing w:before="60" w:after="60" w:line="240" w:lineRule="auto"/>
              <w:rPr>
                <w:rFonts w:eastAsia="Times New Roman"/>
                <w:color w:val="000000"/>
                <w:sz w:val="18"/>
                <w:szCs w:val="18"/>
              </w:rPr>
            </w:pPr>
            <w:r>
              <w:rPr>
                <w:color w:val="000000"/>
                <w:sz w:val="18"/>
                <w:szCs w:val="18"/>
              </w:rPr>
              <w:t>&lt;</w:t>
            </w:r>
            <w:r w:rsidR="0024276D" w:rsidRPr="003D65BD">
              <w:rPr>
                <w:color w:val="000000"/>
                <w:sz w:val="18"/>
                <w:szCs w:val="18"/>
              </w:rPr>
              <w:t xml:space="preserve">1 % </w:t>
            </w:r>
          </w:p>
        </w:tc>
        <w:tc>
          <w:tcPr>
            <w:tcW w:w="966" w:type="dxa"/>
            <w:tcBorders>
              <w:top w:val="nil"/>
              <w:left w:val="nil"/>
              <w:bottom w:val="single" w:sz="4" w:space="0" w:color="auto"/>
              <w:right w:val="single" w:sz="4" w:space="0" w:color="auto"/>
            </w:tcBorders>
            <w:shd w:val="clear" w:color="auto" w:fill="auto"/>
            <w:noWrap/>
            <w:hideMark/>
          </w:tcPr>
          <w:p w14:paraId="30D6C2EC"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s.o.</w:t>
            </w:r>
          </w:p>
        </w:tc>
        <w:tc>
          <w:tcPr>
            <w:tcW w:w="2893" w:type="dxa"/>
            <w:tcBorders>
              <w:top w:val="nil"/>
              <w:left w:val="nil"/>
              <w:bottom w:val="single" w:sz="4" w:space="0" w:color="auto"/>
              <w:right w:val="single" w:sz="4" w:space="0" w:color="auto"/>
            </w:tcBorders>
            <w:shd w:val="clear" w:color="auto" w:fill="auto"/>
            <w:noWrap/>
            <w:hideMark/>
          </w:tcPr>
          <w:p w14:paraId="3A00AD74"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Brûlures chimiques du premier degré. Lavage à la Diphotérine</w:t>
            </w:r>
          </w:p>
        </w:tc>
        <w:tc>
          <w:tcPr>
            <w:tcW w:w="1727" w:type="dxa"/>
            <w:tcBorders>
              <w:top w:val="nil"/>
              <w:left w:val="nil"/>
              <w:bottom w:val="single" w:sz="4" w:space="0" w:color="auto"/>
              <w:right w:val="single" w:sz="4" w:space="0" w:color="auto"/>
            </w:tcBorders>
            <w:shd w:val="clear" w:color="auto" w:fill="auto"/>
            <w:noWrap/>
            <w:hideMark/>
          </w:tcPr>
          <w:p w14:paraId="470B0D30"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Traitement de soutien/a survécu</w:t>
            </w:r>
          </w:p>
        </w:tc>
        <w:tc>
          <w:tcPr>
            <w:tcW w:w="1116" w:type="dxa"/>
            <w:tcBorders>
              <w:top w:val="nil"/>
              <w:left w:val="nil"/>
              <w:bottom w:val="single" w:sz="4" w:space="0" w:color="auto"/>
              <w:right w:val="single" w:sz="4" w:space="0" w:color="auto"/>
            </w:tcBorders>
            <w:shd w:val="clear" w:color="auto" w:fill="auto"/>
            <w:noWrap/>
            <w:hideMark/>
          </w:tcPr>
          <w:p w14:paraId="0E05C04F" w14:textId="414D84CA"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 xml:space="preserve">Huang </w:t>
            </w:r>
            <w:r w:rsidR="00467561" w:rsidRPr="00467561">
              <w:rPr>
                <w:i/>
                <w:color w:val="000000"/>
                <w:sz w:val="18"/>
                <w:szCs w:val="18"/>
              </w:rPr>
              <w:t>et al.</w:t>
            </w:r>
          </w:p>
        </w:tc>
      </w:tr>
      <w:tr w:rsidR="0024276D" w:rsidRPr="003D65BD" w14:paraId="67BA89CA" w14:textId="77777777" w:rsidTr="00D65132">
        <w:trPr>
          <w:trHeight w:val="256"/>
        </w:trPr>
        <w:tc>
          <w:tcPr>
            <w:tcW w:w="1092" w:type="dxa"/>
            <w:tcBorders>
              <w:top w:val="nil"/>
              <w:left w:val="single" w:sz="4" w:space="0" w:color="auto"/>
              <w:bottom w:val="single" w:sz="4" w:space="0" w:color="auto"/>
              <w:right w:val="single" w:sz="4" w:space="0" w:color="auto"/>
            </w:tcBorders>
            <w:shd w:val="clear" w:color="auto" w:fill="auto"/>
            <w:noWrap/>
            <w:hideMark/>
          </w:tcPr>
          <w:p w14:paraId="19A9276B"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2,38 %</w:t>
            </w:r>
          </w:p>
        </w:tc>
        <w:tc>
          <w:tcPr>
            <w:tcW w:w="1969" w:type="dxa"/>
            <w:tcBorders>
              <w:top w:val="nil"/>
              <w:left w:val="nil"/>
              <w:bottom w:val="single" w:sz="4" w:space="0" w:color="auto"/>
              <w:right w:val="single" w:sz="4" w:space="0" w:color="auto"/>
            </w:tcBorders>
            <w:shd w:val="clear" w:color="auto" w:fill="auto"/>
            <w:noWrap/>
            <w:hideMark/>
          </w:tcPr>
          <w:p w14:paraId="0959EE3E" w14:textId="4E214248" w:rsidR="0024276D" w:rsidRPr="003D65BD" w:rsidRDefault="00AC5EC1" w:rsidP="00D65132">
            <w:pPr>
              <w:suppressAutoHyphens w:val="0"/>
              <w:kinsoku/>
              <w:overflowPunct/>
              <w:autoSpaceDE/>
              <w:autoSpaceDN/>
              <w:adjustRightInd/>
              <w:snapToGrid/>
              <w:spacing w:before="60" w:after="60" w:line="240" w:lineRule="auto"/>
              <w:rPr>
                <w:rFonts w:eastAsia="Times New Roman"/>
                <w:color w:val="000000"/>
                <w:sz w:val="18"/>
                <w:szCs w:val="18"/>
              </w:rPr>
            </w:pPr>
            <w:r>
              <w:rPr>
                <w:color w:val="000000"/>
                <w:sz w:val="18"/>
                <w:szCs w:val="18"/>
              </w:rPr>
              <w:t>&lt;</w:t>
            </w:r>
            <w:r w:rsidR="0024276D" w:rsidRPr="003D65BD">
              <w:rPr>
                <w:color w:val="000000"/>
                <w:sz w:val="18"/>
                <w:szCs w:val="18"/>
              </w:rPr>
              <w:t xml:space="preserve">1 % </w:t>
            </w:r>
          </w:p>
        </w:tc>
        <w:tc>
          <w:tcPr>
            <w:tcW w:w="966" w:type="dxa"/>
            <w:tcBorders>
              <w:top w:val="nil"/>
              <w:left w:val="nil"/>
              <w:bottom w:val="single" w:sz="4" w:space="0" w:color="auto"/>
              <w:right w:val="single" w:sz="4" w:space="0" w:color="auto"/>
            </w:tcBorders>
            <w:shd w:val="clear" w:color="auto" w:fill="auto"/>
            <w:noWrap/>
            <w:hideMark/>
          </w:tcPr>
          <w:p w14:paraId="5A15871B"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s.o.</w:t>
            </w:r>
          </w:p>
        </w:tc>
        <w:tc>
          <w:tcPr>
            <w:tcW w:w="2893" w:type="dxa"/>
            <w:tcBorders>
              <w:top w:val="nil"/>
              <w:left w:val="nil"/>
              <w:bottom w:val="single" w:sz="4" w:space="0" w:color="auto"/>
              <w:right w:val="single" w:sz="4" w:space="0" w:color="auto"/>
            </w:tcBorders>
            <w:shd w:val="clear" w:color="auto" w:fill="auto"/>
            <w:noWrap/>
            <w:hideMark/>
          </w:tcPr>
          <w:p w14:paraId="06ECF4B3"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Brûlures chimiques du premier degré</w:t>
            </w:r>
          </w:p>
        </w:tc>
        <w:tc>
          <w:tcPr>
            <w:tcW w:w="1727" w:type="dxa"/>
            <w:tcBorders>
              <w:top w:val="nil"/>
              <w:left w:val="nil"/>
              <w:bottom w:val="single" w:sz="4" w:space="0" w:color="auto"/>
              <w:right w:val="single" w:sz="4" w:space="0" w:color="auto"/>
            </w:tcBorders>
            <w:shd w:val="clear" w:color="auto" w:fill="auto"/>
            <w:noWrap/>
            <w:hideMark/>
          </w:tcPr>
          <w:p w14:paraId="4B741AFE"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Traitement de soutien/a survécu</w:t>
            </w:r>
          </w:p>
        </w:tc>
        <w:tc>
          <w:tcPr>
            <w:tcW w:w="1116" w:type="dxa"/>
            <w:tcBorders>
              <w:top w:val="nil"/>
              <w:left w:val="nil"/>
              <w:bottom w:val="single" w:sz="4" w:space="0" w:color="auto"/>
              <w:right w:val="single" w:sz="4" w:space="0" w:color="auto"/>
            </w:tcBorders>
            <w:shd w:val="clear" w:color="auto" w:fill="auto"/>
            <w:noWrap/>
            <w:hideMark/>
          </w:tcPr>
          <w:p w14:paraId="403C634E" w14:textId="5CCFA1B2"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 xml:space="preserve">Huang </w:t>
            </w:r>
            <w:r w:rsidR="00467561" w:rsidRPr="00467561">
              <w:rPr>
                <w:i/>
                <w:color w:val="000000"/>
                <w:sz w:val="18"/>
                <w:szCs w:val="18"/>
              </w:rPr>
              <w:t>et al.</w:t>
            </w:r>
          </w:p>
        </w:tc>
      </w:tr>
      <w:tr w:rsidR="0024276D" w:rsidRPr="003D65BD" w14:paraId="6DA45740" w14:textId="77777777" w:rsidTr="00D65132">
        <w:trPr>
          <w:trHeight w:val="256"/>
        </w:trPr>
        <w:tc>
          <w:tcPr>
            <w:tcW w:w="1092" w:type="dxa"/>
            <w:tcBorders>
              <w:top w:val="nil"/>
              <w:left w:val="single" w:sz="4" w:space="0" w:color="auto"/>
              <w:bottom w:val="single" w:sz="4" w:space="0" w:color="auto"/>
              <w:right w:val="single" w:sz="4" w:space="0" w:color="auto"/>
            </w:tcBorders>
            <w:shd w:val="clear" w:color="auto" w:fill="auto"/>
            <w:noWrap/>
            <w:hideMark/>
          </w:tcPr>
          <w:p w14:paraId="7A44FE25"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2,38 %</w:t>
            </w:r>
          </w:p>
        </w:tc>
        <w:tc>
          <w:tcPr>
            <w:tcW w:w="1969" w:type="dxa"/>
            <w:tcBorders>
              <w:top w:val="nil"/>
              <w:left w:val="nil"/>
              <w:bottom w:val="single" w:sz="4" w:space="0" w:color="auto"/>
              <w:right w:val="single" w:sz="4" w:space="0" w:color="auto"/>
            </w:tcBorders>
            <w:shd w:val="clear" w:color="auto" w:fill="auto"/>
            <w:noWrap/>
            <w:hideMark/>
          </w:tcPr>
          <w:p w14:paraId="43D6C3A2" w14:textId="193F4C66" w:rsidR="0024276D" w:rsidRPr="003D65BD" w:rsidRDefault="00AC5EC1" w:rsidP="00D65132">
            <w:pPr>
              <w:suppressAutoHyphens w:val="0"/>
              <w:kinsoku/>
              <w:overflowPunct/>
              <w:autoSpaceDE/>
              <w:autoSpaceDN/>
              <w:adjustRightInd/>
              <w:snapToGrid/>
              <w:spacing w:before="60" w:after="60" w:line="240" w:lineRule="auto"/>
              <w:rPr>
                <w:rFonts w:eastAsia="Times New Roman"/>
                <w:color w:val="000000"/>
                <w:sz w:val="18"/>
                <w:szCs w:val="18"/>
              </w:rPr>
            </w:pPr>
            <w:r>
              <w:rPr>
                <w:color w:val="000000"/>
                <w:sz w:val="18"/>
                <w:szCs w:val="18"/>
              </w:rPr>
              <w:t>&lt;</w:t>
            </w:r>
            <w:r w:rsidR="0024276D" w:rsidRPr="003D65BD">
              <w:rPr>
                <w:color w:val="000000"/>
                <w:sz w:val="18"/>
                <w:szCs w:val="18"/>
              </w:rPr>
              <w:t xml:space="preserve">1 % </w:t>
            </w:r>
          </w:p>
        </w:tc>
        <w:tc>
          <w:tcPr>
            <w:tcW w:w="966" w:type="dxa"/>
            <w:tcBorders>
              <w:top w:val="nil"/>
              <w:left w:val="nil"/>
              <w:bottom w:val="single" w:sz="4" w:space="0" w:color="auto"/>
              <w:right w:val="single" w:sz="4" w:space="0" w:color="auto"/>
            </w:tcBorders>
            <w:shd w:val="clear" w:color="auto" w:fill="auto"/>
            <w:noWrap/>
            <w:hideMark/>
          </w:tcPr>
          <w:p w14:paraId="211BF0CD"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s.o.</w:t>
            </w:r>
          </w:p>
        </w:tc>
        <w:tc>
          <w:tcPr>
            <w:tcW w:w="2893" w:type="dxa"/>
            <w:tcBorders>
              <w:top w:val="nil"/>
              <w:left w:val="nil"/>
              <w:bottom w:val="single" w:sz="4" w:space="0" w:color="auto"/>
              <w:right w:val="single" w:sz="4" w:space="0" w:color="auto"/>
            </w:tcBorders>
            <w:shd w:val="clear" w:color="auto" w:fill="auto"/>
            <w:noWrap/>
            <w:hideMark/>
          </w:tcPr>
          <w:p w14:paraId="47F19EDF"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Brûlures chimiques du premier degré</w:t>
            </w:r>
          </w:p>
        </w:tc>
        <w:tc>
          <w:tcPr>
            <w:tcW w:w="1727" w:type="dxa"/>
            <w:tcBorders>
              <w:top w:val="nil"/>
              <w:left w:val="nil"/>
              <w:bottom w:val="single" w:sz="4" w:space="0" w:color="auto"/>
              <w:right w:val="single" w:sz="4" w:space="0" w:color="auto"/>
            </w:tcBorders>
            <w:shd w:val="clear" w:color="auto" w:fill="auto"/>
            <w:noWrap/>
            <w:hideMark/>
          </w:tcPr>
          <w:p w14:paraId="1B68A5E8"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Traitement de soutien/a survécu</w:t>
            </w:r>
          </w:p>
        </w:tc>
        <w:tc>
          <w:tcPr>
            <w:tcW w:w="1116" w:type="dxa"/>
            <w:tcBorders>
              <w:top w:val="nil"/>
              <w:left w:val="nil"/>
              <w:bottom w:val="single" w:sz="4" w:space="0" w:color="auto"/>
              <w:right w:val="single" w:sz="4" w:space="0" w:color="auto"/>
            </w:tcBorders>
            <w:shd w:val="clear" w:color="auto" w:fill="auto"/>
            <w:noWrap/>
            <w:hideMark/>
          </w:tcPr>
          <w:p w14:paraId="18B18768" w14:textId="21A9365A"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 xml:space="preserve">Huang </w:t>
            </w:r>
            <w:r w:rsidR="00467561" w:rsidRPr="00467561">
              <w:rPr>
                <w:i/>
                <w:color w:val="000000"/>
                <w:sz w:val="18"/>
                <w:szCs w:val="18"/>
              </w:rPr>
              <w:t>et al.</w:t>
            </w:r>
          </w:p>
        </w:tc>
      </w:tr>
      <w:tr w:rsidR="0024276D" w:rsidRPr="003D65BD" w14:paraId="0CAB0DF2" w14:textId="77777777" w:rsidTr="00D65132">
        <w:trPr>
          <w:trHeight w:val="256"/>
        </w:trPr>
        <w:tc>
          <w:tcPr>
            <w:tcW w:w="1092" w:type="dxa"/>
            <w:tcBorders>
              <w:top w:val="nil"/>
              <w:left w:val="single" w:sz="4" w:space="0" w:color="auto"/>
              <w:bottom w:val="single" w:sz="4" w:space="0" w:color="auto"/>
              <w:right w:val="single" w:sz="4" w:space="0" w:color="auto"/>
            </w:tcBorders>
            <w:shd w:val="clear" w:color="auto" w:fill="auto"/>
            <w:noWrap/>
            <w:hideMark/>
          </w:tcPr>
          <w:p w14:paraId="54B43479"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2,38 %</w:t>
            </w:r>
          </w:p>
        </w:tc>
        <w:tc>
          <w:tcPr>
            <w:tcW w:w="1969" w:type="dxa"/>
            <w:tcBorders>
              <w:top w:val="nil"/>
              <w:left w:val="nil"/>
              <w:bottom w:val="single" w:sz="4" w:space="0" w:color="auto"/>
              <w:right w:val="single" w:sz="4" w:space="0" w:color="auto"/>
            </w:tcBorders>
            <w:shd w:val="clear" w:color="auto" w:fill="auto"/>
            <w:noWrap/>
            <w:hideMark/>
          </w:tcPr>
          <w:p w14:paraId="204DFA79" w14:textId="5CF87149" w:rsidR="0024276D" w:rsidRPr="003D65BD" w:rsidRDefault="00AC5EC1" w:rsidP="00D65132">
            <w:pPr>
              <w:suppressAutoHyphens w:val="0"/>
              <w:kinsoku/>
              <w:overflowPunct/>
              <w:autoSpaceDE/>
              <w:autoSpaceDN/>
              <w:adjustRightInd/>
              <w:snapToGrid/>
              <w:spacing w:before="60" w:after="60" w:line="240" w:lineRule="auto"/>
              <w:rPr>
                <w:rFonts w:eastAsia="Times New Roman"/>
                <w:color w:val="000000"/>
                <w:sz w:val="18"/>
                <w:szCs w:val="18"/>
              </w:rPr>
            </w:pPr>
            <w:r>
              <w:rPr>
                <w:color w:val="000000"/>
                <w:sz w:val="18"/>
                <w:szCs w:val="18"/>
              </w:rPr>
              <w:t>&lt;</w:t>
            </w:r>
            <w:r w:rsidR="0024276D" w:rsidRPr="003D65BD">
              <w:rPr>
                <w:color w:val="000000"/>
                <w:sz w:val="18"/>
                <w:szCs w:val="18"/>
              </w:rPr>
              <w:t xml:space="preserve">1 % </w:t>
            </w:r>
          </w:p>
        </w:tc>
        <w:tc>
          <w:tcPr>
            <w:tcW w:w="966" w:type="dxa"/>
            <w:tcBorders>
              <w:top w:val="nil"/>
              <w:left w:val="nil"/>
              <w:bottom w:val="single" w:sz="4" w:space="0" w:color="auto"/>
              <w:right w:val="single" w:sz="4" w:space="0" w:color="auto"/>
            </w:tcBorders>
            <w:shd w:val="clear" w:color="auto" w:fill="auto"/>
            <w:noWrap/>
            <w:hideMark/>
          </w:tcPr>
          <w:p w14:paraId="6A8EB8BD"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s.o.</w:t>
            </w:r>
          </w:p>
        </w:tc>
        <w:tc>
          <w:tcPr>
            <w:tcW w:w="2893" w:type="dxa"/>
            <w:tcBorders>
              <w:top w:val="nil"/>
              <w:left w:val="nil"/>
              <w:bottom w:val="single" w:sz="4" w:space="0" w:color="auto"/>
              <w:right w:val="single" w:sz="4" w:space="0" w:color="auto"/>
            </w:tcBorders>
            <w:shd w:val="clear" w:color="auto" w:fill="auto"/>
            <w:noWrap/>
            <w:hideMark/>
          </w:tcPr>
          <w:p w14:paraId="00522120"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Aucune</w:t>
            </w:r>
          </w:p>
        </w:tc>
        <w:tc>
          <w:tcPr>
            <w:tcW w:w="1727" w:type="dxa"/>
            <w:tcBorders>
              <w:top w:val="nil"/>
              <w:left w:val="nil"/>
              <w:bottom w:val="single" w:sz="4" w:space="0" w:color="auto"/>
              <w:right w:val="single" w:sz="4" w:space="0" w:color="auto"/>
            </w:tcBorders>
            <w:shd w:val="clear" w:color="auto" w:fill="auto"/>
            <w:noWrap/>
            <w:hideMark/>
          </w:tcPr>
          <w:p w14:paraId="69CD82C4"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Traitement de soutien/a survécu</w:t>
            </w:r>
          </w:p>
        </w:tc>
        <w:tc>
          <w:tcPr>
            <w:tcW w:w="1116" w:type="dxa"/>
            <w:tcBorders>
              <w:top w:val="nil"/>
              <w:left w:val="nil"/>
              <w:bottom w:val="single" w:sz="4" w:space="0" w:color="auto"/>
              <w:right w:val="single" w:sz="4" w:space="0" w:color="auto"/>
            </w:tcBorders>
            <w:shd w:val="clear" w:color="auto" w:fill="auto"/>
            <w:noWrap/>
            <w:hideMark/>
          </w:tcPr>
          <w:p w14:paraId="0C1E979D" w14:textId="7DF7028E"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 xml:space="preserve">Huang </w:t>
            </w:r>
            <w:r w:rsidR="00467561" w:rsidRPr="00467561">
              <w:rPr>
                <w:i/>
                <w:color w:val="000000"/>
                <w:sz w:val="18"/>
                <w:szCs w:val="18"/>
              </w:rPr>
              <w:t>et al.</w:t>
            </w:r>
          </w:p>
        </w:tc>
      </w:tr>
      <w:tr w:rsidR="0024276D" w:rsidRPr="003D65BD" w14:paraId="4EED24EB" w14:textId="77777777" w:rsidTr="00D65132">
        <w:trPr>
          <w:trHeight w:val="256"/>
        </w:trPr>
        <w:tc>
          <w:tcPr>
            <w:tcW w:w="1092" w:type="dxa"/>
            <w:tcBorders>
              <w:top w:val="nil"/>
              <w:left w:val="single" w:sz="4" w:space="0" w:color="auto"/>
              <w:bottom w:val="single" w:sz="4" w:space="0" w:color="auto"/>
              <w:right w:val="single" w:sz="4" w:space="0" w:color="auto"/>
            </w:tcBorders>
            <w:shd w:val="clear" w:color="auto" w:fill="auto"/>
            <w:noWrap/>
            <w:hideMark/>
          </w:tcPr>
          <w:p w14:paraId="1942C154"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2,38 %</w:t>
            </w:r>
          </w:p>
        </w:tc>
        <w:tc>
          <w:tcPr>
            <w:tcW w:w="1969" w:type="dxa"/>
            <w:tcBorders>
              <w:top w:val="nil"/>
              <w:left w:val="nil"/>
              <w:bottom w:val="single" w:sz="4" w:space="0" w:color="auto"/>
              <w:right w:val="single" w:sz="4" w:space="0" w:color="auto"/>
            </w:tcBorders>
            <w:shd w:val="clear" w:color="auto" w:fill="auto"/>
            <w:noWrap/>
            <w:hideMark/>
          </w:tcPr>
          <w:p w14:paraId="30FF60C6"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1 %</w:t>
            </w:r>
          </w:p>
        </w:tc>
        <w:tc>
          <w:tcPr>
            <w:tcW w:w="966" w:type="dxa"/>
            <w:tcBorders>
              <w:top w:val="nil"/>
              <w:left w:val="nil"/>
              <w:bottom w:val="single" w:sz="4" w:space="0" w:color="auto"/>
              <w:right w:val="single" w:sz="4" w:space="0" w:color="auto"/>
            </w:tcBorders>
            <w:shd w:val="clear" w:color="auto" w:fill="auto"/>
            <w:noWrap/>
            <w:hideMark/>
          </w:tcPr>
          <w:p w14:paraId="50305AAE"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s.o.</w:t>
            </w:r>
          </w:p>
        </w:tc>
        <w:tc>
          <w:tcPr>
            <w:tcW w:w="2893" w:type="dxa"/>
            <w:tcBorders>
              <w:top w:val="nil"/>
              <w:left w:val="nil"/>
              <w:bottom w:val="single" w:sz="4" w:space="0" w:color="auto"/>
              <w:right w:val="single" w:sz="4" w:space="0" w:color="auto"/>
            </w:tcBorders>
            <w:shd w:val="clear" w:color="auto" w:fill="auto"/>
            <w:noWrap/>
            <w:hideMark/>
          </w:tcPr>
          <w:p w14:paraId="6A139B60"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Brûlures chimiques du premier degré</w:t>
            </w:r>
          </w:p>
        </w:tc>
        <w:tc>
          <w:tcPr>
            <w:tcW w:w="1727" w:type="dxa"/>
            <w:tcBorders>
              <w:top w:val="nil"/>
              <w:left w:val="nil"/>
              <w:bottom w:val="single" w:sz="4" w:space="0" w:color="auto"/>
              <w:right w:val="single" w:sz="4" w:space="0" w:color="auto"/>
            </w:tcBorders>
            <w:shd w:val="clear" w:color="auto" w:fill="auto"/>
            <w:noWrap/>
            <w:hideMark/>
          </w:tcPr>
          <w:p w14:paraId="0D3CADBC"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Traitement de soutien/a survécu</w:t>
            </w:r>
          </w:p>
        </w:tc>
        <w:tc>
          <w:tcPr>
            <w:tcW w:w="1116" w:type="dxa"/>
            <w:tcBorders>
              <w:top w:val="nil"/>
              <w:left w:val="nil"/>
              <w:bottom w:val="single" w:sz="4" w:space="0" w:color="auto"/>
              <w:right w:val="single" w:sz="4" w:space="0" w:color="auto"/>
            </w:tcBorders>
            <w:shd w:val="clear" w:color="auto" w:fill="auto"/>
            <w:noWrap/>
            <w:hideMark/>
          </w:tcPr>
          <w:p w14:paraId="6BE1C270" w14:textId="4D8B000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 xml:space="preserve">Huang </w:t>
            </w:r>
            <w:r w:rsidR="00467561" w:rsidRPr="00467561">
              <w:rPr>
                <w:i/>
                <w:color w:val="000000"/>
                <w:sz w:val="18"/>
                <w:szCs w:val="18"/>
              </w:rPr>
              <w:t>et al.</w:t>
            </w:r>
          </w:p>
        </w:tc>
      </w:tr>
      <w:tr w:rsidR="0024276D" w:rsidRPr="003D65BD" w14:paraId="40E343C3" w14:textId="77777777" w:rsidTr="00D65132">
        <w:trPr>
          <w:trHeight w:val="256"/>
        </w:trPr>
        <w:tc>
          <w:tcPr>
            <w:tcW w:w="1092" w:type="dxa"/>
            <w:tcBorders>
              <w:top w:val="nil"/>
              <w:left w:val="single" w:sz="4" w:space="0" w:color="auto"/>
              <w:bottom w:val="single" w:sz="4" w:space="0" w:color="auto"/>
              <w:right w:val="single" w:sz="4" w:space="0" w:color="auto"/>
            </w:tcBorders>
            <w:shd w:val="clear" w:color="auto" w:fill="auto"/>
            <w:noWrap/>
            <w:hideMark/>
          </w:tcPr>
          <w:p w14:paraId="7AAE2A4D"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2,38 %</w:t>
            </w:r>
          </w:p>
        </w:tc>
        <w:tc>
          <w:tcPr>
            <w:tcW w:w="1969" w:type="dxa"/>
            <w:tcBorders>
              <w:top w:val="nil"/>
              <w:left w:val="nil"/>
              <w:bottom w:val="single" w:sz="4" w:space="0" w:color="auto"/>
              <w:right w:val="single" w:sz="4" w:space="0" w:color="auto"/>
            </w:tcBorders>
            <w:shd w:val="clear" w:color="auto" w:fill="auto"/>
            <w:noWrap/>
            <w:hideMark/>
          </w:tcPr>
          <w:p w14:paraId="0699D180" w14:textId="350D6C86" w:rsidR="0024276D" w:rsidRPr="003D65BD" w:rsidRDefault="00AC5EC1" w:rsidP="00D65132">
            <w:pPr>
              <w:suppressAutoHyphens w:val="0"/>
              <w:kinsoku/>
              <w:overflowPunct/>
              <w:autoSpaceDE/>
              <w:autoSpaceDN/>
              <w:adjustRightInd/>
              <w:snapToGrid/>
              <w:spacing w:before="60" w:after="60" w:line="240" w:lineRule="auto"/>
              <w:rPr>
                <w:rFonts w:eastAsia="Times New Roman"/>
                <w:color w:val="000000"/>
                <w:sz w:val="18"/>
                <w:szCs w:val="18"/>
              </w:rPr>
            </w:pPr>
            <w:r>
              <w:rPr>
                <w:color w:val="000000"/>
                <w:sz w:val="18"/>
                <w:szCs w:val="18"/>
              </w:rPr>
              <w:t>&lt;</w:t>
            </w:r>
            <w:r w:rsidR="0024276D" w:rsidRPr="003D65BD">
              <w:rPr>
                <w:color w:val="000000"/>
                <w:sz w:val="18"/>
                <w:szCs w:val="18"/>
              </w:rPr>
              <w:t xml:space="preserve">1 % </w:t>
            </w:r>
          </w:p>
        </w:tc>
        <w:tc>
          <w:tcPr>
            <w:tcW w:w="966" w:type="dxa"/>
            <w:tcBorders>
              <w:top w:val="nil"/>
              <w:left w:val="nil"/>
              <w:bottom w:val="single" w:sz="4" w:space="0" w:color="auto"/>
              <w:right w:val="single" w:sz="4" w:space="0" w:color="auto"/>
            </w:tcBorders>
            <w:shd w:val="clear" w:color="auto" w:fill="auto"/>
            <w:noWrap/>
            <w:hideMark/>
          </w:tcPr>
          <w:p w14:paraId="5606C2FC" w14:textId="7DEA7F66" w:rsidR="0024276D" w:rsidRPr="003D65BD" w:rsidRDefault="00AC5EC1" w:rsidP="00D65132">
            <w:pPr>
              <w:suppressAutoHyphens w:val="0"/>
              <w:kinsoku/>
              <w:overflowPunct/>
              <w:autoSpaceDE/>
              <w:autoSpaceDN/>
              <w:adjustRightInd/>
              <w:snapToGrid/>
              <w:spacing w:before="60" w:after="60" w:line="240" w:lineRule="auto"/>
              <w:rPr>
                <w:rFonts w:eastAsia="Times New Roman"/>
                <w:color w:val="000000"/>
                <w:sz w:val="18"/>
                <w:szCs w:val="18"/>
              </w:rPr>
            </w:pPr>
            <w:r>
              <w:rPr>
                <w:color w:val="000000"/>
                <w:sz w:val="18"/>
                <w:szCs w:val="18"/>
              </w:rPr>
              <w:t>&lt;</w:t>
            </w:r>
            <w:r w:rsidR="0024276D" w:rsidRPr="003D65BD">
              <w:rPr>
                <w:color w:val="000000"/>
                <w:sz w:val="18"/>
                <w:szCs w:val="18"/>
              </w:rPr>
              <w:t>5 min</w:t>
            </w:r>
          </w:p>
        </w:tc>
        <w:tc>
          <w:tcPr>
            <w:tcW w:w="2893" w:type="dxa"/>
            <w:tcBorders>
              <w:top w:val="nil"/>
              <w:left w:val="nil"/>
              <w:bottom w:val="single" w:sz="4" w:space="0" w:color="auto"/>
              <w:right w:val="single" w:sz="4" w:space="0" w:color="auto"/>
            </w:tcBorders>
            <w:shd w:val="clear" w:color="auto" w:fill="auto"/>
            <w:noWrap/>
            <w:hideMark/>
          </w:tcPr>
          <w:p w14:paraId="5C73332F"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Aucune</w:t>
            </w:r>
          </w:p>
        </w:tc>
        <w:tc>
          <w:tcPr>
            <w:tcW w:w="1727" w:type="dxa"/>
            <w:tcBorders>
              <w:top w:val="nil"/>
              <w:left w:val="nil"/>
              <w:bottom w:val="single" w:sz="4" w:space="0" w:color="auto"/>
              <w:right w:val="single" w:sz="4" w:space="0" w:color="auto"/>
            </w:tcBorders>
            <w:shd w:val="clear" w:color="auto" w:fill="auto"/>
            <w:noWrap/>
            <w:hideMark/>
          </w:tcPr>
          <w:p w14:paraId="4A7F72A8"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Traitement de soutien/a survécu</w:t>
            </w:r>
          </w:p>
        </w:tc>
        <w:tc>
          <w:tcPr>
            <w:tcW w:w="1116" w:type="dxa"/>
            <w:tcBorders>
              <w:top w:val="nil"/>
              <w:left w:val="nil"/>
              <w:bottom w:val="single" w:sz="4" w:space="0" w:color="auto"/>
              <w:right w:val="single" w:sz="4" w:space="0" w:color="auto"/>
            </w:tcBorders>
            <w:shd w:val="clear" w:color="auto" w:fill="auto"/>
            <w:noWrap/>
            <w:hideMark/>
          </w:tcPr>
          <w:p w14:paraId="165E760B" w14:textId="00BCABC9"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 xml:space="preserve">Huang </w:t>
            </w:r>
            <w:r w:rsidR="00467561" w:rsidRPr="00467561">
              <w:rPr>
                <w:i/>
                <w:color w:val="000000"/>
                <w:sz w:val="18"/>
                <w:szCs w:val="18"/>
              </w:rPr>
              <w:t>et al.</w:t>
            </w:r>
          </w:p>
        </w:tc>
      </w:tr>
      <w:tr w:rsidR="0024276D" w:rsidRPr="003D65BD" w14:paraId="7E3CD8B8" w14:textId="77777777" w:rsidTr="00D65132">
        <w:trPr>
          <w:trHeight w:val="256"/>
        </w:trPr>
        <w:tc>
          <w:tcPr>
            <w:tcW w:w="1092" w:type="dxa"/>
            <w:tcBorders>
              <w:top w:val="nil"/>
              <w:left w:val="single" w:sz="4" w:space="0" w:color="auto"/>
              <w:bottom w:val="single" w:sz="4" w:space="0" w:color="auto"/>
              <w:right w:val="single" w:sz="4" w:space="0" w:color="auto"/>
            </w:tcBorders>
            <w:shd w:val="clear" w:color="auto" w:fill="auto"/>
            <w:noWrap/>
            <w:hideMark/>
          </w:tcPr>
          <w:p w14:paraId="69AB596B"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2,38 %</w:t>
            </w:r>
          </w:p>
        </w:tc>
        <w:tc>
          <w:tcPr>
            <w:tcW w:w="1969" w:type="dxa"/>
            <w:tcBorders>
              <w:top w:val="nil"/>
              <w:left w:val="nil"/>
              <w:bottom w:val="single" w:sz="4" w:space="0" w:color="auto"/>
              <w:right w:val="single" w:sz="4" w:space="0" w:color="auto"/>
            </w:tcBorders>
            <w:shd w:val="clear" w:color="auto" w:fill="auto"/>
            <w:noWrap/>
            <w:hideMark/>
          </w:tcPr>
          <w:p w14:paraId="6D9245F2" w14:textId="64283C53" w:rsidR="0024276D" w:rsidRPr="003D65BD" w:rsidRDefault="00AC5EC1" w:rsidP="00D65132">
            <w:pPr>
              <w:suppressAutoHyphens w:val="0"/>
              <w:kinsoku/>
              <w:overflowPunct/>
              <w:autoSpaceDE/>
              <w:autoSpaceDN/>
              <w:adjustRightInd/>
              <w:snapToGrid/>
              <w:spacing w:before="60" w:after="60" w:line="240" w:lineRule="auto"/>
              <w:rPr>
                <w:rFonts w:eastAsia="Times New Roman"/>
                <w:color w:val="000000"/>
                <w:sz w:val="18"/>
                <w:szCs w:val="18"/>
              </w:rPr>
            </w:pPr>
            <w:r>
              <w:rPr>
                <w:color w:val="000000"/>
                <w:sz w:val="18"/>
                <w:szCs w:val="18"/>
              </w:rPr>
              <w:t>&lt;</w:t>
            </w:r>
            <w:r w:rsidR="0024276D" w:rsidRPr="003D65BD">
              <w:rPr>
                <w:color w:val="000000"/>
                <w:sz w:val="18"/>
                <w:szCs w:val="18"/>
              </w:rPr>
              <w:t xml:space="preserve">1 % </w:t>
            </w:r>
          </w:p>
        </w:tc>
        <w:tc>
          <w:tcPr>
            <w:tcW w:w="966" w:type="dxa"/>
            <w:tcBorders>
              <w:top w:val="nil"/>
              <w:left w:val="nil"/>
              <w:bottom w:val="single" w:sz="4" w:space="0" w:color="auto"/>
              <w:right w:val="single" w:sz="4" w:space="0" w:color="auto"/>
            </w:tcBorders>
            <w:shd w:val="clear" w:color="auto" w:fill="auto"/>
            <w:noWrap/>
            <w:hideMark/>
          </w:tcPr>
          <w:p w14:paraId="1F923A38" w14:textId="55BBA227" w:rsidR="0024276D" w:rsidRPr="003D65BD" w:rsidRDefault="00AC5EC1" w:rsidP="00D65132">
            <w:pPr>
              <w:suppressAutoHyphens w:val="0"/>
              <w:kinsoku/>
              <w:overflowPunct/>
              <w:autoSpaceDE/>
              <w:autoSpaceDN/>
              <w:adjustRightInd/>
              <w:snapToGrid/>
              <w:spacing w:before="60" w:after="60" w:line="240" w:lineRule="auto"/>
              <w:rPr>
                <w:rFonts w:eastAsia="Times New Roman"/>
                <w:color w:val="000000"/>
                <w:sz w:val="18"/>
                <w:szCs w:val="18"/>
              </w:rPr>
            </w:pPr>
            <w:r>
              <w:rPr>
                <w:color w:val="000000"/>
                <w:sz w:val="18"/>
                <w:szCs w:val="18"/>
              </w:rPr>
              <w:t>&lt;</w:t>
            </w:r>
            <w:r w:rsidR="0024276D" w:rsidRPr="003D65BD">
              <w:rPr>
                <w:color w:val="000000"/>
                <w:sz w:val="18"/>
                <w:szCs w:val="18"/>
              </w:rPr>
              <w:t>5 min</w:t>
            </w:r>
          </w:p>
        </w:tc>
        <w:tc>
          <w:tcPr>
            <w:tcW w:w="2893" w:type="dxa"/>
            <w:tcBorders>
              <w:top w:val="nil"/>
              <w:left w:val="nil"/>
              <w:bottom w:val="single" w:sz="4" w:space="0" w:color="auto"/>
              <w:right w:val="single" w:sz="4" w:space="0" w:color="auto"/>
            </w:tcBorders>
            <w:shd w:val="clear" w:color="auto" w:fill="auto"/>
            <w:noWrap/>
            <w:hideMark/>
          </w:tcPr>
          <w:p w14:paraId="47D04000"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Aucune</w:t>
            </w:r>
          </w:p>
        </w:tc>
        <w:tc>
          <w:tcPr>
            <w:tcW w:w="1727" w:type="dxa"/>
            <w:tcBorders>
              <w:top w:val="nil"/>
              <w:left w:val="nil"/>
              <w:bottom w:val="single" w:sz="4" w:space="0" w:color="auto"/>
              <w:right w:val="single" w:sz="4" w:space="0" w:color="auto"/>
            </w:tcBorders>
            <w:shd w:val="clear" w:color="auto" w:fill="auto"/>
            <w:noWrap/>
            <w:hideMark/>
          </w:tcPr>
          <w:p w14:paraId="1B3408AF"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Traitement de soutien/a survécu</w:t>
            </w:r>
          </w:p>
        </w:tc>
        <w:tc>
          <w:tcPr>
            <w:tcW w:w="1116" w:type="dxa"/>
            <w:tcBorders>
              <w:top w:val="nil"/>
              <w:left w:val="nil"/>
              <w:bottom w:val="single" w:sz="4" w:space="0" w:color="auto"/>
              <w:right w:val="single" w:sz="4" w:space="0" w:color="auto"/>
            </w:tcBorders>
            <w:shd w:val="clear" w:color="auto" w:fill="auto"/>
            <w:noWrap/>
            <w:hideMark/>
          </w:tcPr>
          <w:p w14:paraId="363DDC65" w14:textId="48BCC0FD"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 xml:space="preserve">Huang </w:t>
            </w:r>
            <w:r w:rsidR="00467561" w:rsidRPr="00467561">
              <w:rPr>
                <w:i/>
                <w:color w:val="000000"/>
                <w:sz w:val="18"/>
                <w:szCs w:val="18"/>
              </w:rPr>
              <w:t>et al.</w:t>
            </w:r>
          </w:p>
        </w:tc>
      </w:tr>
      <w:tr w:rsidR="0024276D" w:rsidRPr="003D65BD" w14:paraId="7DCCCC0F" w14:textId="77777777" w:rsidTr="00D65132">
        <w:trPr>
          <w:trHeight w:val="256"/>
        </w:trPr>
        <w:tc>
          <w:tcPr>
            <w:tcW w:w="1092" w:type="dxa"/>
            <w:tcBorders>
              <w:top w:val="nil"/>
              <w:left w:val="single" w:sz="4" w:space="0" w:color="auto"/>
              <w:bottom w:val="single" w:sz="4" w:space="0" w:color="auto"/>
              <w:right w:val="single" w:sz="4" w:space="0" w:color="auto"/>
            </w:tcBorders>
            <w:shd w:val="clear" w:color="auto" w:fill="auto"/>
            <w:noWrap/>
            <w:hideMark/>
          </w:tcPr>
          <w:p w14:paraId="7F52F65D"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2,38 %</w:t>
            </w:r>
          </w:p>
        </w:tc>
        <w:tc>
          <w:tcPr>
            <w:tcW w:w="1969" w:type="dxa"/>
            <w:tcBorders>
              <w:top w:val="nil"/>
              <w:left w:val="nil"/>
              <w:bottom w:val="single" w:sz="4" w:space="0" w:color="auto"/>
              <w:right w:val="single" w:sz="4" w:space="0" w:color="auto"/>
            </w:tcBorders>
            <w:shd w:val="clear" w:color="auto" w:fill="auto"/>
            <w:noWrap/>
            <w:hideMark/>
          </w:tcPr>
          <w:p w14:paraId="2CC240CD" w14:textId="6D2CEF04" w:rsidR="0024276D" w:rsidRPr="003D65BD" w:rsidRDefault="00AC5EC1" w:rsidP="00D65132">
            <w:pPr>
              <w:suppressAutoHyphens w:val="0"/>
              <w:kinsoku/>
              <w:overflowPunct/>
              <w:autoSpaceDE/>
              <w:autoSpaceDN/>
              <w:adjustRightInd/>
              <w:snapToGrid/>
              <w:spacing w:before="60" w:after="60" w:line="240" w:lineRule="auto"/>
              <w:rPr>
                <w:rFonts w:eastAsia="Times New Roman"/>
                <w:color w:val="000000"/>
                <w:sz w:val="18"/>
                <w:szCs w:val="18"/>
              </w:rPr>
            </w:pPr>
            <w:r>
              <w:rPr>
                <w:color w:val="000000"/>
                <w:sz w:val="18"/>
                <w:szCs w:val="18"/>
              </w:rPr>
              <w:t>&lt;</w:t>
            </w:r>
            <w:r w:rsidR="0024276D" w:rsidRPr="003D65BD">
              <w:rPr>
                <w:color w:val="000000"/>
                <w:sz w:val="18"/>
                <w:szCs w:val="18"/>
              </w:rPr>
              <w:t xml:space="preserve">1 % </w:t>
            </w:r>
          </w:p>
        </w:tc>
        <w:tc>
          <w:tcPr>
            <w:tcW w:w="966" w:type="dxa"/>
            <w:tcBorders>
              <w:top w:val="nil"/>
              <w:left w:val="nil"/>
              <w:bottom w:val="single" w:sz="4" w:space="0" w:color="auto"/>
              <w:right w:val="single" w:sz="4" w:space="0" w:color="auto"/>
            </w:tcBorders>
            <w:shd w:val="clear" w:color="auto" w:fill="auto"/>
            <w:noWrap/>
            <w:hideMark/>
          </w:tcPr>
          <w:p w14:paraId="333CCB6B"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s.o.</w:t>
            </w:r>
          </w:p>
        </w:tc>
        <w:tc>
          <w:tcPr>
            <w:tcW w:w="2893" w:type="dxa"/>
            <w:tcBorders>
              <w:top w:val="nil"/>
              <w:left w:val="nil"/>
              <w:bottom w:val="single" w:sz="4" w:space="0" w:color="auto"/>
              <w:right w:val="single" w:sz="4" w:space="0" w:color="auto"/>
            </w:tcBorders>
            <w:shd w:val="clear" w:color="auto" w:fill="auto"/>
            <w:noWrap/>
            <w:hideMark/>
          </w:tcPr>
          <w:p w14:paraId="3E54A4A2"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Brûlures chimiques du premier degré</w:t>
            </w:r>
          </w:p>
        </w:tc>
        <w:tc>
          <w:tcPr>
            <w:tcW w:w="1727" w:type="dxa"/>
            <w:tcBorders>
              <w:top w:val="nil"/>
              <w:left w:val="nil"/>
              <w:bottom w:val="single" w:sz="4" w:space="0" w:color="auto"/>
              <w:right w:val="single" w:sz="4" w:space="0" w:color="auto"/>
            </w:tcBorders>
            <w:shd w:val="clear" w:color="auto" w:fill="auto"/>
            <w:noWrap/>
            <w:hideMark/>
          </w:tcPr>
          <w:p w14:paraId="503CAFBF"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Traitement de soutien/a survécu</w:t>
            </w:r>
          </w:p>
        </w:tc>
        <w:tc>
          <w:tcPr>
            <w:tcW w:w="1116" w:type="dxa"/>
            <w:tcBorders>
              <w:top w:val="nil"/>
              <w:left w:val="nil"/>
              <w:bottom w:val="single" w:sz="4" w:space="0" w:color="auto"/>
              <w:right w:val="single" w:sz="4" w:space="0" w:color="auto"/>
            </w:tcBorders>
            <w:shd w:val="clear" w:color="auto" w:fill="auto"/>
            <w:noWrap/>
            <w:hideMark/>
          </w:tcPr>
          <w:p w14:paraId="432F0482" w14:textId="3E1A106B"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 xml:space="preserve">Huang </w:t>
            </w:r>
            <w:r w:rsidR="00467561" w:rsidRPr="00467561">
              <w:rPr>
                <w:i/>
                <w:color w:val="000000"/>
                <w:sz w:val="18"/>
                <w:szCs w:val="18"/>
              </w:rPr>
              <w:t>et al.</w:t>
            </w:r>
          </w:p>
        </w:tc>
      </w:tr>
      <w:tr w:rsidR="0024276D" w:rsidRPr="003D65BD" w14:paraId="6A887589" w14:textId="77777777" w:rsidTr="00D65132">
        <w:trPr>
          <w:trHeight w:val="256"/>
        </w:trPr>
        <w:tc>
          <w:tcPr>
            <w:tcW w:w="1092" w:type="dxa"/>
            <w:tcBorders>
              <w:top w:val="nil"/>
              <w:left w:val="single" w:sz="4" w:space="0" w:color="auto"/>
              <w:bottom w:val="single" w:sz="4" w:space="0" w:color="auto"/>
              <w:right w:val="single" w:sz="4" w:space="0" w:color="auto"/>
            </w:tcBorders>
            <w:shd w:val="clear" w:color="auto" w:fill="auto"/>
            <w:noWrap/>
            <w:hideMark/>
          </w:tcPr>
          <w:p w14:paraId="34BD5DAD"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lastRenderedPageBreak/>
              <w:t>2,38 %</w:t>
            </w:r>
          </w:p>
        </w:tc>
        <w:tc>
          <w:tcPr>
            <w:tcW w:w="1969" w:type="dxa"/>
            <w:tcBorders>
              <w:top w:val="nil"/>
              <w:left w:val="nil"/>
              <w:bottom w:val="single" w:sz="4" w:space="0" w:color="auto"/>
              <w:right w:val="single" w:sz="4" w:space="0" w:color="auto"/>
            </w:tcBorders>
            <w:shd w:val="clear" w:color="auto" w:fill="auto"/>
            <w:noWrap/>
            <w:hideMark/>
          </w:tcPr>
          <w:p w14:paraId="5FBF83FF"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2 %</w:t>
            </w:r>
          </w:p>
        </w:tc>
        <w:tc>
          <w:tcPr>
            <w:tcW w:w="966" w:type="dxa"/>
            <w:tcBorders>
              <w:top w:val="nil"/>
              <w:left w:val="nil"/>
              <w:bottom w:val="single" w:sz="4" w:space="0" w:color="auto"/>
              <w:right w:val="single" w:sz="4" w:space="0" w:color="auto"/>
            </w:tcBorders>
            <w:shd w:val="clear" w:color="auto" w:fill="auto"/>
            <w:noWrap/>
            <w:hideMark/>
          </w:tcPr>
          <w:p w14:paraId="5137B8C9"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s.o.</w:t>
            </w:r>
          </w:p>
        </w:tc>
        <w:tc>
          <w:tcPr>
            <w:tcW w:w="2893" w:type="dxa"/>
            <w:tcBorders>
              <w:top w:val="nil"/>
              <w:left w:val="nil"/>
              <w:bottom w:val="single" w:sz="4" w:space="0" w:color="auto"/>
              <w:right w:val="single" w:sz="4" w:space="0" w:color="auto"/>
            </w:tcBorders>
            <w:shd w:val="clear" w:color="auto" w:fill="auto"/>
            <w:noWrap/>
            <w:hideMark/>
          </w:tcPr>
          <w:p w14:paraId="61B8C71E"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Brûlures chimiques du premier degré</w:t>
            </w:r>
          </w:p>
        </w:tc>
        <w:tc>
          <w:tcPr>
            <w:tcW w:w="1727" w:type="dxa"/>
            <w:tcBorders>
              <w:top w:val="nil"/>
              <w:left w:val="nil"/>
              <w:bottom w:val="single" w:sz="4" w:space="0" w:color="auto"/>
              <w:right w:val="single" w:sz="4" w:space="0" w:color="auto"/>
            </w:tcBorders>
            <w:shd w:val="clear" w:color="auto" w:fill="auto"/>
            <w:noWrap/>
            <w:hideMark/>
          </w:tcPr>
          <w:p w14:paraId="08BBAA69"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Traitement de soutien/a survécu</w:t>
            </w:r>
          </w:p>
        </w:tc>
        <w:tc>
          <w:tcPr>
            <w:tcW w:w="1116" w:type="dxa"/>
            <w:tcBorders>
              <w:top w:val="nil"/>
              <w:left w:val="nil"/>
              <w:bottom w:val="single" w:sz="4" w:space="0" w:color="auto"/>
              <w:right w:val="single" w:sz="4" w:space="0" w:color="auto"/>
            </w:tcBorders>
            <w:shd w:val="clear" w:color="auto" w:fill="auto"/>
            <w:noWrap/>
            <w:hideMark/>
          </w:tcPr>
          <w:p w14:paraId="22852FD3" w14:textId="2EDA7D65"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 xml:space="preserve">Huang </w:t>
            </w:r>
            <w:r w:rsidR="00467561" w:rsidRPr="00467561">
              <w:rPr>
                <w:i/>
                <w:color w:val="000000"/>
                <w:sz w:val="18"/>
                <w:szCs w:val="18"/>
              </w:rPr>
              <w:t>et al.</w:t>
            </w:r>
          </w:p>
        </w:tc>
      </w:tr>
      <w:tr w:rsidR="0024276D" w:rsidRPr="003D65BD" w14:paraId="3E417625" w14:textId="77777777" w:rsidTr="00D65132">
        <w:trPr>
          <w:trHeight w:val="256"/>
        </w:trPr>
        <w:tc>
          <w:tcPr>
            <w:tcW w:w="1092" w:type="dxa"/>
            <w:tcBorders>
              <w:top w:val="nil"/>
              <w:left w:val="single" w:sz="4" w:space="0" w:color="auto"/>
              <w:bottom w:val="single" w:sz="4" w:space="0" w:color="auto"/>
              <w:right w:val="single" w:sz="4" w:space="0" w:color="auto"/>
            </w:tcBorders>
            <w:shd w:val="clear" w:color="auto" w:fill="auto"/>
            <w:noWrap/>
            <w:hideMark/>
          </w:tcPr>
          <w:p w14:paraId="1011F857"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2,38 %</w:t>
            </w:r>
          </w:p>
        </w:tc>
        <w:tc>
          <w:tcPr>
            <w:tcW w:w="1969" w:type="dxa"/>
            <w:tcBorders>
              <w:top w:val="nil"/>
              <w:left w:val="nil"/>
              <w:bottom w:val="single" w:sz="4" w:space="0" w:color="auto"/>
              <w:right w:val="single" w:sz="4" w:space="0" w:color="auto"/>
            </w:tcBorders>
            <w:shd w:val="clear" w:color="auto" w:fill="auto"/>
            <w:noWrap/>
            <w:hideMark/>
          </w:tcPr>
          <w:p w14:paraId="1C70E6D7"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s.o. (bras droit)</w:t>
            </w:r>
          </w:p>
        </w:tc>
        <w:tc>
          <w:tcPr>
            <w:tcW w:w="966" w:type="dxa"/>
            <w:tcBorders>
              <w:top w:val="nil"/>
              <w:left w:val="nil"/>
              <w:bottom w:val="single" w:sz="4" w:space="0" w:color="auto"/>
              <w:right w:val="single" w:sz="4" w:space="0" w:color="auto"/>
            </w:tcBorders>
            <w:shd w:val="clear" w:color="auto" w:fill="auto"/>
            <w:noWrap/>
            <w:hideMark/>
          </w:tcPr>
          <w:p w14:paraId="325499A7"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s.o.</w:t>
            </w:r>
          </w:p>
        </w:tc>
        <w:tc>
          <w:tcPr>
            <w:tcW w:w="2893" w:type="dxa"/>
            <w:tcBorders>
              <w:top w:val="nil"/>
              <w:left w:val="nil"/>
              <w:bottom w:val="single" w:sz="4" w:space="0" w:color="auto"/>
              <w:right w:val="single" w:sz="4" w:space="0" w:color="auto"/>
            </w:tcBorders>
            <w:shd w:val="clear" w:color="auto" w:fill="auto"/>
            <w:noWrap/>
            <w:hideMark/>
          </w:tcPr>
          <w:p w14:paraId="72976372"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Brûlures chimiques du premier degré</w:t>
            </w:r>
          </w:p>
        </w:tc>
        <w:tc>
          <w:tcPr>
            <w:tcW w:w="1727" w:type="dxa"/>
            <w:tcBorders>
              <w:top w:val="nil"/>
              <w:left w:val="nil"/>
              <w:bottom w:val="single" w:sz="4" w:space="0" w:color="auto"/>
              <w:right w:val="single" w:sz="4" w:space="0" w:color="auto"/>
            </w:tcBorders>
            <w:shd w:val="clear" w:color="auto" w:fill="auto"/>
            <w:noWrap/>
            <w:hideMark/>
          </w:tcPr>
          <w:p w14:paraId="34CF0D11"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Traitement de soutien/a survécu</w:t>
            </w:r>
          </w:p>
        </w:tc>
        <w:tc>
          <w:tcPr>
            <w:tcW w:w="1116" w:type="dxa"/>
            <w:tcBorders>
              <w:top w:val="nil"/>
              <w:left w:val="nil"/>
              <w:bottom w:val="single" w:sz="4" w:space="0" w:color="auto"/>
              <w:right w:val="single" w:sz="4" w:space="0" w:color="auto"/>
            </w:tcBorders>
            <w:shd w:val="clear" w:color="auto" w:fill="auto"/>
            <w:noWrap/>
            <w:hideMark/>
          </w:tcPr>
          <w:p w14:paraId="06351A60" w14:textId="72B7900C"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 xml:space="preserve">Huang </w:t>
            </w:r>
            <w:r w:rsidR="00467561" w:rsidRPr="00467561">
              <w:rPr>
                <w:i/>
                <w:color w:val="000000"/>
                <w:sz w:val="18"/>
                <w:szCs w:val="18"/>
              </w:rPr>
              <w:t>et al.</w:t>
            </w:r>
          </w:p>
        </w:tc>
      </w:tr>
      <w:tr w:rsidR="0024276D" w:rsidRPr="003D65BD" w14:paraId="12C4AD37" w14:textId="77777777" w:rsidTr="00D65132">
        <w:trPr>
          <w:trHeight w:val="256"/>
        </w:trPr>
        <w:tc>
          <w:tcPr>
            <w:tcW w:w="1092" w:type="dxa"/>
            <w:tcBorders>
              <w:top w:val="nil"/>
              <w:left w:val="single" w:sz="4" w:space="0" w:color="auto"/>
              <w:bottom w:val="single" w:sz="4" w:space="0" w:color="auto"/>
              <w:right w:val="single" w:sz="4" w:space="0" w:color="auto"/>
            </w:tcBorders>
            <w:shd w:val="clear" w:color="auto" w:fill="auto"/>
            <w:noWrap/>
            <w:hideMark/>
          </w:tcPr>
          <w:p w14:paraId="705E35CA"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3 %</w:t>
            </w:r>
          </w:p>
        </w:tc>
        <w:tc>
          <w:tcPr>
            <w:tcW w:w="1969" w:type="dxa"/>
            <w:tcBorders>
              <w:top w:val="nil"/>
              <w:left w:val="nil"/>
              <w:bottom w:val="single" w:sz="4" w:space="0" w:color="auto"/>
              <w:right w:val="single" w:sz="4" w:space="0" w:color="auto"/>
            </w:tcBorders>
            <w:shd w:val="clear" w:color="auto" w:fill="auto"/>
            <w:noWrap/>
            <w:hideMark/>
          </w:tcPr>
          <w:p w14:paraId="69428A1B"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s.o. (deux avant-bras)</w:t>
            </w:r>
          </w:p>
        </w:tc>
        <w:tc>
          <w:tcPr>
            <w:tcW w:w="966" w:type="dxa"/>
            <w:tcBorders>
              <w:top w:val="nil"/>
              <w:left w:val="nil"/>
              <w:bottom w:val="single" w:sz="4" w:space="0" w:color="auto"/>
              <w:right w:val="single" w:sz="4" w:space="0" w:color="auto"/>
            </w:tcBorders>
            <w:shd w:val="clear" w:color="auto" w:fill="auto"/>
            <w:noWrap/>
            <w:hideMark/>
          </w:tcPr>
          <w:p w14:paraId="38B9143D"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s.o.</w:t>
            </w:r>
          </w:p>
        </w:tc>
        <w:tc>
          <w:tcPr>
            <w:tcW w:w="2893" w:type="dxa"/>
            <w:tcBorders>
              <w:top w:val="nil"/>
              <w:left w:val="nil"/>
              <w:bottom w:val="single" w:sz="4" w:space="0" w:color="auto"/>
              <w:right w:val="single" w:sz="4" w:space="0" w:color="auto"/>
            </w:tcBorders>
            <w:shd w:val="clear" w:color="auto" w:fill="auto"/>
            <w:noWrap/>
            <w:hideMark/>
          </w:tcPr>
          <w:p w14:paraId="2F4A2740"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Aucune</w:t>
            </w:r>
          </w:p>
        </w:tc>
        <w:tc>
          <w:tcPr>
            <w:tcW w:w="1727" w:type="dxa"/>
            <w:tcBorders>
              <w:top w:val="nil"/>
              <w:left w:val="nil"/>
              <w:bottom w:val="single" w:sz="4" w:space="0" w:color="auto"/>
              <w:right w:val="single" w:sz="4" w:space="0" w:color="auto"/>
            </w:tcBorders>
            <w:shd w:val="clear" w:color="auto" w:fill="auto"/>
            <w:noWrap/>
            <w:hideMark/>
          </w:tcPr>
          <w:p w14:paraId="4AD099D7"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Traitement de soutien/a survécu</w:t>
            </w:r>
          </w:p>
        </w:tc>
        <w:tc>
          <w:tcPr>
            <w:tcW w:w="1116" w:type="dxa"/>
            <w:tcBorders>
              <w:top w:val="nil"/>
              <w:left w:val="nil"/>
              <w:bottom w:val="single" w:sz="4" w:space="0" w:color="auto"/>
              <w:right w:val="single" w:sz="4" w:space="0" w:color="auto"/>
            </w:tcBorders>
            <w:shd w:val="clear" w:color="auto" w:fill="auto"/>
            <w:noWrap/>
            <w:hideMark/>
          </w:tcPr>
          <w:p w14:paraId="3FAAB3E8" w14:textId="266BF265"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 xml:space="preserve">Huang </w:t>
            </w:r>
            <w:r w:rsidR="00467561" w:rsidRPr="00467561">
              <w:rPr>
                <w:i/>
                <w:color w:val="000000"/>
                <w:sz w:val="18"/>
                <w:szCs w:val="18"/>
              </w:rPr>
              <w:t>et al.</w:t>
            </w:r>
          </w:p>
        </w:tc>
      </w:tr>
      <w:tr w:rsidR="0024276D" w:rsidRPr="003D65BD" w14:paraId="4428FD63" w14:textId="77777777" w:rsidTr="00D65132">
        <w:trPr>
          <w:trHeight w:val="256"/>
        </w:trPr>
        <w:tc>
          <w:tcPr>
            <w:tcW w:w="1092" w:type="dxa"/>
            <w:tcBorders>
              <w:top w:val="nil"/>
              <w:left w:val="single" w:sz="4" w:space="0" w:color="auto"/>
              <w:bottom w:val="single" w:sz="4" w:space="0" w:color="auto"/>
              <w:right w:val="single" w:sz="4" w:space="0" w:color="auto"/>
            </w:tcBorders>
            <w:shd w:val="clear" w:color="auto" w:fill="auto"/>
            <w:noWrap/>
            <w:hideMark/>
          </w:tcPr>
          <w:p w14:paraId="1E35D9F8"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8,75 %</w:t>
            </w:r>
          </w:p>
        </w:tc>
        <w:tc>
          <w:tcPr>
            <w:tcW w:w="1969" w:type="dxa"/>
            <w:tcBorders>
              <w:top w:val="nil"/>
              <w:left w:val="nil"/>
              <w:bottom w:val="single" w:sz="4" w:space="0" w:color="auto"/>
              <w:right w:val="single" w:sz="4" w:space="0" w:color="auto"/>
            </w:tcBorders>
            <w:shd w:val="clear" w:color="auto" w:fill="auto"/>
            <w:noWrap/>
            <w:hideMark/>
          </w:tcPr>
          <w:p w14:paraId="12F7C169"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12 %</w:t>
            </w:r>
          </w:p>
        </w:tc>
        <w:tc>
          <w:tcPr>
            <w:tcW w:w="966" w:type="dxa"/>
            <w:tcBorders>
              <w:top w:val="nil"/>
              <w:left w:val="nil"/>
              <w:bottom w:val="single" w:sz="4" w:space="0" w:color="auto"/>
              <w:right w:val="single" w:sz="4" w:space="0" w:color="auto"/>
            </w:tcBorders>
            <w:shd w:val="clear" w:color="auto" w:fill="auto"/>
            <w:noWrap/>
            <w:hideMark/>
          </w:tcPr>
          <w:p w14:paraId="45C3831B"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15 - 80 min*</w:t>
            </w:r>
          </w:p>
        </w:tc>
        <w:tc>
          <w:tcPr>
            <w:tcW w:w="2893" w:type="dxa"/>
            <w:tcBorders>
              <w:top w:val="nil"/>
              <w:left w:val="nil"/>
              <w:bottom w:val="single" w:sz="4" w:space="0" w:color="auto"/>
              <w:right w:val="single" w:sz="4" w:space="0" w:color="auto"/>
            </w:tcBorders>
            <w:shd w:val="clear" w:color="auto" w:fill="auto"/>
            <w:noWrap/>
            <w:hideMark/>
          </w:tcPr>
          <w:p w14:paraId="788971DB"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Brûlures chimiques</w:t>
            </w:r>
          </w:p>
        </w:tc>
        <w:tc>
          <w:tcPr>
            <w:tcW w:w="1727" w:type="dxa"/>
            <w:tcBorders>
              <w:top w:val="nil"/>
              <w:left w:val="nil"/>
              <w:bottom w:val="single" w:sz="4" w:space="0" w:color="auto"/>
              <w:right w:val="single" w:sz="4" w:space="0" w:color="auto"/>
            </w:tcBorders>
            <w:shd w:val="clear" w:color="auto" w:fill="auto"/>
            <w:noWrap/>
            <w:hideMark/>
          </w:tcPr>
          <w:p w14:paraId="4BE1D099"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Décédé</w:t>
            </w:r>
          </w:p>
        </w:tc>
        <w:tc>
          <w:tcPr>
            <w:tcW w:w="1116" w:type="dxa"/>
            <w:tcBorders>
              <w:top w:val="nil"/>
              <w:left w:val="nil"/>
              <w:bottom w:val="single" w:sz="4" w:space="0" w:color="auto"/>
              <w:right w:val="single" w:sz="4" w:space="0" w:color="auto"/>
            </w:tcBorders>
            <w:shd w:val="clear" w:color="auto" w:fill="auto"/>
            <w:noWrap/>
            <w:hideMark/>
          </w:tcPr>
          <w:p w14:paraId="310C691B" w14:textId="0084619E"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 xml:space="preserve">Park </w:t>
            </w:r>
            <w:r w:rsidR="00467561" w:rsidRPr="00467561">
              <w:rPr>
                <w:i/>
                <w:color w:val="000000"/>
                <w:sz w:val="18"/>
                <w:szCs w:val="18"/>
              </w:rPr>
              <w:t>et al.</w:t>
            </w:r>
          </w:p>
        </w:tc>
      </w:tr>
      <w:tr w:rsidR="0024276D" w:rsidRPr="003D65BD" w14:paraId="22333002" w14:textId="77777777" w:rsidTr="00D65132">
        <w:trPr>
          <w:trHeight w:val="256"/>
        </w:trPr>
        <w:tc>
          <w:tcPr>
            <w:tcW w:w="1092" w:type="dxa"/>
            <w:tcBorders>
              <w:top w:val="nil"/>
              <w:left w:val="single" w:sz="4" w:space="0" w:color="auto"/>
              <w:bottom w:val="single" w:sz="4" w:space="0" w:color="auto"/>
              <w:right w:val="single" w:sz="4" w:space="0" w:color="auto"/>
            </w:tcBorders>
            <w:shd w:val="clear" w:color="auto" w:fill="auto"/>
            <w:noWrap/>
            <w:hideMark/>
          </w:tcPr>
          <w:p w14:paraId="738D8ADD" w14:textId="3121BC5D"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20 %</w:t>
            </w:r>
            <w:r w:rsidR="00365F60">
              <w:rPr>
                <w:color w:val="000000"/>
                <w:sz w:val="18"/>
                <w:szCs w:val="18"/>
              </w:rPr>
              <w:t xml:space="preserve"> dilué</w:t>
            </w:r>
          </w:p>
        </w:tc>
        <w:tc>
          <w:tcPr>
            <w:tcW w:w="1969" w:type="dxa"/>
            <w:tcBorders>
              <w:top w:val="nil"/>
              <w:left w:val="nil"/>
              <w:bottom w:val="single" w:sz="4" w:space="0" w:color="auto"/>
              <w:right w:val="single" w:sz="4" w:space="0" w:color="auto"/>
            </w:tcBorders>
            <w:shd w:val="clear" w:color="auto" w:fill="auto"/>
            <w:noWrap/>
            <w:hideMark/>
          </w:tcPr>
          <w:p w14:paraId="18154091"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1 %</w:t>
            </w:r>
          </w:p>
        </w:tc>
        <w:tc>
          <w:tcPr>
            <w:tcW w:w="966" w:type="dxa"/>
            <w:tcBorders>
              <w:top w:val="nil"/>
              <w:left w:val="nil"/>
              <w:bottom w:val="single" w:sz="4" w:space="0" w:color="auto"/>
              <w:right w:val="single" w:sz="4" w:space="0" w:color="auto"/>
            </w:tcBorders>
            <w:shd w:val="clear" w:color="auto" w:fill="auto"/>
            <w:noWrap/>
            <w:hideMark/>
          </w:tcPr>
          <w:p w14:paraId="025AACF5" w14:textId="26DB198F" w:rsidR="0024276D" w:rsidRPr="003D65BD" w:rsidRDefault="00AC5EC1" w:rsidP="00D65132">
            <w:pPr>
              <w:suppressAutoHyphens w:val="0"/>
              <w:kinsoku/>
              <w:overflowPunct/>
              <w:autoSpaceDE/>
              <w:autoSpaceDN/>
              <w:adjustRightInd/>
              <w:snapToGrid/>
              <w:spacing w:before="60" w:after="60" w:line="240" w:lineRule="auto"/>
              <w:rPr>
                <w:rFonts w:eastAsia="Times New Roman"/>
                <w:color w:val="000000"/>
                <w:sz w:val="18"/>
                <w:szCs w:val="18"/>
              </w:rPr>
            </w:pPr>
            <w:r>
              <w:rPr>
                <w:color w:val="000000"/>
                <w:sz w:val="18"/>
                <w:szCs w:val="18"/>
              </w:rPr>
              <w:t>&lt;</w:t>
            </w:r>
            <w:r w:rsidR="0024276D" w:rsidRPr="003D65BD">
              <w:rPr>
                <w:color w:val="000000"/>
                <w:sz w:val="18"/>
                <w:szCs w:val="18"/>
              </w:rPr>
              <w:t>1 min</w:t>
            </w:r>
          </w:p>
        </w:tc>
        <w:tc>
          <w:tcPr>
            <w:tcW w:w="2893" w:type="dxa"/>
            <w:tcBorders>
              <w:top w:val="nil"/>
              <w:left w:val="nil"/>
              <w:bottom w:val="single" w:sz="4" w:space="0" w:color="auto"/>
              <w:right w:val="single" w:sz="4" w:space="0" w:color="auto"/>
            </w:tcBorders>
            <w:shd w:val="clear" w:color="auto" w:fill="auto"/>
            <w:noWrap/>
            <w:hideMark/>
          </w:tcPr>
          <w:p w14:paraId="6BA9E1E8"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Brûlures chimiques du premier degré</w:t>
            </w:r>
          </w:p>
        </w:tc>
        <w:tc>
          <w:tcPr>
            <w:tcW w:w="1727" w:type="dxa"/>
            <w:tcBorders>
              <w:top w:val="nil"/>
              <w:left w:val="nil"/>
              <w:bottom w:val="single" w:sz="4" w:space="0" w:color="auto"/>
              <w:right w:val="single" w:sz="4" w:space="0" w:color="auto"/>
            </w:tcBorders>
            <w:shd w:val="clear" w:color="auto" w:fill="auto"/>
            <w:noWrap/>
            <w:hideMark/>
          </w:tcPr>
          <w:p w14:paraId="6F4C763E"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Traitement de soutien/a survécu</w:t>
            </w:r>
          </w:p>
        </w:tc>
        <w:tc>
          <w:tcPr>
            <w:tcW w:w="1116" w:type="dxa"/>
            <w:tcBorders>
              <w:top w:val="nil"/>
              <w:left w:val="nil"/>
              <w:bottom w:val="single" w:sz="4" w:space="0" w:color="auto"/>
              <w:right w:val="single" w:sz="4" w:space="0" w:color="auto"/>
            </w:tcBorders>
            <w:shd w:val="clear" w:color="auto" w:fill="auto"/>
            <w:noWrap/>
            <w:hideMark/>
          </w:tcPr>
          <w:p w14:paraId="63612E1E" w14:textId="5DD9A713"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 xml:space="preserve">Huang </w:t>
            </w:r>
            <w:r w:rsidR="00467561" w:rsidRPr="00467561">
              <w:rPr>
                <w:i/>
                <w:color w:val="000000"/>
                <w:sz w:val="18"/>
                <w:szCs w:val="18"/>
              </w:rPr>
              <w:t>et al.</w:t>
            </w:r>
          </w:p>
        </w:tc>
      </w:tr>
      <w:tr w:rsidR="0024276D" w:rsidRPr="003D65BD" w14:paraId="3C5C9FC5" w14:textId="77777777" w:rsidTr="00D65132">
        <w:trPr>
          <w:trHeight w:val="256"/>
        </w:trPr>
        <w:tc>
          <w:tcPr>
            <w:tcW w:w="1092" w:type="dxa"/>
            <w:tcBorders>
              <w:top w:val="nil"/>
              <w:left w:val="single" w:sz="4" w:space="0" w:color="auto"/>
              <w:bottom w:val="single" w:sz="4" w:space="0" w:color="auto"/>
              <w:right w:val="single" w:sz="4" w:space="0" w:color="auto"/>
            </w:tcBorders>
            <w:shd w:val="clear" w:color="auto" w:fill="auto"/>
            <w:noWrap/>
            <w:hideMark/>
          </w:tcPr>
          <w:p w14:paraId="20C580EA"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25 %</w:t>
            </w:r>
          </w:p>
        </w:tc>
        <w:tc>
          <w:tcPr>
            <w:tcW w:w="1969" w:type="dxa"/>
            <w:tcBorders>
              <w:top w:val="nil"/>
              <w:left w:val="nil"/>
              <w:bottom w:val="single" w:sz="4" w:space="0" w:color="auto"/>
              <w:right w:val="single" w:sz="4" w:space="0" w:color="auto"/>
            </w:tcBorders>
            <w:shd w:val="clear" w:color="auto" w:fill="auto"/>
            <w:noWrap/>
            <w:hideMark/>
          </w:tcPr>
          <w:p w14:paraId="53EF4FB9"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3 %</w:t>
            </w:r>
          </w:p>
        </w:tc>
        <w:tc>
          <w:tcPr>
            <w:tcW w:w="966" w:type="dxa"/>
            <w:tcBorders>
              <w:top w:val="nil"/>
              <w:left w:val="nil"/>
              <w:bottom w:val="single" w:sz="4" w:space="0" w:color="auto"/>
              <w:right w:val="single" w:sz="4" w:space="0" w:color="auto"/>
            </w:tcBorders>
            <w:shd w:val="clear" w:color="auto" w:fill="auto"/>
            <w:noWrap/>
            <w:hideMark/>
          </w:tcPr>
          <w:p w14:paraId="1ED24752" w14:textId="76235462" w:rsidR="0024276D" w:rsidRPr="003D65BD" w:rsidRDefault="00AC5EC1" w:rsidP="00D65132">
            <w:pPr>
              <w:suppressAutoHyphens w:val="0"/>
              <w:kinsoku/>
              <w:overflowPunct/>
              <w:autoSpaceDE/>
              <w:autoSpaceDN/>
              <w:adjustRightInd/>
              <w:snapToGrid/>
              <w:spacing w:before="60" w:after="60" w:line="240" w:lineRule="auto"/>
              <w:rPr>
                <w:rFonts w:eastAsia="Times New Roman"/>
                <w:color w:val="000000"/>
                <w:sz w:val="18"/>
                <w:szCs w:val="18"/>
              </w:rPr>
            </w:pPr>
            <w:r>
              <w:rPr>
                <w:color w:val="000000"/>
                <w:sz w:val="18"/>
                <w:szCs w:val="18"/>
              </w:rPr>
              <w:t>&lt;</w:t>
            </w:r>
            <w:r w:rsidR="0024276D" w:rsidRPr="003D65BD">
              <w:rPr>
                <w:color w:val="000000"/>
                <w:sz w:val="18"/>
                <w:szCs w:val="18"/>
              </w:rPr>
              <w:t>30 min</w:t>
            </w:r>
          </w:p>
        </w:tc>
        <w:tc>
          <w:tcPr>
            <w:tcW w:w="2893" w:type="dxa"/>
            <w:tcBorders>
              <w:top w:val="nil"/>
              <w:left w:val="nil"/>
              <w:bottom w:val="single" w:sz="4" w:space="0" w:color="auto"/>
              <w:right w:val="single" w:sz="4" w:space="0" w:color="auto"/>
            </w:tcBorders>
            <w:shd w:val="clear" w:color="auto" w:fill="auto"/>
            <w:noWrap/>
            <w:hideMark/>
          </w:tcPr>
          <w:p w14:paraId="0406E9D6"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Brûlures chimiques du deuxième au troisième degré, douleur cutanée, éruptions cutanées</w:t>
            </w:r>
          </w:p>
        </w:tc>
        <w:tc>
          <w:tcPr>
            <w:tcW w:w="1727" w:type="dxa"/>
            <w:tcBorders>
              <w:top w:val="nil"/>
              <w:left w:val="nil"/>
              <w:bottom w:val="single" w:sz="4" w:space="0" w:color="auto"/>
              <w:right w:val="single" w:sz="4" w:space="0" w:color="auto"/>
            </w:tcBorders>
            <w:shd w:val="clear" w:color="auto" w:fill="auto"/>
            <w:noWrap/>
            <w:hideMark/>
          </w:tcPr>
          <w:p w14:paraId="18457071"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Traitement de soutien/a survécu</w:t>
            </w:r>
          </w:p>
        </w:tc>
        <w:tc>
          <w:tcPr>
            <w:tcW w:w="1116" w:type="dxa"/>
            <w:tcBorders>
              <w:top w:val="nil"/>
              <w:left w:val="nil"/>
              <w:bottom w:val="single" w:sz="4" w:space="0" w:color="auto"/>
              <w:right w:val="single" w:sz="4" w:space="0" w:color="auto"/>
            </w:tcBorders>
            <w:shd w:val="clear" w:color="auto" w:fill="auto"/>
            <w:noWrap/>
            <w:hideMark/>
          </w:tcPr>
          <w:p w14:paraId="3AF74D48" w14:textId="41BC628D"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 xml:space="preserve">Lin </w:t>
            </w:r>
            <w:r w:rsidR="00467561" w:rsidRPr="00467561">
              <w:rPr>
                <w:i/>
                <w:color w:val="000000"/>
                <w:sz w:val="18"/>
                <w:szCs w:val="18"/>
              </w:rPr>
              <w:t>et al.</w:t>
            </w:r>
          </w:p>
        </w:tc>
      </w:tr>
      <w:tr w:rsidR="0024276D" w:rsidRPr="003D65BD" w14:paraId="11BFBD7B" w14:textId="77777777" w:rsidTr="00D65132">
        <w:trPr>
          <w:trHeight w:val="256"/>
        </w:trPr>
        <w:tc>
          <w:tcPr>
            <w:tcW w:w="1092" w:type="dxa"/>
            <w:tcBorders>
              <w:top w:val="nil"/>
              <w:left w:val="single" w:sz="4" w:space="0" w:color="auto"/>
              <w:bottom w:val="single" w:sz="4" w:space="0" w:color="auto"/>
              <w:right w:val="single" w:sz="4" w:space="0" w:color="auto"/>
            </w:tcBorders>
            <w:shd w:val="clear" w:color="auto" w:fill="auto"/>
            <w:noWrap/>
            <w:hideMark/>
          </w:tcPr>
          <w:p w14:paraId="486A0F86"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25 %</w:t>
            </w:r>
          </w:p>
        </w:tc>
        <w:tc>
          <w:tcPr>
            <w:tcW w:w="1969" w:type="dxa"/>
            <w:tcBorders>
              <w:top w:val="nil"/>
              <w:left w:val="nil"/>
              <w:bottom w:val="single" w:sz="4" w:space="0" w:color="auto"/>
              <w:right w:val="single" w:sz="4" w:space="0" w:color="auto"/>
            </w:tcBorders>
            <w:shd w:val="clear" w:color="auto" w:fill="auto"/>
            <w:noWrap/>
            <w:hideMark/>
          </w:tcPr>
          <w:p w14:paraId="27E2620C"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7 %</w:t>
            </w:r>
          </w:p>
        </w:tc>
        <w:tc>
          <w:tcPr>
            <w:tcW w:w="966" w:type="dxa"/>
            <w:tcBorders>
              <w:top w:val="nil"/>
              <w:left w:val="nil"/>
              <w:bottom w:val="single" w:sz="4" w:space="0" w:color="auto"/>
              <w:right w:val="single" w:sz="4" w:space="0" w:color="auto"/>
            </w:tcBorders>
            <w:shd w:val="clear" w:color="auto" w:fill="auto"/>
            <w:noWrap/>
            <w:hideMark/>
          </w:tcPr>
          <w:p w14:paraId="32D81C16" w14:textId="0F68E074" w:rsidR="0024276D" w:rsidRPr="003D65BD" w:rsidRDefault="00AC5EC1" w:rsidP="00D65132">
            <w:pPr>
              <w:suppressAutoHyphens w:val="0"/>
              <w:kinsoku/>
              <w:overflowPunct/>
              <w:autoSpaceDE/>
              <w:autoSpaceDN/>
              <w:adjustRightInd/>
              <w:snapToGrid/>
              <w:spacing w:before="60" w:after="60" w:line="240" w:lineRule="auto"/>
              <w:rPr>
                <w:rFonts w:eastAsia="Times New Roman"/>
                <w:color w:val="000000"/>
                <w:sz w:val="18"/>
                <w:szCs w:val="18"/>
              </w:rPr>
            </w:pPr>
            <w:r>
              <w:rPr>
                <w:color w:val="000000"/>
                <w:sz w:val="18"/>
                <w:szCs w:val="18"/>
              </w:rPr>
              <w:t>&lt;</w:t>
            </w:r>
            <w:r w:rsidR="0024276D" w:rsidRPr="003D65BD">
              <w:rPr>
                <w:color w:val="000000"/>
                <w:sz w:val="18"/>
                <w:szCs w:val="18"/>
              </w:rPr>
              <w:t>1 min</w:t>
            </w:r>
          </w:p>
        </w:tc>
        <w:tc>
          <w:tcPr>
            <w:tcW w:w="2893" w:type="dxa"/>
            <w:tcBorders>
              <w:top w:val="nil"/>
              <w:left w:val="nil"/>
              <w:bottom w:val="single" w:sz="4" w:space="0" w:color="auto"/>
              <w:right w:val="single" w:sz="4" w:space="0" w:color="auto"/>
            </w:tcBorders>
            <w:shd w:val="clear" w:color="auto" w:fill="auto"/>
            <w:noWrap/>
            <w:hideMark/>
          </w:tcPr>
          <w:p w14:paraId="27BA3489"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Brûlures chimiques du troisième degré, coma, dyspnée, choc, tachycardie ventriculaire, hyperglycémie, leucocytose, acidose métabolique</w:t>
            </w:r>
          </w:p>
        </w:tc>
        <w:tc>
          <w:tcPr>
            <w:tcW w:w="1727" w:type="dxa"/>
            <w:tcBorders>
              <w:top w:val="nil"/>
              <w:left w:val="nil"/>
              <w:bottom w:val="single" w:sz="4" w:space="0" w:color="auto"/>
              <w:right w:val="single" w:sz="4" w:space="0" w:color="auto"/>
            </w:tcBorders>
            <w:shd w:val="clear" w:color="auto" w:fill="auto"/>
            <w:noWrap/>
            <w:hideMark/>
          </w:tcPr>
          <w:p w14:paraId="2D7E3C9E"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Soins intensifs/décédé</w:t>
            </w:r>
          </w:p>
        </w:tc>
        <w:tc>
          <w:tcPr>
            <w:tcW w:w="1116" w:type="dxa"/>
            <w:tcBorders>
              <w:top w:val="nil"/>
              <w:left w:val="nil"/>
              <w:bottom w:val="single" w:sz="4" w:space="0" w:color="auto"/>
              <w:right w:val="single" w:sz="4" w:space="0" w:color="auto"/>
            </w:tcBorders>
            <w:shd w:val="clear" w:color="auto" w:fill="auto"/>
            <w:noWrap/>
            <w:hideMark/>
          </w:tcPr>
          <w:p w14:paraId="5EE852DC" w14:textId="51E3A45D"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 xml:space="preserve">Lin </w:t>
            </w:r>
            <w:r w:rsidR="00467561" w:rsidRPr="00467561">
              <w:rPr>
                <w:i/>
                <w:color w:val="000000"/>
                <w:sz w:val="18"/>
                <w:szCs w:val="18"/>
              </w:rPr>
              <w:t>et al.</w:t>
            </w:r>
          </w:p>
        </w:tc>
      </w:tr>
      <w:tr w:rsidR="0024276D" w:rsidRPr="003D65BD" w14:paraId="7DC718CC" w14:textId="77777777" w:rsidTr="00D65132">
        <w:trPr>
          <w:trHeight w:val="256"/>
        </w:trPr>
        <w:tc>
          <w:tcPr>
            <w:tcW w:w="1092" w:type="dxa"/>
            <w:tcBorders>
              <w:top w:val="nil"/>
              <w:left w:val="single" w:sz="4" w:space="0" w:color="auto"/>
              <w:bottom w:val="single" w:sz="4" w:space="0" w:color="auto"/>
              <w:right w:val="single" w:sz="4" w:space="0" w:color="auto"/>
            </w:tcBorders>
            <w:shd w:val="clear" w:color="auto" w:fill="auto"/>
            <w:noWrap/>
            <w:hideMark/>
          </w:tcPr>
          <w:p w14:paraId="03D4DF52"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25 %</w:t>
            </w:r>
          </w:p>
        </w:tc>
        <w:tc>
          <w:tcPr>
            <w:tcW w:w="1969" w:type="dxa"/>
            <w:tcBorders>
              <w:top w:val="nil"/>
              <w:left w:val="nil"/>
              <w:bottom w:val="single" w:sz="4" w:space="0" w:color="auto"/>
              <w:right w:val="single" w:sz="4" w:space="0" w:color="auto"/>
            </w:tcBorders>
            <w:shd w:val="clear" w:color="auto" w:fill="auto"/>
            <w:noWrap/>
            <w:hideMark/>
          </w:tcPr>
          <w:p w14:paraId="1887F2C8"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7 %</w:t>
            </w:r>
          </w:p>
        </w:tc>
        <w:tc>
          <w:tcPr>
            <w:tcW w:w="966" w:type="dxa"/>
            <w:tcBorders>
              <w:top w:val="nil"/>
              <w:left w:val="nil"/>
              <w:bottom w:val="single" w:sz="4" w:space="0" w:color="auto"/>
              <w:right w:val="single" w:sz="4" w:space="0" w:color="auto"/>
            </w:tcBorders>
            <w:shd w:val="clear" w:color="auto" w:fill="auto"/>
            <w:noWrap/>
            <w:hideMark/>
          </w:tcPr>
          <w:p w14:paraId="327999A8" w14:textId="13919871" w:rsidR="0024276D" w:rsidRPr="003D65BD" w:rsidRDefault="00AC5EC1" w:rsidP="00D65132">
            <w:pPr>
              <w:suppressAutoHyphens w:val="0"/>
              <w:kinsoku/>
              <w:overflowPunct/>
              <w:autoSpaceDE/>
              <w:autoSpaceDN/>
              <w:adjustRightInd/>
              <w:snapToGrid/>
              <w:spacing w:before="60" w:after="60" w:line="240" w:lineRule="auto"/>
              <w:rPr>
                <w:rFonts w:eastAsia="Times New Roman"/>
                <w:color w:val="000000"/>
                <w:sz w:val="18"/>
                <w:szCs w:val="18"/>
              </w:rPr>
            </w:pPr>
            <w:r>
              <w:rPr>
                <w:color w:val="000000"/>
                <w:sz w:val="18"/>
                <w:szCs w:val="18"/>
              </w:rPr>
              <w:t>&lt;</w:t>
            </w:r>
            <w:r w:rsidR="0024276D" w:rsidRPr="003D65BD">
              <w:rPr>
                <w:color w:val="000000"/>
                <w:sz w:val="18"/>
                <w:szCs w:val="18"/>
              </w:rPr>
              <w:t>1 min</w:t>
            </w:r>
          </w:p>
        </w:tc>
        <w:tc>
          <w:tcPr>
            <w:tcW w:w="2893" w:type="dxa"/>
            <w:tcBorders>
              <w:top w:val="nil"/>
              <w:left w:val="nil"/>
              <w:bottom w:val="single" w:sz="4" w:space="0" w:color="auto"/>
              <w:right w:val="single" w:sz="4" w:space="0" w:color="auto"/>
            </w:tcBorders>
            <w:shd w:val="clear" w:color="auto" w:fill="auto"/>
            <w:noWrap/>
            <w:hideMark/>
          </w:tcPr>
          <w:p w14:paraId="7E0881F1"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Brûlures chimiques du deuxième au troisième degré, coma, dyspnée, choc, hyperglycémie, leucocytose</w:t>
            </w:r>
          </w:p>
        </w:tc>
        <w:tc>
          <w:tcPr>
            <w:tcW w:w="1727" w:type="dxa"/>
            <w:tcBorders>
              <w:top w:val="nil"/>
              <w:left w:val="nil"/>
              <w:bottom w:val="single" w:sz="4" w:space="0" w:color="auto"/>
              <w:right w:val="single" w:sz="4" w:space="0" w:color="auto"/>
            </w:tcBorders>
            <w:shd w:val="clear" w:color="auto" w:fill="auto"/>
            <w:noWrap/>
            <w:hideMark/>
          </w:tcPr>
          <w:p w14:paraId="276DF86F"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Soins intensifs/décédé</w:t>
            </w:r>
          </w:p>
        </w:tc>
        <w:tc>
          <w:tcPr>
            <w:tcW w:w="1116" w:type="dxa"/>
            <w:tcBorders>
              <w:top w:val="nil"/>
              <w:left w:val="nil"/>
              <w:bottom w:val="single" w:sz="4" w:space="0" w:color="auto"/>
              <w:right w:val="single" w:sz="4" w:space="0" w:color="auto"/>
            </w:tcBorders>
            <w:shd w:val="clear" w:color="auto" w:fill="auto"/>
            <w:noWrap/>
            <w:hideMark/>
          </w:tcPr>
          <w:p w14:paraId="40E073CB" w14:textId="287C72A8"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 xml:space="preserve">Lin </w:t>
            </w:r>
            <w:r w:rsidR="00467561" w:rsidRPr="00467561">
              <w:rPr>
                <w:i/>
                <w:color w:val="000000"/>
                <w:sz w:val="18"/>
                <w:szCs w:val="18"/>
              </w:rPr>
              <w:t>et al.</w:t>
            </w:r>
          </w:p>
        </w:tc>
      </w:tr>
      <w:tr w:rsidR="0024276D" w:rsidRPr="003D65BD" w14:paraId="7C8D9CD2" w14:textId="77777777" w:rsidTr="00D65132">
        <w:trPr>
          <w:trHeight w:val="256"/>
        </w:trPr>
        <w:tc>
          <w:tcPr>
            <w:tcW w:w="1092" w:type="dxa"/>
            <w:tcBorders>
              <w:top w:val="nil"/>
              <w:left w:val="single" w:sz="4" w:space="0" w:color="auto"/>
              <w:bottom w:val="single" w:sz="4" w:space="0" w:color="auto"/>
              <w:right w:val="single" w:sz="4" w:space="0" w:color="auto"/>
            </w:tcBorders>
            <w:shd w:val="clear" w:color="auto" w:fill="auto"/>
            <w:noWrap/>
            <w:hideMark/>
          </w:tcPr>
          <w:p w14:paraId="5A0F3315"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25 %</w:t>
            </w:r>
          </w:p>
        </w:tc>
        <w:tc>
          <w:tcPr>
            <w:tcW w:w="1969" w:type="dxa"/>
            <w:tcBorders>
              <w:top w:val="nil"/>
              <w:left w:val="nil"/>
              <w:bottom w:val="single" w:sz="4" w:space="0" w:color="auto"/>
              <w:right w:val="single" w:sz="4" w:space="0" w:color="auto"/>
            </w:tcBorders>
            <w:shd w:val="clear" w:color="auto" w:fill="auto"/>
            <w:noWrap/>
            <w:hideMark/>
          </w:tcPr>
          <w:p w14:paraId="142798E7"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29 %</w:t>
            </w:r>
          </w:p>
        </w:tc>
        <w:tc>
          <w:tcPr>
            <w:tcW w:w="966" w:type="dxa"/>
            <w:tcBorders>
              <w:top w:val="nil"/>
              <w:left w:val="nil"/>
              <w:bottom w:val="single" w:sz="4" w:space="0" w:color="auto"/>
              <w:right w:val="single" w:sz="4" w:space="0" w:color="auto"/>
            </w:tcBorders>
            <w:shd w:val="clear" w:color="auto" w:fill="auto"/>
            <w:noWrap/>
            <w:hideMark/>
          </w:tcPr>
          <w:p w14:paraId="4E219B73"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&gt; 30 min</w:t>
            </w:r>
          </w:p>
        </w:tc>
        <w:tc>
          <w:tcPr>
            <w:tcW w:w="2893" w:type="dxa"/>
            <w:tcBorders>
              <w:top w:val="nil"/>
              <w:left w:val="nil"/>
              <w:bottom w:val="single" w:sz="4" w:space="0" w:color="auto"/>
              <w:right w:val="single" w:sz="4" w:space="0" w:color="auto"/>
            </w:tcBorders>
            <w:shd w:val="clear" w:color="auto" w:fill="auto"/>
            <w:noWrap/>
            <w:hideMark/>
          </w:tcPr>
          <w:p w14:paraId="7A557A31"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Bradycardie, brûlures chimiques du second au troisième degré, coma, myosis, choc, salivation, faiblesse, hyperglycémie, leucocytose, acidose métabolique</w:t>
            </w:r>
          </w:p>
        </w:tc>
        <w:tc>
          <w:tcPr>
            <w:tcW w:w="1727" w:type="dxa"/>
            <w:tcBorders>
              <w:top w:val="nil"/>
              <w:left w:val="nil"/>
              <w:bottom w:val="single" w:sz="4" w:space="0" w:color="auto"/>
              <w:right w:val="single" w:sz="4" w:space="0" w:color="auto"/>
            </w:tcBorders>
            <w:shd w:val="clear" w:color="auto" w:fill="auto"/>
            <w:noWrap/>
            <w:hideMark/>
          </w:tcPr>
          <w:p w14:paraId="3C3DADD3"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Soins intensifs/décédé</w:t>
            </w:r>
          </w:p>
        </w:tc>
        <w:tc>
          <w:tcPr>
            <w:tcW w:w="1116" w:type="dxa"/>
            <w:tcBorders>
              <w:top w:val="nil"/>
              <w:left w:val="nil"/>
              <w:bottom w:val="single" w:sz="4" w:space="0" w:color="auto"/>
              <w:right w:val="single" w:sz="4" w:space="0" w:color="auto"/>
            </w:tcBorders>
            <w:shd w:val="clear" w:color="auto" w:fill="auto"/>
            <w:noWrap/>
            <w:hideMark/>
          </w:tcPr>
          <w:p w14:paraId="25425397" w14:textId="529FC541"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 xml:space="preserve">Lin </w:t>
            </w:r>
            <w:r w:rsidR="00467561" w:rsidRPr="00467561">
              <w:rPr>
                <w:i/>
                <w:color w:val="000000"/>
                <w:sz w:val="18"/>
                <w:szCs w:val="18"/>
              </w:rPr>
              <w:t>et al.</w:t>
            </w:r>
          </w:p>
        </w:tc>
      </w:tr>
      <w:tr w:rsidR="0024276D" w:rsidRPr="003D65BD" w14:paraId="5ADFB9E9" w14:textId="77777777" w:rsidTr="00D65132">
        <w:trPr>
          <w:trHeight w:val="256"/>
        </w:trPr>
        <w:tc>
          <w:tcPr>
            <w:tcW w:w="1092" w:type="dxa"/>
            <w:tcBorders>
              <w:top w:val="nil"/>
              <w:left w:val="single" w:sz="4" w:space="0" w:color="auto"/>
              <w:bottom w:val="single" w:sz="4" w:space="0" w:color="auto"/>
              <w:right w:val="single" w:sz="4" w:space="0" w:color="auto"/>
            </w:tcBorders>
            <w:shd w:val="clear" w:color="auto" w:fill="auto"/>
            <w:noWrap/>
            <w:hideMark/>
          </w:tcPr>
          <w:p w14:paraId="5FC623BE"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25 %</w:t>
            </w:r>
          </w:p>
        </w:tc>
        <w:tc>
          <w:tcPr>
            <w:tcW w:w="1969" w:type="dxa"/>
            <w:tcBorders>
              <w:top w:val="nil"/>
              <w:left w:val="nil"/>
              <w:bottom w:val="single" w:sz="4" w:space="0" w:color="auto"/>
              <w:right w:val="single" w:sz="4" w:space="0" w:color="auto"/>
            </w:tcBorders>
            <w:shd w:val="clear" w:color="auto" w:fill="auto"/>
            <w:noWrap/>
            <w:hideMark/>
          </w:tcPr>
          <w:p w14:paraId="4F5608D0"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5 %</w:t>
            </w:r>
          </w:p>
        </w:tc>
        <w:tc>
          <w:tcPr>
            <w:tcW w:w="966" w:type="dxa"/>
            <w:tcBorders>
              <w:top w:val="nil"/>
              <w:left w:val="nil"/>
              <w:bottom w:val="single" w:sz="4" w:space="0" w:color="auto"/>
              <w:right w:val="single" w:sz="4" w:space="0" w:color="auto"/>
            </w:tcBorders>
            <w:shd w:val="clear" w:color="auto" w:fill="auto"/>
            <w:noWrap/>
            <w:hideMark/>
          </w:tcPr>
          <w:p w14:paraId="329CF6C5"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5 min</w:t>
            </w:r>
          </w:p>
        </w:tc>
        <w:tc>
          <w:tcPr>
            <w:tcW w:w="2893" w:type="dxa"/>
            <w:tcBorders>
              <w:top w:val="nil"/>
              <w:left w:val="nil"/>
              <w:bottom w:val="single" w:sz="4" w:space="0" w:color="auto"/>
              <w:right w:val="single" w:sz="4" w:space="0" w:color="auto"/>
            </w:tcBorders>
            <w:shd w:val="clear" w:color="auto" w:fill="auto"/>
            <w:noWrap/>
            <w:hideMark/>
          </w:tcPr>
          <w:p w14:paraId="4AB3A9EC"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Brûlures chimiques du premier au deuxième degré, dyspnée, somnolence, bradycardie. Lavage à la Diphotérine</w:t>
            </w:r>
          </w:p>
        </w:tc>
        <w:tc>
          <w:tcPr>
            <w:tcW w:w="1727" w:type="dxa"/>
            <w:tcBorders>
              <w:top w:val="nil"/>
              <w:left w:val="nil"/>
              <w:bottom w:val="single" w:sz="4" w:space="0" w:color="auto"/>
              <w:right w:val="single" w:sz="4" w:space="0" w:color="auto"/>
            </w:tcBorders>
            <w:shd w:val="clear" w:color="auto" w:fill="auto"/>
            <w:noWrap/>
            <w:hideMark/>
          </w:tcPr>
          <w:p w14:paraId="698AB213"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Soins intensifs et traitement de soutien/a survécu</w:t>
            </w:r>
          </w:p>
        </w:tc>
        <w:tc>
          <w:tcPr>
            <w:tcW w:w="1116" w:type="dxa"/>
            <w:tcBorders>
              <w:top w:val="nil"/>
              <w:left w:val="nil"/>
              <w:bottom w:val="single" w:sz="4" w:space="0" w:color="auto"/>
              <w:right w:val="single" w:sz="4" w:space="0" w:color="auto"/>
            </w:tcBorders>
            <w:shd w:val="clear" w:color="auto" w:fill="auto"/>
            <w:noWrap/>
            <w:hideMark/>
          </w:tcPr>
          <w:p w14:paraId="08DE7FF6" w14:textId="1DEA216F"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 xml:space="preserve">Huang </w:t>
            </w:r>
            <w:r w:rsidR="00467561" w:rsidRPr="00467561">
              <w:rPr>
                <w:i/>
                <w:color w:val="000000"/>
                <w:sz w:val="18"/>
                <w:szCs w:val="18"/>
              </w:rPr>
              <w:t>et al.</w:t>
            </w:r>
          </w:p>
        </w:tc>
      </w:tr>
      <w:tr w:rsidR="0024276D" w:rsidRPr="003D65BD" w14:paraId="1ABF4CE6" w14:textId="77777777" w:rsidTr="00D65132">
        <w:trPr>
          <w:trHeight w:val="256"/>
        </w:trPr>
        <w:tc>
          <w:tcPr>
            <w:tcW w:w="1092" w:type="dxa"/>
            <w:tcBorders>
              <w:top w:val="nil"/>
              <w:left w:val="single" w:sz="4" w:space="0" w:color="auto"/>
              <w:bottom w:val="single" w:sz="4" w:space="0" w:color="auto"/>
              <w:right w:val="single" w:sz="4" w:space="0" w:color="auto"/>
            </w:tcBorders>
            <w:shd w:val="clear" w:color="auto" w:fill="auto"/>
            <w:noWrap/>
            <w:hideMark/>
          </w:tcPr>
          <w:p w14:paraId="53EC0CAA"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25 %</w:t>
            </w:r>
          </w:p>
        </w:tc>
        <w:tc>
          <w:tcPr>
            <w:tcW w:w="1969" w:type="dxa"/>
            <w:tcBorders>
              <w:top w:val="nil"/>
              <w:left w:val="nil"/>
              <w:bottom w:val="single" w:sz="4" w:space="0" w:color="auto"/>
              <w:right w:val="single" w:sz="4" w:space="0" w:color="auto"/>
            </w:tcBorders>
            <w:shd w:val="clear" w:color="auto" w:fill="auto"/>
            <w:noWrap/>
            <w:hideMark/>
          </w:tcPr>
          <w:p w14:paraId="21AEBA9D"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2 %</w:t>
            </w:r>
          </w:p>
        </w:tc>
        <w:tc>
          <w:tcPr>
            <w:tcW w:w="966" w:type="dxa"/>
            <w:tcBorders>
              <w:top w:val="nil"/>
              <w:left w:val="nil"/>
              <w:bottom w:val="single" w:sz="4" w:space="0" w:color="auto"/>
              <w:right w:val="single" w:sz="4" w:space="0" w:color="auto"/>
            </w:tcBorders>
            <w:shd w:val="clear" w:color="auto" w:fill="auto"/>
            <w:noWrap/>
            <w:hideMark/>
          </w:tcPr>
          <w:p w14:paraId="4739DF3E"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s.o.</w:t>
            </w:r>
          </w:p>
        </w:tc>
        <w:tc>
          <w:tcPr>
            <w:tcW w:w="2893" w:type="dxa"/>
            <w:tcBorders>
              <w:top w:val="nil"/>
              <w:left w:val="nil"/>
              <w:bottom w:val="single" w:sz="4" w:space="0" w:color="auto"/>
              <w:right w:val="single" w:sz="4" w:space="0" w:color="auto"/>
            </w:tcBorders>
            <w:shd w:val="clear" w:color="auto" w:fill="auto"/>
            <w:noWrap/>
            <w:hideMark/>
          </w:tcPr>
          <w:p w14:paraId="12362EEF"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Brûlures chimiques du deuxième degré</w:t>
            </w:r>
          </w:p>
        </w:tc>
        <w:tc>
          <w:tcPr>
            <w:tcW w:w="1727" w:type="dxa"/>
            <w:tcBorders>
              <w:top w:val="nil"/>
              <w:left w:val="nil"/>
              <w:bottom w:val="single" w:sz="4" w:space="0" w:color="auto"/>
              <w:right w:val="single" w:sz="4" w:space="0" w:color="auto"/>
            </w:tcBorders>
            <w:shd w:val="clear" w:color="auto" w:fill="auto"/>
            <w:noWrap/>
            <w:hideMark/>
          </w:tcPr>
          <w:p w14:paraId="43B33F65"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Soins intensifs et traitement de soutien/a survécu</w:t>
            </w:r>
          </w:p>
        </w:tc>
        <w:tc>
          <w:tcPr>
            <w:tcW w:w="1116" w:type="dxa"/>
            <w:tcBorders>
              <w:top w:val="nil"/>
              <w:left w:val="nil"/>
              <w:bottom w:val="single" w:sz="4" w:space="0" w:color="auto"/>
              <w:right w:val="single" w:sz="4" w:space="0" w:color="auto"/>
            </w:tcBorders>
            <w:shd w:val="clear" w:color="auto" w:fill="auto"/>
            <w:noWrap/>
            <w:hideMark/>
          </w:tcPr>
          <w:p w14:paraId="4E93E4DA" w14:textId="460F8F3B"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 xml:space="preserve">Huang </w:t>
            </w:r>
            <w:r w:rsidR="00467561" w:rsidRPr="00467561">
              <w:rPr>
                <w:i/>
                <w:color w:val="000000"/>
                <w:sz w:val="18"/>
                <w:szCs w:val="18"/>
              </w:rPr>
              <w:t>et al.</w:t>
            </w:r>
          </w:p>
        </w:tc>
      </w:tr>
      <w:tr w:rsidR="0024276D" w:rsidRPr="003D65BD" w14:paraId="14497503" w14:textId="77777777" w:rsidTr="00D65132">
        <w:trPr>
          <w:trHeight w:val="256"/>
        </w:trPr>
        <w:tc>
          <w:tcPr>
            <w:tcW w:w="1092" w:type="dxa"/>
            <w:tcBorders>
              <w:top w:val="nil"/>
              <w:left w:val="single" w:sz="4" w:space="0" w:color="auto"/>
              <w:bottom w:val="single" w:sz="4" w:space="0" w:color="auto"/>
              <w:right w:val="single" w:sz="4" w:space="0" w:color="auto"/>
            </w:tcBorders>
            <w:shd w:val="clear" w:color="auto" w:fill="auto"/>
            <w:noWrap/>
            <w:hideMark/>
          </w:tcPr>
          <w:p w14:paraId="37F5D4E5"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25 %</w:t>
            </w:r>
          </w:p>
        </w:tc>
        <w:tc>
          <w:tcPr>
            <w:tcW w:w="1969" w:type="dxa"/>
            <w:tcBorders>
              <w:top w:val="nil"/>
              <w:left w:val="nil"/>
              <w:bottom w:val="single" w:sz="4" w:space="0" w:color="auto"/>
              <w:right w:val="single" w:sz="4" w:space="0" w:color="auto"/>
            </w:tcBorders>
            <w:shd w:val="clear" w:color="auto" w:fill="auto"/>
            <w:noWrap/>
            <w:hideMark/>
          </w:tcPr>
          <w:p w14:paraId="6CF517A6"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1 %</w:t>
            </w:r>
          </w:p>
        </w:tc>
        <w:tc>
          <w:tcPr>
            <w:tcW w:w="966" w:type="dxa"/>
            <w:tcBorders>
              <w:top w:val="nil"/>
              <w:left w:val="nil"/>
              <w:bottom w:val="single" w:sz="4" w:space="0" w:color="auto"/>
              <w:right w:val="single" w:sz="4" w:space="0" w:color="auto"/>
            </w:tcBorders>
            <w:shd w:val="clear" w:color="auto" w:fill="auto"/>
            <w:noWrap/>
            <w:hideMark/>
          </w:tcPr>
          <w:p w14:paraId="11993FEE" w14:textId="213673A7" w:rsidR="0024276D" w:rsidRPr="003D65BD" w:rsidRDefault="00AC5EC1" w:rsidP="00D65132">
            <w:pPr>
              <w:suppressAutoHyphens w:val="0"/>
              <w:kinsoku/>
              <w:overflowPunct/>
              <w:autoSpaceDE/>
              <w:autoSpaceDN/>
              <w:adjustRightInd/>
              <w:snapToGrid/>
              <w:spacing w:before="60" w:after="60" w:line="240" w:lineRule="auto"/>
              <w:rPr>
                <w:rFonts w:eastAsia="Times New Roman"/>
                <w:color w:val="000000"/>
                <w:sz w:val="18"/>
                <w:szCs w:val="18"/>
              </w:rPr>
            </w:pPr>
            <w:r>
              <w:rPr>
                <w:color w:val="000000"/>
                <w:sz w:val="18"/>
                <w:szCs w:val="18"/>
              </w:rPr>
              <w:t>&lt;</w:t>
            </w:r>
            <w:r w:rsidR="0024276D" w:rsidRPr="003D65BD">
              <w:rPr>
                <w:color w:val="000000"/>
                <w:sz w:val="18"/>
                <w:szCs w:val="18"/>
              </w:rPr>
              <w:t>1 min</w:t>
            </w:r>
          </w:p>
        </w:tc>
        <w:tc>
          <w:tcPr>
            <w:tcW w:w="2893" w:type="dxa"/>
            <w:tcBorders>
              <w:top w:val="nil"/>
              <w:left w:val="nil"/>
              <w:bottom w:val="single" w:sz="4" w:space="0" w:color="auto"/>
              <w:right w:val="single" w:sz="4" w:space="0" w:color="auto"/>
            </w:tcBorders>
            <w:shd w:val="clear" w:color="auto" w:fill="auto"/>
            <w:noWrap/>
            <w:hideMark/>
          </w:tcPr>
          <w:p w14:paraId="3F36546B"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Brûlures chimiques du premier degré. Lavage à la Diphotérine</w:t>
            </w:r>
          </w:p>
        </w:tc>
        <w:tc>
          <w:tcPr>
            <w:tcW w:w="1727" w:type="dxa"/>
            <w:tcBorders>
              <w:top w:val="nil"/>
              <w:left w:val="nil"/>
              <w:bottom w:val="single" w:sz="4" w:space="0" w:color="auto"/>
              <w:right w:val="single" w:sz="4" w:space="0" w:color="auto"/>
            </w:tcBorders>
            <w:shd w:val="clear" w:color="auto" w:fill="auto"/>
            <w:noWrap/>
            <w:hideMark/>
          </w:tcPr>
          <w:p w14:paraId="2251673D"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Traitement de soutien/a survécu</w:t>
            </w:r>
          </w:p>
        </w:tc>
        <w:tc>
          <w:tcPr>
            <w:tcW w:w="1116" w:type="dxa"/>
            <w:tcBorders>
              <w:top w:val="nil"/>
              <w:left w:val="nil"/>
              <w:bottom w:val="single" w:sz="4" w:space="0" w:color="auto"/>
              <w:right w:val="single" w:sz="4" w:space="0" w:color="auto"/>
            </w:tcBorders>
            <w:shd w:val="clear" w:color="auto" w:fill="auto"/>
            <w:noWrap/>
            <w:hideMark/>
          </w:tcPr>
          <w:p w14:paraId="27F244E3" w14:textId="597EE94F"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 xml:space="preserve">Huang </w:t>
            </w:r>
            <w:r w:rsidR="00467561" w:rsidRPr="00467561">
              <w:rPr>
                <w:i/>
                <w:color w:val="000000"/>
                <w:sz w:val="18"/>
                <w:szCs w:val="18"/>
              </w:rPr>
              <w:t>et al.</w:t>
            </w:r>
          </w:p>
        </w:tc>
      </w:tr>
      <w:tr w:rsidR="0024276D" w:rsidRPr="003D65BD" w14:paraId="383102BE" w14:textId="77777777" w:rsidTr="00D65132">
        <w:trPr>
          <w:trHeight w:val="256"/>
        </w:trPr>
        <w:tc>
          <w:tcPr>
            <w:tcW w:w="1092" w:type="dxa"/>
            <w:tcBorders>
              <w:top w:val="nil"/>
              <w:left w:val="single" w:sz="4" w:space="0" w:color="auto"/>
              <w:bottom w:val="single" w:sz="4" w:space="0" w:color="auto"/>
              <w:right w:val="single" w:sz="4" w:space="0" w:color="auto"/>
            </w:tcBorders>
            <w:shd w:val="clear" w:color="auto" w:fill="auto"/>
            <w:noWrap/>
            <w:hideMark/>
          </w:tcPr>
          <w:p w14:paraId="611A9E93"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25 %</w:t>
            </w:r>
          </w:p>
        </w:tc>
        <w:tc>
          <w:tcPr>
            <w:tcW w:w="1969" w:type="dxa"/>
            <w:tcBorders>
              <w:top w:val="nil"/>
              <w:left w:val="nil"/>
              <w:bottom w:val="single" w:sz="4" w:space="0" w:color="auto"/>
              <w:right w:val="single" w:sz="4" w:space="0" w:color="auto"/>
            </w:tcBorders>
            <w:shd w:val="clear" w:color="auto" w:fill="auto"/>
            <w:noWrap/>
            <w:hideMark/>
          </w:tcPr>
          <w:p w14:paraId="554246DE" w14:textId="26494BC3" w:rsidR="0024276D" w:rsidRPr="003D65BD" w:rsidRDefault="00AC5EC1" w:rsidP="00D65132">
            <w:pPr>
              <w:suppressAutoHyphens w:val="0"/>
              <w:kinsoku/>
              <w:overflowPunct/>
              <w:autoSpaceDE/>
              <w:autoSpaceDN/>
              <w:adjustRightInd/>
              <w:snapToGrid/>
              <w:spacing w:before="60" w:after="60" w:line="240" w:lineRule="auto"/>
              <w:rPr>
                <w:rFonts w:eastAsia="Times New Roman"/>
                <w:color w:val="000000"/>
                <w:sz w:val="18"/>
                <w:szCs w:val="18"/>
              </w:rPr>
            </w:pPr>
            <w:r>
              <w:rPr>
                <w:color w:val="000000"/>
                <w:sz w:val="18"/>
                <w:szCs w:val="18"/>
              </w:rPr>
              <w:t>&lt;</w:t>
            </w:r>
            <w:r w:rsidR="0024276D" w:rsidRPr="003D65BD">
              <w:rPr>
                <w:color w:val="000000"/>
                <w:sz w:val="18"/>
                <w:szCs w:val="18"/>
              </w:rPr>
              <w:t>1 %</w:t>
            </w:r>
          </w:p>
        </w:tc>
        <w:tc>
          <w:tcPr>
            <w:tcW w:w="966" w:type="dxa"/>
            <w:tcBorders>
              <w:top w:val="nil"/>
              <w:left w:val="nil"/>
              <w:bottom w:val="single" w:sz="4" w:space="0" w:color="auto"/>
              <w:right w:val="single" w:sz="4" w:space="0" w:color="auto"/>
            </w:tcBorders>
            <w:shd w:val="clear" w:color="auto" w:fill="auto"/>
            <w:noWrap/>
            <w:hideMark/>
          </w:tcPr>
          <w:p w14:paraId="6AA587D7" w14:textId="53A56FD4" w:rsidR="0024276D" w:rsidRPr="003D65BD" w:rsidRDefault="00AC5EC1" w:rsidP="00D65132">
            <w:pPr>
              <w:suppressAutoHyphens w:val="0"/>
              <w:kinsoku/>
              <w:overflowPunct/>
              <w:autoSpaceDE/>
              <w:autoSpaceDN/>
              <w:adjustRightInd/>
              <w:snapToGrid/>
              <w:spacing w:before="60" w:after="60" w:line="240" w:lineRule="auto"/>
              <w:rPr>
                <w:rFonts w:eastAsia="Times New Roman"/>
                <w:color w:val="000000"/>
                <w:sz w:val="18"/>
                <w:szCs w:val="18"/>
              </w:rPr>
            </w:pPr>
            <w:r>
              <w:rPr>
                <w:color w:val="000000"/>
                <w:sz w:val="18"/>
                <w:szCs w:val="18"/>
              </w:rPr>
              <w:t>&lt;</w:t>
            </w:r>
            <w:r w:rsidR="0024276D" w:rsidRPr="003D65BD">
              <w:rPr>
                <w:color w:val="000000"/>
                <w:sz w:val="18"/>
                <w:szCs w:val="18"/>
              </w:rPr>
              <w:t>1 min</w:t>
            </w:r>
          </w:p>
        </w:tc>
        <w:tc>
          <w:tcPr>
            <w:tcW w:w="2893" w:type="dxa"/>
            <w:tcBorders>
              <w:top w:val="nil"/>
              <w:left w:val="nil"/>
              <w:bottom w:val="single" w:sz="4" w:space="0" w:color="auto"/>
              <w:right w:val="single" w:sz="4" w:space="0" w:color="auto"/>
            </w:tcBorders>
            <w:shd w:val="clear" w:color="auto" w:fill="auto"/>
            <w:noWrap/>
            <w:hideMark/>
          </w:tcPr>
          <w:p w14:paraId="6B593119"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Brûlures chimiques du premier degré. Lavage à la Diphotérine</w:t>
            </w:r>
          </w:p>
        </w:tc>
        <w:tc>
          <w:tcPr>
            <w:tcW w:w="1727" w:type="dxa"/>
            <w:tcBorders>
              <w:top w:val="nil"/>
              <w:left w:val="nil"/>
              <w:bottom w:val="single" w:sz="4" w:space="0" w:color="auto"/>
              <w:right w:val="single" w:sz="4" w:space="0" w:color="auto"/>
            </w:tcBorders>
            <w:shd w:val="clear" w:color="auto" w:fill="auto"/>
            <w:noWrap/>
            <w:hideMark/>
          </w:tcPr>
          <w:p w14:paraId="57BD7ECC"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Traitement de soutien/a survécu</w:t>
            </w:r>
          </w:p>
        </w:tc>
        <w:tc>
          <w:tcPr>
            <w:tcW w:w="1116" w:type="dxa"/>
            <w:tcBorders>
              <w:top w:val="nil"/>
              <w:left w:val="nil"/>
              <w:bottom w:val="single" w:sz="4" w:space="0" w:color="auto"/>
              <w:right w:val="single" w:sz="4" w:space="0" w:color="auto"/>
            </w:tcBorders>
            <w:shd w:val="clear" w:color="auto" w:fill="auto"/>
            <w:noWrap/>
            <w:hideMark/>
          </w:tcPr>
          <w:p w14:paraId="1BB6358C" w14:textId="6BB8173B"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 xml:space="preserve">Huang </w:t>
            </w:r>
            <w:r w:rsidR="00467561" w:rsidRPr="00467561">
              <w:rPr>
                <w:i/>
                <w:color w:val="000000"/>
                <w:sz w:val="18"/>
                <w:szCs w:val="18"/>
              </w:rPr>
              <w:t>et al.</w:t>
            </w:r>
          </w:p>
        </w:tc>
      </w:tr>
      <w:tr w:rsidR="0024276D" w:rsidRPr="003D65BD" w14:paraId="71AB4C8B" w14:textId="77777777" w:rsidTr="00D65132">
        <w:trPr>
          <w:trHeight w:val="256"/>
        </w:trPr>
        <w:tc>
          <w:tcPr>
            <w:tcW w:w="1092" w:type="dxa"/>
            <w:tcBorders>
              <w:top w:val="nil"/>
              <w:left w:val="single" w:sz="4" w:space="0" w:color="auto"/>
              <w:bottom w:val="single" w:sz="4" w:space="0" w:color="auto"/>
              <w:right w:val="single" w:sz="4" w:space="0" w:color="auto"/>
            </w:tcBorders>
            <w:shd w:val="clear" w:color="auto" w:fill="auto"/>
            <w:noWrap/>
            <w:hideMark/>
          </w:tcPr>
          <w:p w14:paraId="4B43066B"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25 %</w:t>
            </w:r>
          </w:p>
        </w:tc>
        <w:tc>
          <w:tcPr>
            <w:tcW w:w="1969" w:type="dxa"/>
            <w:tcBorders>
              <w:top w:val="nil"/>
              <w:left w:val="nil"/>
              <w:bottom w:val="single" w:sz="4" w:space="0" w:color="auto"/>
              <w:right w:val="single" w:sz="4" w:space="0" w:color="auto"/>
            </w:tcBorders>
            <w:shd w:val="clear" w:color="auto" w:fill="auto"/>
            <w:noWrap/>
            <w:hideMark/>
          </w:tcPr>
          <w:p w14:paraId="655A1714" w14:textId="3D3AB2E0" w:rsidR="0024276D" w:rsidRPr="003D65BD" w:rsidRDefault="00AC5EC1" w:rsidP="00D65132">
            <w:pPr>
              <w:suppressAutoHyphens w:val="0"/>
              <w:kinsoku/>
              <w:overflowPunct/>
              <w:autoSpaceDE/>
              <w:autoSpaceDN/>
              <w:adjustRightInd/>
              <w:snapToGrid/>
              <w:spacing w:before="60" w:after="60" w:line="240" w:lineRule="auto"/>
              <w:rPr>
                <w:rFonts w:eastAsia="Times New Roman"/>
                <w:color w:val="000000"/>
                <w:sz w:val="18"/>
                <w:szCs w:val="18"/>
              </w:rPr>
            </w:pPr>
            <w:r>
              <w:rPr>
                <w:color w:val="000000"/>
                <w:sz w:val="18"/>
                <w:szCs w:val="18"/>
              </w:rPr>
              <w:t>&lt;</w:t>
            </w:r>
            <w:r w:rsidR="0024276D" w:rsidRPr="003D65BD">
              <w:rPr>
                <w:color w:val="000000"/>
                <w:sz w:val="18"/>
                <w:szCs w:val="18"/>
              </w:rPr>
              <w:t xml:space="preserve">1 % </w:t>
            </w:r>
          </w:p>
        </w:tc>
        <w:tc>
          <w:tcPr>
            <w:tcW w:w="966" w:type="dxa"/>
            <w:tcBorders>
              <w:top w:val="nil"/>
              <w:left w:val="nil"/>
              <w:bottom w:val="single" w:sz="4" w:space="0" w:color="auto"/>
              <w:right w:val="single" w:sz="4" w:space="0" w:color="auto"/>
            </w:tcBorders>
            <w:shd w:val="clear" w:color="auto" w:fill="auto"/>
            <w:noWrap/>
            <w:hideMark/>
          </w:tcPr>
          <w:p w14:paraId="4C343CCC"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s.o.</w:t>
            </w:r>
          </w:p>
        </w:tc>
        <w:tc>
          <w:tcPr>
            <w:tcW w:w="2893" w:type="dxa"/>
            <w:tcBorders>
              <w:top w:val="nil"/>
              <w:left w:val="nil"/>
              <w:bottom w:val="single" w:sz="4" w:space="0" w:color="auto"/>
              <w:right w:val="single" w:sz="4" w:space="0" w:color="auto"/>
            </w:tcBorders>
            <w:shd w:val="clear" w:color="auto" w:fill="auto"/>
            <w:noWrap/>
            <w:hideMark/>
          </w:tcPr>
          <w:p w14:paraId="0B0D327B"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Brûlures chimiques du premier degré</w:t>
            </w:r>
          </w:p>
        </w:tc>
        <w:tc>
          <w:tcPr>
            <w:tcW w:w="1727" w:type="dxa"/>
            <w:tcBorders>
              <w:top w:val="nil"/>
              <w:left w:val="nil"/>
              <w:bottom w:val="single" w:sz="4" w:space="0" w:color="auto"/>
              <w:right w:val="single" w:sz="4" w:space="0" w:color="auto"/>
            </w:tcBorders>
            <w:shd w:val="clear" w:color="auto" w:fill="auto"/>
            <w:noWrap/>
            <w:hideMark/>
          </w:tcPr>
          <w:p w14:paraId="14566065"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Traitement de soutien/a survécu</w:t>
            </w:r>
          </w:p>
        </w:tc>
        <w:tc>
          <w:tcPr>
            <w:tcW w:w="1116" w:type="dxa"/>
            <w:tcBorders>
              <w:top w:val="nil"/>
              <w:left w:val="nil"/>
              <w:bottom w:val="single" w:sz="4" w:space="0" w:color="auto"/>
              <w:right w:val="single" w:sz="4" w:space="0" w:color="auto"/>
            </w:tcBorders>
            <w:shd w:val="clear" w:color="auto" w:fill="auto"/>
            <w:noWrap/>
            <w:hideMark/>
          </w:tcPr>
          <w:p w14:paraId="50BCAFA6" w14:textId="55BCE660"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 xml:space="preserve">Huang </w:t>
            </w:r>
            <w:r w:rsidR="00467561" w:rsidRPr="00467561">
              <w:rPr>
                <w:i/>
                <w:color w:val="000000"/>
                <w:sz w:val="18"/>
                <w:szCs w:val="18"/>
              </w:rPr>
              <w:t>et al.</w:t>
            </w:r>
          </w:p>
        </w:tc>
      </w:tr>
      <w:tr w:rsidR="0024276D" w:rsidRPr="003D65BD" w14:paraId="419B0AF2" w14:textId="77777777" w:rsidTr="00D65132">
        <w:trPr>
          <w:trHeight w:val="256"/>
        </w:trPr>
        <w:tc>
          <w:tcPr>
            <w:tcW w:w="1092" w:type="dxa"/>
            <w:tcBorders>
              <w:top w:val="nil"/>
              <w:left w:val="single" w:sz="4" w:space="0" w:color="auto"/>
              <w:bottom w:val="single" w:sz="4" w:space="0" w:color="auto"/>
              <w:right w:val="single" w:sz="4" w:space="0" w:color="auto"/>
            </w:tcBorders>
            <w:shd w:val="clear" w:color="auto" w:fill="auto"/>
            <w:noWrap/>
            <w:hideMark/>
          </w:tcPr>
          <w:p w14:paraId="53A45726"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25 %</w:t>
            </w:r>
          </w:p>
        </w:tc>
        <w:tc>
          <w:tcPr>
            <w:tcW w:w="1969" w:type="dxa"/>
            <w:tcBorders>
              <w:top w:val="nil"/>
              <w:left w:val="nil"/>
              <w:bottom w:val="single" w:sz="4" w:space="0" w:color="auto"/>
              <w:right w:val="single" w:sz="4" w:space="0" w:color="auto"/>
            </w:tcBorders>
            <w:shd w:val="clear" w:color="auto" w:fill="auto"/>
            <w:noWrap/>
            <w:hideMark/>
          </w:tcPr>
          <w:p w14:paraId="62B020F3"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1 %</w:t>
            </w:r>
          </w:p>
        </w:tc>
        <w:tc>
          <w:tcPr>
            <w:tcW w:w="966" w:type="dxa"/>
            <w:tcBorders>
              <w:top w:val="nil"/>
              <w:left w:val="nil"/>
              <w:bottom w:val="single" w:sz="4" w:space="0" w:color="auto"/>
              <w:right w:val="single" w:sz="4" w:space="0" w:color="auto"/>
            </w:tcBorders>
            <w:shd w:val="clear" w:color="auto" w:fill="auto"/>
            <w:noWrap/>
            <w:hideMark/>
          </w:tcPr>
          <w:p w14:paraId="19ECE372"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s.o.</w:t>
            </w:r>
          </w:p>
        </w:tc>
        <w:tc>
          <w:tcPr>
            <w:tcW w:w="2893" w:type="dxa"/>
            <w:tcBorders>
              <w:top w:val="nil"/>
              <w:left w:val="nil"/>
              <w:bottom w:val="single" w:sz="4" w:space="0" w:color="auto"/>
              <w:right w:val="single" w:sz="4" w:space="0" w:color="auto"/>
            </w:tcBorders>
            <w:shd w:val="clear" w:color="auto" w:fill="auto"/>
            <w:noWrap/>
            <w:hideMark/>
          </w:tcPr>
          <w:p w14:paraId="2FDE45BC"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Brûlures chimiques du premier degré</w:t>
            </w:r>
          </w:p>
        </w:tc>
        <w:tc>
          <w:tcPr>
            <w:tcW w:w="1727" w:type="dxa"/>
            <w:tcBorders>
              <w:top w:val="nil"/>
              <w:left w:val="nil"/>
              <w:bottom w:val="single" w:sz="4" w:space="0" w:color="auto"/>
              <w:right w:val="single" w:sz="4" w:space="0" w:color="auto"/>
            </w:tcBorders>
            <w:shd w:val="clear" w:color="auto" w:fill="auto"/>
            <w:noWrap/>
            <w:hideMark/>
          </w:tcPr>
          <w:p w14:paraId="7D261569" w14:textId="77777777"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Traitement de soutien/a survécu</w:t>
            </w:r>
          </w:p>
        </w:tc>
        <w:tc>
          <w:tcPr>
            <w:tcW w:w="1116" w:type="dxa"/>
            <w:tcBorders>
              <w:top w:val="nil"/>
              <w:left w:val="nil"/>
              <w:bottom w:val="single" w:sz="4" w:space="0" w:color="auto"/>
              <w:right w:val="single" w:sz="4" w:space="0" w:color="auto"/>
            </w:tcBorders>
            <w:shd w:val="clear" w:color="auto" w:fill="auto"/>
            <w:noWrap/>
            <w:hideMark/>
          </w:tcPr>
          <w:p w14:paraId="39104E5D" w14:textId="60333EBA" w:rsidR="0024276D" w:rsidRPr="003D65BD" w:rsidRDefault="0024276D" w:rsidP="00D65132">
            <w:pPr>
              <w:suppressAutoHyphens w:val="0"/>
              <w:kinsoku/>
              <w:overflowPunct/>
              <w:autoSpaceDE/>
              <w:autoSpaceDN/>
              <w:adjustRightInd/>
              <w:snapToGrid/>
              <w:spacing w:before="60" w:after="60" w:line="240" w:lineRule="auto"/>
              <w:rPr>
                <w:rFonts w:eastAsia="Times New Roman"/>
                <w:color w:val="000000"/>
                <w:sz w:val="18"/>
                <w:szCs w:val="18"/>
              </w:rPr>
            </w:pPr>
            <w:r w:rsidRPr="003D65BD">
              <w:rPr>
                <w:color w:val="000000"/>
                <w:sz w:val="18"/>
                <w:szCs w:val="18"/>
              </w:rPr>
              <w:t xml:space="preserve">Huang </w:t>
            </w:r>
            <w:r w:rsidR="00467561" w:rsidRPr="00467561">
              <w:rPr>
                <w:i/>
                <w:color w:val="000000"/>
                <w:sz w:val="18"/>
                <w:szCs w:val="18"/>
              </w:rPr>
              <w:t>et al.</w:t>
            </w:r>
          </w:p>
        </w:tc>
      </w:tr>
    </w:tbl>
    <w:p w14:paraId="73FFB27D" w14:textId="7F8BBB27" w:rsidR="0024276D" w:rsidRPr="00091427" w:rsidRDefault="0024276D" w:rsidP="00651202">
      <w:pPr>
        <w:spacing w:before="120" w:after="120" w:line="220" w:lineRule="atLeast"/>
        <w:ind w:firstLine="170"/>
        <w:rPr>
          <w:sz w:val="18"/>
          <w:szCs w:val="18"/>
        </w:rPr>
      </w:pPr>
      <w:r>
        <w:rPr>
          <w:sz w:val="18"/>
        </w:rPr>
        <w:t xml:space="preserve">* La durée d’exposition (temps écoulé entre l’exposition et la décontamination) n’a pas été consignée, mais en se fondant sur la présentation du cas dans Park </w:t>
      </w:r>
      <w:r w:rsidRPr="00651202">
        <w:rPr>
          <w:i/>
          <w:iCs/>
          <w:sz w:val="18"/>
        </w:rPr>
        <w:t>et al</w:t>
      </w:r>
      <w:r>
        <w:rPr>
          <w:sz w:val="18"/>
        </w:rPr>
        <w:t xml:space="preserve">., on peut supposer qu’elle était comprise entre </w:t>
      </w:r>
      <w:r w:rsidR="00C868C8">
        <w:rPr>
          <w:sz w:val="18"/>
        </w:rPr>
        <w:t>15 et 80 </w:t>
      </w:r>
      <w:r>
        <w:rPr>
          <w:sz w:val="18"/>
        </w:rPr>
        <w:t>minutes.</w:t>
      </w:r>
    </w:p>
    <w:p w14:paraId="336F57AD" w14:textId="51904AE3" w:rsidR="0024276D" w:rsidRDefault="0024276D" w:rsidP="00651202">
      <w:pPr>
        <w:pStyle w:val="SingleTxtG"/>
      </w:pPr>
      <w:r>
        <w:t>8.</w:t>
      </w:r>
      <w:r>
        <w:tab/>
        <w:t xml:space="preserve">Corrosivité </w:t>
      </w:r>
      <w:r w:rsidR="00651202">
        <w:t>−</w:t>
      </w:r>
      <w:r>
        <w:t xml:space="preserve"> L’exposition au TMAH a eu des effets divers sur les victimes, de l’absence de lésions aux brûlures chimiques du troisième degré. Dans la plupart des 25</w:t>
      </w:r>
      <w:r w:rsidR="00D65132">
        <w:t> </w:t>
      </w:r>
      <w:r>
        <w:t>incidents impliquant de faibles concentrations de TMAH (jusqu’à 3 %), l’exposition a eu des effets mineurs (éruptions cutanées, gonflements, brûlures au premier degré) ou nuls sur la santé. Deux de ces 25</w:t>
      </w:r>
      <w:r w:rsidR="00802642">
        <w:t> </w:t>
      </w:r>
      <w:r>
        <w:t xml:space="preserve">incidents ont entraîné des brûlures chimiques au deuxième ou troisième degré. La durée d’exposition, lorsqu’elle est documentée, varie de moins d’une minute à </w:t>
      </w:r>
      <w:r w:rsidR="00D65132">
        <w:t>deux</w:t>
      </w:r>
      <w:r>
        <w:t xml:space="preserve"> heures. Dans la majorité des cas, la durée d’exposition était inférieure à une heure et la surface corporelle exposée était faible. Les incidents pour lesquels la surface </w:t>
      </w:r>
      <w:r w:rsidR="00651202">
        <w:t>c</w:t>
      </w:r>
      <w:r>
        <w:t>orporelle exposée était importante ont entraîné des effets plus graves, tels que des brûlures au second degré.</w:t>
      </w:r>
    </w:p>
    <w:p w14:paraId="518361D6" w14:textId="74259649" w:rsidR="0024276D" w:rsidRDefault="0024276D" w:rsidP="00E50E92">
      <w:pPr>
        <w:pStyle w:val="SingleTxtG"/>
        <w:spacing w:after="100" w:line="236" w:lineRule="atLeast"/>
      </w:pPr>
      <w:r>
        <w:lastRenderedPageBreak/>
        <w:t>9.</w:t>
      </w:r>
      <w:r>
        <w:tab/>
        <w:t xml:space="preserve">Les incidents impliquant des concentrations plus élevées de TMAH (≥8,75 %) ont provoqué des lésions plus sévères, au minimum des brûlures au premier degré. Dans </w:t>
      </w:r>
      <w:r w:rsidR="001C362E">
        <w:t>6 </w:t>
      </w:r>
      <w:r>
        <w:t>incidents sur 12, l’exposition a entraîné au moins des brûlures du deuxième degré avec parfois une desquamation de la peau, même lorsque la surface corporelle exposée était relativement faible (par exemple 7 %). Les six autres incidents ont entraîné des brûlures au premier degré, bien que certaines victimes aient été traitées à la Diphotérine, ce qui a permis de limiter la gravité des effets sur la santé. Dans trois incidents, la durée d’exposition documentée était inférieure à une minute et dans la plupart des autres incidents, elle était inférieure à une heure.</w:t>
      </w:r>
    </w:p>
    <w:p w14:paraId="384D2E5A" w14:textId="2838DF48" w:rsidR="0024276D" w:rsidRPr="00D8079A" w:rsidRDefault="0024276D" w:rsidP="00E50E92">
      <w:pPr>
        <w:pStyle w:val="SingleTxtG"/>
        <w:spacing w:after="100" w:line="236" w:lineRule="atLeast"/>
      </w:pPr>
      <w:r>
        <w:t>10.</w:t>
      </w:r>
      <w:r>
        <w:tab/>
        <w:t xml:space="preserve">Les critères de classement des matières corrosives figurant dans le Règlement type sont la durée d’application (ou durée d’exposition), la période d’observation et l’effet </w:t>
      </w:r>
      <w:r w:rsidR="001C362E">
        <w:t>(par. </w:t>
      </w:r>
      <w:r>
        <w:t>2.8.3.3). Ces critères ont été définis pour des modèles animaux et non pour des êtres humains et ne peuvent donc pas être utilisés directement à des fins de classement ; ils établissent cependant l’existence d’effets corrosifs. Néanmoins, selon les critères énoncés au paragraphe</w:t>
      </w:r>
      <w:r w:rsidR="001C362E">
        <w:t> </w:t>
      </w:r>
      <w:r>
        <w:t>2.8.3.3, les solutions à 25 % de TMAH devraient être affectées au groupe d’emballage I compte tenu de la durée d’exposition (&lt;3</w:t>
      </w:r>
      <w:r w:rsidR="00EF1DA8">
        <w:t> </w:t>
      </w:r>
      <w:r>
        <w:t>min</w:t>
      </w:r>
      <w:r w:rsidR="00EF1DA8">
        <w:t>.</w:t>
      </w:r>
      <w:r>
        <w:t>) et des effets sur la santé (brûlures chimiques au troisième degré). Les solutions à 8,75 % de TMAH devraient être affectées au moins au groupe d’emballage III, la durée d’exposition pour laquelle des effets graves ont été observés étant très supérieure à 3</w:t>
      </w:r>
      <w:r w:rsidR="00C868C8">
        <w:t> </w:t>
      </w:r>
      <w:r>
        <w:t xml:space="preserve">minutes. </w:t>
      </w:r>
      <w:bookmarkStart w:id="0" w:name="_Hlk102984483"/>
      <w:r>
        <w:t>Bien que la durée d’application exacte ne soit pas connue pour cet incident, on sait que la victime a été trouvée 80</w:t>
      </w:r>
      <w:r w:rsidR="00C868C8">
        <w:t> </w:t>
      </w:r>
      <w:r>
        <w:t>minutes après l’exposition. Ces critères correspondent aux caractéristiques de danger propres au groupe d’emballage III (durée d’application &gt;1</w:t>
      </w:r>
      <w:r w:rsidR="00EF1DA8">
        <w:t> </w:t>
      </w:r>
      <w:r>
        <w:t>h et ≤4</w:t>
      </w:r>
      <w:r w:rsidR="00EF1DA8">
        <w:t> </w:t>
      </w:r>
      <w:r>
        <w:t>h). La durée d’exposition pour les incidents impliquant de plus faibles concentrations de TMAH était généralement inférieure à une heure et la plupart des incidents n’ont eu que des effets relativement limités sur la santé (au maximum des brûlures chimiques au premier degré).</w:t>
      </w:r>
    </w:p>
    <w:bookmarkEnd w:id="0"/>
    <w:p w14:paraId="03F803D9" w14:textId="1903058E" w:rsidR="0024276D" w:rsidRDefault="0024276D" w:rsidP="00E50E92">
      <w:pPr>
        <w:pStyle w:val="SingleTxtG"/>
        <w:spacing w:after="100"/>
      </w:pPr>
      <w:r>
        <w:t>11.</w:t>
      </w:r>
      <w:r>
        <w:tab/>
        <w:t xml:space="preserve">Toxicité </w:t>
      </w:r>
      <w:r w:rsidR="0001457D">
        <w:t>−</w:t>
      </w:r>
      <w:r>
        <w:t xml:space="preserve"> Trois personnes sont décédées après exposition à une solution à 25 % de TMAH, et une personne après exposition à une solution à 8,75 % de TMAH. Dans ce dernier cas, le rapport d’autopsie a établi que la cause du décès était un empoisonnement au TMAH. Le TMAH est un neurotoxique systémique (agoniste cholinergique) qui peut provoquer une insuffisance respiratoire et un arrêt cardiaque. En général et en absence de complications, le pouvoir corrosif du TMAH est insuffisant pour provoquer des lésions mortelles en cas d’exposition de 12 % de la surface corporelle (Park </w:t>
      </w:r>
      <w:r w:rsidRPr="0001457D">
        <w:rPr>
          <w:i/>
          <w:iCs/>
        </w:rPr>
        <w:t>et al</w:t>
      </w:r>
      <w:r>
        <w:t>., 2013). Bien que le temps écoulé entre l’exposition et la décontamination ne soit pas connu avec précision, il ressort clairement de la documentation que la victime est décédée dans l’heure et demie qui a suivi l’exposition, la décontamination n’ayant pas permis de la sauver. Ces incidents mortels montrent clairement que le TMAH présente un danger de toxicité très grave, et que les solutions de concentration supérieure ou égale à 8,75 % devraient être affectées au groupe d’emballage</w:t>
      </w:r>
      <w:r w:rsidR="006E5CAA">
        <w:t> </w:t>
      </w:r>
      <w:r>
        <w:t>I.</w:t>
      </w:r>
    </w:p>
    <w:p w14:paraId="5CB84471" w14:textId="4DB57E85" w:rsidR="0024276D" w:rsidRPr="00E50E92" w:rsidRDefault="0024276D" w:rsidP="00E50E92">
      <w:pPr>
        <w:pStyle w:val="SingleTxtG"/>
        <w:spacing w:after="100"/>
        <w:rPr>
          <w:spacing w:val="-1"/>
        </w:rPr>
      </w:pPr>
      <w:r w:rsidRPr="00E50E92">
        <w:rPr>
          <w:spacing w:val="-1"/>
        </w:rPr>
        <w:t>12.</w:t>
      </w:r>
      <w:r w:rsidRPr="00E50E92">
        <w:rPr>
          <w:spacing w:val="-1"/>
        </w:rPr>
        <w:tab/>
        <w:t>Dans deux des incidents mortels, les personnes ont été exposées à une solution à 25 % de TMAH pendant moins d’une minute, leur surface d’exposition corporelle étant de 7 %. Ces informations permettent d’estimer la toxicité pour l’homme. Si on considère que la surface corporelle</w:t>
      </w:r>
      <w:r w:rsidR="00225435" w:rsidRPr="00E50E92">
        <w:rPr>
          <w:rStyle w:val="FootnoteReference"/>
          <w:spacing w:val="-1"/>
        </w:rPr>
        <w:footnoteReference w:id="7"/>
      </w:r>
      <w:r w:rsidRPr="00E50E92">
        <w:rPr>
          <w:spacing w:val="-1"/>
        </w:rPr>
        <w:t xml:space="preserve"> d’une personne moyenne est de 17</w:t>
      </w:r>
      <w:r w:rsidR="003700E4" w:rsidRPr="00E50E92">
        <w:rPr>
          <w:spacing w:val="-1"/>
        </w:rPr>
        <w:t> </w:t>
      </w:r>
      <w:r w:rsidRPr="00E50E92">
        <w:rPr>
          <w:spacing w:val="-1"/>
        </w:rPr>
        <w:t>000 cm</w:t>
      </w:r>
      <w:r w:rsidRPr="00E50E92">
        <w:rPr>
          <w:spacing w:val="-1"/>
          <w:vertAlign w:val="superscript"/>
        </w:rPr>
        <w:t>2</w:t>
      </w:r>
      <w:r w:rsidRPr="00E50E92">
        <w:rPr>
          <w:spacing w:val="-1"/>
        </w:rPr>
        <w:t>, la surface exposée correspondante est de 7 % x 17</w:t>
      </w:r>
      <w:r w:rsidR="003700E4" w:rsidRPr="00E50E92">
        <w:rPr>
          <w:spacing w:val="-1"/>
        </w:rPr>
        <w:t> </w:t>
      </w:r>
      <w:r w:rsidRPr="00E50E92">
        <w:rPr>
          <w:spacing w:val="-1"/>
        </w:rPr>
        <w:t>000 cm</w:t>
      </w:r>
      <w:r w:rsidRPr="00E50E92">
        <w:rPr>
          <w:spacing w:val="-1"/>
          <w:vertAlign w:val="superscript"/>
        </w:rPr>
        <w:t>2</w:t>
      </w:r>
      <w:r w:rsidRPr="00E50E92">
        <w:rPr>
          <w:spacing w:val="-1"/>
        </w:rPr>
        <w:t> = 1</w:t>
      </w:r>
      <w:r w:rsidR="003700E4" w:rsidRPr="00E50E92">
        <w:rPr>
          <w:spacing w:val="-1"/>
        </w:rPr>
        <w:t> </w:t>
      </w:r>
      <w:r w:rsidRPr="00E50E92">
        <w:rPr>
          <w:spacing w:val="-1"/>
        </w:rPr>
        <w:t>190 cm</w:t>
      </w:r>
      <w:r w:rsidRPr="00E50E92">
        <w:rPr>
          <w:spacing w:val="-1"/>
          <w:vertAlign w:val="superscript"/>
        </w:rPr>
        <w:t>2</w:t>
      </w:r>
      <w:r w:rsidRPr="00E50E92">
        <w:rPr>
          <w:spacing w:val="-1"/>
        </w:rPr>
        <w:t>. En raison de la courte durée d’exposition et de la faible viscosité de l’eau, la majeure partie de l’eau s’écoule sur la peau. En supposant que l’épaisseur de la couche de peau concernée par l’absorption cutanée est de 0,01 cm, on obtient un volume d’exposition de 1</w:t>
      </w:r>
      <w:r w:rsidR="003700E4" w:rsidRPr="00E50E92">
        <w:rPr>
          <w:spacing w:val="-1"/>
        </w:rPr>
        <w:t> </w:t>
      </w:r>
      <w:r w:rsidRPr="00E50E92">
        <w:rPr>
          <w:spacing w:val="-1"/>
        </w:rPr>
        <w:t>190 cm</w:t>
      </w:r>
      <w:r w:rsidRPr="00E50E92">
        <w:rPr>
          <w:spacing w:val="-1"/>
          <w:vertAlign w:val="superscript"/>
        </w:rPr>
        <w:t>2</w:t>
      </w:r>
      <w:r w:rsidRPr="00E50E92">
        <w:rPr>
          <w:spacing w:val="-1"/>
        </w:rPr>
        <w:t xml:space="preserve"> x 0,01 cm = 11,9 cm</w:t>
      </w:r>
      <w:r w:rsidRPr="00E50E92">
        <w:rPr>
          <w:spacing w:val="-1"/>
          <w:vertAlign w:val="superscript"/>
        </w:rPr>
        <w:t>3</w:t>
      </w:r>
      <w:r w:rsidRPr="00E50E92">
        <w:rPr>
          <w:spacing w:val="-1"/>
        </w:rPr>
        <w:t>. Dans le cas d’une solution à 25 % (0,25 g/ml), l’exposition totale au TMAH est de 11,9 cm</w:t>
      </w:r>
      <w:r w:rsidRPr="00E50E92">
        <w:rPr>
          <w:spacing w:val="-1"/>
          <w:vertAlign w:val="superscript"/>
        </w:rPr>
        <w:t>3</w:t>
      </w:r>
      <w:r w:rsidRPr="00E50E92">
        <w:rPr>
          <w:spacing w:val="-1"/>
        </w:rPr>
        <w:t xml:space="preserve"> x 0,25 g/ml =</w:t>
      </w:r>
      <w:r w:rsidR="003700E4" w:rsidRPr="00E50E92">
        <w:rPr>
          <w:spacing w:val="-1"/>
        </w:rPr>
        <w:t> </w:t>
      </w:r>
      <w:r w:rsidRPr="00E50E92">
        <w:rPr>
          <w:spacing w:val="-1"/>
        </w:rPr>
        <w:t>2,975 g. Si l’on rapporte cette quantité au poids moyen d’une personne, soit 70 kg, on obtient une dose équivalente de 2</w:t>
      </w:r>
      <w:r w:rsidR="003700E4" w:rsidRPr="00E50E92">
        <w:rPr>
          <w:spacing w:val="-1"/>
        </w:rPr>
        <w:t> </w:t>
      </w:r>
      <w:r w:rsidRPr="00E50E92">
        <w:rPr>
          <w:spacing w:val="-1"/>
        </w:rPr>
        <w:t>975 mg</w:t>
      </w:r>
      <w:r w:rsidR="004B44CF" w:rsidRPr="00E50E92">
        <w:rPr>
          <w:spacing w:val="-1"/>
        </w:rPr>
        <w:t> </w:t>
      </w:r>
      <w:r w:rsidRPr="00E50E92">
        <w:rPr>
          <w:spacing w:val="-1"/>
        </w:rPr>
        <w:t>/</w:t>
      </w:r>
      <w:r w:rsidR="004B44CF" w:rsidRPr="00E50E92">
        <w:rPr>
          <w:spacing w:val="-1"/>
        </w:rPr>
        <w:t> </w:t>
      </w:r>
      <w:r w:rsidRPr="00E50E92">
        <w:rPr>
          <w:spacing w:val="-1"/>
        </w:rPr>
        <w:t>70 kg</w:t>
      </w:r>
      <w:r w:rsidR="004B44CF" w:rsidRPr="00E50E92">
        <w:rPr>
          <w:spacing w:val="-1"/>
        </w:rPr>
        <w:t> </w:t>
      </w:r>
      <w:r w:rsidRPr="00E50E92">
        <w:rPr>
          <w:spacing w:val="-1"/>
        </w:rPr>
        <w:t>=</w:t>
      </w:r>
      <w:r w:rsidR="004B44CF" w:rsidRPr="00E50E92">
        <w:rPr>
          <w:spacing w:val="-1"/>
        </w:rPr>
        <w:t> </w:t>
      </w:r>
      <w:r w:rsidRPr="00E50E92">
        <w:rPr>
          <w:spacing w:val="-1"/>
        </w:rPr>
        <w:t>43 mg/kg de poids corporel. En appliquant ce calcul à l’incident avec la solution à 8,75 % de TMAH, on obtient une dose létale de 25,5 mg/kg de poids corporel pour la toxicité à l’absorption cutanée. Toutefois, cette dose létale calculée ne correspond pas à une dose létale 50 % (DL</w:t>
      </w:r>
      <w:r w:rsidRPr="00E50E92">
        <w:rPr>
          <w:spacing w:val="-1"/>
          <w:vertAlign w:val="subscript"/>
        </w:rPr>
        <w:t>50</w:t>
      </w:r>
      <w:r w:rsidRPr="00E50E92">
        <w:rPr>
          <w:spacing w:val="-1"/>
        </w:rPr>
        <w:t>). S’il s’agissait d’une DL</w:t>
      </w:r>
      <w:r w:rsidRPr="00E50E92">
        <w:rPr>
          <w:spacing w:val="-1"/>
          <w:vertAlign w:val="subscript"/>
        </w:rPr>
        <w:t>50</w:t>
      </w:r>
      <w:r w:rsidRPr="00E50E92">
        <w:rPr>
          <w:spacing w:val="-1"/>
        </w:rPr>
        <w:t>, elle correspondrait aux critères de classement dans le groupe d’emballage I tels qu’ils sont énoncés au</w:t>
      </w:r>
      <w:r w:rsidR="003700E4" w:rsidRPr="00E50E92">
        <w:rPr>
          <w:spacing w:val="-1"/>
        </w:rPr>
        <w:t> </w:t>
      </w:r>
      <w:r w:rsidRPr="00E50E92">
        <w:rPr>
          <w:spacing w:val="-1"/>
        </w:rPr>
        <w:t>2.6.2.2.4.1 du Règlement type. Bien que ces critères aient été mis au point pour des modèles animaux et non pour les êtres humains, ils apportent la preuve de la grande toxicité du TMAH.</w:t>
      </w:r>
    </w:p>
    <w:p w14:paraId="24268E20" w14:textId="77777777" w:rsidR="0024276D" w:rsidRPr="0061403E" w:rsidRDefault="0024276D" w:rsidP="003700E4">
      <w:pPr>
        <w:pStyle w:val="HChG"/>
      </w:pPr>
      <w:r>
        <w:lastRenderedPageBreak/>
        <w:tab/>
      </w:r>
      <w:r>
        <w:tab/>
        <w:t>Données issues de l’expérimentation animale</w:t>
      </w:r>
    </w:p>
    <w:p w14:paraId="76272AC1" w14:textId="50DBFA15" w:rsidR="0024276D" w:rsidRPr="005252BA" w:rsidRDefault="0024276D" w:rsidP="0024276D">
      <w:pPr>
        <w:spacing w:after="120"/>
        <w:ind w:left="1134" w:right="1134"/>
        <w:jc w:val="both"/>
      </w:pPr>
      <w:r>
        <w:t>13.</w:t>
      </w:r>
      <w:r>
        <w:tab/>
        <w:t>On dispose de données sur les propriétés dangereuses du TMAH issues de l’expérimentation animale. Cependant, toutes les études ne respectent pas les lignes directrices énoncées dans le Règlement type. C’est notamment le cas pour les études portant sur la toxicité aiguë par voie cutanée et la corrosivité du TMAH solide. Malgré ces défauts, toutes les données confirment que le TMAH est une substance toxique et corrosive. Une</w:t>
      </w:r>
      <w:r w:rsidR="003700E4">
        <w:t> </w:t>
      </w:r>
      <w:r>
        <w:t xml:space="preserve">synthèse des dangers présentés par le TMAH en raison de sa toxicité aiguë et de sa corrosivité, reposant sur des études </w:t>
      </w:r>
      <w:r>
        <w:rPr>
          <w:i/>
        </w:rPr>
        <w:t>in vivo</w:t>
      </w:r>
      <w:r>
        <w:t xml:space="preserve"> et </w:t>
      </w:r>
      <w:r>
        <w:rPr>
          <w:i/>
        </w:rPr>
        <w:t>in vitro</w:t>
      </w:r>
      <w:r>
        <w:t>, est présentée aux annexes I et II.</w:t>
      </w:r>
    </w:p>
    <w:p w14:paraId="57A012BE" w14:textId="5B6CCBA5" w:rsidR="0024276D" w:rsidRDefault="0024276D" w:rsidP="003700E4">
      <w:pPr>
        <w:pStyle w:val="SingleTxtG"/>
      </w:pPr>
      <w:r>
        <w:t>14.</w:t>
      </w:r>
      <w:r>
        <w:tab/>
        <w:t>On trouvera dans le tableau ci-dessous un résumé des résultats. Aucune information sur la toxicité à l’inhalation n’est disponible. Les résultats concernant la toxicité à l’ingestion et à l’absorption cutanée ont été extrapolés au TMAH pur en appliquant la formule du paragraphe</w:t>
      </w:r>
      <w:r w:rsidR="003700E4">
        <w:t> </w:t>
      </w:r>
      <w:r>
        <w:t>2.6.2.3.2. Les études de toxicité à l’absorption cutanée n’ont pas été réalisées sur des lapins, comme le prévoit le paragraphe</w:t>
      </w:r>
      <w:r w:rsidR="003700E4">
        <w:t> </w:t>
      </w:r>
      <w:r>
        <w:t>2.6.2.1.2 du Règlement type, mais sur des rats. Elles démontrent néanmoins clairement la toxicité du TMAH. Il est plus délicat d’utiliser l’étude de corrosivité du TMAH solide à des fins de classement. Les résultats mettent en évidence des effets allant de l’absence de lésions à des lésions cutanées graves.</w:t>
      </w:r>
    </w:p>
    <w:p w14:paraId="32FBDAC4" w14:textId="5E92F78D" w:rsidR="0024276D" w:rsidRDefault="0024276D" w:rsidP="00FC3EB3">
      <w:pPr>
        <w:pStyle w:val="Heading1"/>
        <w:spacing w:after="120"/>
        <w:rPr>
          <w:bCs/>
        </w:rPr>
      </w:pPr>
      <w:r>
        <w:t>Tableau 2</w:t>
      </w:r>
      <w:r w:rsidR="003700E4">
        <w:br/>
      </w:r>
      <w:r w:rsidRPr="00FC3EB3">
        <w:rPr>
          <w:b/>
          <w:bCs/>
        </w:rPr>
        <w:t>Résumé des études de toxicité aiguë et de corrosivité du TMAH</w:t>
      </w:r>
    </w:p>
    <w:tbl>
      <w:tblPr>
        <w:tblStyle w:val="TableGrid5"/>
        <w:tblW w:w="7371" w:type="dxa"/>
        <w:tblInd w:w="1134" w:type="dxa"/>
        <w:tblLook w:val="04A0" w:firstRow="1" w:lastRow="0" w:firstColumn="1" w:lastColumn="0" w:noHBand="0" w:noVBand="1"/>
      </w:tblPr>
      <w:tblGrid>
        <w:gridCol w:w="1306"/>
        <w:gridCol w:w="1352"/>
        <w:gridCol w:w="1370"/>
        <w:gridCol w:w="1294"/>
        <w:gridCol w:w="2049"/>
      </w:tblGrid>
      <w:tr w:rsidR="00007331" w:rsidRPr="007C56FE" w14:paraId="6CDC21EF" w14:textId="77777777" w:rsidTr="00007331">
        <w:tc>
          <w:tcPr>
            <w:tcW w:w="1306" w:type="dxa"/>
          </w:tcPr>
          <w:p w14:paraId="03045F95" w14:textId="77777777" w:rsidR="0024276D" w:rsidRPr="007C56FE" w:rsidRDefault="0024276D" w:rsidP="001F5E2E">
            <w:pPr>
              <w:kinsoku/>
              <w:overflowPunct/>
              <w:autoSpaceDE/>
              <w:autoSpaceDN/>
              <w:adjustRightInd/>
              <w:snapToGrid/>
              <w:spacing w:before="60" w:after="60" w:line="240" w:lineRule="auto"/>
              <w:ind w:left="57" w:right="57"/>
              <w:jc w:val="center"/>
              <w:rPr>
                <w:i/>
                <w:iCs/>
                <w:sz w:val="16"/>
                <w:szCs w:val="16"/>
              </w:rPr>
            </w:pPr>
            <w:r w:rsidRPr="007C56FE">
              <w:rPr>
                <w:i/>
                <w:iCs/>
                <w:sz w:val="16"/>
                <w:szCs w:val="16"/>
              </w:rPr>
              <w:t>Danger</w:t>
            </w:r>
          </w:p>
        </w:tc>
        <w:tc>
          <w:tcPr>
            <w:tcW w:w="1352" w:type="dxa"/>
          </w:tcPr>
          <w:p w14:paraId="59D38A74" w14:textId="4868AD80" w:rsidR="0024276D" w:rsidRPr="007C56FE" w:rsidRDefault="0024276D" w:rsidP="001F5E2E">
            <w:pPr>
              <w:kinsoku/>
              <w:overflowPunct/>
              <w:autoSpaceDE/>
              <w:autoSpaceDN/>
              <w:adjustRightInd/>
              <w:snapToGrid/>
              <w:spacing w:before="60" w:after="60" w:line="240" w:lineRule="auto"/>
              <w:ind w:left="57" w:right="57"/>
              <w:jc w:val="center"/>
              <w:rPr>
                <w:i/>
                <w:iCs/>
                <w:sz w:val="16"/>
                <w:szCs w:val="16"/>
              </w:rPr>
            </w:pPr>
            <w:r w:rsidRPr="007C56FE">
              <w:rPr>
                <w:i/>
                <w:iCs/>
                <w:sz w:val="16"/>
                <w:szCs w:val="16"/>
              </w:rPr>
              <w:t xml:space="preserve">Concentration </w:t>
            </w:r>
            <w:r w:rsidR="007C56FE">
              <w:rPr>
                <w:i/>
                <w:iCs/>
                <w:sz w:val="16"/>
                <w:szCs w:val="16"/>
              </w:rPr>
              <w:br/>
            </w:r>
            <w:r w:rsidRPr="007C56FE">
              <w:rPr>
                <w:i/>
                <w:iCs/>
                <w:sz w:val="16"/>
                <w:szCs w:val="16"/>
              </w:rPr>
              <w:t>en TMAH</w:t>
            </w:r>
          </w:p>
        </w:tc>
        <w:tc>
          <w:tcPr>
            <w:tcW w:w="1370" w:type="dxa"/>
          </w:tcPr>
          <w:p w14:paraId="23736E3E" w14:textId="77777777" w:rsidR="0024276D" w:rsidRPr="007C56FE" w:rsidRDefault="0024276D" w:rsidP="001F5E2E">
            <w:pPr>
              <w:kinsoku/>
              <w:overflowPunct/>
              <w:autoSpaceDE/>
              <w:autoSpaceDN/>
              <w:adjustRightInd/>
              <w:snapToGrid/>
              <w:spacing w:before="60" w:after="60" w:line="240" w:lineRule="auto"/>
              <w:ind w:left="57" w:right="57"/>
              <w:jc w:val="center"/>
              <w:rPr>
                <w:i/>
                <w:iCs/>
                <w:sz w:val="16"/>
                <w:szCs w:val="16"/>
              </w:rPr>
            </w:pPr>
            <w:r w:rsidRPr="007C56FE">
              <w:rPr>
                <w:i/>
                <w:iCs/>
                <w:sz w:val="16"/>
                <w:szCs w:val="16"/>
              </w:rPr>
              <w:t>Classe/Division</w:t>
            </w:r>
          </w:p>
        </w:tc>
        <w:tc>
          <w:tcPr>
            <w:tcW w:w="1294" w:type="dxa"/>
          </w:tcPr>
          <w:p w14:paraId="1E5912CC" w14:textId="77777777" w:rsidR="0024276D" w:rsidRPr="007C56FE" w:rsidRDefault="0024276D" w:rsidP="001F5E2E">
            <w:pPr>
              <w:kinsoku/>
              <w:overflowPunct/>
              <w:autoSpaceDE/>
              <w:autoSpaceDN/>
              <w:adjustRightInd/>
              <w:snapToGrid/>
              <w:spacing w:before="60" w:after="60" w:line="240" w:lineRule="auto"/>
              <w:ind w:left="57" w:right="57"/>
              <w:jc w:val="center"/>
              <w:rPr>
                <w:i/>
                <w:iCs/>
                <w:sz w:val="16"/>
                <w:szCs w:val="16"/>
              </w:rPr>
            </w:pPr>
            <w:r w:rsidRPr="007C56FE">
              <w:rPr>
                <w:i/>
                <w:iCs/>
                <w:sz w:val="16"/>
                <w:szCs w:val="16"/>
              </w:rPr>
              <w:t>Groupe d’emballage</w:t>
            </w:r>
          </w:p>
        </w:tc>
        <w:tc>
          <w:tcPr>
            <w:tcW w:w="2049" w:type="dxa"/>
          </w:tcPr>
          <w:p w14:paraId="5A32E085" w14:textId="77777777" w:rsidR="0024276D" w:rsidRPr="007C56FE" w:rsidRDefault="0024276D" w:rsidP="001F5E2E">
            <w:pPr>
              <w:kinsoku/>
              <w:overflowPunct/>
              <w:autoSpaceDE/>
              <w:autoSpaceDN/>
              <w:adjustRightInd/>
              <w:snapToGrid/>
              <w:spacing w:before="60" w:after="60" w:line="240" w:lineRule="auto"/>
              <w:ind w:left="57" w:right="57"/>
              <w:jc w:val="center"/>
              <w:rPr>
                <w:i/>
                <w:iCs/>
                <w:sz w:val="16"/>
                <w:szCs w:val="16"/>
              </w:rPr>
            </w:pPr>
            <w:r w:rsidRPr="007C56FE">
              <w:rPr>
                <w:i/>
                <w:iCs/>
                <w:sz w:val="16"/>
                <w:szCs w:val="16"/>
              </w:rPr>
              <w:t>Commentaire</w:t>
            </w:r>
          </w:p>
        </w:tc>
      </w:tr>
      <w:tr w:rsidR="0024276D" w:rsidRPr="00524025" w14:paraId="09A1FEB4" w14:textId="77777777" w:rsidTr="00007331">
        <w:tc>
          <w:tcPr>
            <w:tcW w:w="1306" w:type="dxa"/>
          </w:tcPr>
          <w:p w14:paraId="540EC2F0" w14:textId="7A8C4E06" w:rsidR="0024276D" w:rsidRPr="00524025" w:rsidRDefault="0024276D" w:rsidP="001F5E2E">
            <w:pPr>
              <w:kinsoku/>
              <w:overflowPunct/>
              <w:autoSpaceDE/>
              <w:autoSpaceDN/>
              <w:adjustRightInd/>
              <w:snapToGrid/>
              <w:spacing w:before="60" w:after="60" w:line="240" w:lineRule="auto"/>
              <w:ind w:left="57" w:right="57"/>
              <w:rPr>
                <w:sz w:val="18"/>
                <w:szCs w:val="18"/>
              </w:rPr>
            </w:pPr>
            <w:r>
              <w:rPr>
                <w:sz w:val="18"/>
              </w:rPr>
              <w:t xml:space="preserve">Toxicité </w:t>
            </w:r>
            <w:r w:rsidR="00007331">
              <w:rPr>
                <w:sz w:val="18"/>
              </w:rPr>
              <w:br/>
            </w:r>
            <w:r>
              <w:rPr>
                <w:sz w:val="18"/>
              </w:rPr>
              <w:t>à l’ingestion</w:t>
            </w:r>
          </w:p>
        </w:tc>
        <w:tc>
          <w:tcPr>
            <w:tcW w:w="1352" w:type="dxa"/>
          </w:tcPr>
          <w:p w14:paraId="5559476E" w14:textId="77777777" w:rsidR="0024276D" w:rsidRPr="00524025" w:rsidRDefault="0024276D" w:rsidP="001F5E2E">
            <w:pPr>
              <w:kinsoku/>
              <w:overflowPunct/>
              <w:autoSpaceDE/>
              <w:autoSpaceDN/>
              <w:adjustRightInd/>
              <w:snapToGrid/>
              <w:spacing w:before="60" w:after="60" w:line="240" w:lineRule="auto"/>
              <w:ind w:left="57" w:right="57"/>
              <w:rPr>
                <w:sz w:val="18"/>
                <w:szCs w:val="18"/>
              </w:rPr>
            </w:pPr>
            <w:r>
              <w:rPr>
                <w:sz w:val="18"/>
              </w:rPr>
              <w:t>25 %</w:t>
            </w:r>
          </w:p>
        </w:tc>
        <w:tc>
          <w:tcPr>
            <w:tcW w:w="1370" w:type="dxa"/>
          </w:tcPr>
          <w:p w14:paraId="5D16236C" w14:textId="77777777" w:rsidR="0024276D" w:rsidRPr="00524025" w:rsidRDefault="0024276D" w:rsidP="001F5E2E">
            <w:pPr>
              <w:kinsoku/>
              <w:overflowPunct/>
              <w:autoSpaceDE/>
              <w:autoSpaceDN/>
              <w:adjustRightInd/>
              <w:snapToGrid/>
              <w:spacing w:before="60" w:after="60" w:line="240" w:lineRule="auto"/>
              <w:ind w:left="57" w:right="57"/>
              <w:rPr>
                <w:sz w:val="18"/>
                <w:szCs w:val="18"/>
              </w:rPr>
            </w:pPr>
            <w:r>
              <w:rPr>
                <w:sz w:val="18"/>
              </w:rPr>
              <w:t>6.1</w:t>
            </w:r>
          </w:p>
        </w:tc>
        <w:tc>
          <w:tcPr>
            <w:tcW w:w="1294" w:type="dxa"/>
          </w:tcPr>
          <w:p w14:paraId="3559C59E" w14:textId="77777777" w:rsidR="0024276D" w:rsidRPr="00524025" w:rsidRDefault="0024276D" w:rsidP="001F5E2E">
            <w:pPr>
              <w:kinsoku/>
              <w:overflowPunct/>
              <w:autoSpaceDE/>
              <w:autoSpaceDN/>
              <w:adjustRightInd/>
              <w:snapToGrid/>
              <w:spacing w:before="60" w:after="60" w:line="240" w:lineRule="auto"/>
              <w:ind w:left="57" w:right="57"/>
              <w:rPr>
                <w:sz w:val="18"/>
                <w:szCs w:val="18"/>
              </w:rPr>
            </w:pPr>
            <w:r>
              <w:rPr>
                <w:sz w:val="18"/>
              </w:rPr>
              <w:t>III</w:t>
            </w:r>
          </w:p>
        </w:tc>
        <w:tc>
          <w:tcPr>
            <w:tcW w:w="2049" w:type="dxa"/>
          </w:tcPr>
          <w:p w14:paraId="4FFF2101" w14:textId="77777777" w:rsidR="0024276D" w:rsidRPr="00524025" w:rsidRDefault="0024276D" w:rsidP="001F5E2E">
            <w:pPr>
              <w:kinsoku/>
              <w:overflowPunct/>
              <w:autoSpaceDE/>
              <w:autoSpaceDN/>
              <w:adjustRightInd/>
              <w:snapToGrid/>
              <w:spacing w:before="60" w:after="60" w:line="240" w:lineRule="auto"/>
              <w:ind w:left="57" w:right="57"/>
              <w:rPr>
                <w:sz w:val="18"/>
                <w:szCs w:val="18"/>
              </w:rPr>
            </w:pPr>
            <w:r>
              <w:rPr>
                <w:sz w:val="18"/>
              </w:rPr>
              <w:t>Aucun</w:t>
            </w:r>
          </w:p>
        </w:tc>
      </w:tr>
      <w:tr w:rsidR="0024276D" w:rsidRPr="00524025" w14:paraId="5404E548" w14:textId="77777777" w:rsidTr="00007331">
        <w:tc>
          <w:tcPr>
            <w:tcW w:w="1306" w:type="dxa"/>
          </w:tcPr>
          <w:p w14:paraId="26B502FA" w14:textId="739A2B4C" w:rsidR="0024276D" w:rsidRPr="00524025" w:rsidRDefault="0024276D" w:rsidP="001F5E2E">
            <w:pPr>
              <w:kinsoku/>
              <w:overflowPunct/>
              <w:autoSpaceDE/>
              <w:autoSpaceDN/>
              <w:adjustRightInd/>
              <w:snapToGrid/>
              <w:spacing w:before="60" w:after="60" w:line="240" w:lineRule="auto"/>
              <w:ind w:left="57" w:right="57"/>
              <w:rPr>
                <w:sz w:val="18"/>
                <w:szCs w:val="18"/>
              </w:rPr>
            </w:pPr>
            <w:r>
              <w:rPr>
                <w:sz w:val="18"/>
              </w:rPr>
              <w:t xml:space="preserve">Toxicité </w:t>
            </w:r>
            <w:r w:rsidR="00007331">
              <w:rPr>
                <w:sz w:val="18"/>
              </w:rPr>
              <w:br/>
            </w:r>
            <w:r>
              <w:rPr>
                <w:sz w:val="18"/>
              </w:rPr>
              <w:t>à l’ingestion</w:t>
            </w:r>
          </w:p>
        </w:tc>
        <w:tc>
          <w:tcPr>
            <w:tcW w:w="1352" w:type="dxa"/>
          </w:tcPr>
          <w:p w14:paraId="09400485" w14:textId="77777777" w:rsidR="0024276D" w:rsidRPr="00524025" w:rsidRDefault="0024276D" w:rsidP="001F5E2E">
            <w:pPr>
              <w:kinsoku/>
              <w:overflowPunct/>
              <w:autoSpaceDE/>
              <w:autoSpaceDN/>
              <w:adjustRightInd/>
              <w:snapToGrid/>
              <w:spacing w:before="60" w:after="60" w:line="240" w:lineRule="auto"/>
              <w:ind w:left="57" w:right="57"/>
              <w:rPr>
                <w:sz w:val="18"/>
                <w:szCs w:val="18"/>
              </w:rPr>
            </w:pPr>
            <w:r>
              <w:rPr>
                <w:sz w:val="18"/>
              </w:rPr>
              <w:t>Solide</w:t>
            </w:r>
          </w:p>
        </w:tc>
        <w:tc>
          <w:tcPr>
            <w:tcW w:w="1370" w:type="dxa"/>
          </w:tcPr>
          <w:p w14:paraId="77FA11AB" w14:textId="77777777" w:rsidR="0024276D" w:rsidRPr="00524025" w:rsidRDefault="0024276D" w:rsidP="001F5E2E">
            <w:pPr>
              <w:kinsoku/>
              <w:overflowPunct/>
              <w:autoSpaceDE/>
              <w:autoSpaceDN/>
              <w:adjustRightInd/>
              <w:snapToGrid/>
              <w:spacing w:before="60" w:after="60" w:line="240" w:lineRule="auto"/>
              <w:ind w:left="57" w:right="57"/>
              <w:rPr>
                <w:sz w:val="18"/>
                <w:szCs w:val="18"/>
              </w:rPr>
            </w:pPr>
            <w:r>
              <w:rPr>
                <w:sz w:val="18"/>
              </w:rPr>
              <w:t>6.1</w:t>
            </w:r>
          </w:p>
        </w:tc>
        <w:tc>
          <w:tcPr>
            <w:tcW w:w="1294" w:type="dxa"/>
          </w:tcPr>
          <w:p w14:paraId="4F84C588" w14:textId="77777777" w:rsidR="0024276D" w:rsidRPr="00524025" w:rsidRDefault="0024276D" w:rsidP="001F5E2E">
            <w:pPr>
              <w:kinsoku/>
              <w:overflowPunct/>
              <w:autoSpaceDE/>
              <w:autoSpaceDN/>
              <w:adjustRightInd/>
              <w:snapToGrid/>
              <w:spacing w:before="60" w:after="60" w:line="240" w:lineRule="auto"/>
              <w:ind w:left="57" w:right="57"/>
              <w:rPr>
                <w:sz w:val="18"/>
                <w:szCs w:val="18"/>
              </w:rPr>
            </w:pPr>
            <w:r>
              <w:rPr>
                <w:sz w:val="18"/>
              </w:rPr>
              <w:t>II</w:t>
            </w:r>
          </w:p>
        </w:tc>
        <w:tc>
          <w:tcPr>
            <w:tcW w:w="2049" w:type="dxa"/>
          </w:tcPr>
          <w:p w14:paraId="339AC85A" w14:textId="3BA64201" w:rsidR="0024276D" w:rsidRPr="00524025" w:rsidRDefault="0024276D" w:rsidP="001F5E2E">
            <w:pPr>
              <w:kinsoku/>
              <w:overflowPunct/>
              <w:autoSpaceDE/>
              <w:autoSpaceDN/>
              <w:adjustRightInd/>
              <w:snapToGrid/>
              <w:spacing w:before="60" w:after="60" w:line="240" w:lineRule="auto"/>
              <w:ind w:left="57" w:right="57"/>
              <w:rPr>
                <w:sz w:val="18"/>
                <w:szCs w:val="18"/>
              </w:rPr>
            </w:pPr>
            <w:r>
              <w:rPr>
                <w:sz w:val="18"/>
              </w:rPr>
              <w:t>Extrapolation selon la formule du par</w:t>
            </w:r>
            <w:r w:rsidR="001F5E2E">
              <w:rPr>
                <w:sz w:val="18"/>
              </w:rPr>
              <w:t>agraphe</w:t>
            </w:r>
            <w:r>
              <w:rPr>
                <w:sz w:val="18"/>
              </w:rPr>
              <w:t xml:space="preserve"> 2.6.2.3.2</w:t>
            </w:r>
          </w:p>
        </w:tc>
      </w:tr>
      <w:tr w:rsidR="0024276D" w:rsidRPr="00524025" w14:paraId="51FB3FA6" w14:textId="77777777" w:rsidTr="00007331">
        <w:tc>
          <w:tcPr>
            <w:tcW w:w="1306" w:type="dxa"/>
          </w:tcPr>
          <w:p w14:paraId="5ADCEB06" w14:textId="7C7BEAD5" w:rsidR="0024276D" w:rsidRPr="00524025" w:rsidRDefault="0024276D" w:rsidP="001F5E2E">
            <w:pPr>
              <w:kinsoku/>
              <w:overflowPunct/>
              <w:autoSpaceDE/>
              <w:autoSpaceDN/>
              <w:adjustRightInd/>
              <w:snapToGrid/>
              <w:spacing w:before="60" w:after="60" w:line="240" w:lineRule="auto"/>
              <w:ind w:left="57" w:right="57"/>
              <w:rPr>
                <w:sz w:val="18"/>
                <w:szCs w:val="18"/>
              </w:rPr>
            </w:pPr>
            <w:r>
              <w:rPr>
                <w:sz w:val="18"/>
              </w:rPr>
              <w:t xml:space="preserve">Toxicité </w:t>
            </w:r>
            <w:r w:rsidR="00007331">
              <w:rPr>
                <w:sz w:val="18"/>
              </w:rPr>
              <w:br/>
            </w:r>
            <w:r>
              <w:rPr>
                <w:sz w:val="18"/>
              </w:rPr>
              <w:t>à l’absorption cutanée</w:t>
            </w:r>
          </w:p>
        </w:tc>
        <w:tc>
          <w:tcPr>
            <w:tcW w:w="1352" w:type="dxa"/>
          </w:tcPr>
          <w:p w14:paraId="68312649" w14:textId="77777777" w:rsidR="0024276D" w:rsidRPr="00524025" w:rsidRDefault="0024276D" w:rsidP="001F5E2E">
            <w:pPr>
              <w:kinsoku/>
              <w:overflowPunct/>
              <w:autoSpaceDE/>
              <w:autoSpaceDN/>
              <w:adjustRightInd/>
              <w:snapToGrid/>
              <w:spacing w:before="60" w:after="60" w:line="240" w:lineRule="auto"/>
              <w:ind w:left="57" w:right="57"/>
              <w:rPr>
                <w:sz w:val="18"/>
                <w:szCs w:val="18"/>
              </w:rPr>
            </w:pPr>
            <w:r>
              <w:rPr>
                <w:sz w:val="18"/>
              </w:rPr>
              <w:t>2,38 %</w:t>
            </w:r>
          </w:p>
        </w:tc>
        <w:tc>
          <w:tcPr>
            <w:tcW w:w="1370" w:type="dxa"/>
          </w:tcPr>
          <w:p w14:paraId="4096A7F2" w14:textId="77777777" w:rsidR="0024276D" w:rsidRPr="00524025" w:rsidRDefault="0024276D" w:rsidP="001F5E2E">
            <w:pPr>
              <w:kinsoku/>
              <w:overflowPunct/>
              <w:autoSpaceDE/>
              <w:autoSpaceDN/>
              <w:adjustRightInd/>
              <w:snapToGrid/>
              <w:spacing w:before="60" w:after="60" w:line="240" w:lineRule="auto"/>
              <w:ind w:left="57" w:right="57"/>
              <w:rPr>
                <w:sz w:val="18"/>
                <w:szCs w:val="18"/>
              </w:rPr>
            </w:pPr>
            <w:r>
              <w:rPr>
                <w:sz w:val="18"/>
              </w:rPr>
              <w:t>6.1</w:t>
            </w:r>
          </w:p>
        </w:tc>
        <w:tc>
          <w:tcPr>
            <w:tcW w:w="1294" w:type="dxa"/>
          </w:tcPr>
          <w:p w14:paraId="6EB5B831" w14:textId="77777777" w:rsidR="0024276D" w:rsidRPr="00524025" w:rsidRDefault="0024276D" w:rsidP="001F5E2E">
            <w:pPr>
              <w:kinsoku/>
              <w:overflowPunct/>
              <w:autoSpaceDE/>
              <w:autoSpaceDN/>
              <w:adjustRightInd/>
              <w:snapToGrid/>
              <w:spacing w:before="60" w:after="60" w:line="240" w:lineRule="auto"/>
              <w:ind w:left="57" w:right="57"/>
              <w:rPr>
                <w:sz w:val="18"/>
                <w:szCs w:val="18"/>
              </w:rPr>
            </w:pPr>
            <w:r>
              <w:rPr>
                <w:sz w:val="18"/>
              </w:rPr>
              <w:t>II</w:t>
            </w:r>
          </w:p>
        </w:tc>
        <w:tc>
          <w:tcPr>
            <w:tcW w:w="2049" w:type="dxa"/>
          </w:tcPr>
          <w:p w14:paraId="4C68225E" w14:textId="77777777" w:rsidR="0024276D" w:rsidRPr="00524025" w:rsidRDefault="0024276D" w:rsidP="001F5E2E">
            <w:pPr>
              <w:kinsoku/>
              <w:overflowPunct/>
              <w:autoSpaceDE/>
              <w:autoSpaceDN/>
              <w:adjustRightInd/>
              <w:snapToGrid/>
              <w:spacing w:before="60" w:after="60" w:line="240" w:lineRule="auto"/>
              <w:ind w:left="57" w:right="57"/>
              <w:rPr>
                <w:sz w:val="18"/>
                <w:szCs w:val="18"/>
              </w:rPr>
            </w:pPr>
            <w:r>
              <w:rPr>
                <w:sz w:val="18"/>
              </w:rPr>
              <w:t>Aucun</w:t>
            </w:r>
          </w:p>
        </w:tc>
      </w:tr>
      <w:tr w:rsidR="0024276D" w:rsidRPr="00524025" w14:paraId="6949106B" w14:textId="77777777" w:rsidTr="00007331">
        <w:tc>
          <w:tcPr>
            <w:tcW w:w="1306" w:type="dxa"/>
          </w:tcPr>
          <w:p w14:paraId="2EC5926E" w14:textId="38ECE0B2" w:rsidR="0024276D" w:rsidRPr="00524025" w:rsidRDefault="0024276D" w:rsidP="001F5E2E">
            <w:pPr>
              <w:kinsoku/>
              <w:overflowPunct/>
              <w:autoSpaceDE/>
              <w:autoSpaceDN/>
              <w:adjustRightInd/>
              <w:snapToGrid/>
              <w:spacing w:before="60" w:after="60" w:line="240" w:lineRule="auto"/>
              <w:ind w:left="57" w:right="57"/>
              <w:rPr>
                <w:sz w:val="18"/>
                <w:szCs w:val="18"/>
              </w:rPr>
            </w:pPr>
            <w:r>
              <w:rPr>
                <w:sz w:val="18"/>
              </w:rPr>
              <w:t xml:space="preserve">Toxicité </w:t>
            </w:r>
            <w:r w:rsidR="00007331">
              <w:rPr>
                <w:sz w:val="18"/>
              </w:rPr>
              <w:br/>
            </w:r>
            <w:r>
              <w:rPr>
                <w:sz w:val="18"/>
              </w:rPr>
              <w:t>à l’absorption cutanée</w:t>
            </w:r>
          </w:p>
        </w:tc>
        <w:tc>
          <w:tcPr>
            <w:tcW w:w="1352" w:type="dxa"/>
          </w:tcPr>
          <w:p w14:paraId="6C8F589B" w14:textId="77777777" w:rsidR="0024276D" w:rsidRPr="00524025" w:rsidRDefault="0024276D" w:rsidP="001F5E2E">
            <w:pPr>
              <w:kinsoku/>
              <w:overflowPunct/>
              <w:autoSpaceDE/>
              <w:autoSpaceDN/>
              <w:adjustRightInd/>
              <w:snapToGrid/>
              <w:spacing w:before="60" w:after="60" w:line="240" w:lineRule="auto"/>
              <w:ind w:left="57" w:right="57"/>
              <w:rPr>
                <w:sz w:val="18"/>
                <w:szCs w:val="18"/>
              </w:rPr>
            </w:pPr>
            <w:r>
              <w:rPr>
                <w:sz w:val="18"/>
              </w:rPr>
              <w:t>25 %</w:t>
            </w:r>
          </w:p>
        </w:tc>
        <w:tc>
          <w:tcPr>
            <w:tcW w:w="1370" w:type="dxa"/>
          </w:tcPr>
          <w:p w14:paraId="5247198F" w14:textId="77777777" w:rsidR="0024276D" w:rsidRPr="00524025" w:rsidRDefault="0024276D" w:rsidP="001F5E2E">
            <w:pPr>
              <w:kinsoku/>
              <w:overflowPunct/>
              <w:autoSpaceDE/>
              <w:autoSpaceDN/>
              <w:adjustRightInd/>
              <w:snapToGrid/>
              <w:spacing w:before="60" w:after="60" w:line="240" w:lineRule="auto"/>
              <w:ind w:left="57" w:right="57"/>
              <w:rPr>
                <w:sz w:val="18"/>
                <w:szCs w:val="18"/>
              </w:rPr>
            </w:pPr>
            <w:r>
              <w:rPr>
                <w:sz w:val="18"/>
              </w:rPr>
              <w:t>6.1</w:t>
            </w:r>
          </w:p>
        </w:tc>
        <w:tc>
          <w:tcPr>
            <w:tcW w:w="1294" w:type="dxa"/>
          </w:tcPr>
          <w:p w14:paraId="0CAC687B" w14:textId="77777777" w:rsidR="0024276D" w:rsidRPr="00524025" w:rsidRDefault="0024276D" w:rsidP="001F5E2E">
            <w:pPr>
              <w:kinsoku/>
              <w:overflowPunct/>
              <w:autoSpaceDE/>
              <w:autoSpaceDN/>
              <w:adjustRightInd/>
              <w:snapToGrid/>
              <w:spacing w:before="60" w:after="60" w:line="240" w:lineRule="auto"/>
              <w:ind w:left="57" w:right="57"/>
              <w:rPr>
                <w:sz w:val="18"/>
                <w:szCs w:val="18"/>
              </w:rPr>
            </w:pPr>
            <w:r>
              <w:rPr>
                <w:sz w:val="18"/>
              </w:rPr>
              <w:t>I</w:t>
            </w:r>
          </w:p>
        </w:tc>
        <w:tc>
          <w:tcPr>
            <w:tcW w:w="2049" w:type="dxa"/>
          </w:tcPr>
          <w:p w14:paraId="4D30EEE1" w14:textId="77777777" w:rsidR="0024276D" w:rsidRPr="00524025" w:rsidRDefault="0024276D" w:rsidP="001F5E2E">
            <w:pPr>
              <w:kinsoku/>
              <w:overflowPunct/>
              <w:autoSpaceDE/>
              <w:autoSpaceDN/>
              <w:adjustRightInd/>
              <w:snapToGrid/>
              <w:spacing w:before="60" w:after="60" w:line="240" w:lineRule="auto"/>
              <w:ind w:left="57" w:right="57"/>
              <w:rPr>
                <w:sz w:val="18"/>
                <w:szCs w:val="18"/>
              </w:rPr>
            </w:pPr>
            <w:r>
              <w:rPr>
                <w:sz w:val="18"/>
              </w:rPr>
              <w:t>Rat au lieu de lapin</w:t>
            </w:r>
          </w:p>
        </w:tc>
      </w:tr>
      <w:tr w:rsidR="0024276D" w:rsidRPr="00524025" w14:paraId="659197EC" w14:textId="77777777" w:rsidTr="00007331">
        <w:tc>
          <w:tcPr>
            <w:tcW w:w="1306" w:type="dxa"/>
          </w:tcPr>
          <w:p w14:paraId="3307BB2E" w14:textId="7274D51E" w:rsidR="0024276D" w:rsidRPr="00524025" w:rsidRDefault="0024276D" w:rsidP="001F5E2E">
            <w:pPr>
              <w:kinsoku/>
              <w:overflowPunct/>
              <w:autoSpaceDE/>
              <w:autoSpaceDN/>
              <w:adjustRightInd/>
              <w:snapToGrid/>
              <w:spacing w:before="60" w:after="60" w:line="240" w:lineRule="auto"/>
              <w:ind w:left="57" w:right="57"/>
              <w:rPr>
                <w:sz w:val="18"/>
                <w:szCs w:val="18"/>
              </w:rPr>
            </w:pPr>
            <w:r>
              <w:rPr>
                <w:sz w:val="18"/>
              </w:rPr>
              <w:t xml:space="preserve">Toxicité </w:t>
            </w:r>
            <w:r w:rsidR="00007331">
              <w:rPr>
                <w:sz w:val="18"/>
              </w:rPr>
              <w:br/>
            </w:r>
            <w:r>
              <w:rPr>
                <w:sz w:val="18"/>
              </w:rPr>
              <w:t>à l’absorption cutanée</w:t>
            </w:r>
          </w:p>
        </w:tc>
        <w:tc>
          <w:tcPr>
            <w:tcW w:w="1352" w:type="dxa"/>
          </w:tcPr>
          <w:p w14:paraId="4AA4932D" w14:textId="77777777" w:rsidR="0024276D" w:rsidRPr="00524025" w:rsidRDefault="0024276D" w:rsidP="001F5E2E">
            <w:pPr>
              <w:kinsoku/>
              <w:overflowPunct/>
              <w:autoSpaceDE/>
              <w:autoSpaceDN/>
              <w:adjustRightInd/>
              <w:snapToGrid/>
              <w:spacing w:before="60" w:after="60" w:line="240" w:lineRule="auto"/>
              <w:ind w:left="57" w:right="57"/>
              <w:rPr>
                <w:sz w:val="18"/>
                <w:szCs w:val="18"/>
              </w:rPr>
            </w:pPr>
            <w:r>
              <w:rPr>
                <w:sz w:val="18"/>
              </w:rPr>
              <w:t>Solide</w:t>
            </w:r>
          </w:p>
        </w:tc>
        <w:tc>
          <w:tcPr>
            <w:tcW w:w="1370" w:type="dxa"/>
          </w:tcPr>
          <w:p w14:paraId="26AEF96B" w14:textId="77777777" w:rsidR="0024276D" w:rsidRPr="00524025" w:rsidRDefault="0024276D" w:rsidP="001F5E2E">
            <w:pPr>
              <w:kinsoku/>
              <w:overflowPunct/>
              <w:autoSpaceDE/>
              <w:autoSpaceDN/>
              <w:adjustRightInd/>
              <w:snapToGrid/>
              <w:spacing w:before="60" w:after="60" w:line="240" w:lineRule="auto"/>
              <w:ind w:left="57" w:right="57"/>
              <w:rPr>
                <w:sz w:val="18"/>
                <w:szCs w:val="18"/>
              </w:rPr>
            </w:pPr>
            <w:r>
              <w:rPr>
                <w:sz w:val="18"/>
              </w:rPr>
              <w:t>6.1</w:t>
            </w:r>
          </w:p>
        </w:tc>
        <w:tc>
          <w:tcPr>
            <w:tcW w:w="1294" w:type="dxa"/>
          </w:tcPr>
          <w:p w14:paraId="21A35012" w14:textId="77777777" w:rsidR="0024276D" w:rsidRPr="00524025" w:rsidRDefault="0024276D" w:rsidP="001F5E2E">
            <w:pPr>
              <w:kinsoku/>
              <w:overflowPunct/>
              <w:autoSpaceDE/>
              <w:autoSpaceDN/>
              <w:adjustRightInd/>
              <w:snapToGrid/>
              <w:spacing w:before="60" w:after="60" w:line="240" w:lineRule="auto"/>
              <w:ind w:left="57" w:right="57"/>
              <w:rPr>
                <w:sz w:val="18"/>
                <w:szCs w:val="18"/>
              </w:rPr>
            </w:pPr>
            <w:r>
              <w:rPr>
                <w:sz w:val="18"/>
              </w:rPr>
              <w:t>I</w:t>
            </w:r>
          </w:p>
        </w:tc>
        <w:tc>
          <w:tcPr>
            <w:tcW w:w="2049" w:type="dxa"/>
          </w:tcPr>
          <w:p w14:paraId="11437FFC" w14:textId="1B0C5515" w:rsidR="0024276D" w:rsidRPr="00524025" w:rsidRDefault="0024276D" w:rsidP="001F5E2E">
            <w:pPr>
              <w:kinsoku/>
              <w:overflowPunct/>
              <w:autoSpaceDE/>
              <w:autoSpaceDN/>
              <w:adjustRightInd/>
              <w:snapToGrid/>
              <w:spacing w:before="60" w:after="60" w:line="240" w:lineRule="auto"/>
              <w:ind w:left="57" w:right="57"/>
              <w:rPr>
                <w:sz w:val="18"/>
                <w:szCs w:val="18"/>
              </w:rPr>
            </w:pPr>
            <w:r>
              <w:rPr>
                <w:sz w:val="18"/>
              </w:rPr>
              <w:t>Rat au lieu de lapin et extrapolation selon la formule du par</w:t>
            </w:r>
            <w:r w:rsidR="001F5E2E">
              <w:rPr>
                <w:sz w:val="18"/>
              </w:rPr>
              <w:t xml:space="preserve">agraphe </w:t>
            </w:r>
            <w:r>
              <w:rPr>
                <w:sz w:val="18"/>
              </w:rPr>
              <w:t>2.6.2.3.2</w:t>
            </w:r>
          </w:p>
        </w:tc>
      </w:tr>
      <w:tr w:rsidR="0024276D" w:rsidRPr="00524025" w14:paraId="3B0BCE61" w14:textId="77777777" w:rsidTr="00007331">
        <w:tc>
          <w:tcPr>
            <w:tcW w:w="1306" w:type="dxa"/>
          </w:tcPr>
          <w:p w14:paraId="1D7E2D7A" w14:textId="77777777" w:rsidR="0024276D" w:rsidRPr="00524025" w:rsidRDefault="0024276D" w:rsidP="001F5E2E">
            <w:pPr>
              <w:kinsoku/>
              <w:overflowPunct/>
              <w:autoSpaceDE/>
              <w:autoSpaceDN/>
              <w:adjustRightInd/>
              <w:snapToGrid/>
              <w:spacing w:before="60" w:after="60" w:line="240" w:lineRule="auto"/>
              <w:ind w:left="57" w:right="57"/>
              <w:rPr>
                <w:sz w:val="18"/>
                <w:szCs w:val="18"/>
              </w:rPr>
            </w:pPr>
            <w:r>
              <w:rPr>
                <w:sz w:val="18"/>
              </w:rPr>
              <w:t>Corrosivité</w:t>
            </w:r>
          </w:p>
        </w:tc>
        <w:tc>
          <w:tcPr>
            <w:tcW w:w="1352" w:type="dxa"/>
          </w:tcPr>
          <w:p w14:paraId="0CA354A6" w14:textId="77777777" w:rsidR="0024276D" w:rsidRPr="00524025" w:rsidRDefault="0024276D" w:rsidP="001F5E2E">
            <w:pPr>
              <w:kinsoku/>
              <w:overflowPunct/>
              <w:autoSpaceDE/>
              <w:autoSpaceDN/>
              <w:adjustRightInd/>
              <w:snapToGrid/>
              <w:spacing w:before="60" w:after="60" w:line="240" w:lineRule="auto"/>
              <w:ind w:left="57" w:right="57"/>
              <w:rPr>
                <w:sz w:val="18"/>
                <w:szCs w:val="18"/>
              </w:rPr>
            </w:pPr>
            <w:r>
              <w:rPr>
                <w:sz w:val="18"/>
              </w:rPr>
              <w:t>2,38 %</w:t>
            </w:r>
          </w:p>
        </w:tc>
        <w:tc>
          <w:tcPr>
            <w:tcW w:w="1370" w:type="dxa"/>
          </w:tcPr>
          <w:p w14:paraId="70F3280A" w14:textId="77777777" w:rsidR="0024276D" w:rsidRPr="00524025" w:rsidRDefault="0024276D" w:rsidP="001F5E2E">
            <w:pPr>
              <w:kinsoku/>
              <w:overflowPunct/>
              <w:autoSpaceDE/>
              <w:autoSpaceDN/>
              <w:adjustRightInd/>
              <w:snapToGrid/>
              <w:spacing w:before="60" w:after="60" w:line="240" w:lineRule="auto"/>
              <w:ind w:left="57" w:right="57"/>
              <w:rPr>
                <w:sz w:val="18"/>
                <w:szCs w:val="18"/>
              </w:rPr>
            </w:pPr>
            <w:r>
              <w:rPr>
                <w:sz w:val="18"/>
              </w:rPr>
              <w:t>8</w:t>
            </w:r>
          </w:p>
        </w:tc>
        <w:tc>
          <w:tcPr>
            <w:tcW w:w="1294" w:type="dxa"/>
          </w:tcPr>
          <w:p w14:paraId="3B53E944" w14:textId="77777777" w:rsidR="0024276D" w:rsidRPr="00524025" w:rsidRDefault="0024276D" w:rsidP="001F5E2E">
            <w:pPr>
              <w:kinsoku/>
              <w:overflowPunct/>
              <w:autoSpaceDE/>
              <w:autoSpaceDN/>
              <w:adjustRightInd/>
              <w:snapToGrid/>
              <w:spacing w:before="60" w:after="60" w:line="240" w:lineRule="auto"/>
              <w:ind w:left="57" w:right="57"/>
              <w:rPr>
                <w:sz w:val="18"/>
                <w:szCs w:val="18"/>
              </w:rPr>
            </w:pPr>
            <w:r>
              <w:rPr>
                <w:sz w:val="18"/>
              </w:rPr>
              <w:t>III</w:t>
            </w:r>
          </w:p>
        </w:tc>
        <w:tc>
          <w:tcPr>
            <w:tcW w:w="2049" w:type="dxa"/>
          </w:tcPr>
          <w:p w14:paraId="1D28A342" w14:textId="77777777" w:rsidR="0024276D" w:rsidRPr="00524025" w:rsidRDefault="0024276D" w:rsidP="001F5E2E">
            <w:pPr>
              <w:kinsoku/>
              <w:overflowPunct/>
              <w:autoSpaceDE/>
              <w:autoSpaceDN/>
              <w:adjustRightInd/>
              <w:snapToGrid/>
              <w:spacing w:before="60" w:after="60" w:line="240" w:lineRule="auto"/>
              <w:ind w:left="57" w:right="57"/>
              <w:rPr>
                <w:sz w:val="18"/>
                <w:szCs w:val="18"/>
              </w:rPr>
            </w:pPr>
            <w:r>
              <w:rPr>
                <w:sz w:val="18"/>
              </w:rPr>
              <w:t xml:space="preserve">Aucun </w:t>
            </w:r>
          </w:p>
        </w:tc>
      </w:tr>
      <w:tr w:rsidR="0024276D" w:rsidRPr="00524025" w14:paraId="3EE7B17F" w14:textId="77777777" w:rsidTr="00007331">
        <w:tc>
          <w:tcPr>
            <w:tcW w:w="1306" w:type="dxa"/>
          </w:tcPr>
          <w:p w14:paraId="4EF929F1" w14:textId="77777777" w:rsidR="0024276D" w:rsidRPr="00524025" w:rsidRDefault="0024276D" w:rsidP="001F5E2E">
            <w:pPr>
              <w:kinsoku/>
              <w:overflowPunct/>
              <w:autoSpaceDE/>
              <w:autoSpaceDN/>
              <w:adjustRightInd/>
              <w:snapToGrid/>
              <w:spacing w:before="60" w:after="60" w:line="240" w:lineRule="auto"/>
              <w:ind w:left="57" w:right="57"/>
              <w:rPr>
                <w:sz w:val="18"/>
                <w:szCs w:val="18"/>
              </w:rPr>
            </w:pPr>
            <w:r>
              <w:rPr>
                <w:sz w:val="18"/>
              </w:rPr>
              <w:t>Corrosivité</w:t>
            </w:r>
          </w:p>
        </w:tc>
        <w:tc>
          <w:tcPr>
            <w:tcW w:w="1352" w:type="dxa"/>
          </w:tcPr>
          <w:p w14:paraId="47CAE010" w14:textId="77777777" w:rsidR="0024276D" w:rsidRPr="00524025" w:rsidRDefault="0024276D" w:rsidP="001F5E2E">
            <w:pPr>
              <w:kinsoku/>
              <w:overflowPunct/>
              <w:autoSpaceDE/>
              <w:autoSpaceDN/>
              <w:adjustRightInd/>
              <w:snapToGrid/>
              <w:spacing w:before="60" w:after="60" w:line="240" w:lineRule="auto"/>
              <w:ind w:left="57" w:right="57"/>
              <w:rPr>
                <w:sz w:val="18"/>
                <w:szCs w:val="18"/>
              </w:rPr>
            </w:pPr>
            <w:r>
              <w:rPr>
                <w:sz w:val="18"/>
              </w:rPr>
              <w:t>Solide</w:t>
            </w:r>
          </w:p>
        </w:tc>
        <w:tc>
          <w:tcPr>
            <w:tcW w:w="1370" w:type="dxa"/>
          </w:tcPr>
          <w:p w14:paraId="4D0293AA" w14:textId="77777777" w:rsidR="0024276D" w:rsidRPr="00524025" w:rsidRDefault="0024276D" w:rsidP="001F5E2E">
            <w:pPr>
              <w:kinsoku/>
              <w:overflowPunct/>
              <w:autoSpaceDE/>
              <w:autoSpaceDN/>
              <w:adjustRightInd/>
              <w:snapToGrid/>
              <w:spacing w:before="60" w:after="60" w:line="240" w:lineRule="auto"/>
              <w:ind w:left="57" w:right="57"/>
              <w:rPr>
                <w:sz w:val="18"/>
                <w:szCs w:val="18"/>
              </w:rPr>
            </w:pPr>
            <w:r>
              <w:rPr>
                <w:sz w:val="18"/>
              </w:rPr>
              <w:t>8</w:t>
            </w:r>
          </w:p>
        </w:tc>
        <w:tc>
          <w:tcPr>
            <w:tcW w:w="1294" w:type="dxa"/>
          </w:tcPr>
          <w:p w14:paraId="76E7B007" w14:textId="77777777" w:rsidR="0024276D" w:rsidRPr="00524025" w:rsidRDefault="0024276D" w:rsidP="001F5E2E">
            <w:pPr>
              <w:kinsoku/>
              <w:overflowPunct/>
              <w:autoSpaceDE/>
              <w:autoSpaceDN/>
              <w:adjustRightInd/>
              <w:snapToGrid/>
              <w:spacing w:before="60" w:after="60" w:line="240" w:lineRule="auto"/>
              <w:ind w:left="57" w:right="57"/>
              <w:rPr>
                <w:sz w:val="18"/>
                <w:szCs w:val="18"/>
              </w:rPr>
            </w:pPr>
            <w:r>
              <w:rPr>
                <w:sz w:val="18"/>
              </w:rPr>
              <w:t>II</w:t>
            </w:r>
          </w:p>
        </w:tc>
        <w:tc>
          <w:tcPr>
            <w:tcW w:w="2049" w:type="dxa"/>
          </w:tcPr>
          <w:p w14:paraId="3159037D" w14:textId="77777777" w:rsidR="0024276D" w:rsidRPr="00524025" w:rsidRDefault="0024276D" w:rsidP="001F5E2E">
            <w:pPr>
              <w:kinsoku/>
              <w:overflowPunct/>
              <w:autoSpaceDE/>
              <w:autoSpaceDN/>
              <w:adjustRightInd/>
              <w:snapToGrid/>
              <w:spacing w:before="60" w:after="60" w:line="240" w:lineRule="auto"/>
              <w:ind w:left="57" w:right="57"/>
              <w:rPr>
                <w:sz w:val="18"/>
                <w:szCs w:val="18"/>
              </w:rPr>
            </w:pPr>
            <w:r>
              <w:rPr>
                <w:sz w:val="18"/>
              </w:rPr>
              <w:t>Faible niveau de fiabilité</w:t>
            </w:r>
          </w:p>
        </w:tc>
      </w:tr>
    </w:tbl>
    <w:p w14:paraId="59911BDE" w14:textId="4328D65A" w:rsidR="0024276D" w:rsidRPr="00223EE3" w:rsidRDefault="001F5E2E" w:rsidP="001F5E2E">
      <w:pPr>
        <w:pStyle w:val="HChG"/>
      </w:pPr>
      <w:r>
        <w:tab/>
      </w:r>
      <w:r w:rsidR="0024276D">
        <w:tab/>
      </w:r>
      <w:r w:rsidR="0024276D">
        <w:tab/>
        <w:t>Discussion</w:t>
      </w:r>
    </w:p>
    <w:p w14:paraId="2EE6FF79" w14:textId="77777777" w:rsidR="0024276D" w:rsidRDefault="0024276D" w:rsidP="00007331">
      <w:pPr>
        <w:pStyle w:val="SingleTxtG"/>
      </w:pPr>
      <w:r>
        <w:t>15.</w:t>
      </w:r>
      <w:r>
        <w:tab/>
        <w:t>Les données humaines et animales disponibles montrent que le TMAH présente un danger de toxicité et de corrosivité. Elles montrent également qu’il est nécessaire de revoir l’affectation du TMAH aux différents groupes d’emballage, compte tenu de la diversité des conséquences des incidents et des résultats des expérimentations. Le Règlement type prévoit que les données humaines prennent le pas sur les données animales. De plus, la littérature montre que les victimes des incidents mortels sont décédées d’une intoxication au TMAH et non en raison de ses effets corrosifs. Il est établi que le TMAH est un neurotoxique systémique (agoniste cholinergique) qui peut provoquer une insuffisance respiratoire et un arrêt cardiaque. Dans trois des incidents mortels mentionnés au tableau 1, il est peu probable que les effets corrosifs soient la cause principale de la mort, car la surface corporelle exposée est faible (7 à 12 %). Il est donc proposé que, s’agissant de la hiérarchisation des données humaines, les effets toxiques aient la priorité sur les effets corrosifs, même si le tableau de prépondérance des dangers indique le contraire.</w:t>
      </w:r>
    </w:p>
    <w:p w14:paraId="6EE3870B" w14:textId="77777777" w:rsidR="0024276D" w:rsidRDefault="0024276D" w:rsidP="00B91DEB">
      <w:pPr>
        <w:pStyle w:val="SingleTxtG"/>
      </w:pPr>
      <w:r>
        <w:lastRenderedPageBreak/>
        <w:t>16.</w:t>
      </w:r>
      <w:r>
        <w:tab/>
        <w:t>Les données issues des incidents permettent d’affecter clairement certaines concentrations aux différents groupes d’emballage. Si l’utilisation de limites de concentration dans la description de la désignation officielle de transport permet de déterminer clairement le classement approprié, les limites de concentration elles-mêmes proviennent des données issues des incidents connus et non de travaux de recherche. L’affectation à un groupe d’emballage en fonction des limites de concentration constitue de ce fait une approche pragmatique, et l’expert des Pays-Bas invite le Sous</w:t>
      </w:r>
      <w:r>
        <w:noBreakHyphen/>
        <w:t>Comité à faire part de ses vues à ce sujet.</w:t>
      </w:r>
    </w:p>
    <w:p w14:paraId="29C092C7" w14:textId="08BE259F" w:rsidR="0024276D" w:rsidRDefault="0024276D" w:rsidP="00B91DEB">
      <w:pPr>
        <w:pStyle w:val="SingleTxtG"/>
      </w:pPr>
      <w:r>
        <w:t>17.</w:t>
      </w:r>
      <w:r>
        <w:tab/>
        <w:t>Le type de danger varie par ailleurs en fonction de la concentration. L’analyse des incidents montre que les solutions à 8,75 % de TMAH peuvent avoir des effets toxiques létaux, ce qui entraîne leur affectation au groupe d’emballage</w:t>
      </w:r>
      <w:r w:rsidR="0006332A">
        <w:t> </w:t>
      </w:r>
      <w:r>
        <w:t>I. En dessous de cette concentration, les effets toxiques observés ne permettent pas une affectation claire à un groupe d’emballage. S’agissant du danger de corrosivité, les effets d’une solution à 25 % de TMAH correspondent aux critères du groupe d’emballage I, et le groupe d’emballage qui correspond le mieux aux effets d’une solution à 8,75 % est le groupe d’emballage</w:t>
      </w:r>
      <w:r w:rsidR="0006332A">
        <w:t> </w:t>
      </w:r>
      <w:r>
        <w:t>III, en raison de la durée d’exposition. La limite de concentration proposée pour affecter une solution au groupe d’emballage I ou II est fondée sur le danger de toxicité. Les données issues des incidents touchant les êtres humains ne permettent pas une affectation claire des solutions à faible concentration en TMAH à un groupe d’emballage. La limite de concentration proposée pour attribuer une solution au groupe d’emballage II ou III est donc fondée sur les données issues de l’expérimentation animale.</w:t>
      </w:r>
    </w:p>
    <w:p w14:paraId="5BCBB7C7" w14:textId="3EA4BAF3" w:rsidR="0024276D" w:rsidRPr="00516549" w:rsidRDefault="0024276D" w:rsidP="00B91DEB">
      <w:pPr>
        <w:pStyle w:val="SingleTxtG"/>
      </w:pPr>
      <w:r>
        <w:t>18.</w:t>
      </w:r>
      <w:r>
        <w:tab/>
        <w:t>Il est proposé de classer le TMAH solide en se fondant sur les données obtenues par extrapolation des données issues d’incidents touchant des êtres humains. Ces données sont cohérentes avec celles des études de la toxicité à l’absorption cutanées menées sur les animaux. Les données humaines extrapolées et les données animales montrent que le danger présenté par le TMAH correspond au groupe d’emballage I de la division</w:t>
      </w:r>
      <w:r w:rsidR="0006332A">
        <w:t> </w:t>
      </w:r>
      <w:r>
        <w:t>6.1.</w:t>
      </w:r>
    </w:p>
    <w:p w14:paraId="3156452E" w14:textId="60779166" w:rsidR="0024276D" w:rsidRDefault="0024276D" w:rsidP="00B91DEB">
      <w:pPr>
        <w:pStyle w:val="SingleTxtG"/>
      </w:pPr>
      <w:r>
        <w:t>19.</w:t>
      </w:r>
      <w:r>
        <w:tab/>
        <w:t>Toutes les données sont résumées dans le tableau ci-dessous. Les données animales les moins fiables ne sont pas prises en compte s’agissant des effets corrosifs. Le tableau présente la proposition de classement fondée sur les données humaines et animales. La</w:t>
      </w:r>
      <w:r w:rsidR="0006332A">
        <w:t> </w:t>
      </w:r>
      <w:r>
        <w:t>première colonne indique la concentration de la solution de TMAH, la deuxième colonne, la classe ou la division, et la troisième colonne, le groupe d’emballage. L’origine des données (humaines ou animales) et les commentaires éventuels figurent dans la dernière colonne.</w:t>
      </w:r>
    </w:p>
    <w:p w14:paraId="55A8C12A" w14:textId="64ACEBEE" w:rsidR="0024276D" w:rsidRDefault="0024276D" w:rsidP="0006332A">
      <w:pPr>
        <w:pStyle w:val="Heading1"/>
        <w:spacing w:after="120"/>
      </w:pPr>
      <w:r>
        <w:t>Tableau 3</w:t>
      </w:r>
      <w:r w:rsidR="0006332A">
        <w:br/>
      </w:r>
      <w:r w:rsidR="0006332A" w:rsidRPr="0006332A">
        <w:rPr>
          <w:b/>
          <w:bCs/>
        </w:rPr>
        <w:t>S</w:t>
      </w:r>
      <w:r w:rsidRPr="0006332A">
        <w:rPr>
          <w:b/>
          <w:bCs/>
        </w:rPr>
        <w:t xml:space="preserve">ynthèse de la proposition de classement du TMAH, fondée sur les données issues d’incidents </w:t>
      </w:r>
      <w:r w:rsidR="007C56FE">
        <w:rPr>
          <w:b/>
          <w:bCs/>
        </w:rPr>
        <w:br/>
      </w:r>
      <w:r w:rsidRPr="0006332A">
        <w:rPr>
          <w:b/>
          <w:bCs/>
        </w:rPr>
        <w:t>touchant des êtres humains et des études menées sur les animaux</w:t>
      </w:r>
    </w:p>
    <w:tbl>
      <w:tblPr>
        <w:tblStyle w:val="TableGrid6"/>
        <w:tblW w:w="8505" w:type="dxa"/>
        <w:tblInd w:w="1134" w:type="dxa"/>
        <w:tblLayout w:type="fixed"/>
        <w:tblLook w:val="0600" w:firstRow="0" w:lastRow="0" w:firstColumn="0" w:lastColumn="0" w:noHBand="1" w:noVBand="1"/>
      </w:tblPr>
      <w:tblGrid>
        <w:gridCol w:w="1283"/>
        <w:gridCol w:w="1319"/>
        <w:gridCol w:w="1355"/>
        <w:gridCol w:w="4548"/>
      </w:tblGrid>
      <w:tr w:rsidR="0024276D" w:rsidRPr="0006332A" w14:paraId="35337881" w14:textId="77777777" w:rsidTr="00E95B77">
        <w:tc>
          <w:tcPr>
            <w:tcW w:w="1283" w:type="dxa"/>
            <w:tcBorders>
              <w:bottom w:val="single" w:sz="4" w:space="0" w:color="auto"/>
            </w:tcBorders>
            <w:shd w:val="clear" w:color="auto" w:fill="auto"/>
          </w:tcPr>
          <w:p w14:paraId="46073EBA" w14:textId="7C240333" w:rsidR="0024276D" w:rsidRPr="0006332A" w:rsidRDefault="0024276D" w:rsidP="00E95B77">
            <w:pPr>
              <w:tabs>
                <w:tab w:val="left" w:pos="1554"/>
              </w:tabs>
              <w:kinsoku/>
              <w:overflowPunct/>
              <w:snapToGrid/>
              <w:spacing w:before="60" w:after="60" w:line="240" w:lineRule="auto"/>
              <w:ind w:left="57" w:right="57"/>
              <w:jc w:val="center"/>
              <w:rPr>
                <w:i/>
                <w:iCs/>
                <w:color w:val="000000"/>
                <w:sz w:val="16"/>
                <w:szCs w:val="16"/>
              </w:rPr>
            </w:pPr>
            <w:r w:rsidRPr="0006332A">
              <w:rPr>
                <w:i/>
                <w:iCs/>
                <w:color w:val="000000"/>
                <w:sz w:val="16"/>
                <w:szCs w:val="16"/>
              </w:rPr>
              <w:t xml:space="preserve">Concentration </w:t>
            </w:r>
            <w:r w:rsidR="000E01D8">
              <w:rPr>
                <w:i/>
                <w:iCs/>
                <w:color w:val="000000"/>
                <w:sz w:val="16"/>
                <w:szCs w:val="16"/>
              </w:rPr>
              <w:br/>
            </w:r>
            <w:r w:rsidRPr="0006332A">
              <w:rPr>
                <w:i/>
                <w:iCs/>
                <w:color w:val="000000"/>
                <w:sz w:val="16"/>
                <w:szCs w:val="16"/>
              </w:rPr>
              <w:t>en TMAH</w:t>
            </w:r>
          </w:p>
        </w:tc>
        <w:tc>
          <w:tcPr>
            <w:tcW w:w="1319" w:type="dxa"/>
            <w:tcBorders>
              <w:bottom w:val="single" w:sz="4" w:space="0" w:color="auto"/>
            </w:tcBorders>
            <w:shd w:val="clear" w:color="auto" w:fill="auto"/>
          </w:tcPr>
          <w:p w14:paraId="1EFE3093" w14:textId="77777777" w:rsidR="0024276D" w:rsidRPr="0006332A" w:rsidRDefault="0024276D" w:rsidP="00E95B77">
            <w:pPr>
              <w:kinsoku/>
              <w:overflowPunct/>
              <w:snapToGrid/>
              <w:spacing w:before="60" w:after="60" w:line="240" w:lineRule="auto"/>
              <w:ind w:left="57" w:right="57"/>
              <w:jc w:val="center"/>
              <w:rPr>
                <w:i/>
                <w:iCs/>
                <w:color w:val="000000"/>
                <w:sz w:val="16"/>
                <w:szCs w:val="16"/>
              </w:rPr>
            </w:pPr>
            <w:r w:rsidRPr="0006332A">
              <w:rPr>
                <w:i/>
                <w:iCs/>
                <w:color w:val="000000"/>
                <w:sz w:val="16"/>
                <w:szCs w:val="16"/>
              </w:rPr>
              <w:t>Classe/Division</w:t>
            </w:r>
          </w:p>
        </w:tc>
        <w:tc>
          <w:tcPr>
            <w:tcW w:w="1355" w:type="dxa"/>
            <w:tcBorders>
              <w:bottom w:val="single" w:sz="4" w:space="0" w:color="auto"/>
            </w:tcBorders>
            <w:shd w:val="clear" w:color="auto" w:fill="auto"/>
          </w:tcPr>
          <w:p w14:paraId="189A4A6D" w14:textId="694C83E2" w:rsidR="0024276D" w:rsidRPr="0006332A" w:rsidRDefault="0024276D" w:rsidP="00E95B77">
            <w:pPr>
              <w:kinsoku/>
              <w:overflowPunct/>
              <w:snapToGrid/>
              <w:spacing w:before="60" w:after="60" w:line="240" w:lineRule="auto"/>
              <w:ind w:left="57" w:right="57"/>
              <w:jc w:val="center"/>
              <w:rPr>
                <w:i/>
                <w:iCs/>
                <w:color w:val="000000"/>
                <w:sz w:val="16"/>
                <w:szCs w:val="16"/>
              </w:rPr>
            </w:pPr>
            <w:r w:rsidRPr="0006332A">
              <w:rPr>
                <w:i/>
                <w:iCs/>
                <w:color w:val="000000"/>
                <w:sz w:val="16"/>
                <w:szCs w:val="16"/>
              </w:rPr>
              <w:t xml:space="preserve">Groupe </w:t>
            </w:r>
            <w:r w:rsidR="000E01D8">
              <w:rPr>
                <w:i/>
                <w:iCs/>
                <w:color w:val="000000"/>
                <w:sz w:val="16"/>
                <w:szCs w:val="16"/>
              </w:rPr>
              <w:br/>
            </w:r>
            <w:r w:rsidRPr="0006332A">
              <w:rPr>
                <w:i/>
                <w:iCs/>
                <w:color w:val="000000"/>
                <w:sz w:val="16"/>
                <w:szCs w:val="16"/>
              </w:rPr>
              <w:t>d’emballage</w:t>
            </w:r>
          </w:p>
        </w:tc>
        <w:tc>
          <w:tcPr>
            <w:tcW w:w="4548" w:type="dxa"/>
            <w:tcBorders>
              <w:bottom w:val="single" w:sz="4" w:space="0" w:color="auto"/>
            </w:tcBorders>
            <w:shd w:val="clear" w:color="auto" w:fill="auto"/>
          </w:tcPr>
          <w:p w14:paraId="7225F4F6" w14:textId="77777777" w:rsidR="0024276D" w:rsidRPr="0006332A" w:rsidRDefault="0024276D" w:rsidP="00E95B77">
            <w:pPr>
              <w:kinsoku/>
              <w:overflowPunct/>
              <w:snapToGrid/>
              <w:spacing w:before="60" w:after="60" w:line="240" w:lineRule="auto"/>
              <w:ind w:left="57" w:right="57" w:hanging="1"/>
              <w:jc w:val="center"/>
              <w:rPr>
                <w:i/>
                <w:iCs/>
                <w:color w:val="000000"/>
                <w:sz w:val="16"/>
                <w:szCs w:val="16"/>
              </w:rPr>
            </w:pPr>
            <w:r w:rsidRPr="0006332A">
              <w:rPr>
                <w:i/>
                <w:iCs/>
                <w:color w:val="000000"/>
                <w:sz w:val="16"/>
                <w:szCs w:val="16"/>
              </w:rPr>
              <w:t>Commentaire</w:t>
            </w:r>
          </w:p>
        </w:tc>
      </w:tr>
      <w:tr w:rsidR="0024276D" w:rsidRPr="0006332A" w14:paraId="695A303A" w14:textId="77777777" w:rsidTr="00E95B77">
        <w:tc>
          <w:tcPr>
            <w:tcW w:w="1283" w:type="dxa"/>
            <w:tcBorders>
              <w:bottom w:val="single" w:sz="4" w:space="0" w:color="auto"/>
            </w:tcBorders>
            <w:shd w:val="clear" w:color="auto" w:fill="auto"/>
          </w:tcPr>
          <w:p w14:paraId="12A2BF83" w14:textId="77777777" w:rsidR="0024276D" w:rsidRPr="0006332A" w:rsidRDefault="0024276D" w:rsidP="00E95B77">
            <w:pPr>
              <w:kinsoku/>
              <w:overflowPunct/>
              <w:snapToGrid/>
              <w:spacing w:before="60" w:after="60" w:line="240" w:lineRule="auto"/>
              <w:ind w:left="57" w:right="57"/>
              <w:jc w:val="both"/>
              <w:rPr>
                <w:color w:val="000000"/>
                <w:sz w:val="18"/>
                <w:szCs w:val="18"/>
              </w:rPr>
            </w:pPr>
            <w:r w:rsidRPr="0006332A">
              <w:rPr>
                <w:color w:val="000000"/>
                <w:sz w:val="18"/>
                <w:szCs w:val="18"/>
              </w:rPr>
              <w:t>8,75 %</w:t>
            </w:r>
          </w:p>
        </w:tc>
        <w:tc>
          <w:tcPr>
            <w:tcW w:w="1319" w:type="dxa"/>
            <w:tcBorders>
              <w:bottom w:val="single" w:sz="4" w:space="0" w:color="auto"/>
            </w:tcBorders>
            <w:shd w:val="clear" w:color="auto" w:fill="auto"/>
          </w:tcPr>
          <w:p w14:paraId="0899C57B" w14:textId="77777777" w:rsidR="0024276D" w:rsidRPr="0006332A" w:rsidRDefault="0024276D" w:rsidP="00E95B77">
            <w:pPr>
              <w:kinsoku/>
              <w:overflowPunct/>
              <w:snapToGrid/>
              <w:spacing w:before="60" w:after="60" w:line="240" w:lineRule="auto"/>
              <w:ind w:left="57" w:right="57"/>
              <w:jc w:val="both"/>
              <w:rPr>
                <w:color w:val="000000"/>
                <w:sz w:val="18"/>
                <w:szCs w:val="18"/>
              </w:rPr>
            </w:pPr>
            <w:r w:rsidRPr="0006332A">
              <w:rPr>
                <w:color w:val="000000"/>
                <w:sz w:val="18"/>
                <w:szCs w:val="18"/>
              </w:rPr>
              <w:t>8</w:t>
            </w:r>
          </w:p>
        </w:tc>
        <w:tc>
          <w:tcPr>
            <w:tcW w:w="1355" w:type="dxa"/>
            <w:tcBorders>
              <w:bottom w:val="single" w:sz="4" w:space="0" w:color="auto"/>
            </w:tcBorders>
            <w:shd w:val="clear" w:color="auto" w:fill="auto"/>
          </w:tcPr>
          <w:p w14:paraId="0E39BEB4" w14:textId="77777777" w:rsidR="0024276D" w:rsidRPr="0006332A" w:rsidRDefault="0024276D" w:rsidP="00E95B77">
            <w:pPr>
              <w:kinsoku/>
              <w:overflowPunct/>
              <w:snapToGrid/>
              <w:spacing w:before="60" w:after="60" w:line="240" w:lineRule="auto"/>
              <w:ind w:left="57" w:right="57"/>
              <w:jc w:val="both"/>
              <w:rPr>
                <w:color w:val="000000"/>
                <w:sz w:val="18"/>
                <w:szCs w:val="18"/>
              </w:rPr>
            </w:pPr>
            <w:r w:rsidRPr="0006332A">
              <w:rPr>
                <w:sz w:val="18"/>
                <w:szCs w:val="18"/>
              </w:rPr>
              <w:t>III</w:t>
            </w:r>
          </w:p>
        </w:tc>
        <w:tc>
          <w:tcPr>
            <w:tcW w:w="4548" w:type="dxa"/>
            <w:tcBorders>
              <w:bottom w:val="single" w:sz="4" w:space="0" w:color="auto"/>
            </w:tcBorders>
            <w:shd w:val="clear" w:color="auto" w:fill="auto"/>
          </w:tcPr>
          <w:p w14:paraId="5855A9A6" w14:textId="77777777" w:rsidR="0024276D" w:rsidRPr="0006332A" w:rsidRDefault="0024276D" w:rsidP="00E95B77">
            <w:pPr>
              <w:kinsoku/>
              <w:overflowPunct/>
              <w:snapToGrid/>
              <w:spacing w:before="60" w:after="60" w:line="240" w:lineRule="auto"/>
              <w:ind w:left="57" w:right="57" w:hanging="1"/>
              <w:jc w:val="both"/>
              <w:rPr>
                <w:color w:val="000000"/>
                <w:sz w:val="18"/>
                <w:szCs w:val="18"/>
              </w:rPr>
            </w:pPr>
            <w:r w:rsidRPr="0006332A">
              <w:rPr>
                <w:color w:val="000000"/>
                <w:sz w:val="18"/>
                <w:szCs w:val="18"/>
              </w:rPr>
              <w:t xml:space="preserve">Données humaines, voie cutanée, durée d’exposition estimée  </w:t>
            </w:r>
          </w:p>
        </w:tc>
      </w:tr>
      <w:tr w:rsidR="0024276D" w:rsidRPr="0006332A" w14:paraId="1FE38CEE" w14:textId="77777777" w:rsidTr="00E95B77">
        <w:tblPrEx>
          <w:tblLook w:val="04A0" w:firstRow="1" w:lastRow="0" w:firstColumn="1" w:lastColumn="0" w:noHBand="0" w:noVBand="1"/>
        </w:tblPrEx>
        <w:tc>
          <w:tcPr>
            <w:tcW w:w="1283" w:type="dxa"/>
            <w:tcBorders>
              <w:bottom w:val="single" w:sz="12" w:space="0" w:color="auto"/>
            </w:tcBorders>
            <w:shd w:val="clear" w:color="auto" w:fill="auto"/>
          </w:tcPr>
          <w:p w14:paraId="43F902A1" w14:textId="77777777" w:rsidR="0024276D" w:rsidRPr="0006332A" w:rsidRDefault="0024276D" w:rsidP="00E95B77">
            <w:pPr>
              <w:kinsoku/>
              <w:overflowPunct/>
              <w:snapToGrid/>
              <w:spacing w:before="60" w:after="60" w:line="240" w:lineRule="auto"/>
              <w:ind w:left="57" w:right="57"/>
              <w:jc w:val="both"/>
              <w:rPr>
                <w:color w:val="000000"/>
                <w:sz w:val="18"/>
                <w:szCs w:val="18"/>
              </w:rPr>
            </w:pPr>
            <w:r w:rsidRPr="0006332A">
              <w:rPr>
                <w:color w:val="000000"/>
                <w:sz w:val="18"/>
                <w:szCs w:val="18"/>
              </w:rPr>
              <w:t>8,75 %</w:t>
            </w:r>
          </w:p>
        </w:tc>
        <w:tc>
          <w:tcPr>
            <w:tcW w:w="1319" w:type="dxa"/>
            <w:tcBorders>
              <w:bottom w:val="single" w:sz="12" w:space="0" w:color="auto"/>
            </w:tcBorders>
            <w:shd w:val="clear" w:color="auto" w:fill="auto"/>
          </w:tcPr>
          <w:p w14:paraId="42E6A0FF" w14:textId="77777777" w:rsidR="0024276D" w:rsidRPr="0006332A" w:rsidRDefault="0024276D" w:rsidP="00E95B77">
            <w:pPr>
              <w:kinsoku/>
              <w:overflowPunct/>
              <w:snapToGrid/>
              <w:spacing w:before="60" w:after="60" w:line="240" w:lineRule="auto"/>
              <w:ind w:left="57" w:right="57"/>
              <w:jc w:val="both"/>
              <w:rPr>
                <w:color w:val="000000"/>
                <w:sz w:val="18"/>
                <w:szCs w:val="18"/>
              </w:rPr>
            </w:pPr>
            <w:r w:rsidRPr="0006332A">
              <w:rPr>
                <w:color w:val="000000"/>
                <w:sz w:val="18"/>
                <w:szCs w:val="18"/>
              </w:rPr>
              <w:t>6.1</w:t>
            </w:r>
          </w:p>
        </w:tc>
        <w:tc>
          <w:tcPr>
            <w:tcW w:w="1355" w:type="dxa"/>
            <w:tcBorders>
              <w:bottom w:val="single" w:sz="12" w:space="0" w:color="auto"/>
            </w:tcBorders>
            <w:shd w:val="clear" w:color="auto" w:fill="auto"/>
          </w:tcPr>
          <w:p w14:paraId="24BB2D8E" w14:textId="77777777" w:rsidR="0024276D" w:rsidRPr="0006332A" w:rsidRDefault="0024276D" w:rsidP="00E95B77">
            <w:pPr>
              <w:kinsoku/>
              <w:overflowPunct/>
              <w:snapToGrid/>
              <w:spacing w:before="60" w:after="60" w:line="240" w:lineRule="auto"/>
              <w:ind w:left="57" w:right="57"/>
              <w:jc w:val="both"/>
              <w:rPr>
                <w:color w:val="000000"/>
                <w:sz w:val="18"/>
                <w:szCs w:val="18"/>
              </w:rPr>
            </w:pPr>
            <w:r w:rsidRPr="0006332A">
              <w:rPr>
                <w:sz w:val="18"/>
                <w:szCs w:val="18"/>
              </w:rPr>
              <w:t>I</w:t>
            </w:r>
          </w:p>
        </w:tc>
        <w:tc>
          <w:tcPr>
            <w:tcW w:w="4548" w:type="dxa"/>
            <w:tcBorders>
              <w:bottom w:val="single" w:sz="12" w:space="0" w:color="auto"/>
            </w:tcBorders>
            <w:shd w:val="clear" w:color="auto" w:fill="auto"/>
          </w:tcPr>
          <w:p w14:paraId="3BCF6F09" w14:textId="77777777" w:rsidR="0024276D" w:rsidRPr="0006332A" w:rsidRDefault="0024276D" w:rsidP="00E95B77">
            <w:pPr>
              <w:kinsoku/>
              <w:overflowPunct/>
              <w:snapToGrid/>
              <w:spacing w:before="60" w:after="60" w:line="240" w:lineRule="auto"/>
              <w:ind w:left="57" w:right="57" w:hanging="1"/>
              <w:jc w:val="both"/>
              <w:rPr>
                <w:color w:val="000000"/>
                <w:sz w:val="18"/>
                <w:szCs w:val="18"/>
              </w:rPr>
            </w:pPr>
            <w:r w:rsidRPr="0006332A">
              <w:rPr>
                <w:color w:val="000000"/>
                <w:sz w:val="18"/>
                <w:szCs w:val="18"/>
              </w:rPr>
              <w:t>Données humaines, voie cutanée</w:t>
            </w:r>
          </w:p>
        </w:tc>
      </w:tr>
      <w:tr w:rsidR="0024276D" w:rsidRPr="0006332A" w14:paraId="78DD7569" w14:textId="77777777" w:rsidTr="00E95B77">
        <w:tblPrEx>
          <w:tblLook w:val="04A0" w:firstRow="1" w:lastRow="0" w:firstColumn="1" w:lastColumn="0" w:noHBand="0" w:noVBand="1"/>
        </w:tblPrEx>
        <w:tc>
          <w:tcPr>
            <w:tcW w:w="1283" w:type="dxa"/>
            <w:tcBorders>
              <w:top w:val="single" w:sz="12" w:space="0" w:color="auto"/>
              <w:bottom w:val="single" w:sz="4" w:space="0" w:color="auto"/>
            </w:tcBorders>
            <w:shd w:val="clear" w:color="auto" w:fill="auto"/>
          </w:tcPr>
          <w:p w14:paraId="77A24612" w14:textId="77777777" w:rsidR="0024276D" w:rsidRPr="0006332A" w:rsidRDefault="0024276D" w:rsidP="00E95B77">
            <w:pPr>
              <w:kinsoku/>
              <w:overflowPunct/>
              <w:snapToGrid/>
              <w:spacing w:before="60" w:after="60" w:line="240" w:lineRule="auto"/>
              <w:ind w:left="57" w:right="57"/>
              <w:jc w:val="both"/>
              <w:rPr>
                <w:color w:val="000000"/>
                <w:sz w:val="18"/>
                <w:szCs w:val="18"/>
              </w:rPr>
            </w:pPr>
            <w:r w:rsidRPr="0006332A">
              <w:rPr>
                <w:color w:val="000000"/>
                <w:sz w:val="18"/>
                <w:szCs w:val="18"/>
              </w:rPr>
              <w:t>25 %</w:t>
            </w:r>
          </w:p>
        </w:tc>
        <w:tc>
          <w:tcPr>
            <w:tcW w:w="1319" w:type="dxa"/>
            <w:tcBorders>
              <w:top w:val="single" w:sz="12" w:space="0" w:color="auto"/>
              <w:bottom w:val="single" w:sz="4" w:space="0" w:color="auto"/>
            </w:tcBorders>
            <w:shd w:val="clear" w:color="auto" w:fill="auto"/>
          </w:tcPr>
          <w:p w14:paraId="276728E9" w14:textId="77777777" w:rsidR="0024276D" w:rsidRPr="0006332A" w:rsidRDefault="0024276D" w:rsidP="00E95B77">
            <w:pPr>
              <w:kinsoku/>
              <w:overflowPunct/>
              <w:snapToGrid/>
              <w:spacing w:before="60" w:after="60" w:line="240" w:lineRule="auto"/>
              <w:ind w:left="57" w:right="57"/>
              <w:jc w:val="both"/>
              <w:rPr>
                <w:color w:val="000000"/>
                <w:sz w:val="18"/>
                <w:szCs w:val="18"/>
              </w:rPr>
            </w:pPr>
            <w:r w:rsidRPr="0006332A">
              <w:rPr>
                <w:color w:val="000000"/>
                <w:sz w:val="18"/>
                <w:szCs w:val="18"/>
              </w:rPr>
              <w:t>6.1</w:t>
            </w:r>
          </w:p>
        </w:tc>
        <w:tc>
          <w:tcPr>
            <w:tcW w:w="1355" w:type="dxa"/>
            <w:tcBorders>
              <w:top w:val="single" w:sz="12" w:space="0" w:color="auto"/>
              <w:bottom w:val="single" w:sz="4" w:space="0" w:color="auto"/>
            </w:tcBorders>
            <w:shd w:val="clear" w:color="auto" w:fill="auto"/>
          </w:tcPr>
          <w:p w14:paraId="3B993C99" w14:textId="77777777" w:rsidR="0024276D" w:rsidRPr="0006332A" w:rsidRDefault="0024276D" w:rsidP="00E95B77">
            <w:pPr>
              <w:kinsoku/>
              <w:overflowPunct/>
              <w:snapToGrid/>
              <w:spacing w:before="60" w:after="60" w:line="240" w:lineRule="auto"/>
              <w:ind w:left="57" w:right="57"/>
              <w:jc w:val="both"/>
              <w:rPr>
                <w:color w:val="000000"/>
                <w:sz w:val="18"/>
                <w:szCs w:val="18"/>
              </w:rPr>
            </w:pPr>
            <w:r w:rsidRPr="0006332A">
              <w:rPr>
                <w:color w:val="000000"/>
                <w:sz w:val="18"/>
                <w:szCs w:val="18"/>
              </w:rPr>
              <w:t>I</w:t>
            </w:r>
          </w:p>
        </w:tc>
        <w:tc>
          <w:tcPr>
            <w:tcW w:w="4548" w:type="dxa"/>
            <w:tcBorders>
              <w:top w:val="single" w:sz="12" w:space="0" w:color="auto"/>
              <w:bottom w:val="single" w:sz="4" w:space="0" w:color="auto"/>
            </w:tcBorders>
            <w:shd w:val="clear" w:color="auto" w:fill="auto"/>
          </w:tcPr>
          <w:p w14:paraId="00B69E24" w14:textId="77777777" w:rsidR="0024276D" w:rsidRPr="0006332A" w:rsidRDefault="0024276D" w:rsidP="00E95B77">
            <w:pPr>
              <w:kinsoku/>
              <w:overflowPunct/>
              <w:snapToGrid/>
              <w:spacing w:before="60" w:after="60" w:line="240" w:lineRule="auto"/>
              <w:ind w:left="57" w:right="57" w:hanging="1"/>
              <w:jc w:val="both"/>
              <w:rPr>
                <w:color w:val="000000"/>
                <w:sz w:val="18"/>
                <w:szCs w:val="18"/>
              </w:rPr>
            </w:pPr>
            <w:r w:rsidRPr="0006332A">
              <w:rPr>
                <w:color w:val="000000"/>
                <w:sz w:val="18"/>
                <w:szCs w:val="18"/>
              </w:rPr>
              <w:t>Données humaines, voie cutanée</w:t>
            </w:r>
          </w:p>
        </w:tc>
      </w:tr>
      <w:tr w:rsidR="0024276D" w:rsidRPr="0006332A" w14:paraId="790AC31A" w14:textId="77777777" w:rsidTr="00E95B77">
        <w:tblPrEx>
          <w:tblLook w:val="04A0" w:firstRow="1" w:lastRow="0" w:firstColumn="1" w:lastColumn="0" w:noHBand="0" w:noVBand="1"/>
        </w:tblPrEx>
        <w:tc>
          <w:tcPr>
            <w:tcW w:w="1283" w:type="dxa"/>
            <w:tcBorders>
              <w:bottom w:val="single" w:sz="12" w:space="0" w:color="auto"/>
            </w:tcBorders>
            <w:shd w:val="clear" w:color="auto" w:fill="auto"/>
          </w:tcPr>
          <w:p w14:paraId="62EE2F09" w14:textId="77777777" w:rsidR="0024276D" w:rsidRPr="0006332A" w:rsidRDefault="0024276D" w:rsidP="00E95B77">
            <w:pPr>
              <w:kinsoku/>
              <w:overflowPunct/>
              <w:snapToGrid/>
              <w:spacing w:before="60" w:after="60" w:line="240" w:lineRule="auto"/>
              <w:ind w:left="57" w:right="57"/>
              <w:jc w:val="both"/>
              <w:rPr>
                <w:color w:val="000000"/>
                <w:sz w:val="18"/>
                <w:szCs w:val="18"/>
              </w:rPr>
            </w:pPr>
            <w:r w:rsidRPr="0006332A">
              <w:rPr>
                <w:color w:val="000000"/>
                <w:sz w:val="18"/>
                <w:szCs w:val="18"/>
              </w:rPr>
              <w:t>25 %</w:t>
            </w:r>
          </w:p>
        </w:tc>
        <w:tc>
          <w:tcPr>
            <w:tcW w:w="1319" w:type="dxa"/>
            <w:tcBorders>
              <w:bottom w:val="single" w:sz="12" w:space="0" w:color="auto"/>
            </w:tcBorders>
            <w:shd w:val="clear" w:color="auto" w:fill="auto"/>
          </w:tcPr>
          <w:p w14:paraId="668F553E" w14:textId="77777777" w:rsidR="0024276D" w:rsidRPr="0006332A" w:rsidRDefault="0024276D" w:rsidP="00E95B77">
            <w:pPr>
              <w:kinsoku/>
              <w:overflowPunct/>
              <w:snapToGrid/>
              <w:spacing w:before="60" w:after="60" w:line="240" w:lineRule="auto"/>
              <w:ind w:left="57" w:right="57"/>
              <w:jc w:val="both"/>
              <w:rPr>
                <w:color w:val="000000"/>
                <w:sz w:val="18"/>
                <w:szCs w:val="18"/>
              </w:rPr>
            </w:pPr>
            <w:r w:rsidRPr="0006332A">
              <w:rPr>
                <w:color w:val="000000"/>
                <w:sz w:val="18"/>
                <w:szCs w:val="18"/>
              </w:rPr>
              <w:t>8</w:t>
            </w:r>
          </w:p>
        </w:tc>
        <w:tc>
          <w:tcPr>
            <w:tcW w:w="1355" w:type="dxa"/>
            <w:tcBorders>
              <w:bottom w:val="single" w:sz="12" w:space="0" w:color="auto"/>
            </w:tcBorders>
            <w:shd w:val="clear" w:color="auto" w:fill="auto"/>
          </w:tcPr>
          <w:p w14:paraId="23C617B9" w14:textId="77777777" w:rsidR="0024276D" w:rsidRPr="0006332A" w:rsidRDefault="0024276D" w:rsidP="00E95B77">
            <w:pPr>
              <w:kinsoku/>
              <w:overflowPunct/>
              <w:snapToGrid/>
              <w:spacing w:before="60" w:after="60" w:line="240" w:lineRule="auto"/>
              <w:ind w:left="57" w:right="57"/>
              <w:jc w:val="both"/>
              <w:rPr>
                <w:color w:val="000000"/>
                <w:sz w:val="18"/>
                <w:szCs w:val="18"/>
              </w:rPr>
            </w:pPr>
            <w:r w:rsidRPr="0006332A">
              <w:rPr>
                <w:color w:val="000000"/>
                <w:sz w:val="18"/>
                <w:szCs w:val="18"/>
              </w:rPr>
              <w:t>I</w:t>
            </w:r>
          </w:p>
        </w:tc>
        <w:tc>
          <w:tcPr>
            <w:tcW w:w="4548" w:type="dxa"/>
            <w:tcBorders>
              <w:bottom w:val="single" w:sz="12" w:space="0" w:color="auto"/>
            </w:tcBorders>
            <w:shd w:val="clear" w:color="auto" w:fill="auto"/>
          </w:tcPr>
          <w:p w14:paraId="0188D2C7" w14:textId="77777777" w:rsidR="0024276D" w:rsidRPr="0006332A" w:rsidRDefault="0024276D" w:rsidP="00E95B77">
            <w:pPr>
              <w:kinsoku/>
              <w:overflowPunct/>
              <w:snapToGrid/>
              <w:spacing w:before="60" w:after="60" w:line="240" w:lineRule="auto"/>
              <w:ind w:left="57" w:right="57" w:hanging="1"/>
              <w:jc w:val="both"/>
              <w:rPr>
                <w:color w:val="000000"/>
                <w:sz w:val="18"/>
                <w:szCs w:val="18"/>
              </w:rPr>
            </w:pPr>
            <w:r w:rsidRPr="0006332A">
              <w:rPr>
                <w:color w:val="000000"/>
                <w:sz w:val="18"/>
                <w:szCs w:val="18"/>
              </w:rPr>
              <w:t>Données humaines, voie cutanée</w:t>
            </w:r>
          </w:p>
        </w:tc>
      </w:tr>
      <w:tr w:rsidR="0024276D" w:rsidRPr="0006332A" w14:paraId="4D911E71" w14:textId="77777777" w:rsidTr="00E95B77">
        <w:tblPrEx>
          <w:tblLook w:val="04A0" w:firstRow="1" w:lastRow="0" w:firstColumn="1" w:lastColumn="0" w:noHBand="0" w:noVBand="1"/>
        </w:tblPrEx>
        <w:tc>
          <w:tcPr>
            <w:tcW w:w="1283" w:type="dxa"/>
            <w:tcBorders>
              <w:top w:val="single" w:sz="12" w:space="0" w:color="auto"/>
              <w:bottom w:val="single" w:sz="2" w:space="0" w:color="auto"/>
            </w:tcBorders>
            <w:shd w:val="clear" w:color="auto" w:fill="auto"/>
          </w:tcPr>
          <w:p w14:paraId="2CEBC019" w14:textId="77777777" w:rsidR="0024276D" w:rsidRPr="0006332A" w:rsidRDefault="0024276D" w:rsidP="00E95B77">
            <w:pPr>
              <w:kinsoku/>
              <w:overflowPunct/>
              <w:snapToGrid/>
              <w:spacing w:before="60" w:after="60" w:line="240" w:lineRule="auto"/>
              <w:ind w:left="57" w:right="57"/>
              <w:jc w:val="both"/>
              <w:rPr>
                <w:color w:val="000000"/>
                <w:sz w:val="18"/>
                <w:szCs w:val="18"/>
              </w:rPr>
            </w:pPr>
            <w:r w:rsidRPr="0006332A">
              <w:rPr>
                <w:color w:val="000000"/>
                <w:sz w:val="18"/>
                <w:szCs w:val="18"/>
              </w:rPr>
              <w:t xml:space="preserve">Solide </w:t>
            </w:r>
          </w:p>
        </w:tc>
        <w:tc>
          <w:tcPr>
            <w:tcW w:w="1319" w:type="dxa"/>
            <w:tcBorders>
              <w:top w:val="single" w:sz="12" w:space="0" w:color="auto"/>
              <w:bottom w:val="single" w:sz="2" w:space="0" w:color="auto"/>
            </w:tcBorders>
            <w:shd w:val="clear" w:color="auto" w:fill="auto"/>
          </w:tcPr>
          <w:p w14:paraId="6B3543A4" w14:textId="77777777" w:rsidR="0024276D" w:rsidRPr="0006332A" w:rsidRDefault="0024276D" w:rsidP="00E95B77">
            <w:pPr>
              <w:kinsoku/>
              <w:overflowPunct/>
              <w:snapToGrid/>
              <w:spacing w:before="60" w:after="60" w:line="240" w:lineRule="auto"/>
              <w:ind w:left="57" w:right="57"/>
              <w:jc w:val="both"/>
              <w:rPr>
                <w:color w:val="000000"/>
                <w:sz w:val="18"/>
                <w:szCs w:val="18"/>
              </w:rPr>
            </w:pPr>
            <w:r w:rsidRPr="0006332A">
              <w:rPr>
                <w:color w:val="000000"/>
                <w:sz w:val="18"/>
                <w:szCs w:val="18"/>
              </w:rPr>
              <w:t>6.1</w:t>
            </w:r>
          </w:p>
        </w:tc>
        <w:tc>
          <w:tcPr>
            <w:tcW w:w="1355" w:type="dxa"/>
            <w:tcBorders>
              <w:top w:val="single" w:sz="12" w:space="0" w:color="auto"/>
              <w:bottom w:val="single" w:sz="2" w:space="0" w:color="auto"/>
            </w:tcBorders>
            <w:shd w:val="clear" w:color="auto" w:fill="auto"/>
          </w:tcPr>
          <w:p w14:paraId="7570CC22" w14:textId="77777777" w:rsidR="0024276D" w:rsidRPr="0006332A" w:rsidRDefault="0024276D" w:rsidP="00E95B77">
            <w:pPr>
              <w:kinsoku/>
              <w:overflowPunct/>
              <w:snapToGrid/>
              <w:spacing w:before="60" w:after="60" w:line="240" w:lineRule="auto"/>
              <w:ind w:left="57" w:right="57"/>
              <w:jc w:val="both"/>
              <w:rPr>
                <w:color w:val="000000"/>
                <w:sz w:val="18"/>
                <w:szCs w:val="18"/>
              </w:rPr>
            </w:pPr>
            <w:r w:rsidRPr="0006332A">
              <w:rPr>
                <w:color w:val="000000"/>
                <w:sz w:val="18"/>
                <w:szCs w:val="18"/>
              </w:rPr>
              <w:t>I</w:t>
            </w:r>
          </w:p>
        </w:tc>
        <w:tc>
          <w:tcPr>
            <w:tcW w:w="4548" w:type="dxa"/>
            <w:tcBorders>
              <w:top w:val="single" w:sz="12" w:space="0" w:color="auto"/>
              <w:bottom w:val="single" w:sz="2" w:space="0" w:color="auto"/>
            </w:tcBorders>
            <w:shd w:val="clear" w:color="auto" w:fill="auto"/>
          </w:tcPr>
          <w:p w14:paraId="03542160" w14:textId="77777777" w:rsidR="0024276D" w:rsidRPr="0006332A" w:rsidRDefault="0024276D" w:rsidP="00E95B77">
            <w:pPr>
              <w:kinsoku/>
              <w:overflowPunct/>
              <w:snapToGrid/>
              <w:spacing w:before="60" w:after="60" w:line="240" w:lineRule="auto"/>
              <w:ind w:left="57" w:right="57" w:hanging="1"/>
              <w:jc w:val="both"/>
              <w:rPr>
                <w:color w:val="000000"/>
                <w:sz w:val="18"/>
                <w:szCs w:val="18"/>
              </w:rPr>
            </w:pPr>
            <w:r w:rsidRPr="0006332A">
              <w:rPr>
                <w:color w:val="000000"/>
                <w:sz w:val="18"/>
                <w:szCs w:val="18"/>
              </w:rPr>
              <w:t>Données humaines, voie cutanée, extrapolation</w:t>
            </w:r>
          </w:p>
        </w:tc>
      </w:tr>
      <w:tr w:rsidR="0024276D" w:rsidRPr="0006332A" w14:paraId="07AFD3BB" w14:textId="77777777" w:rsidTr="00E95B77">
        <w:tblPrEx>
          <w:tblLook w:val="04A0" w:firstRow="1" w:lastRow="0" w:firstColumn="1" w:lastColumn="0" w:noHBand="0" w:noVBand="1"/>
        </w:tblPrEx>
        <w:tc>
          <w:tcPr>
            <w:tcW w:w="1283" w:type="dxa"/>
            <w:tcBorders>
              <w:top w:val="single" w:sz="2" w:space="0" w:color="auto"/>
              <w:bottom w:val="single" w:sz="4" w:space="0" w:color="auto"/>
            </w:tcBorders>
            <w:shd w:val="clear" w:color="auto" w:fill="auto"/>
          </w:tcPr>
          <w:p w14:paraId="5349A23A" w14:textId="77777777" w:rsidR="0024276D" w:rsidRPr="0006332A" w:rsidRDefault="0024276D" w:rsidP="00E95B77">
            <w:pPr>
              <w:kinsoku/>
              <w:overflowPunct/>
              <w:snapToGrid/>
              <w:spacing w:before="60" w:after="60" w:line="240" w:lineRule="auto"/>
              <w:ind w:left="57" w:right="57"/>
              <w:jc w:val="both"/>
              <w:rPr>
                <w:color w:val="000000"/>
                <w:sz w:val="18"/>
                <w:szCs w:val="18"/>
              </w:rPr>
            </w:pPr>
            <w:r w:rsidRPr="0006332A">
              <w:rPr>
                <w:color w:val="000000"/>
                <w:sz w:val="18"/>
                <w:szCs w:val="18"/>
              </w:rPr>
              <w:t>2,38 %</w:t>
            </w:r>
          </w:p>
        </w:tc>
        <w:tc>
          <w:tcPr>
            <w:tcW w:w="1319" w:type="dxa"/>
            <w:tcBorders>
              <w:top w:val="single" w:sz="2" w:space="0" w:color="auto"/>
              <w:bottom w:val="single" w:sz="4" w:space="0" w:color="auto"/>
            </w:tcBorders>
            <w:shd w:val="clear" w:color="auto" w:fill="auto"/>
          </w:tcPr>
          <w:p w14:paraId="4AE17F5C" w14:textId="77777777" w:rsidR="0024276D" w:rsidRPr="0006332A" w:rsidRDefault="0024276D" w:rsidP="00E95B77">
            <w:pPr>
              <w:kinsoku/>
              <w:overflowPunct/>
              <w:snapToGrid/>
              <w:spacing w:before="60" w:after="60" w:line="240" w:lineRule="auto"/>
              <w:ind w:left="57" w:right="57"/>
              <w:jc w:val="both"/>
              <w:rPr>
                <w:color w:val="000000"/>
                <w:sz w:val="18"/>
                <w:szCs w:val="18"/>
              </w:rPr>
            </w:pPr>
            <w:r w:rsidRPr="0006332A">
              <w:rPr>
                <w:color w:val="000000"/>
                <w:sz w:val="18"/>
                <w:szCs w:val="18"/>
              </w:rPr>
              <w:t>6.1</w:t>
            </w:r>
          </w:p>
        </w:tc>
        <w:tc>
          <w:tcPr>
            <w:tcW w:w="1355" w:type="dxa"/>
            <w:tcBorders>
              <w:top w:val="single" w:sz="2" w:space="0" w:color="auto"/>
              <w:bottom w:val="single" w:sz="4" w:space="0" w:color="auto"/>
            </w:tcBorders>
            <w:shd w:val="clear" w:color="auto" w:fill="auto"/>
          </w:tcPr>
          <w:p w14:paraId="47DFC2AA" w14:textId="77777777" w:rsidR="0024276D" w:rsidRPr="0006332A" w:rsidRDefault="0024276D" w:rsidP="00E95B77">
            <w:pPr>
              <w:kinsoku/>
              <w:overflowPunct/>
              <w:snapToGrid/>
              <w:spacing w:before="60" w:after="60" w:line="240" w:lineRule="auto"/>
              <w:ind w:left="57" w:right="57"/>
              <w:jc w:val="both"/>
              <w:rPr>
                <w:color w:val="000000"/>
                <w:sz w:val="18"/>
                <w:szCs w:val="18"/>
              </w:rPr>
            </w:pPr>
            <w:r w:rsidRPr="0006332A">
              <w:rPr>
                <w:color w:val="000000"/>
                <w:sz w:val="18"/>
                <w:szCs w:val="18"/>
              </w:rPr>
              <w:t>II</w:t>
            </w:r>
          </w:p>
        </w:tc>
        <w:tc>
          <w:tcPr>
            <w:tcW w:w="4548" w:type="dxa"/>
            <w:tcBorders>
              <w:top w:val="single" w:sz="2" w:space="0" w:color="auto"/>
              <w:bottom w:val="single" w:sz="4" w:space="0" w:color="auto"/>
            </w:tcBorders>
            <w:shd w:val="clear" w:color="auto" w:fill="auto"/>
          </w:tcPr>
          <w:p w14:paraId="6E3BD038" w14:textId="77777777" w:rsidR="0024276D" w:rsidRPr="0006332A" w:rsidRDefault="0024276D" w:rsidP="00E95B77">
            <w:pPr>
              <w:kinsoku/>
              <w:overflowPunct/>
              <w:snapToGrid/>
              <w:spacing w:before="60" w:after="60" w:line="240" w:lineRule="auto"/>
              <w:ind w:left="57" w:right="57" w:hanging="1"/>
              <w:jc w:val="both"/>
              <w:rPr>
                <w:color w:val="000000"/>
                <w:sz w:val="18"/>
                <w:szCs w:val="18"/>
              </w:rPr>
            </w:pPr>
            <w:r w:rsidRPr="0006332A">
              <w:rPr>
                <w:color w:val="000000"/>
                <w:sz w:val="18"/>
                <w:szCs w:val="18"/>
              </w:rPr>
              <w:t>Données animales, voie cutanée</w:t>
            </w:r>
          </w:p>
        </w:tc>
      </w:tr>
      <w:tr w:rsidR="0024276D" w:rsidRPr="0006332A" w14:paraId="1DAA88F7" w14:textId="77777777" w:rsidTr="00E95B77">
        <w:tblPrEx>
          <w:tblLook w:val="04A0" w:firstRow="1" w:lastRow="0" w:firstColumn="1" w:lastColumn="0" w:noHBand="0" w:noVBand="1"/>
        </w:tblPrEx>
        <w:tc>
          <w:tcPr>
            <w:tcW w:w="1283" w:type="dxa"/>
            <w:tcBorders>
              <w:bottom w:val="single" w:sz="12" w:space="0" w:color="auto"/>
            </w:tcBorders>
            <w:shd w:val="clear" w:color="auto" w:fill="auto"/>
          </w:tcPr>
          <w:p w14:paraId="7F5A693F" w14:textId="77777777" w:rsidR="0024276D" w:rsidRPr="0006332A" w:rsidRDefault="0024276D" w:rsidP="00E95B77">
            <w:pPr>
              <w:kinsoku/>
              <w:overflowPunct/>
              <w:snapToGrid/>
              <w:spacing w:before="60" w:after="60" w:line="240" w:lineRule="auto"/>
              <w:ind w:left="57" w:right="57"/>
              <w:jc w:val="both"/>
              <w:rPr>
                <w:color w:val="000000"/>
                <w:sz w:val="18"/>
                <w:szCs w:val="18"/>
              </w:rPr>
            </w:pPr>
            <w:r w:rsidRPr="0006332A">
              <w:rPr>
                <w:color w:val="000000"/>
                <w:sz w:val="18"/>
                <w:szCs w:val="18"/>
              </w:rPr>
              <w:t>2,38 %</w:t>
            </w:r>
          </w:p>
        </w:tc>
        <w:tc>
          <w:tcPr>
            <w:tcW w:w="1319" w:type="dxa"/>
            <w:tcBorders>
              <w:bottom w:val="single" w:sz="12" w:space="0" w:color="auto"/>
            </w:tcBorders>
            <w:shd w:val="clear" w:color="auto" w:fill="auto"/>
          </w:tcPr>
          <w:p w14:paraId="4A849E8E" w14:textId="77777777" w:rsidR="0024276D" w:rsidRPr="0006332A" w:rsidRDefault="0024276D" w:rsidP="00E95B77">
            <w:pPr>
              <w:kinsoku/>
              <w:overflowPunct/>
              <w:snapToGrid/>
              <w:spacing w:before="60" w:after="60" w:line="240" w:lineRule="auto"/>
              <w:ind w:left="57" w:right="57"/>
              <w:jc w:val="both"/>
              <w:rPr>
                <w:color w:val="000000"/>
                <w:sz w:val="18"/>
                <w:szCs w:val="18"/>
              </w:rPr>
            </w:pPr>
            <w:r w:rsidRPr="0006332A">
              <w:rPr>
                <w:color w:val="000000"/>
                <w:sz w:val="18"/>
                <w:szCs w:val="18"/>
              </w:rPr>
              <w:t>8</w:t>
            </w:r>
          </w:p>
        </w:tc>
        <w:tc>
          <w:tcPr>
            <w:tcW w:w="1355" w:type="dxa"/>
            <w:tcBorders>
              <w:bottom w:val="single" w:sz="12" w:space="0" w:color="auto"/>
            </w:tcBorders>
            <w:shd w:val="clear" w:color="auto" w:fill="auto"/>
          </w:tcPr>
          <w:p w14:paraId="5CC39369" w14:textId="77777777" w:rsidR="0024276D" w:rsidRPr="0006332A" w:rsidRDefault="0024276D" w:rsidP="00E95B77">
            <w:pPr>
              <w:kinsoku/>
              <w:overflowPunct/>
              <w:snapToGrid/>
              <w:spacing w:before="60" w:after="60" w:line="240" w:lineRule="auto"/>
              <w:ind w:left="57" w:right="57"/>
              <w:jc w:val="both"/>
              <w:rPr>
                <w:color w:val="000000"/>
                <w:sz w:val="18"/>
                <w:szCs w:val="18"/>
              </w:rPr>
            </w:pPr>
            <w:r w:rsidRPr="0006332A">
              <w:rPr>
                <w:color w:val="000000"/>
                <w:sz w:val="18"/>
                <w:szCs w:val="18"/>
              </w:rPr>
              <w:t>III</w:t>
            </w:r>
          </w:p>
        </w:tc>
        <w:tc>
          <w:tcPr>
            <w:tcW w:w="4548" w:type="dxa"/>
            <w:tcBorders>
              <w:bottom w:val="single" w:sz="12" w:space="0" w:color="auto"/>
            </w:tcBorders>
            <w:shd w:val="clear" w:color="auto" w:fill="auto"/>
          </w:tcPr>
          <w:p w14:paraId="55FB1D94" w14:textId="77777777" w:rsidR="0024276D" w:rsidRPr="0006332A" w:rsidRDefault="0024276D" w:rsidP="00E95B77">
            <w:pPr>
              <w:kinsoku/>
              <w:overflowPunct/>
              <w:snapToGrid/>
              <w:spacing w:before="60" w:after="60" w:line="240" w:lineRule="auto"/>
              <w:ind w:left="57" w:right="57" w:hanging="1"/>
              <w:jc w:val="both"/>
              <w:rPr>
                <w:color w:val="000000"/>
                <w:sz w:val="18"/>
                <w:szCs w:val="18"/>
              </w:rPr>
            </w:pPr>
            <w:r w:rsidRPr="0006332A">
              <w:rPr>
                <w:color w:val="000000"/>
                <w:sz w:val="18"/>
                <w:szCs w:val="18"/>
              </w:rPr>
              <w:t>Données animales, voie cutanée</w:t>
            </w:r>
          </w:p>
        </w:tc>
      </w:tr>
      <w:tr w:rsidR="0024276D" w:rsidRPr="0006332A" w14:paraId="6211000B" w14:textId="77777777" w:rsidTr="00E95B77">
        <w:tblPrEx>
          <w:tblLook w:val="04A0" w:firstRow="1" w:lastRow="0" w:firstColumn="1" w:lastColumn="0" w:noHBand="0" w:noVBand="1"/>
        </w:tblPrEx>
        <w:tc>
          <w:tcPr>
            <w:tcW w:w="1283" w:type="dxa"/>
            <w:tcBorders>
              <w:top w:val="single" w:sz="12" w:space="0" w:color="auto"/>
            </w:tcBorders>
            <w:shd w:val="clear" w:color="auto" w:fill="auto"/>
          </w:tcPr>
          <w:p w14:paraId="3255292C" w14:textId="77777777" w:rsidR="0024276D" w:rsidRPr="0006332A" w:rsidRDefault="0024276D" w:rsidP="00E95B77">
            <w:pPr>
              <w:kinsoku/>
              <w:overflowPunct/>
              <w:snapToGrid/>
              <w:spacing w:before="60" w:after="60" w:line="240" w:lineRule="auto"/>
              <w:ind w:left="57" w:right="57"/>
              <w:jc w:val="both"/>
              <w:rPr>
                <w:color w:val="000000"/>
                <w:sz w:val="18"/>
                <w:szCs w:val="18"/>
              </w:rPr>
            </w:pPr>
            <w:r w:rsidRPr="0006332A">
              <w:rPr>
                <w:color w:val="000000"/>
                <w:sz w:val="18"/>
                <w:szCs w:val="18"/>
              </w:rPr>
              <w:t>25 %</w:t>
            </w:r>
          </w:p>
        </w:tc>
        <w:tc>
          <w:tcPr>
            <w:tcW w:w="1319" w:type="dxa"/>
            <w:tcBorders>
              <w:top w:val="single" w:sz="12" w:space="0" w:color="auto"/>
            </w:tcBorders>
            <w:shd w:val="clear" w:color="auto" w:fill="auto"/>
          </w:tcPr>
          <w:p w14:paraId="081954BB" w14:textId="77777777" w:rsidR="0024276D" w:rsidRPr="0006332A" w:rsidRDefault="0024276D" w:rsidP="00E95B77">
            <w:pPr>
              <w:kinsoku/>
              <w:overflowPunct/>
              <w:snapToGrid/>
              <w:spacing w:before="60" w:after="60" w:line="240" w:lineRule="auto"/>
              <w:ind w:left="57" w:right="57"/>
              <w:jc w:val="both"/>
              <w:rPr>
                <w:color w:val="000000"/>
                <w:sz w:val="18"/>
                <w:szCs w:val="18"/>
              </w:rPr>
            </w:pPr>
            <w:r w:rsidRPr="0006332A">
              <w:rPr>
                <w:color w:val="000000"/>
                <w:sz w:val="18"/>
                <w:szCs w:val="18"/>
              </w:rPr>
              <w:t>6.1</w:t>
            </w:r>
          </w:p>
        </w:tc>
        <w:tc>
          <w:tcPr>
            <w:tcW w:w="1355" w:type="dxa"/>
            <w:tcBorders>
              <w:top w:val="single" w:sz="12" w:space="0" w:color="auto"/>
            </w:tcBorders>
            <w:shd w:val="clear" w:color="auto" w:fill="auto"/>
          </w:tcPr>
          <w:p w14:paraId="4ED431F2" w14:textId="77777777" w:rsidR="0024276D" w:rsidRPr="0006332A" w:rsidRDefault="0024276D" w:rsidP="00E95B77">
            <w:pPr>
              <w:kinsoku/>
              <w:overflowPunct/>
              <w:snapToGrid/>
              <w:spacing w:before="60" w:after="60" w:line="240" w:lineRule="auto"/>
              <w:ind w:left="57" w:right="57"/>
              <w:jc w:val="both"/>
              <w:rPr>
                <w:color w:val="000000"/>
                <w:sz w:val="18"/>
                <w:szCs w:val="18"/>
              </w:rPr>
            </w:pPr>
            <w:r w:rsidRPr="0006332A">
              <w:rPr>
                <w:color w:val="000000"/>
                <w:sz w:val="18"/>
                <w:szCs w:val="18"/>
              </w:rPr>
              <w:t>III</w:t>
            </w:r>
          </w:p>
        </w:tc>
        <w:tc>
          <w:tcPr>
            <w:tcW w:w="4548" w:type="dxa"/>
            <w:tcBorders>
              <w:top w:val="single" w:sz="12" w:space="0" w:color="auto"/>
            </w:tcBorders>
            <w:shd w:val="clear" w:color="auto" w:fill="auto"/>
          </w:tcPr>
          <w:p w14:paraId="3D8CEA9B" w14:textId="77777777" w:rsidR="0024276D" w:rsidRPr="0006332A" w:rsidRDefault="0024276D" w:rsidP="00E95B77">
            <w:pPr>
              <w:kinsoku/>
              <w:overflowPunct/>
              <w:snapToGrid/>
              <w:spacing w:before="60" w:after="60" w:line="240" w:lineRule="auto"/>
              <w:ind w:left="57" w:right="57" w:hanging="1"/>
              <w:jc w:val="both"/>
              <w:rPr>
                <w:color w:val="000000"/>
                <w:sz w:val="18"/>
                <w:szCs w:val="18"/>
              </w:rPr>
            </w:pPr>
            <w:r w:rsidRPr="0006332A">
              <w:rPr>
                <w:color w:val="000000"/>
                <w:sz w:val="18"/>
                <w:szCs w:val="18"/>
              </w:rPr>
              <w:t>Données animales, voie orale</w:t>
            </w:r>
          </w:p>
        </w:tc>
      </w:tr>
      <w:tr w:rsidR="0024276D" w:rsidRPr="0006332A" w14:paraId="796E44C8" w14:textId="77777777" w:rsidTr="00E95B77">
        <w:tblPrEx>
          <w:tblLook w:val="04A0" w:firstRow="1" w:lastRow="0" w:firstColumn="1" w:lastColumn="0" w:noHBand="0" w:noVBand="1"/>
        </w:tblPrEx>
        <w:tc>
          <w:tcPr>
            <w:tcW w:w="1283" w:type="dxa"/>
            <w:tcBorders>
              <w:bottom w:val="single" w:sz="12" w:space="0" w:color="auto"/>
            </w:tcBorders>
            <w:shd w:val="clear" w:color="auto" w:fill="auto"/>
          </w:tcPr>
          <w:p w14:paraId="413B87A1" w14:textId="77777777" w:rsidR="0024276D" w:rsidRPr="0006332A" w:rsidRDefault="0024276D" w:rsidP="00E95B77">
            <w:pPr>
              <w:kinsoku/>
              <w:overflowPunct/>
              <w:snapToGrid/>
              <w:spacing w:before="60" w:after="60" w:line="240" w:lineRule="auto"/>
              <w:ind w:left="57" w:right="57"/>
              <w:jc w:val="both"/>
              <w:rPr>
                <w:color w:val="000000"/>
                <w:sz w:val="18"/>
                <w:szCs w:val="18"/>
              </w:rPr>
            </w:pPr>
            <w:r w:rsidRPr="0006332A">
              <w:rPr>
                <w:color w:val="000000"/>
                <w:sz w:val="18"/>
                <w:szCs w:val="18"/>
              </w:rPr>
              <w:t>25 %</w:t>
            </w:r>
          </w:p>
        </w:tc>
        <w:tc>
          <w:tcPr>
            <w:tcW w:w="1319" w:type="dxa"/>
            <w:tcBorders>
              <w:bottom w:val="single" w:sz="12" w:space="0" w:color="auto"/>
            </w:tcBorders>
            <w:shd w:val="clear" w:color="auto" w:fill="auto"/>
          </w:tcPr>
          <w:p w14:paraId="23CEF8F7" w14:textId="77777777" w:rsidR="0024276D" w:rsidRPr="0006332A" w:rsidRDefault="0024276D" w:rsidP="00E95B77">
            <w:pPr>
              <w:kinsoku/>
              <w:overflowPunct/>
              <w:snapToGrid/>
              <w:spacing w:before="60" w:after="60" w:line="240" w:lineRule="auto"/>
              <w:ind w:left="57" w:right="57"/>
              <w:jc w:val="both"/>
              <w:rPr>
                <w:color w:val="000000"/>
                <w:sz w:val="18"/>
                <w:szCs w:val="18"/>
              </w:rPr>
            </w:pPr>
            <w:r w:rsidRPr="0006332A">
              <w:rPr>
                <w:color w:val="000000"/>
                <w:sz w:val="18"/>
                <w:szCs w:val="18"/>
              </w:rPr>
              <w:t>6.1</w:t>
            </w:r>
          </w:p>
        </w:tc>
        <w:tc>
          <w:tcPr>
            <w:tcW w:w="1355" w:type="dxa"/>
            <w:tcBorders>
              <w:bottom w:val="single" w:sz="12" w:space="0" w:color="auto"/>
            </w:tcBorders>
            <w:shd w:val="clear" w:color="auto" w:fill="auto"/>
          </w:tcPr>
          <w:p w14:paraId="5631EE86" w14:textId="77777777" w:rsidR="0024276D" w:rsidRPr="0006332A" w:rsidRDefault="0024276D" w:rsidP="00E95B77">
            <w:pPr>
              <w:kinsoku/>
              <w:overflowPunct/>
              <w:snapToGrid/>
              <w:spacing w:before="60" w:after="60" w:line="240" w:lineRule="auto"/>
              <w:ind w:left="57" w:right="57"/>
              <w:jc w:val="both"/>
              <w:rPr>
                <w:color w:val="000000"/>
                <w:sz w:val="18"/>
                <w:szCs w:val="18"/>
              </w:rPr>
            </w:pPr>
            <w:r w:rsidRPr="0006332A">
              <w:rPr>
                <w:color w:val="000000"/>
                <w:sz w:val="18"/>
                <w:szCs w:val="18"/>
              </w:rPr>
              <w:t>I</w:t>
            </w:r>
          </w:p>
        </w:tc>
        <w:tc>
          <w:tcPr>
            <w:tcW w:w="4548" w:type="dxa"/>
            <w:tcBorders>
              <w:bottom w:val="single" w:sz="12" w:space="0" w:color="auto"/>
            </w:tcBorders>
            <w:shd w:val="clear" w:color="auto" w:fill="auto"/>
          </w:tcPr>
          <w:p w14:paraId="54987FDE" w14:textId="77777777" w:rsidR="0024276D" w:rsidRPr="0006332A" w:rsidRDefault="0024276D" w:rsidP="00E95B77">
            <w:pPr>
              <w:kinsoku/>
              <w:overflowPunct/>
              <w:snapToGrid/>
              <w:spacing w:before="60" w:after="60" w:line="240" w:lineRule="auto"/>
              <w:ind w:left="57" w:right="57" w:hanging="1"/>
              <w:jc w:val="both"/>
              <w:rPr>
                <w:color w:val="000000"/>
                <w:sz w:val="18"/>
                <w:szCs w:val="18"/>
              </w:rPr>
            </w:pPr>
            <w:r w:rsidRPr="0006332A">
              <w:rPr>
                <w:color w:val="000000"/>
                <w:sz w:val="18"/>
                <w:szCs w:val="18"/>
              </w:rPr>
              <w:t>Données animales, voie cutanée, rat au lieu de lapin</w:t>
            </w:r>
          </w:p>
        </w:tc>
      </w:tr>
      <w:tr w:rsidR="0024276D" w:rsidRPr="000E01D8" w14:paraId="78A88203" w14:textId="77777777" w:rsidTr="00E95B77">
        <w:tblPrEx>
          <w:tblLook w:val="04A0" w:firstRow="1" w:lastRow="0" w:firstColumn="1" w:lastColumn="0" w:noHBand="0" w:noVBand="1"/>
        </w:tblPrEx>
        <w:tc>
          <w:tcPr>
            <w:tcW w:w="1283" w:type="dxa"/>
            <w:tcBorders>
              <w:top w:val="single" w:sz="12" w:space="0" w:color="auto"/>
            </w:tcBorders>
            <w:shd w:val="clear" w:color="auto" w:fill="auto"/>
          </w:tcPr>
          <w:p w14:paraId="1651A465" w14:textId="77777777" w:rsidR="0024276D" w:rsidRPr="000E01D8" w:rsidRDefault="0024276D" w:rsidP="00E95B77">
            <w:pPr>
              <w:kinsoku/>
              <w:overflowPunct/>
              <w:snapToGrid/>
              <w:spacing w:before="60" w:after="60" w:line="240" w:lineRule="auto"/>
              <w:ind w:left="57" w:right="57"/>
              <w:rPr>
                <w:color w:val="000000"/>
                <w:sz w:val="18"/>
                <w:szCs w:val="18"/>
              </w:rPr>
            </w:pPr>
            <w:r w:rsidRPr="000E01D8">
              <w:rPr>
                <w:color w:val="000000"/>
                <w:sz w:val="18"/>
                <w:szCs w:val="18"/>
              </w:rPr>
              <w:t xml:space="preserve">Solide </w:t>
            </w:r>
          </w:p>
        </w:tc>
        <w:tc>
          <w:tcPr>
            <w:tcW w:w="1319" w:type="dxa"/>
            <w:tcBorders>
              <w:top w:val="single" w:sz="12" w:space="0" w:color="auto"/>
            </w:tcBorders>
            <w:shd w:val="clear" w:color="auto" w:fill="auto"/>
          </w:tcPr>
          <w:p w14:paraId="551C745B" w14:textId="77777777" w:rsidR="0024276D" w:rsidRPr="000E01D8" w:rsidRDefault="0024276D" w:rsidP="00E95B77">
            <w:pPr>
              <w:kinsoku/>
              <w:overflowPunct/>
              <w:snapToGrid/>
              <w:spacing w:before="60" w:after="60" w:line="240" w:lineRule="auto"/>
              <w:ind w:left="57" w:right="57"/>
              <w:rPr>
                <w:color w:val="000000"/>
                <w:sz w:val="18"/>
                <w:szCs w:val="18"/>
              </w:rPr>
            </w:pPr>
            <w:r w:rsidRPr="000E01D8">
              <w:rPr>
                <w:color w:val="000000"/>
                <w:sz w:val="18"/>
                <w:szCs w:val="18"/>
              </w:rPr>
              <w:t>6.1</w:t>
            </w:r>
          </w:p>
        </w:tc>
        <w:tc>
          <w:tcPr>
            <w:tcW w:w="1355" w:type="dxa"/>
            <w:tcBorders>
              <w:top w:val="single" w:sz="12" w:space="0" w:color="auto"/>
            </w:tcBorders>
            <w:shd w:val="clear" w:color="auto" w:fill="auto"/>
          </w:tcPr>
          <w:p w14:paraId="3FA8B3B4" w14:textId="77777777" w:rsidR="0024276D" w:rsidRPr="000E01D8" w:rsidRDefault="0024276D" w:rsidP="00E95B77">
            <w:pPr>
              <w:kinsoku/>
              <w:overflowPunct/>
              <w:snapToGrid/>
              <w:spacing w:before="60" w:after="60" w:line="240" w:lineRule="auto"/>
              <w:ind w:left="57" w:right="57"/>
              <w:rPr>
                <w:color w:val="000000"/>
                <w:sz w:val="18"/>
                <w:szCs w:val="18"/>
              </w:rPr>
            </w:pPr>
            <w:r w:rsidRPr="000E01D8">
              <w:rPr>
                <w:color w:val="000000"/>
                <w:sz w:val="18"/>
                <w:szCs w:val="18"/>
              </w:rPr>
              <w:t>II</w:t>
            </w:r>
          </w:p>
        </w:tc>
        <w:tc>
          <w:tcPr>
            <w:tcW w:w="4548" w:type="dxa"/>
            <w:tcBorders>
              <w:top w:val="single" w:sz="12" w:space="0" w:color="auto"/>
            </w:tcBorders>
            <w:shd w:val="clear" w:color="auto" w:fill="auto"/>
          </w:tcPr>
          <w:p w14:paraId="4602E8C4" w14:textId="15728ABB" w:rsidR="0024276D" w:rsidRPr="000E01D8" w:rsidRDefault="0024276D" w:rsidP="00E95B77">
            <w:pPr>
              <w:kinsoku/>
              <w:overflowPunct/>
              <w:snapToGrid/>
              <w:spacing w:before="60" w:after="60" w:line="240" w:lineRule="auto"/>
              <w:ind w:left="57" w:right="57" w:hanging="1"/>
              <w:rPr>
                <w:color w:val="000000"/>
                <w:sz w:val="18"/>
                <w:szCs w:val="18"/>
              </w:rPr>
            </w:pPr>
            <w:r w:rsidRPr="000E01D8">
              <w:rPr>
                <w:color w:val="000000"/>
                <w:sz w:val="18"/>
                <w:szCs w:val="18"/>
              </w:rPr>
              <w:t>Données animales, voie orale, extrapolation selon la formule du par</w:t>
            </w:r>
            <w:r w:rsidR="000E01D8">
              <w:rPr>
                <w:color w:val="000000"/>
                <w:sz w:val="18"/>
                <w:szCs w:val="18"/>
              </w:rPr>
              <w:t xml:space="preserve">agraphe </w:t>
            </w:r>
            <w:r w:rsidRPr="000E01D8">
              <w:rPr>
                <w:color w:val="000000"/>
                <w:sz w:val="18"/>
                <w:szCs w:val="18"/>
              </w:rPr>
              <w:t>2.6.2.3.2</w:t>
            </w:r>
          </w:p>
        </w:tc>
      </w:tr>
      <w:tr w:rsidR="0024276D" w:rsidRPr="000E01D8" w14:paraId="6F5DA010" w14:textId="77777777" w:rsidTr="000E01D8">
        <w:tblPrEx>
          <w:tblLook w:val="04A0" w:firstRow="1" w:lastRow="0" w:firstColumn="1" w:lastColumn="0" w:noHBand="0" w:noVBand="1"/>
        </w:tblPrEx>
        <w:trPr>
          <w:trHeight w:val="368"/>
        </w:trPr>
        <w:tc>
          <w:tcPr>
            <w:tcW w:w="1283" w:type="dxa"/>
            <w:shd w:val="clear" w:color="auto" w:fill="auto"/>
          </w:tcPr>
          <w:p w14:paraId="7390B2FC" w14:textId="77777777" w:rsidR="0024276D" w:rsidRPr="000E01D8" w:rsidRDefault="0024276D" w:rsidP="00E95B77">
            <w:pPr>
              <w:kinsoku/>
              <w:overflowPunct/>
              <w:snapToGrid/>
              <w:spacing w:before="60" w:after="60" w:line="240" w:lineRule="auto"/>
              <w:ind w:left="57" w:right="57"/>
              <w:rPr>
                <w:color w:val="000000"/>
                <w:sz w:val="18"/>
                <w:szCs w:val="18"/>
              </w:rPr>
            </w:pPr>
            <w:r w:rsidRPr="000E01D8">
              <w:rPr>
                <w:color w:val="000000"/>
                <w:sz w:val="18"/>
                <w:szCs w:val="18"/>
              </w:rPr>
              <w:t xml:space="preserve">Solide </w:t>
            </w:r>
          </w:p>
        </w:tc>
        <w:tc>
          <w:tcPr>
            <w:tcW w:w="1319" w:type="dxa"/>
            <w:shd w:val="clear" w:color="auto" w:fill="auto"/>
          </w:tcPr>
          <w:p w14:paraId="112F5E2B" w14:textId="77777777" w:rsidR="0024276D" w:rsidRPr="000E01D8" w:rsidRDefault="0024276D" w:rsidP="00E95B77">
            <w:pPr>
              <w:kinsoku/>
              <w:overflowPunct/>
              <w:snapToGrid/>
              <w:spacing w:before="60" w:after="60" w:line="240" w:lineRule="auto"/>
              <w:ind w:left="57" w:right="57"/>
              <w:rPr>
                <w:color w:val="000000"/>
                <w:sz w:val="18"/>
                <w:szCs w:val="18"/>
              </w:rPr>
            </w:pPr>
            <w:r w:rsidRPr="000E01D8">
              <w:rPr>
                <w:color w:val="000000"/>
                <w:sz w:val="18"/>
                <w:szCs w:val="18"/>
              </w:rPr>
              <w:t>6.1</w:t>
            </w:r>
          </w:p>
        </w:tc>
        <w:tc>
          <w:tcPr>
            <w:tcW w:w="1355" w:type="dxa"/>
            <w:shd w:val="clear" w:color="auto" w:fill="auto"/>
          </w:tcPr>
          <w:p w14:paraId="613C4B65" w14:textId="77777777" w:rsidR="0024276D" w:rsidRPr="000E01D8" w:rsidRDefault="0024276D" w:rsidP="00E95B77">
            <w:pPr>
              <w:kinsoku/>
              <w:overflowPunct/>
              <w:snapToGrid/>
              <w:spacing w:before="60" w:after="60" w:line="240" w:lineRule="auto"/>
              <w:ind w:left="57" w:right="57"/>
              <w:rPr>
                <w:color w:val="000000"/>
                <w:sz w:val="18"/>
                <w:szCs w:val="18"/>
              </w:rPr>
            </w:pPr>
            <w:r w:rsidRPr="000E01D8">
              <w:rPr>
                <w:color w:val="000000"/>
                <w:sz w:val="18"/>
                <w:szCs w:val="18"/>
              </w:rPr>
              <w:t>I</w:t>
            </w:r>
          </w:p>
        </w:tc>
        <w:tc>
          <w:tcPr>
            <w:tcW w:w="4548" w:type="dxa"/>
            <w:shd w:val="clear" w:color="auto" w:fill="auto"/>
          </w:tcPr>
          <w:p w14:paraId="61254F3C" w14:textId="10C669EB" w:rsidR="0024276D" w:rsidRPr="000E01D8" w:rsidRDefault="0024276D" w:rsidP="00E95B77">
            <w:pPr>
              <w:kinsoku/>
              <w:overflowPunct/>
              <w:snapToGrid/>
              <w:spacing w:before="60" w:after="60" w:line="240" w:lineRule="auto"/>
              <w:ind w:left="57" w:right="57" w:hanging="1"/>
              <w:rPr>
                <w:color w:val="000000"/>
                <w:sz w:val="18"/>
                <w:szCs w:val="18"/>
              </w:rPr>
            </w:pPr>
            <w:r w:rsidRPr="000E01D8">
              <w:rPr>
                <w:color w:val="000000"/>
                <w:sz w:val="18"/>
                <w:szCs w:val="18"/>
              </w:rPr>
              <w:t>Données animales, voie cutanée, rat au lieu de lapin et extrapolation selon la formule du par</w:t>
            </w:r>
            <w:r w:rsidR="000E01D8">
              <w:rPr>
                <w:color w:val="000000"/>
                <w:sz w:val="18"/>
                <w:szCs w:val="18"/>
              </w:rPr>
              <w:t>agraphe</w:t>
            </w:r>
            <w:r w:rsidRPr="000E01D8">
              <w:rPr>
                <w:color w:val="000000"/>
                <w:sz w:val="18"/>
                <w:szCs w:val="18"/>
              </w:rPr>
              <w:t xml:space="preserve"> 2.6.2.3.2</w:t>
            </w:r>
          </w:p>
        </w:tc>
      </w:tr>
    </w:tbl>
    <w:p w14:paraId="75D27BE6" w14:textId="2DC9AFCB" w:rsidR="0024276D" w:rsidRDefault="0024276D" w:rsidP="006D45A5">
      <w:pPr>
        <w:pStyle w:val="SingleTxtG"/>
        <w:keepLines/>
      </w:pPr>
      <w:r>
        <w:lastRenderedPageBreak/>
        <w:t>20.</w:t>
      </w:r>
      <w:r>
        <w:tab/>
        <w:t xml:space="preserve">Les données ci-dessus conduisent à un nouveau classement du TMAH. En outre, comme l’a souligné une délégation à la </w:t>
      </w:r>
      <w:r w:rsidR="002B26D6">
        <w:t>cinquante-neuvième</w:t>
      </w:r>
      <w:r>
        <w:t xml:space="preserve"> session, la disposition spéciale 279 peut s’appliquer aux substances dont le classement est fondé sur les effets connus sur l’homme. Il est donc proposé d’ajouter la disposition spéciale 279 aux rubriques révisées du TMAH dont le classement est fondé sur les effets connus sur l’homme. Dans le cas présent, cela s’applique à toutes les rubriques du groupe d’emballage</w:t>
      </w:r>
      <w:r w:rsidR="002B26D6">
        <w:t> </w:t>
      </w:r>
      <w:r>
        <w:t xml:space="preserve">I. </w:t>
      </w:r>
    </w:p>
    <w:p w14:paraId="26E80A96" w14:textId="77777777" w:rsidR="0024276D" w:rsidRPr="004A2B79" w:rsidRDefault="0024276D" w:rsidP="005A65CA">
      <w:pPr>
        <w:pStyle w:val="HChG"/>
      </w:pPr>
      <w:r>
        <w:tab/>
      </w:r>
      <w:r>
        <w:tab/>
        <w:t>Proposition</w:t>
      </w:r>
    </w:p>
    <w:p w14:paraId="2EEAE2DA" w14:textId="71E72792" w:rsidR="0024276D" w:rsidRDefault="0024276D" w:rsidP="005A65CA">
      <w:pPr>
        <w:pStyle w:val="SingleTxtG"/>
      </w:pPr>
      <w:r>
        <w:t>21.</w:t>
      </w:r>
      <w:r>
        <w:tab/>
        <w:t>Les résultats de classement ci-dessus ont été fusionnés afin d’établir un nouveau classement pour le TMAH. Deux solutions permettant de gérer la révision du classement sont présentées ci-dessous. La première solution prévoit d’utiliser des limites de concentration dans la description, contrairement à la seconde. Les conditions de transport actualisées sont fondées sur la logique des principes directeurs du Règlement type. Les modifications qu’il est proposé d’apporter à la liste actuelle des marchandises dangereuses du chapitre</w:t>
      </w:r>
      <w:r w:rsidR="002B26D6">
        <w:t> </w:t>
      </w:r>
      <w:r>
        <w:t xml:space="preserve">3.2 figurent en caractères </w:t>
      </w:r>
      <w:r w:rsidRPr="002B26D6">
        <w:rPr>
          <w:u w:val="single"/>
        </w:rPr>
        <w:t>soulignés</w:t>
      </w:r>
      <w:r>
        <w:t xml:space="preserve"> pour les ajouts et </w:t>
      </w:r>
      <w:r w:rsidRPr="002B26D6">
        <w:rPr>
          <w:strike/>
        </w:rPr>
        <w:t>biffés</w:t>
      </w:r>
      <w:r>
        <w:t xml:space="preserve"> pour les suppressions.</w:t>
      </w:r>
    </w:p>
    <w:p w14:paraId="040D8E2E" w14:textId="77777777" w:rsidR="0024276D" w:rsidRDefault="0024276D" w:rsidP="0024276D">
      <w:pPr>
        <w:suppressAutoHyphens w:val="0"/>
        <w:kinsoku/>
        <w:overflowPunct/>
        <w:autoSpaceDE/>
        <w:autoSpaceDN/>
        <w:adjustRightInd/>
        <w:snapToGrid/>
        <w:spacing w:after="200" w:line="276" w:lineRule="auto"/>
        <w:rPr>
          <w:b/>
          <w:sz w:val="24"/>
        </w:rPr>
      </w:pPr>
      <w:r>
        <w:br w:type="page"/>
      </w:r>
    </w:p>
    <w:p w14:paraId="17142B0B" w14:textId="09F7F53A" w:rsidR="0024276D" w:rsidRDefault="0024276D" w:rsidP="00D66E80">
      <w:pPr>
        <w:pStyle w:val="H1G"/>
      </w:pPr>
      <w:r>
        <w:lastRenderedPageBreak/>
        <w:tab/>
      </w:r>
      <w:r>
        <w:tab/>
        <w:t>Solution 1</w:t>
      </w:r>
    </w:p>
    <w:tbl>
      <w:tblPr>
        <w:tblStyle w:val="TableGrid7"/>
        <w:tblW w:w="9643" w:type="dxa"/>
        <w:tblLayout w:type="fixed"/>
        <w:tblLook w:val="04A0" w:firstRow="1" w:lastRow="0" w:firstColumn="1" w:lastColumn="0" w:noHBand="0" w:noVBand="1"/>
      </w:tblPr>
      <w:tblGrid>
        <w:gridCol w:w="496"/>
        <w:gridCol w:w="1942"/>
        <w:gridCol w:w="647"/>
        <w:gridCol w:w="593"/>
        <w:gridCol w:w="849"/>
        <w:gridCol w:w="840"/>
        <w:gridCol w:w="448"/>
        <w:gridCol w:w="374"/>
        <w:gridCol w:w="865"/>
        <w:gridCol w:w="880"/>
        <w:gridCol w:w="837"/>
        <w:gridCol w:w="872"/>
      </w:tblGrid>
      <w:tr w:rsidR="00FD5E69" w:rsidRPr="00977B53" w14:paraId="03F79B79" w14:textId="77777777" w:rsidTr="0099025B">
        <w:trPr>
          <w:tblHeader/>
        </w:trPr>
        <w:tc>
          <w:tcPr>
            <w:tcW w:w="497" w:type="dxa"/>
            <w:vMerge w:val="restart"/>
            <w:shd w:val="clear" w:color="auto" w:fill="auto"/>
            <w:vAlign w:val="bottom"/>
            <w:hideMark/>
          </w:tcPr>
          <w:p w14:paraId="294FA050" w14:textId="77777777" w:rsidR="00FD5E69" w:rsidRPr="00977B53" w:rsidRDefault="00FD5E69" w:rsidP="0099025B">
            <w:pPr>
              <w:suppressAutoHyphens w:val="0"/>
              <w:spacing w:before="60" w:after="60" w:line="240" w:lineRule="auto"/>
              <w:ind w:left="28" w:right="28"/>
              <w:jc w:val="center"/>
              <w:rPr>
                <w:i/>
                <w:sz w:val="15"/>
                <w:szCs w:val="15"/>
              </w:rPr>
            </w:pPr>
            <w:bookmarkStart w:id="1" w:name="_Hlk102972252"/>
            <w:r w:rsidRPr="00977B53">
              <w:rPr>
                <w:i/>
                <w:sz w:val="15"/>
                <w:szCs w:val="15"/>
              </w:rPr>
              <w:t>No ONU</w:t>
            </w:r>
          </w:p>
        </w:tc>
        <w:tc>
          <w:tcPr>
            <w:tcW w:w="1944" w:type="dxa"/>
            <w:vMerge w:val="restart"/>
            <w:shd w:val="clear" w:color="auto" w:fill="auto"/>
            <w:vAlign w:val="bottom"/>
            <w:hideMark/>
          </w:tcPr>
          <w:p w14:paraId="6EC5F0AE" w14:textId="77777777" w:rsidR="00FD5E69" w:rsidRPr="00977B53" w:rsidRDefault="00FD5E69" w:rsidP="0099025B">
            <w:pPr>
              <w:suppressAutoHyphens w:val="0"/>
              <w:spacing w:before="60" w:after="60" w:line="240" w:lineRule="auto"/>
              <w:ind w:left="57" w:right="57"/>
              <w:jc w:val="center"/>
              <w:rPr>
                <w:i/>
                <w:sz w:val="15"/>
                <w:szCs w:val="15"/>
              </w:rPr>
            </w:pPr>
            <w:r w:rsidRPr="00977B53">
              <w:rPr>
                <w:i/>
                <w:sz w:val="15"/>
                <w:szCs w:val="15"/>
              </w:rPr>
              <w:t>Nom et description</w:t>
            </w:r>
          </w:p>
        </w:tc>
        <w:tc>
          <w:tcPr>
            <w:tcW w:w="647" w:type="dxa"/>
            <w:vMerge w:val="restart"/>
            <w:shd w:val="clear" w:color="auto" w:fill="auto"/>
            <w:vAlign w:val="bottom"/>
            <w:hideMark/>
          </w:tcPr>
          <w:p w14:paraId="3AAF3853" w14:textId="77777777" w:rsidR="00FD5E69" w:rsidRPr="00977B53" w:rsidRDefault="00FD5E69" w:rsidP="0099025B">
            <w:pPr>
              <w:suppressAutoHyphens w:val="0"/>
              <w:spacing w:before="60" w:after="60" w:line="240" w:lineRule="auto"/>
              <w:ind w:left="57" w:right="57"/>
              <w:jc w:val="center"/>
              <w:rPr>
                <w:i/>
                <w:sz w:val="15"/>
                <w:szCs w:val="15"/>
              </w:rPr>
            </w:pPr>
            <w:r w:rsidRPr="00977B53">
              <w:rPr>
                <w:i/>
                <w:sz w:val="15"/>
                <w:szCs w:val="15"/>
              </w:rPr>
              <w:t>Classe</w:t>
            </w:r>
            <w:r>
              <w:rPr>
                <w:i/>
                <w:sz w:val="15"/>
                <w:szCs w:val="15"/>
              </w:rPr>
              <w:br/>
            </w:r>
            <w:r w:rsidRPr="00977B53">
              <w:rPr>
                <w:i/>
                <w:sz w:val="15"/>
                <w:szCs w:val="15"/>
              </w:rPr>
              <w:t>ou division</w:t>
            </w:r>
          </w:p>
        </w:tc>
        <w:tc>
          <w:tcPr>
            <w:tcW w:w="593" w:type="dxa"/>
            <w:vMerge w:val="restart"/>
            <w:shd w:val="clear" w:color="auto" w:fill="auto"/>
            <w:vAlign w:val="bottom"/>
            <w:hideMark/>
          </w:tcPr>
          <w:p w14:paraId="6F109E64" w14:textId="77777777" w:rsidR="00FD5E69" w:rsidRPr="00977B53" w:rsidRDefault="00FD5E69" w:rsidP="0099025B">
            <w:pPr>
              <w:suppressAutoHyphens w:val="0"/>
              <w:spacing w:before="60" w:after="60" w:line="240" w:lineRule="auto"/>
              <w:ind w:left="57" w:right="57"/>
              <w:jc w:val="center"/>
              <w:rPr>
                <w:i/>
                <w:sz w:val="15"/>
                <w:szCs w:val="15"/>
              </w:rPr>
            </w:pPr>
            <w:r w:rsidRPr="00977B53">
              <w:rPr>
                <w:i/>
                <w:sz w:val="15"/>
                <w:szCs w:val="15"/>
              </w:rPr>
              <w:t>Danger subsi-diaire</w:t>
            </w:r>
          </w:p>
        </w:tc>
        <w:tc>
          <w:tcPr>
            <w:tcW w:w="849" w:type="dxa"/>
            <w:vMerge w:val="restart"/>
            <w:shd w:val="clear" w:color="auto" w:fill="auto"/>
            <w:vAlign w:val="bottom"/>
            <w:hideMark/>
          </w:tcPr>
          <w:p w14:paraId="6B996527" w14:textId="77777777" w:rsidR="00FD5E69" w:rsidRPr="00977B53" w:rsidRDefault="00FD5E69" w:rsidP="0099025B">
            <w:pPr>
              <w:suppressAutoHyphens w:val="0"/>
              <w:spacing w:before="60" w:after="60" w:line="240" w:lineRule="auto"/>
              <w:ind w:left="28" w:right="28"/>
              <w:jc w:val="center"/>
              <w:rPr>
                <w:i/>
                <w:sz w:val="15"/>
                <w:szCs w:val="15"/>
              </w:rPr>
            </w:pPr>
            <w:r w:rsidRPr="00977B53">
              <w:rPr>
                <w:i/>
                <w:sz w:val="15"/>
                <w:szCs w:val="15"/>
              </w:rPr>
              <w:t>Groupe d’emballage</w:t>
            </w:r>
          </w:p>
        </w:tc>
        <w:tc>
          <w:tcPr>
            <w:tcW w:w="840" w:type="dxa"/>
            <w:vMerge w:val="restart"/>
            <w:shd w:val="clear" w:color="auto" w:fill="auto"/>
            <w:vAlign w:val="bottom"/>
            <w:hideMark/>
          </w:tcPr>
          <w:p w14:paraId="76CA68B3" w14:textId="77777777" w:rsidR="00FD5E69" w:rsidRPr="00977B53" w:rsidRDefault="00FD5E69" w:rsidP="0099025B">
            <w:pPr>
              <w:suppressAutoHyphens w:val="0"/>
              <w:spacing w:before="60" w:after="60" w:line="240" w:lineRule="auto"/>
              <w:ind w:left="28" w:right="28"/>
              <w:jc w:val="center"/>
              <w:rPr>
                <w:i/>
                <w:sz w:val="15"/>
                <w:szCs w:val="15"/>
              </w:rPr>
            </w:pPr>
            <w:r w:rsidRPr="00977B53">
              <w:rPr>
                <w:i/>
                <w:sz w:val="15"/>
                <w:szCs w:val="15"/>
              </w:rPr>
              <w:t>Dispositions spéciales</w:t>
            </w:r>
          </w:p>
        </w:tc>
        <w:tc>
          <w:tcPr>
            <w:tcW w:w="822" w:type="dxa"/>
            <w:gridSpan w:val="2"/>
            <w:vMerge w:val="restart"/>
            <w:shd w:val="clear" w:color="auto" w:fill="auto"/>
            <w:vAlign w:val="bottom"/>
            <w:hideMark/>
          </w:tcPr>
          <w:p w14:paraId="4E1F8BA5" w14:textId="77777777" w:rsidR="00FD5E69" w:rsidRPr="00977B53" w:rsidRDefault="00FD5E69" w:rsidP="0099025B">
            <w:pPr>
              <w:suppressAutoHyphens w:val="0"/>
              <w:spacing w:before="60" w:after="60" w:line="240" w:lineRule="auto"/>
              <w:ind w:left="57" w:right="57"/>
              <w:jc w:val="center"/>
              <w:rPr>
                <w:i/>
                <w:sz w:val="15"/>
                <w:szCs w:val="15"/>
              </w:rPr>
            </w:pPr>
            <w:r w:rsidRPr="00977B53">
              <w:rPr>
                <w:i/>
                <w:sz w:val="15"/>
                <w:szCs w:val="15"/>
              </w:rPr>
              <w:t>Quantités limitées et exceptées</w:t>
            </w:r>
          </w:p>
        </w:tc>
        <w:tc>
          <w:tcPr>
            <w:tcW w:w="1743" w:type="dxa"/>
            <w:gridSpan w:val="2"/>
            <w:shd w:val="clear" w:color="auto" w:fill="auto"/>
            <w:vAlign w:val="bottom"/>
            <w:hideMark/>
          </w:tcPr>
          <w:p w14:paraId="2B3D1315" w14:textId="77777777" w:rsidR="00FD5E69" w:rsidRPr="00977B53" w:rsidRDefault="00FD5E69" w:rsidP="0099025B">
            <w:pPr>
              <w:suppressAutoHyphens w:val="0"/>
              <w:spacing w:before="60" w:after="60" w:line="240" w:lineRule="auto"/>
              <w:ind w:left="28" w:right="28"/>
              <w:jc w:val="center"/>
              <w:rPr>
                <w:i/>
                <w:sz w:val="15"/>
                <w:szCs w:val="15"/>
              </w:rPr>
            </w:pPr>
            <w:r w:rsidRPr="00977B53">
              <w:rPr>
                <w:i/>
                <w:sz w:val="15"/>
                <w:szCs w:val="15"/>
              </w:rPr>
              <w:t>4</w:t>
            </w:r>
          </w:p>
        </w:tc>
        <w:tc>
          <w:tcPr>
            <w:tcW w:w="1707" w:type="dxa"/>
            <w:gridSpan w:val="2"/>
            <w:shd w:val="clear" w:color="auto" w:fill="auto"/>
            <w:vAlign w:val="bottom"/>
            <w:hideMark/>
          </w:tcPr>
          <w:p w14:paraId="6111D3CF" w14:textId="77777777" w:rsidR="00FD5E69" w:rsidRPr="00977B53" w:rsidRDefault="00FD5E69" w:rsidP="0099025B">
            <w:pPr>
              <w:suppressAutoHyphens w:val="0"/>
              <w:spacing w:before="60" w:after="60" w:line="240" w:lineRule="auto"/>
              <w:ind w:left="28" w:right="28"/>
              <w:jc w:val="center"/>
              <w:rPr>
                <w:i/>
                <w:sz w:val="15"/>
                <w:szCs w:val="15"/>
              </w:rPr>
            </w:pPr>
            <w:r w:rsidRPr="00977B53">
              <w:rPr>
                <w:i/>
                <w:sz w:val="15"/>
                <w:szCs w:val="15"/>
              </w:rPr>
              <w:t xml:space="preserve">Citernes mobiles </w:t>
            </w:r>
            <w:r>
              <w:rPr>
                <w:i/>
                <w:sz w:val="15"/>
                <w:szCs w:val="15"/>
              </w:rPr>
              <w:br/>
            </w:r>
            <w:r w:rsidRPr="00977B53">
              <w:rPr>
                <w:i/>
                <w:sz w:val="15"/>
                <w:szCs w:val="15"/>
              </w:rPr>
              <w:t>et conteneurs pour vrac</w:t>
            </w:r>
          </w:p>
        </w:tc>
      </w:tr>
      <w:tr w:rsidR="00FD5E69" w:rsidRPr="00301699" w14:paraId="47D00FE4" w14:textId="77777777" w:rsidTr="0099025B">
        <w:trPr>
          <w:tblHeader/>
        </w:trPr>
        <w:tc>
          <w:tcPr>
            <w:tcW w:w="497" w:type="dxa"/>
            <w:vMerge/>
            <w:shd w:val="clear" w:color="auto" w:fill="auto"/>
            <w:vAlign w:val="bottom"/>
            <w:hideMark/>
          </w:tcPr>
          <w:p w14:paraId="4D141A51" w14:textId="77777777" w:rsidR="00FD5E69" w:rsidRPr="00301699" w:rsidRDefault="00FD5E69" w:rsidP="0099025B">
            <w:pPr>
              <w:suppressAutoHyphens w:val="0"/>
              <w:spacing w:before="60" w:after="60" w:line="240" w:lineRule="auto"/>
              <w:ind w:left="28" w:right="28"/>
              <w:rPr>
                <w:sz w:val="18"/>
              </w:rPr>
            </w:pPr>
          </w:p>
        </w:tc>
        <w:tc>
          <w:tcPr>
            <w:tcW w:w="1944" w:type="dxa"/>
            <w:vMerge/>
            <w:shd w:val="clear" w:color="auto" w:fill="auto"/>
            <w:vAlign w:val="bottom"/>
            <w:hideMark/>
          </w:tcPr>
          <w:p w14:paraId="17427975" w14:textId="77777777" w:rsidR="00FD5E69" w:rsidRPr="00301699" w:rsidRDefault="00FD5E69" w:rsidP="0099025B">
            <w:pPr>
              <w:suppressAutoHyphens w:val="0"/>
              <w:spacing w:before="60" w:after="60" w:line="240" w:lineRule="auto"/>
              <w:ind w:left="57" w:right="57"/>
              <w:jc w:val="right"/>
              <w:rPr>
                <w:sz w:val="18"/>
              </w:rPr>
            </w:pPr>
          </w:p>
        </w:tc>
        <w:tc>
          <w:tcPr>
            <w:tcW w:w="647" w:type="dxa"/>
            <w:vMerge/>
            <w:shd w:val="clear" w:color="auto" w:fill="auto"/>
            <w:vAlign w:val="bottom"/>
            <w:hideMark/>
          </w:tcPr>
          <w:p w14:paraId="6C3A43C9" w14:textId="77777777" w:rsidR="00FD5E69" w:rsidRPr="00301699" w:rsidRDefault="00FD5E69" w:rsidP="0099025B">
            <w:pPr>
              <w:suppressAutoHyphens w:val="0"/>
              <w:spacing w:before="60" w:after="60" w:line="240" w:lineRule="auto"/>
              <w:ind w:left="57" w:right="57"/>
              <w:jc w:val="right"/>
              <w:rPr>
                <w:sz w:val="18"/>
              </w:rPr>
            </w:pPr>
          </w:p>
        </w:tc>
        <w:tc>
          <w:tcPr>
            <w:tcW w:w="593" w:type="dxa"/>
            <w:vMerge/>
            <w:shd w:val="clear" w:color="auto" w:fill="auto"/>
            <w:vAlign w:val="bottom"/>
            <w:hideMark/>
          </w:tcPr>
          <w:p w14:paraId="12475E66" w14:textId="77777777" w:rsidR="00FD5E69" w:rsidRPr="00301699" w:rsidRDefault="00FD5E69" w:rsidP="0099025B">
            <w:pPr>
              <w:suppressAutoHyphens w:val="0"/>
              <w:spacing w:before="60" w:after="60" w:line="240" w:lineRule="auto"/>
              <w:ind w:left="57" w:right="57"/>
              <w:jc w:val="right"/>
              <w:rPr>
                <w:sz w:val="18"/>
              </w:rPr>
            </w:pPr>
          </w:p>
        </w:tc>
        <w:tc>
          <w:tcPr>
            <w:tcW w:w="849" w:type="dxa"/>
            <w:vMerge/>
            <w:shd w:val="clear" w:color="auto" w:fill="auto"/>
            <w:vAlign w:val="bottom"/>
            <w:hideMark/>
          </w:tcPr>
          <w:p w14:paraId="56FD2394" w14:textId="77777777" w:rsidR="00FD5E69" w:rsidRPr="00301699" w:rsidRDefault="00FD5E69" w:rsidP="0099025B">
            <w:pPr>
              <w:suppressAutoHyphens w:val="0"/>
              <w:spacing w:before="60" w:after="60" w:line="240" w:lineRule="auto"/>
              <w:ind w:left="28" w:right="28"/>
              <w:jc w:val="right"/>
              <w:rPr>
                <w:sz w:val="18"/>
              </w:rPr>
            </w:pPr>
          </w:p>
        </w:tc>
        <w:tc>
          <w:tcPr>
            <w:tcW w:w="840" w:type="dxa"/>
            <w:vMerge/>
            <w:shd w:val="clear" w:color="auto" w:fill="auto"/>
            <w:vAlign w:val="bottom"/>
            <w:hideMark/>
          </w:tcPr>
          <w:p w14:paraId="484ACB44" w14:textId="77777777" w:rsidR="00FD5E69" w:rsidRPr="00301699" w:rsidRDefault="00FD5E69" w:rsidP="0099025B">
            <w:pPr>
              <w:suppressAutoHyphens w:val="0"/>
              <w:spacing w:before="60" w:after="60" w:line="240" w:lineRule="auto"/>
              <w:ind w:left="28" w:right="28"/>
              <w:jc w:val="right"/>
              <w:rPr>
                <w:sz w:val="18"/>
              </w:rPr>
            </w:pPr>
          </w:p>
        </w:tc>
        <w:tc>
          <w:tcPr>
            <w:tcW w:w="822" w:type="dxa"/>
            <w:gridSpan w:val="2"/>
            <w:vMerge/>
            <w:shd w:val="clear" w:color="auto" w:fill="auto"/>
            <w:vAlign w:val="bottom"/>
            <w:hideMark/>
          </w:tcPr>
          <w:p w14:paraId="7864DC1F" w14:textId="77777777" w:rsidR="00FD5E69" w:rsidRPr="00301699" w:rsidRDefault="00FD5E69" w:rsidP="0099025B">
            <w:pPr>
              <w:suppressAutoHyphens w:val="0"/>
              <w:spacing w:before="60" w:after="60" w:line="240" w:lineRule="auto"/>
              <w:ind w:left="57" w:right="57"/>
              <w:jc w:val="right"/>
              <w:rPr>
                <w:sz w:val="18"/>
              </w:rPr>
            </w:pPr>
          </w:p>
        </w:tc>
        <w:tc>
          <w:tcPr>
            <w:tcW w:w="864" w:type="dxa"/>
            <w:shd w:val="clear" w:color="auto" w:fill="auto"/>
            <w:vAlign w:val="bottom"/>
            <w:hideMark/>
          </w:tcPr>
          <w:p w14:paraId="505D8B18" w14:textId="77777777" w:rsidR="00FD5E69" w:rsidRPr="004306EF" w:rsidRDefault="00FD5E69" w:rsidP="0099025B">
            <w:pPr>
              <w:suppressAutoHyphens w:val="0"/>
              <w:spacing w:before="60" w:after="60" w:line="240" w:lineRule="auto"/>
              <w:ind w:left="28" w:right="28"/>
              <w:jc w:val="center"/>
              <w:rPr>
                <w:i/>
                <w:iCs/>
                <w:spacing w:val="-1"/>
                <w:sz w:val="16"/>
                <w:szCs w:val="16"/>
              </w:rPr>
            </w:pPr>
            <w:r w:rsidRPr="004306EF">
              <w:rPr>
                <w:i/>
                <w:iCs/>
                <w:spacing w:val="-1"/>
                <w:sz w:val="16"/>
                <w:szCs w:val="16"/>
              </w:rPr>
              <w:t>Instructions d’emballage</w:t>
            </w:r>
          </w:p>
        </w:tc>
        <w:tc>
          <w:tcPr>
            <w:tcW w:w="879" w:type="dxa"/>
            <w:shd w:val="clear" w:color="auto" w:fill="auto"/>
            <w:vAlign w:val="bottom"/>
            <w:hideMark/>
          </w:tcPr>
          <w:p w14:paraId="2FADFF0C" w14:textId="77777777" w:rsidR="00FD5E69" w:rsidRPr="00301699" w:rsidRDefault="00FD5E69" w:rsidP="0099025B">
            <w:pPr>
              <w:suppressAutoHyphens w:val="0"/>
              <w:spacing w:before="60" w:after="60" w:line="240" w:lineRule="auto"/>
              <w:ind w:left="28" w:right="28"/>
              <w:jc w:val="center"/>
              <w:rPr>
                <w:i/>
                <w:iCs/>
                <w:sz w:val="16"/>
                <w:szCs w:val="16"/>
              </w:rPr>
            </w:pPr>
            <w:r w:rsidRPr="00301699">
              <w:rPr>
                <w:i/>
                <w:iCs/>
                <w:sz w:val="16"/>
                <w:szCs w:val="16"/>
              </w:rPr>
              <w:t>Dispositions spéciales d’emballage</w:t>
            </w:r>
          </w:p>
        </w:tc>
        <w:tc>
          <w:tcPr>
            <w:tcW w:w="836" w:type="dxa"/>
            <w:shd w:val="clear" w:color="auto" w:fill="auto"/>
            <w:vAlign w:val="bottom"/>
            <w:hideMark/>
          </w:tcPr>
          <w:p w14:paraId="411E3558" w14:textId="77777777" w:rsidR="00FD5E69" w:rsidRPr="00301699" w:rsidRDefault="00FD5E69" w:rsidP="0099025B">
            <w:pPr>
              <w:suppressAutoHyphens w:val="0"/>
              <w:spacing w:before="60" w:after="60" w:line="240" w:lineRule="auto"/>
              <w:ind w:left="28" w:right="28"/>
              <w:jc w:val="center"/>
              <w:rPr>
                <w:i/>
                <w:iCs/>
                <w:sz w:val="16"/>
                <w:szCs w:val="16"/>
              </w:rPr>
            </w:pPr>
            <w:r w:rsidRPr="00301699">
              <w:rPr>
                <w:i/>
                <w:iCs/>
                <w:sz w:val="16"/>
                <w:szCs w:val="16"/>
              </w:rPr>
              <w:t>Instructions</w:t>
            </w:r>
            <w:r>
              <w:rPr>
                <w:i/>
                <w:iCs/>
                <w:sz w:val="16"/>
                <w:szCs w:val="16"/>
              </w:rPr>
              <w:br/>
            </w:r>
            <w:r w:rsidRPr="00301699">
              <w:rPr>
                <w:i/>
                <w:iCs/>
                <w:sz w:val="16"/>
                <w:szCs w:val="16"/>
              </w:rPr>
              <w:t xml:space="preserve"> de </w:t>
            </w:r>
            <w:r>
              <w:rPr>
                <w:i/>
                <w:iCs/>
                <w:sz w:val="16"/>
                <w:szCs w:val="16"/>
              </w:rPr>
              <w:t>t</w:t>
            </w:r>
            <w:r w:rsidRPr="00301699">
              <w:rPr>
                <w:i/>
                <w:iCs/>
                <w:sz w:val="16"/>
                <w:szCs w:val="16"/>
              </w:rPr>
              <w:t>ransport</w:t>
            </w:r>
          </w:p>
        </w:tc>
        <w:tc>
          <w:tcPr>
            <w:tcW w:w="871" w:type="dxa"/>
            <w:shd w:val="clear" w:color="auto" w:fill="auto"/>
            <w:vAlign w:val="bottom"/>
            <w:hideMark/>
          </w:tcPr>
          <w:p w14:paraId="3EF13D79" w14:textId="77777777" w:rsidR="00FD5E69" w:rsidRPr="00301699" w:rsidRDefault="00FD5E69" w:rsidP="0099025B">
            <w:pPr>
              <w:suppressAutoHyphens w:val="0"/>
              <w:spacing w:before="60" w:after="60" w:line="240" w:lineRule="auto"/>
              <w:ind w:left="28" w:right="28"/>
              <w:jc w:val="center"/>
              <w:rPr>
                <w:i/>
                <w:iCs/>
                <w:sz w:val="16"/>
                <w:szCs w:val="16"/>
              </w:rPr>
            </w:pPr>
            <w:r w:rsidRPr="00301699">
              <w:rPr>
                <w:i/>
                <w:iCs/>
                <w:sz w:val="16"/>
                <w:szCs w:val="16"/>
              </w:rPr>
              <w:t>Dispositions spéciales</w:t>
            </w:r>
          </w:p>
        </w:tc>
      </w:tr>
      <w:tr w:rsidR="00FD5E69" w:rsidRPr="004306EF" w14:paraId="52456F50" w14:textId="77777777" w:rsidTr="0099025B">
        <w:tc>
          <w:tcPr>
            <w:tcW w:w="497" w:type="dxa"/>
            <w:shd w:val="clear" w:color="auto" w:fill="auto"/>
          </w:tcPr>
          <w:p w14:paraId="13FE7BDE" w14:textId="77777777" w:rsidR="00FD5E69" w:rsidRPr="004306EF" w:rsidRDefault="00FD5E69" w:rsidP="0099025B">
            <w:pPr>
              <w:suppressAutoHyphens w:val="0"/>
              <w:spacing w:before="60" w:after="60" w:line="240" w:lineRule="auto"/>
              <w:ind w:left="28" w:right="28"/>
              <w:rPr>
                <w:sz w:val="17"/>
                <w:szCs w:val="17"/>
                <w:u w:val="single"/>
              </w:rPr>
            </w:pPr>
            <w:r w:rsidRPr="004306EF">
              <w:rPr>
                <w:sz w:val="17"/>
                <w:szCs w:val="17"/>
                <w:u w:val="single"/>
              </w:rPr>
              <w:t>1835</w:t>
            </w:r>
          </w:p>
        </w:tc>
        <w:tc>
          <w:tcPr>
            <w:tcW w:w="1944" w:type="dxa"/>
            <w:shd w:val="clear" w:color="auto" w:fill="auto"/>
            <w:vAlign w:val="bottom"/>
          </w:tcPr>
          <w:p w14:paraId="24E2A58D" w14:textId="77777777" w:rsidR="00FD5E69" w:rsidRPr="004306EF" w:rsidRDefault="00FD5E69" w:rsidP="0099025B">
            <w:pPr>
              <w:suppressAutoHyphens w:val="0"/>
              <w:spacing w:before="60" w:after="60" w:line="240" w:lineRule="auto"/>
              <w:ind w:left="57" w:right="57"/>
              <w:rPr>
                <w:sz w:val="17"/>
                <w:szCs w:val="17"/>
                <w:u w:val="single"/>
              </w:rPr>
            </w:pPr>
            <w:r w:rsidRPr="004306EF">
              <w:rPr>
                <w:sz w:val="17"/>
                <w:szCs w:val="17"/>
                <w:u w:val="single"/>
              </w:rPr>
              <w:t>HYDROXYDE DE TETRAMETHYLAMMONIUM EN SOLUTION contenant plus de 8,75 % d’hydroxyde de tétraméthylammonium</w:t>
            </w:r>
          </w:p>
        </w:tc>
        <w:tc>
          <w:tcPr>
            <w:tcW w:w="647" w:type="dxa"/>
            <w:shd w:val="clear" w:color="auto" w:fill="auto"/>
          </w:tcPr>
          <w:p w14:paraId="25F5EB04" w14:textId="77777777" w:rsidR="00FD5E69" w:rsidRPr="004306EF" w:rsidRDefault="00FD5E69" w:rsidP="0099025B">
            <w:pPr>
              <w:suppressAutoHyphens w:val="0"/>
              <w:spacing w:before="60" w:after="60" w:line="240" w:lineRule="auto"/>
              <w:ind w:left="57" w:right="57"/>
              <w:jc w:val="center"/>
              <w:rPr>
                <w:sz w:val="17"/>
                <w:szCs w:val="17"/>
                <w:u w:val="single"/>
              </w:rPr>
            </w:pPr>
            <w:r w:rsidRPr="004306EF">
              <w:rPr>
                <w:sz w:val="17"/>
                <w:szCs w:val="17"/>
                <w:u w:val="single"/>
              </w:rPr>
              <w:t>6.1</w:t>
            </w:r>
          </w:p>
        </w:tc>
        <w:tc>
          <w:tcPr>
            <w:tcW w:w="593" w:type="dxa"/>
            <w:shd w:val="clear" w:color="auto" w:fill="auto"/>
          </w:tcPr>
          <w:p w14:paraId="6645B54B" w14:textId="77777777" w:rsidR="00FD5E69" w:rsidRPr="004306EF" w:rsidRDefault="00FD5E69" w:rsidP="0099025B">
            <w:pPr>
              <w:suppressAutoHyphens w:val="0"/>
              <w:spacing w:before="60" w:after="60" w:line="240" w:lineRule="auto"/>
              <w:ind w:left="57" w:right="57"/>
              <w:jc w:val="center"/>
              <w:rPr>
                <w:sz w:val="17"/>
                <w:szCs w:val="17"/>
                <w:u w:val="single"/>
              </w:rPr>
            </w:pPr>
            <w:r w:rsidRPr="004306EF">
              <w:rPr>
                <w:sz w:val="17"/>
                <w:szCs w:val="17"/>
                <w:u w:val="single"/>
              </w:rPr>
              <w:t>8</w:t>
            </w:r>
          </w:p>
        </w:tc>
        <w:tc>
          <w:tcPr>
            <w:tcW w:w="849" w:type="dxa"/>
            <w:shd w:val="clear" w:color="auto" w:fill="auto"/>
          </w:tcPr>
          <w:p w14:paraId="1B48EAF8" w14:textId="77777777" w:rsidR="00FD5E69" w:rsidRPr="004306EF" w:rsidRDefault="00FD5E69" w:rsidP="0099025B">
            <w:pPr>
              <w:suppressAutoHyphens w:val="0"/>
              <w:spacing w:before="60" w:after="60" w:line="240" w:lineRule="auto"/>
              <w:ind w:left="28" w:right="28"/>
              <w:jc w:val="center"/>
              <w:rPr>
                <w:sz w:val="17"/>
                <w:szCs w:val="17"/>
                <w:u w:val="single"/>
              </w:rPr>
            </w:pPr>
            <w:r w:rsidRPr="004306EF">
              <w:rPr>
                <w:sz w:val="17"/>
                <w:szCs w:val="17"/>
                <w:u w:val="single"/>
              </w:rPr>
              <w:t>I</w:t>
            </w:r>
          </w:p>
        </w:tc>
        <w:tc>
          <w:tcPr>
            <w:tcW w:w="840" w:type="dxa"/>
            <w:shd w:val="clear" w:color="auto" w:fill="auto"/>
          </w:tcPr>
          <w:p w14:paraId="576AF513" w14:textId="77777777" w:rsidR="00FD5E69" w:rsidRPr="004306EF" w:rsidRDefault="00FD5E69" w:rsidP="0099025B">
            <w:pPr>
              <w:suppressAutoHyphens w:val="0"/>
              <w:spacing w:before="60" w:after="60" w:line="240" w:lineRule="auto"/>
              <w:ind w:left="28" w:right="28"/>
              <w:jc w:val="center"/>
              <w:rPr>
                <w:sz w:val="17"/>
                <w:szCs w:val="17"/>
                <w:u w:val="single"/>
              </w:rPr>
            </w:pPr>
            <w:r w:rsidRPr="004306EF">
              <w:rPr>
                <w:sz w:val="17"/>
                <w:szCs w:val="17"/>
                <w:u w:val="single"/>
              </w:rPr>
              <w:t>279</w:t>
            </w:r>
          </w:p>
        </w:tc>
        <w:tc>
          <w:tcPr>
            <w:tcW w:w="448" w:type="dxa"/>
            <w:shd w:val="clear" w:color="auto" w:fill="auto"/>
          </w:tcPr>
          <w:p w14:paraId="3D48B098" w14:textId="77777777" w:rsidR="00FD5E69" w:rsidRPr="004306EF" w:rsidRDefault="00FD5E69" w:rsidP="0099025B">
            <w:pPr>
              <w:suppressAutoHyphens w:val="0"/>
              <w:spacing w:before="60" w:after="60" w:line="240" w:lineRule="auto"/>
              <w:ind w:left="57" w:right="57"/>
              <w:jc w:val="center"/>
              <w:rPr>
                <w:sz w:val="17"/>
                <w:szCs w:val="17"/>
                <w:u w:val="single"/>
              </w:rPr>
            </w:pPr>
            <w:r w:rsidRPr="004306EF">
              <w:rPr>
                <w:sz w:val="17"/>
                <w:szCs w:val="17"/>
                <w:u w:val="single"/>
              </w:rPr>
              <w:t>0</w:t>
            </w:r>
          </w:p>
        </w:tc>
        <w:tc>
          <w:tcPr>
            <w:tcW w:w="371" w:type="dxa"/>
            <w:shd w:val="clear" w:color="auto" w:fill="auto"/>
          </w:tcPr>
          <w:p w14:paraId="28AB9721" w14:textId="77777777" w:rsidR="00FD5E69" w:rsidRPr="004306EF" w:rsidRDefault="00FD5E69" w:rsidP="0099025B">
            <w:pPr>
              <w:suppressAutoHyphens w:val="0"/>
              <w:spacing w:before="60" w:after="60" w:line="240" w:lineRule="auto"/>
              <w:ind w:left="57" w:right="57"/>
              <w:jc w:val="center"/>
              <w:rPr>
                <w:sz w:val="17"/>
                <w:szCs w:val="17"/>
                <w:u w:val="single"/>
              </w:rPr>
            </w:pPr>
            <w:r w:rsidRPr="004306EF">
              <w:rPr>
                <w:sz w:val="17"/>
                <w:szCs w:val="17"/>
                <w:u w:val="single"/>
              </w:rPr>
              <w:t>E5</w:t>
            </w:r>
          </w:p>
        </w:tc>
        <w:tc>
          <w:tcPr>
            <w:tcW w:w="865" w:type="dxa"/>
            <w:shd w:val="clear" w:color="auto" w:fill="auto"/>
          </w:tcPr>
          <w:p w14:paraId="59D193A5" w14:textId="77777777" w:rsidR="00FD5E69" w:rsidRPr="004306EF" w:rsidRDefault="00FD5E69" w:rsidP="0099025B">
            <w:pPr>
              <w:suppressAutoHyphens w:val="0"/>
              <w:spacing w:before="60" w:after="60" w:line="240" w:lineRule="auto"/>
              <w:ind w:left="28" w:right="28"/>
              <w:jc w:val="center"/>
              <w:rPr>
                <w:sz w:val="17"/>
                <w:szCs w:val="17"/>
                <w:u w:val="single"/>
              </w:rPr>
            </w:pPr>
            <w:r w:rsidRPr="004306EF">
              <w:rPr>
                <w:sz w:val="17"/>
                <w:szCs w:val="17"/>
                <w:u w:val="single"/>
              </w:rPr>
              <w:t>P001</w:t>
            </w:r>
          </w:p>
        </w:tc>
        <w:tc>
          <w:tcPr>
            <w:tcW w:w="880" w:type="dxa"/>
            <w:shd w:val="clear" w:color="auto" w:fill="auto"/>
          </w:tcPr>
          <w:p w14:paraId="581A05CB" w14:textId="77777777" w:rsidR="00FD5E69" w:rsidRPr="004306EF" w:rsidRDefault="00FD5E69" w:rsidP="0099025B">
            <w:pPr>
              <w:suppressAutoHyphens w:val="0"/>
              <w:spacing w:before="60" w:after="60" w:line="240" w:lineRule="auto"/>
              <w:ind w:left="28" w:right="28"/>
              <w:jc w:val="center"/>
              <w:rPr>
                <w:sz w:val="17"/>
                <w:szCs w:val="17"/>
                <w:u w:val="single"/>
              </w:rPr>
            </w:pPr>
          </w:p>
        </w:tc>
        <w:tc>
          <w:tcPr>
            <w:tcW w:w="837" w:type="dxa"/>
            <w:shd w:val="clear" w:color="auto" w:fill="auto"/>
          </w:tcPr>
          <w:p w14:paraId="795D2950" w14:textId="77777777" w:rsidR="00FD5E69" w:rsidRPr="004306EF" w:rsidRDefault="00FD5E69" w:rsidP="0099025B">
            <w:pPr>
              <w:suppressAutoHyphens w:val="0"/>
              <w:spacing w:before="60" w:after="60" w:line="240" w:lineRule="auto"/>
              <w:ind w:left="28" w:right="28"/>
              <w:jc w:val="center"/>
              <w:rPr>
                <w:sz w:val="17"/>
                <w:szCs w:val="17"/>
                <w:u w:val="single"/>
              </w:rPr>
            </w:pPr>
            <w:r w:rsidRPr="004306EF">
              <w:rPr>
                <w:sz w:val="17"/>
                <w:szCs w:val="17"/>
                <w:u w:val="single"/>
              </w:rPr>
              <w:t>T14</w:t>
            </w:r>
          </w:p>
        </w:tc>
        <w:tc>
          <w:tcPr>
            <w:tcW w:w="872" w:type="dxa"/>
            <w:shd w:val="clear" w:color="auto" w:fill="auto"/>
          </w:tcPr>
          <w:p w14:paraId="0606E9D6" w14:textId="77777777" w:rsidR="00FD5E69" w:rsidRPr="004306EF" w:rsidRDefault="00FD5E69" w:rsidP="0099025B">
            <w:pPr>
              <w:suppressAutoHyphens w:val="0"/>
              <w:spacing w:before="60" w:after="60" w:line="240" w:lineRule="auto"/>
              <w:ind w:left="28" w:right="28"/>
              <w:jc w:val="center"/>
              <w:rPr>
                <w:sz w:val="17"/>
                <w:szCs w:val="17"/>
                <w:u w:val="single"/>
              </w:rPr>
            </w:pPr>
            <w:r w:rsidRPr="004306EF">
              <w:rPr>
                <w:sz w:val="17"/>
                <w:szCs w:val="17"/>
                <w:u w:val="single"/>
              </w:rPr>
              <w:t>TP2</w:t>
            </w:r>
          </w:p>
        </w:tc>
      </w:tr>
      <w:tr w:rsidR="00FD5E69" w:rsidRPr="004306EF" w14:paraId="3FA6DC0D" w14:textId="77777777" w:rsidTr="0099025B">
        <w:tc>
          <w:tcPr>
            <w:tcW w:w="497" w:type="dxa"/>
            <w:shd w:val="clear" w:color="auto" w:fill="auto"/>
          </w:tcPr>
          <w:p w14:paraId="4CCC2F39" w14:textId="77777777" w:rsidR="00FD5E69" w:rsidRPr="004306EF" w:rsidRDefault="00FD5E69" w:rsidP="0099025B">
            <w:pPr>
              <w:suppressAutoHyphens w:val="0"/>
              <w:spacing w:before="60" w:after="60" w:line="240" w:lineRule="auto"/>
              <w:ind w:left="28" w:right="28"/>
              <w:rPr>
                <w:sz w:val="17"/>
                <w:szCs w:val="17"/>
              </w:rPr>
            </w:pPr>
            <w:r w:rsidRPr="004306EF">
              <w:rPr>
                <w:sz w:val="17"/>
                <w:szCs w:val="17"/>
              </w:rPr>
              <w:t>1835</w:t>
            </w:r>
          </w:p>
        </w:tc>
        <w:tc>
          <w:tcPr>
            <w:tcW w:w="1944" w:type="dxa"/>
            <w:shd w:val="clear" w:color="auto" w:fill="auto"/>
            <w:vAlign w:val="bottom"/>
          </w:tcPr>
          <w:p w14:paraId="503C6B68" w14:textId="77777777" w:rsidR="00FD5E69" w:rsidRPr="004306EF" w:rsidRDefault="00FD5E69" w:rsidP="0099025B">
            <w:pPr>
              <w:suppressAutoHyphens w:val="0"/>
              <w:spacing w:before="60" w:after="60" w:line="240" w:lineRule="auto"/>
              <w:ind w:left="57" w:right="57"/>
              <w:rPr>
                <w:sz w:val="17"/>
                <w:szCs w:val="17"/>
              </w:rPr>
            </w:pPr>
            <w:r w:rsidRPr="004306EF">
              <w:rPr>
                <w:sz w:val="17"/>
                <w:szCs w:val="17"/>
              </w:rPr>
              <w:t>SOLUTION D’HYDROXIDE DE TETRAMETHYLAMMONIUM</w:t>
            </w:r>
            <w:r w:rsidRPr="004306EF">
              <w:rPr>
                <w:sz w:val="17"/>
                <w:szCs w:val="17"/>
                <w:u w:val="single"/>
              </w:rPr>
              <w:t xml:space="preserve"> contenant au moins 2,38 % et au plus 8,75 % d’hydroxyde de tétraméthylammonium</w:t>
            </w:r>
          </w:p>
        </w:tc>
        <w:tc>
          <w:tcPr>
            <w:tcW w:w="647" w:type="dxa"/>
            <w:shd w:val="clear" w:color="auto" w:fill="auto"/>
          </w:tcPr>
          <w:p w14:paraId="38F15C7C" w14:textId="77777777" w:rsidR="00FD5E69" w:rsidRPr="004306EF" w:rsidRDefault="00FD5E69" w:rsidP="0099025B">
            <w:pPr>
              <w:suppressAutoHyphens w:val="0"/>
              <w:spacing w:before="60" w:after="60" w:line="240" w:lineRule="auto"/>
              <w:ind w:left="57" w:right="57"/>
              <w:jc w:val="center"/>
              <w:rPr>
                <w:sz w:val="17"/>
                <w:szCs w:val="17"/>
                <w:u w:val="single"/>
              </w:rPr>
            </w:pPr>
            <w:r w:rsidRPr="004306EF">
              <w:rPr>
                <w:sz w:val="17"/>
                <w:szCs w:val="17"/>
                <w:u w:val="single"/>
              </w:rPr>
              <w:t>6.1</w:t>
            </w:r>
            <w:r w:rsidRPr="004306EF">
              <w:rPr>
                <w:strike/>
                <w:sz w:val="17"/>
                <w:szCs w:val="17"/>
              </w:rPr>
              <w:t>8</w:t>
            </w:r>
          </w:p>
        </w:tc>
        <w:tc>
          <w:tcPr>
            <w:tcW w:w="593" w:type="dxa"/>
            <w:shd w:val="clear" w:color="auto" w:fill="auto"/>
          </w:tcPr>
          <w:p w14:paraId="1E75C383" w14:textId="77777777" w:rsidR="00FD5E69" w:rsidRPr="004306EF" w:rsidRDefault="00FD5E69" w:rsidP="0099025B">
            <w:pPr>
              <w:suppressAutoHyphens w:val="0"/>
              <w:spacing w:before="60" w:after="60" w:line="240" w:lineRule="auto"/>
              <w:ind w:left="57" w:right="57"/>
              <w:jc w:val="center"/>
              <w:rPr>
                <w:sz w:val="17"/>
                <w:szCs w:val="17"/>
                <w:u w:val="single"/>
              </w:rPr>
            </w:pPr>
            <w:r w:rsidRPr="004306EF">
              <w:rPr>
                <w:sz w:val="17"/>
                <w:szCs w:val="17"/>
                <w:u w:val="single"/>
              </w:rPr>
              <w:t>8</w:t>
            </w:r>
          </w:p>
        </w:tc>
        <w:tc>
          <w:tcPr>
            <w:tcW w:w="849" w:type="dxa"/>
            <w:shd w:val="clear" w:color="auto" w:fill="auto"/>
          </w:tcPr>
          <w:p w14:paraId="26DA307D" w14:textId="77777777" w:rsidR="00FD5E69" w:rsidRPr="004306EF" w:rsidRDefault="00FD5E69" w:rsidP="0099025B">
            <w:pPr>
              <w:suppressAutoHyphens w:val="0"/>
              <w:spacing w:before="60" w:after="60" w:line="240" w:lineRule="auto"/>
              <w:ind w:left="28" w:right="28"/>
              <w:jc w:val="center"/>
              <w:rPr>
                <w:sz w:val="17"/>
                <w:szCs w:val="17"/>
              </w:rPr>
            </w:pPr>
            <w:r w:rsidRPr="004306EF">
              <w:rPr>
                <w:sz w:val="17"/>
                <w:szCs w:val="17"/>
              </w:rPr>
              <w:t>II</w:t>
            </w:r>
          </w:p>
        </w:tc>
        <w:tc>
          <w:tcPr>
            <w:tcW w:w="840" w:type="dxa"/>
            <w:shd w:val="clear" w:color="auto" w:fill="auto"/>
          </w:tcPr>
          <w:p w14:paraId="1B82F238" w14:textId="77777777" w:rsidR="00FD5E69" w:rsidRPr="004306EF" w:rsidRDefault="00FD5E69" w:rsidP="0099025B">
            <w:pPr>
              <w:suppressAutoHyphens w:val="0"/>
              <w:spacing w:before="60" w:after="60" w:line="240" w:lineRule="auto"/>
              <w:ind w:left="28" w:right="28"/>
              <w:jc w:val="center"/>
              <w:rPr>
                <w:sz w:val="17"/>
                <w:szCs w:val="17"/>
              </w:rPr>
            </w:pPr>
          </w:p>
        </w:tc>
        <w:tc>
          <w:tcPr>
            <w:tcW w:w="448" w:type="dxa"/>
            <w:shd w:val="clear" w:color="auto" w:fill="auto"/>
          </w:tcPr>
          <w:p w14:paraId="09931AC6" w14:textId="77777777" w:rsidR="00FD5E69" w:rsidRPr="004306EF" w:rsidRDefault="00FD5E69" w:rsidP="0099025B">
            <w:pPr>
              <w:suppressAutoHyphens w:val="0"/>
              <w:spacing w:before="60" w:after="60" w:line="240" w:lineRule="auto"/>
              <w:ind w:left="57" w:right="57"/>
              <w:jc w:val="center"/>
              <w:rPr>
                <w:sz w:val="17"/>
                <w:szCs w:val="17"/>
              </w:rPr>
            </w:pPr>
            <w:r w:rsidRPr="004306EF">
              <w:rPr>
                <w:strike/>
                <w:sz w:val="17"/>
                <w:szCs w:val="17"/>
              </w:rPr>
              <w:t>1 L</w:t>
            </w:r>
            <w:r w:rsidRPr="004306EF">
              <w:rPr>
                <w:sz w:val="17"/>
                <w:szCs w:val="17"/>
              </w:rPr>
              <w:t xml:space="preserve"> </w:t>
            </w:r>
            <w:r w:rsidRPr="004306EF">
              <w:rPr>
                <w:sz w:val="17"/>
                <w:szCs w:val="17"/>
                <w:u w:val="single"/>
              </w:rPr>
              <w:t>100 ml</w:t>
            </w:r>
          </w:p>
        </w:tc>
        <w:tc>
          <w:tcPr>
            <w:tcW w:w="371" w:type="dxa"/>
            <w:shd w:val="clear" w:color="auto" w:fill="auto"/>
          </w:tcPr>
          <w:p w14:paraId="6B76DBE5" w14:textId="77777777" w:rsidR="00FD5E69" w:rsidRPr="004306EF" w:rsidRDefault="00FD5E69" w:rsidP="0099025B">
            <w:pPr>
              <w:suppressAutoHyphens w:val="0"/>
              <w:spacing w:before="60" w:after="60" w:line="240" w:lineRule="auto"/>
              <w:ind w:left="57" w:right="57"/>
              <w:jc w:val="center"/>
              <w:rPr>
                <w:sz w:val="17"/>
                <w:szCs w:val="17"/>
              </w:rPr>
            </w:pPr>
            <w:r w:rsidRPr="004306EF">
              <w:rPr>
                <w:strike/>
                <w:sz w:val="17"/>
                <w:szCs w:val="17"/>
              </w:rPr>
              <w:t>E2</w:t>
            </w:r>
            <w:r w:rsidRPr="004306EF">
              <w:rPr>
                <w:sz w:val="17"/>
                <w:szCs w:val="17"/>
              </w:rPr>
              <w:t xml:space="preserve"> </w:t>
            </w:r>
            <w:r w:rsidRPr="004306EF">
              <w:rPr>
                <w:sz w:val="17"/>
                <w:szCs w:val="17"/>
                <w:u w:val="single"/>
              </w:rPr>
              <w:t>E4</w:t>
            </w:r>
          </w:p>
        </w:tc>
        <w:tc>
          <w:tcPr>
            <w:tcW w:w="865" w:type="dxa"/>
            <w:shd w:val="clear" w:color="auto" w:fill="auto"/>
          </w:tcPr>
          <w:p w14:paraId="49DEC259" w14:textId="77777777" w:rsidR="00FD5E69" w:rsidRPr="004306EF" w:rsidRDefault="00FD5E69" w:rsidP="0099025B">
            <w:pPr>
              <w:suppressAutoHyphens w:val="0"/>
              <w:spacing w:before="60" w:after="60" w:line="240" w:lineRule="auto"/>
              <w:ind w:left="28" w:right="28"/>
              <w:jc w:val="center"/>
              <w:rPr>
                <w:sz w:val="17"/>
                <w:szCs w:val="17"/>
              </w:rPr>
            </w:pPr>
            <w:r w:rsidRPr="004306EF">
              <w:rPr>
                <w:sz w:val="17"/>
                <w:szCs w:val="17"/>
              </w:rPr>
              <w:t>P001</w:t>
            </w:r>
          </w:p>
          <w:p w14:paraId="01D2A860" w14:textId="77777777" w:rsidR="00FD5E69" w:rsidRPr="004306EF" w:rsidRDefault="00FD5E69" w:rsidP="0099025B">
            <w:pPr>
              <w:suppressAutoHyphens w:val="0"/>
              <w:spacing w:before="60" w:after="60" w:line="240" w:lineRule="auto"/>
              <w:ind w:left="28" w:right="28"/>
              <w:jc w:val="center"/>
              <w:rPr>
                <w:sz w:val="17"/>
                <w:szCs w:val="17"/>
              </w:rPr>
            </w:pPr>
            <w:r w:rsidRPr="004306EF">
              <w:rPr>
                <w:sz w:val="17"/>
                <w:szCs w:val="17"/>
              </w:rPr>
              <w:t>IBC02</w:t>
            </w:r>
          </w:p>
        </w:tc>
        <w:tc>
          <w:tcPr>
            <w:tcW w:w="880" w:type="dxa"/>
            <w:shd w:val="clear" w:color="auto" w:fill="auto"/>
          </w:tcPr>
          <w:p w14:paraId="09922EC4" w14:textId="77777777" w:rsidR="00FD5E69" w:rsidRPr="004306EF" w:rsidRDefault="00FD5E69" w:rsidP="0099025B">
            <w:pPr>
              <w:suppressAutoHyphens w:val="0"/>
              <w:spacing w:before="60" w:after="60" w:line="240" w:lineRule="auto"/>
              <w:ind w:left="28" w:right="28"/>
              <w:jc w:val="center"/>
              <w:rPr>
                <w:sz w:val="17"/>
                <w:szCs w:val="17"/>
              </w:rPr>
            </w:pPr>
          </w:p>
        </w:tc>
        <w:tc>
          <w:tcPr>
            <w:tcW w:w="837" w:type="dxa"/>
            <w:shd w:val="clear" w:color="auto" w:fill="auto"/>
          </w:tcPr>
          <w:p w14:paraId="4818B80C" w14:textId="77777777" w:rsidR="00FD5E69" w:rsidRPr="004306EF" w:rsidRDefault="00FD5E69" w:rsidP="0099025B">
            <w:pPr>
              <w:suppressAutoHyphens w:val="0"/>
              <w:spacing w:before="60" w:after="60" w:line="240" w:lineRule="auto"/>
              <w:ind w:left="28" w:right="28"/>
              <w:jc w:val="center"/>
              <w:rPr>
                <w:sz w:val="17"/>
                <w:szCs w:val="17"/>
              </w:rPr>
            </w:pPr>
            <w:r w:rsidRPr="004306EF">
              <w:rPr>
                <w:sz w:val="17"/>
                <w:szCs w:val="17"/>
              </w:rPr>
              <w:t>T7</w:t>
            </w:r>
          </w:p>
        </w:tc>
        <w:tc>
          <w:tcPr>
            <w:tcW w:w="872" w:type="dxa"/>
            <w:shd w:val="clear" w:color="auto" w:fill="auto"/>
          </w:tcPr>
          <w:p w14:paraId="77598095" w14:textId="77777777" w:rsidR="00FD5E69" w:rsidRPr="004306EF" w:rsidRDefault="00FD5E69" w:rsidP="0099025B">
            <w:pPr>
              <w:suppressAutoHyphens w:val="0"/>
              <w:spacing w:before="60" w:after="60" w:line="240" w:lineRule="auto"/>
              <w:ind w:left="28" w:right="28"/>
              <w:jc w:val="center"/>
              <w:rPr>
                <w:sz w:val="17"/>
                <w:szCs w:val="17"/>
              </w:rPr>
            </w:pPr>
            <w:r w:rsidRPr="004306EF">
              <w:rPr>
                <w:sz w:val="17"/>
                <w:szCs w:val="17"/>
              </w:rPr>
              <w:t>TP2</w:t>
            </w:r>
          </w:p>
        </w:tc>
      </w:tr>
      <w:tr w:rsidR="00FD5E69" w:rsidRPr="004306EF" w14:paraId="053B9474" w14:textId="77777777" w:rsidTr="0099025B">
        <w:tc>
          <w:tcPr>
            <w:tcW w:w="497" w:type="dxa"/>
            <w:shd w:val="clear" w:color="auto" w:fill="auto"/>
          </w:tcPr>
          <w:p w14:paraId="7F54A560" w14:textId="77777777" w:rsidR="00FD5E69" w:rsidRPr="004306EF" w:rsidRDefault="00FD5E69" w:rsidP="0099025B">
            <w:pPr>
              <w:suppressAutoHyphens w:val="0"/>
              <w:spacing w:before="60" w:after="60" w:line="240" w:lineRule="auto"/>
              <w:ind w:left="28" w:right="28"/>
              <w:rPr>
                <w:sz w:val="17"/>
                <w:szCs w:val="17"/>
                <w:u w:val="single"/>
              </w:rPr>
            </w:pPr>
            <w:r w:rsidRPr="004306EF">
              <w:rPr>
                <w:sz w:val="17"/>
                <w:szCs w:val="17"/>
              </w:rPr>
              <w:t>1835</w:t>
            </w:r>
          </w:p>
        </w:tc>
        <w:tc>
          <w:tcPr>
            <w:tcW w:w="1944" w:type="dxa"/>
            <w:shd w:val="clear" w:color="auto" w:fill="auto"/>
            <w:vAlign w:val="bottom"/>
          </w:tcPr>
          <w:p w14:paraId="6D595F17" w14:textId="77777777" w:rsidR="00FD5E69" w:rsidRPr="004306EF" w:rsidRDefault="00FD5E69" w:rsidP="0099025B">
            <w:pPr>
              <w:suppressAutoHyphens w:val="0"/>
              <w:spacing w:before="60" w:after="60" w:line="240" w:lineRule="auto"/>
              <w:ind w:left="57" w:right="57"/>
              <w:rPr>
                <w:sz w:val="17"/>
                <w:szCs w:val="17"/>
              </w:rPr>
            </w:pPr>
            <w:r w:rsidRPr="004306EF">
              <w:rPr>
                <w:sz w:val="17"/>
                <w:szCs w:val="17"/>
              </w:rPr>
              <w:t xml:space="preserve">HYDROXYDE DE TETRAMETHYLAMMONIUM EN SOLUTION contenant moins de </w:t>
            </w:r>
            <w:r w:rsidRPr="004306EF">
              <w:rPr>
                <w:sz w:val="17"/>
                <w:szCs w:val="17"/>
                <w:u w:val="single"/>
              </w:rPr>
              <w:t>2,38 % d’hydroxyde de tétraméthylammonium</w:t>
            </w:r>
          </w:p>
        </w:tc>
        <w:tc>
          <w:tcPr>
            <w:tcW w:w="647" w:type="dxa"/>
            <w:shd w:val="clear" w:color="auto" w:fill="auto"/>
          </w:tcPr>
          <w:p w14:paraId="18A1E214" w14:textId="77777777" w:rsidR="00FD5E69" w:rsidRPr="004306EF" w:rsidRDefault="00FD5E69" w:rsidP="0099025B">
            <w:pPr>
              <w:suppressAutoHyphens w:val="0"/>
              <w:spacing w:before="60" w:after="60" w:line="240" w:lineRule="auto"/>
              <w:ind w:left="57" w:right="57"/>
              <w:jc w:val="center"/>
              <w:rPr>
                <w:sz w:val="17"/>
                <w:szCs w:val="17"/>
                <w:u w:val="single"/>
              </w:rPr>
            </w:pPr>
            <w:r w:rsidRPr="004306EF">
              <w:rPr>
                <w:sz w:val="17"/>
                <w:szCs w:val="17"/>
              </w:rPr>
              <w:t>8</w:t>
            </w:r>
          </w:p>
        </w:tc>
        <w:tc>
          <w:tcPr>
            <w:tcW w:w="593" w:type="dxa"/>
            <w:shd w:val="clear" w:color="auto" w:fill="auto"/>
          </w:tcPr>
          <w:p w14:paraId="156AE253" w14:textId="77777777" w:rsidR="00FD5E69" w:rsidRPr="004306EF" w:rsidRDefault="00FD5E69" w:rsidP="0099025B">
            <w:pPr>
              <w:suppressAutoHyphens w:val="0"/>
              <w:spacing w:before="60" w:after="60" w:line="240" w:lineRule="auto"/>
              <w:ind w:left="57" w:right="57"/>
              <w:jc w:val="center"/>
              <w:rPr>
                <w:sz w:val="17"/>
                <w:szCs w:val="17"/>
                <w:u w:val="single"/>
              </w:rPr>
            </w:pPr>
          </w:p>
        </w:tc>
        <w:tc>
          <w:tcPr>
            <w:tcW w:w="849" w:type="dxa"/>
            <w:shd w:val="clear" w:color="auto" w:fill="auto"/>
          </w:tcPr>
          <w:p w14:paraId="40794173" w14:textId="77777777" w:rsidR="00FD5E69" w:rsidRPr="004306EF" w:rsidRDefault="00FD5E69" w:rsidP="0099025B">
            <w:pPr>
              <w:suppressAutoHyphens w:val="0"/>
              <w:spacing w:before="60" w:after="60" w:line="240" w:lineRule="auto"/>
              <w:ind w:left="28" w:right="28"/>
              <w:jc w:val="center"/>
              <w:rPr>
                <w:sz w:val="17"/>
                <w:szCs w:val="17"/>
                <w:u w:val="single"/>
              </w:rPr>
            </w:pPr>
            <w:r w:rsidRPr="004306EF">
              <w:rPr>
                <w:sz w:val="17"/>
                <w:szCs w:val="17"/>
              </w:rPr>
              <w:t>III</w:t>
            </w:r>
          </w:p>
        </w:tc>
        <w:tc>
          <w:tcPr>
            <w:tcW w:w="840" w:type="dxa"/>
            <w:shd w:val="clear" w:color="auto" w:fill="auto"/>
          </w:tcPr>
          <w:p w14:paraId="06D0B491" w14:textId="77777777" w:rsidR="00FD5E69" w:rsidRPr="004306EF" w:rsidRDefault="00FD5E69" w:rsidP="0099025B">
            <w:pPr>
              <w:suppressAutoHyphens w:val="0"/>
              <w:spacing w:before="60" w:after="60" w:line="240" w:lineRule="auto"/>
              <w:ind w:left="28" w:right="28"/>
              <w:jc w:val="center"/>
              <w:rPr>
                <w:sz w:val="17"/>
                <w:szCs w:val="17"/>
              </w:rPr>
            </w:pPr>
            <w:r w:rsidRPr="004306EF">
              <w:rPr>
                <w:sz w:val="17"/>
                <w:szCs w:val="17"/>
              </w:rPr>
              <w:t>223</w:t>
            </w:r>
          </w:p>
          <w:p w14:paraId="0FABE5B6" w14:textId="77777777" w:rsidR="00FD5E69" w:rsidRPr="004306EF" w:rsidRDefault="00FD5E69" w:rsidP="0099025B">
            <w:pPr>
              <w:suppressAutoHyphens w:val="0"/>
              <w:spacing w:before="60" w:after="60" w:line="240" w:lineRule="auto"/>
              <w:ind w:left="28" w:right="28"/>
              <w:jc w:val="center"/>
              <w:rPr>
                <w:sz w:val="17"/>
                <w:szCs w:val="17"/>
                <w:u w:val="single"/>
              </w:rPr>
            </w:pPr>
          </w:p>
        </w:tc>
        <w:tc>
          <w:tcPr>
            <w:tcW w:w="448" w:type="dxa"/>
            <w:shd w:val="clear" w:color="auto" w:fill="auto"/>
          </w:tcPr>
          <w:p w14:paraId="50983216" w14:textId="77777777" w:rsidR="00FD5E69" w:rsidRPr="004306EF" w:rsidRDefault="00FD5E69" w:rsidP="0099025B">
            <w:pPr>
              <w:suppressAutoHyphens w:val="0"/>
              <w:spacing w:before="60" w:after="60" w:line="240" w:lineRule="auto"/>
              <w:ind w:left="57" w:right="57"/>
              <w:jc w:val="center"/>
              <w:rPr>
                <w:sz w:val="17"/>
                <w:szCs w:val="17"/>
                <w:u w:val="single"/>
              </w:rPr>
            </w:pPr>
            <w:r w:rsidRPr="004306EF">
              <w:rPr>
                <w:sz w:val="17"/>
                <w:szCs w:val="17"/>
              </w:rPr>
              <w:t>5 L</w:t>
            </w:r>
          </w:p>
        </w:tc>
        <w:tc>
          <w:tcPr>
            <w:tcW w:w="371" w:type="dxa"/>
            <w:shd w:val="clear" w:color="auto" w:fill="auto"/>
          </w:tcPr>
          <w:p w14:paraId="79C64DF4" w14:textId="77777777" w:rsidR="00FD5E69" w:rsidRPr="004306EF" w:rsidRDefault="00FD5E69" w:rsidP="0099025B">
            <w:pPr>
              <w:suppressAutoHyphens w:val="0"/>
              <w:spacing w:before="60" w:after="60" w:line="240" w:lineRule="auto"/>
              <w:ind w:left="57" w:right="57"/>
              <w:jc w:val="center"/>
              <w:rPr>
                <w:sz w:val="17"/>
                <w:szCs w:val="17"/>
                <w:u w:val="single"/>
              </w:rPr>
            </w:pPr>
            <w:r w:rsidRPr="004306EF">
              <w:rPr>
                <w:sz w:val="17"/>
                <w:szCs w:val="17"/>
              </w:rPr>
              <w:t>E1</w:t>
            </w:r>
          </w:p>
        </w:tc>
        <w:tc>
          <w:tcPr>
            <w:tcW w:w="865" w:type="dxa"/>
            <w:shd w:val="clear" w:color="auto" w:fill="auto"/>
          </w:tcPr>
          <w:p w14:paraId="47A99349" w14:textId="77777777" w:rsidR="00FD5E69" w:rsidRPr="004306EF" w:rsidRDefault="00FD5E69" w:rsidP="0099025B">
            <w:pPr>
              <w:suppressAutoHyphens w:val="0"/>
              <w:spacing w:before="60" w:after="60" w:line="240" w:lineRule="auto"/>
              <w:ind w:left="28" w:right="28"/>
              <w:jc w:val="center"/>
              <w:rPr>
                <w:sz w:val="17"/>
                <w:szCs w:val="17"/>
              </w:rPr>
            </w:pPr>
            <w:r w:rsidRPr="004306EF">
              <w:rPr>
                <w:sz w:val="17"/>
                <w:szCs w:val="17"/>
              </w:rPr>
              <w:t>P001</w:t>
            </w:r>
          </w:p>
          <w:p w14:paraId="4F8424EB" w14:textId="77777777" w:rsidR="00FD5E69" w:rsidRPr="004306EF" w:rsidRDefault="00FD5E69" w:rsidP="0099025B">
            <w:pPr>
              <w:suppressAutoHyphens w:val="0"/>
              <w:spacing w:before="60" w:after="60" w:line="240" w:lineRule="auto"/>
              <w:ind w:left="28" w:right="28"/>
              <w:jc w:val="center"/>
              <w:rPr>
                <w:sz w:val="17"/>
                <w:szCs w:val="17"/>
              </w:rPr>
            </w:pPr>
            <w:r w:rsidRPr="004306EF">
              <w:rPr>
                <w:sz w:val="17"/>
                <w:szCs w:val="17"/>
              </w:rPr>
              <w:t>IBC03</w:t>
            </w:r>
          </w:p>
          <w:p w14:paraId="1B893D90" w14:textId="77777777" w:rsidR="00FD5E69" w:rsidRPr="004306EF" w:rsidRDefault="00FD5E69" w:rsidP="0099025B">
            <w:pPr>
              <w:suppressAutoHyphens w:val="0"/>
              <w:spacing w:before="60" w:after="60" w:line="240" w:lineRule="auto"/>
              <w:ind w:left="28" w:right="28"/>
              <w:jc w:val="center"/>
              <w:rPr>
                <w:sz w:val="17"/>
                <w:szCs w:val="17"/>
                <w:u w:val="single"/>
              </w:rPr>
            </w:pPr>
            <w:r w:rsidRPr="004306EF">
              <w:rPr>
                <w:sz w:val="17"/>
                <w:szCs w:val="17"/>
              </w:rPr>
              <w:t>LP01</w:t>
            </w:r>
          </w:p>
        </w:tc>
        <w:tc>
          <w:tcPr>
            <w:tcW w:w="880" w:type="dxa"/>
            <w:shd w:val="clear" w:color="auto" w:fill="auto"/>
          </w:tcPr>
          <w:p w14:paraId="7B0B9041" w14:textId="77777777" w:rsidR="00FD5E69" w:rsidRPr="004306EF" w:rsidRDefault="00FD5E69" w:rsidP="0099025B">
            <w:pPr>
              <w:suppressAutoHyphens w:val="0"/>
              <w:spacing w:before="60" w:after="60" w:line="240" w:lineRule="auto"/>
              <w:ind w:left="28" w:right="28"/>
              <w:jc w:val="center"/>
              <w:rPr>
                <w:sz w:val="17"/>
                <w:szCs w:val="17"/>
                <w:u w:val="single"/>
              </w:rPr>
            </w:pPr>
          </w:p>
        </w:tc>
        <w:tc>
          <w:tcPr>
            <w:tcW w:w="837" w:type="dxa"/>
            <w:shd w:val="clear" w:color="auto" w:fill="auto"/>
          </w:tcPr>
          <w:p w14:paraId="05AA10BE" w14:textId="77777777" w:rsidR="00FD5E69" w:rsidRPr="004306EF" w:rsidRDefault="00FD5E69" w:rsidP="0099025B">
            <w:pPr>
              <w:suppressAutoHyphens w:val="0"/>
              <w:spacing w:before="60" w:after="60" w:line="240" w:lineRule="auto"/>
              <w:ind w:left="28" w:right="28"/>
              <w:jc w:val="center"/>
              <w:rPr>
                <w:sz w:val="17"/>
                <w:szCs w:val="17"/>
                <w:u w:val="single"/>
              </w:rPr>
            </w:pPr>
            <w:r w:rsidRPr="004306EF">
              <w:rPr>
                <w:sz w:val="17"/>
                <w:szCs w:val="17"/>
              </w:rPr>
              <w:t>T7</w:t>
            </w:r>
          </w:p>
        </w:tc>
        <w:tc>
          <w:tcPr>
            <w:tcW w:w="872" w:type="dxa"/>
            <w:shd w:val="clear" w:color="auto" w:fill="auto"/>
          </w:tcPr>
          <w:p w14:paraId="6850F7B4" w14:textId="77777777" w:rsidR="00FD5E69" w:rsidRPr="004306EF" w:rsidRDefault="00FD5E69" w:rsidP="0099025B">
            <w:pPr>
              <w:suppressAutoHyphens w:val="0"/>
              <w:spacing w:before="60" w:after="60" w:line="240" w:lineRule="auto"/>
              <w:ind w:left="28" w:right="28"/>
              <w:jc w:val="center"/>
              <w:rPr>
                <w:sz w:val="17"/>
                <w:szCs w:val="17"/>
                <w:u w:val="single"/>
              </w:rPr>
            </w:pPr>
            <w:r w:rsidRPr="004306EF">
              <w:rPr>
                <w:sz w:val="17"/>
                <w:szCs w:val="17"/>
              </w:rPr>
              <w:t>TP2</w:t>
            </w:r>
          </w:p>
        </w:tc>
      </w:tr>
      <w:tr w:rsidR="00FD5E69" w:rsidRPr="004306EF" w14:paraId="1485460E" w14:textId="77777777" w:rsidTr="0099025B">
        <w:tc>
          <w:tcPr>
            <w:tcW w:w="497" w:type="dxa"/>
            <w:shd w:val="clear" w:color="auto" w:fill="auto"/>
            <w:hideMark/>
          </w:tcPr>
          <w:p w14:paraId="59BAD45F" w14:textId="77777777" w:rsidR="00FD5E69" w:rsidRPr="004306EF" w:rsidRDefault="00FD5E69" w:rsidP="0099025B">
            <w:pPr>
              <w:suppressAutoHyphens w:val="0"/>
              <w:spacing w:before="60" w:after="60" w:line="240" w:lineRule="auto"/>
              <w:ind w:left="28" w:right="28"/>
              <w:rPr>
                <w:sz w:val="17"/>
                <w:szCs w:val="17"/>
              </w:rPr>
            </w:pPr>
            <w:r w:rsidRPr="004306EF">
              <w:rPr>
                <w:sz w:val="17"/>
                <w:szCs w:val="17"/>
              </w:rPr>
              <w:t>3423</w:t>
            </w:r>
          </w:p>
        </w:tc>
        <w:tc>
          <w:tcPr>
            <w:tcW w:w="1944" w:type="dxa"/>
            <w:shd w:val="clear" w:color="auto" w:fill="auto"/>
            <w:vAlign w:val="bottom"/>
            <w:hideMark/>
          </w:tcPr>
          <w:p w14:paraId="6F721D1F" w14:textId="77777777" w:rsidR="00FD5E69" w:rsidRPr="004306EF" w:rsidRDefault="00FD5E69" w:rsidP="0099025B">
            <w:pPr>
              <w:suppressAutoHyphens w:val="0"/>
              <w:spacing w:before="60" w:after="60" w:line="240" w:lineRule="auto"/>
              <w:ind w:left="57" w:right="57"/>
              <w:rPr>
                <w:sz w:val="17"/>
                <w:szCs w:val="17"/>
              </w:rPr>
            </w:pPr>
            <w:r w:rsidRPr="004306EF">
              <w:rPr>
                <w:sz w:val="17"/>
                <w:szCs w:val="17"/>
              </w:rPr>
              <w:t>HYDROXYDE DE TÉTRAMÉTHYLAMMONIUM, SOLIDE</w:t>
            </w:r>
          </w:p>
        </w:tc>
        <w:tc>
          <w:tcPr>
            <w:tcW w:w="647" w:type="dxa"/>
            <w:shd w:val="clear" w:color="auto" w:fill="auto"/>
            <w:hideMark/>
          </w:tcPr>
          <w:p w14:paraId="07D41B96" w14:textId="77777777" w:rsidR="00FD5E69" w:rsidRPr="004306EF" w:rsidRDefault="00FD5E69" w:rsidP="0099025B">
            <w:pPr>
              <w:suppressAutoHyphens w:val="0"/>
              <w:spacing w:before="60" w:after="60" w:line="240" w:lineRule="auto"/>
              <w:ind w:left="57" w:right="57"/>
              <w:jc w:val="center"/>
              <w:rPr>
                <w:sz w:val="17"/>
                <w:szCs w:val="17"/>
                <w:u w:val="single"/>
              </w:rPr>
            </w:pPr>
            <w:r w:rsidRPr="004306EF">
              <w:rPr>
                <w:sz w:val="17"/>
                <w:szCs w:val="17"/>
                <w:u w:val="single"/>
              </w:rPr>
              <w:t>6.1</w:t>
            </w:r>
            <w:r w:rsidRPr="004306EF">
              <w:rPr>
                <w:strike/>
                <w:sz w:val="17"/>
                <w:szCs w:val="17"/>
              </w:rPr>
              <w:t>8</w:t>
            </w:r>
          </w:p>
        </w:tc>
        <w:tc>
          <w:tcPr>
            <w:tcW w:w="593" w:type="dxa"/>
            <w:shd w:val="clear" w:color="auto" w:fill="auto"/>
          </w:tcPr>
          <w:p w14:paraId="6F32FD91" w14:textId="77777777" w:rsidR="00FD5E69" w:rsidRPr="004306EF" w:rsidRDefault="00FD5E69" w:rsidP="0099025B">
            <w:pPr>
              <w:suppressAutoHyphens w:val="0"/>
              <w:spacing w:before="60" w:after="60" w:line="240" w:lineRule="auto"/>
              <w:ind w:left="57" w:right="57"/>
              <w:jc w:val="center"/>
              <w:rPr>
                <w:sz w:val="17"/>
                <w:szCs w:val="17"/>
                <w:u w:val="single"/>
              </w:rPr>
            </w:pPr>
            <w:r w:rsidRPr="004306EF">
              <w:rPr>
                <w:sz w:val="17"/>
                <w:szCs w:val="17"/>
                <w:u w:val="single"/>
              </w:rPr>
              <w:t>8</w:t>
            </w:r>
          </w:p>
        </w:tc>
        <w:tc>
          <w:tcPr>
            <w:tcW w:w="849" w:type="dxa"/>
            <w:shd w:val="clear" w:color="auto" w:fill="auto"/>
            <w:hideMark/>
          </w:tcPr>
          <w:p w14:paraId="123686BC" w14:textId="77777777" w:rsidR="00FD5E69" w:rsidRPr="004306EF" w:rsidRDefault="00FD5E69" w:rsidP="0099025B">
            <w:pPr>
              <w:suppressAutoHyphens w:val="0"/>
              <w:spacing w:before="60" w:after="60" w:line="240" w:lineRule="auto"/>
              <w:ind w:left="28" w:right="28"/>
              <w:jc w:val="center"/>
              <w:rPr>
                <w:sz w:val="17"/>
                <w:szCs w:val="17"/>
              </w:rPr>
            </w:pPr>
            <w:r w:rsidRPr="004306EF">
              <w:rPr>
                <w:sz w:val="17"/>
                <w:szCs w:val="17"/>
              </w:rPr>
              <w:t>I</w:t>
            </w:r>
            <w:r w:rsidRPr="004306EF">
              <w:rPr>
                <w:strike/>
                <w:sz w:val="17"/>
                <w:szCs w:val="17"/>
              </w:rPr>
              <w:t>I</w:t>
            </w:r>
          </w:p>
        </w:tc>
        <w:tc>
          <w:tcPr>
            <w:tcW w:w="840" w:type="dxa"/>
            <w:shd w:val="clear" w:color="auto" w:fill="auto"/>
            <w:hideMark/>
          </w:tcPr>
          <w:p w14:paraId="50DB92DE" w14:textId="77777777" w:rsidR="00FD5E69" w:rsidRPr="004306EF" w:rsidRDefault="00FD5E69" w:rsidP="0099025B">
            <w:pPr>
              <w:suppressAutoHyphens w:val="0"/>
              <w:spacing w:before="60" w:after="60" w:line="240" w:lineRule="auto"/>
              <w:ind w:left="28" w:right="28"/>
              <w:jc w:val="center"/>
              <w:rPr>
                <w:sz w:val="17"/>
                <w:szCs w:val="17"/>
                <w:u w:val="single"/>
              </w:rPr>
            </w:pPr>
            <w:r w:rsidRPr="004306EF">
              <w:rPr>
                <w:sz w:val="17"/>
                <w:szCs w:val="17"/>
                <w:u w:val="single"/>
              </w:rPr>
              <w:t>279</w:t>
            </w:r>
          </w:p>
        </w:tc>
        <w:tc>
          <w:tcPr>
            <w:tcW w:w="448" w:type="dxa"/>
            <w:shd w:val="clear" w:color="auto" w:fill="auto"/>
            <w:hideMark/>
          </w:tcPr>
          <w:p w14:paraId="129E2DCF" w14:textId="77777777" w:rsidR="00FD5E69" w:rsidRPr="004306EF" w:rsidRDefault="00FD5E69" w:rsidP="0099025B">
            <w:pPr>
              <w:suppressAutoHyphens w:val="0"/>
              <w:spacing w:before="60" w:after="60" w:line="240" w:lineRule="auto"/>
              <w:ind w:left="57" w:right="57"/>
              <w:jc w:val="center"/>
              <w:rPr>
                <w:sz w:val="17"/>
                <w:szCs w:val="17"/>
              </w:rPr>
            </w:pPr>
            <w:r w:rsidRPr="004306EF">
              <w:rPr>
                <w:strike/>
                <w:sz w:val="17"/>
                <w:szCs w:val="17"/>
              </w:rPr>
              <w:t>1 kg</w:t>
            </w:r>
            <w:r w:rsidRPr="004306EF">
              <w:rPr>
                <w:sz w:val="17"/>
                <w:szCs w:val="17"/>
              </w:rPr>
              <w:t xml:space="preserve"> </w:t>
            </w:r>
            <w:r w:rsidRPr="004306EF">
              <w:rPr>
                <w:sz w:val="17"/>
                <w:szCs w:val="17"/>
                <w:u w:val="single"/>
              </w:rPr>
              <w:t>0</w:t>
            </w:r>
          </w:p>
        </w:tc>
        <w:tc>
          <w:tcPr>
            <w:tcW w:w="371" w:type="dxa"/>
            <w:shd w:val="clear" w:color="auto" w:fill="auto"/>
            <w:hideMark/>
          </w:tcPr>
          <w:p w14:paraId="59502BE6" w14:textId="77777777" w:rsidR="00FD5E69" w:rsidRPr="004306EF" w:rsidRDefault="00FD5E69" w:rsidP="0099025B">
            <w:pPr>
              <w:suppressAutoHyphens w:val="0"/>
              <w:spacing w:before="60" w:after="60" w:line="240" w:lineRule="auto"/>
              <w:ind w:left="57" w:right="57"/>
              <w:jc w:val="center"/>
              <w:rPr>
                <w:sz w:val="17"/>
                <w:szCs w:val="17"/>
              </w:rPr>
            </w:pPr>
            <w:r w:rsidRPr="004306EF">
              <w:rPr>
                <w:strike/>
                <w:sz w:val="17"/>
                <w:szCs w:val="17"/>
              </w:rPr>
              <w:t>E2</w:t>
            </w:r>
            <w:r w:rsidRPr="004306EF">
              <w:rPr>
                <w:sz w:val="17"/>
                <w:szCs w:val="17"/>
              </w:rPr>
              <w:t xml:space="preserve"> </w:t>
            </w:r>
            <w:r w:rsidRPr="004306EF">
              <w:rPr>
                <w:sz w:val="17"/>
                <w:szCs w:val="17"/>
                <w:u w:val="single"/>
              </w:rPr>
              <w:t>E5</w:t>
            </w:r>
          </w:p>
        </w:tc>
        <w:tc>
          <w:tcPr>
            <w:tcW w:w="865" w:type="dxa"/>
            <w:shd w:val="clear" w:color="auto" w:fill="auto"/>
            <w:hideMark/>
          </w:tcPr>
          <w:p w14:paraId="73B0FE41" w14:textId="77777777" w:rsidR="00FD5E69" w:rsidRPr="004306EF" w:rsidRDefault="00FD5E69" w:rsidP="0099025B">
            <w:pPr>
              <w:suppressAutoHyphens w:val="0"/>
              <w:spacing w:before="60" w:after="60" w:line="240" w:lineRule="auto"/>
              <w:ind w:left="28" w:right="28"/>
              <w:jc w:val="center"/>
              <w:rPr>
                <w:sz w:val="17"/>
                <w:szCs w:val="17"/>
              </w:rPr>
            </w:pPr>
            <w:r w:rsidRPr="004306EF">
              <w:rPr>
                <w:sz w:val="17"/>
                <w:szCs w:val="17"/>
              </w:rPr>
              <w:t>P002</w:t>
            </w:r>
          </w:p>
          <w:p w14:paraId="6816EC70" w14:textId="77777777" w:rsidR="00FD5E69" w:rsidRPr="004306EF" w:rsidRDefault="00FD5E69" w:rsidP="0099025B">
            <w:pPr>
              <w:suppressAutoHyphens w:val="0"/>
              <w:spacing w:before="60" w:after="60" w:line="240" w:lineRule="auto"/>
              <w:ind w:left="28" w:right="28"/>
              <w:jc w:val="center"/>
              <w:rPr>
                <w:strike/>
                <w:sz w:val="17"/>
                <w:szCs w:val="17"/>
              </w:rPr>
            </w:pPr>
            <w:r w:rsidRPr="004306EF">
              <w:rPr>
                <w:strike/>
                <w:sz w:val="17"/>
                <w:szCs w:val="17"/>
              </w:rPr>
              <w:t>IBC08</w:t>
            </w:r>
          </w:p>
          <w:p w14:paraId="52796305" w14:textId="77777777" w:rsidR="00FD5E69" w:rsidRPr="004306EF" w:rsidRDefault="00FD5E69" w:rsidP="0099025B">
            <w:pPr>
              <w:suppressAutoHyphens w:val="0"/>
              <w:spacing w:before="60" w:after="60" w:line="240" w:lineRule="auto"/>
              <w:ind w:left="28" w:right="28"/>
              <w:jc w:val="center"/>
              <w:rPr>
                <w:sz w:val="17"/>
                <w:szCs w:val="17"/>
                <w:u w:val="single"/>
              </w:rPr>
            </w:pPr>
            <w:r w:rsidRPr="004306EF">
              <w:rPr>
                <w:sz w:val="17"/>
                <w:szCs w:val="17"/>
                <w:u w:val="single"/>
              </w:rPr>
              <w:t>IBC99</w:t>
            </w:r>
          </w:p>
        </w:tc>
        <w:tc>
          <w:tcPr>
            <w:tcW w:w="880" w:type="dxa"/>
            <w:shd w:val="clear" w:color="auto" w:fill="auto"/>
            <w:hideMark/>
          </w:tcPr>
          <w:p w14:paraId="15D8AAF5" w14:textId="77777777" w:rsidR="00FD5E69" w:rsidRPr="004306EF" w:rsidRDefault="00FD5E69" w:rsidP="0099025B">
            <w:pPr>
              <w:suppressAutoHyphens w:val="0"/>
              <w:spacing w:before="60" w:after="60" w:line="240" w:lineRule="auto"/>
              <w:ind w:left="28" w:right="28"/>
              <w:jc w:val="center"/>
              <w:rPr>
                <w:strike/>
                <w:sz w:val="17"/>
                <w:szCs w:val="17"/>
              </w:rPr>
            </w:pPr>
            <w:r w:rsidRPr="004306EF">
              <w:rPr>
                <w:strike/>
                <w:sz w:val="17"/>
                <w:szCs w:val="17"/>
              </w:rPr>
              <w:t>B2, B4</w:t>
            </w:r>
          </w:p>
        </w:tc>
        <w:tc>
          <w:tcPr>
            <w:tcW w:w="837" w:type="dxa"/>
            <w:shd w:val="clear" w:color="auto" w:fill="auto"/>
            <w:hideMark/>
          </w:tcPr>
          <w:p w14:paraId="34234150" w14:textId="77777777" w:rsidR="00FD5E69" w:rsidRPr="004306EF" w:rsidRDefault="00FD5E69" w:rsidP="0099025B">
            <w:pPr>
              <w:suppressAutoHyphens w:val="0"/>
              <w:spacing w:before="60" w:after="60" w:line="240" w:lineRule="auto"/>
              <w:ind w:left="28" w:right="28"/>
              <w:jc w:val="center"/>
              <w:rPr>
                <w:sz w:val="17"/>
                <w:szCs w:val="17"/>
              </w:rPr>
            </w:pPr>
            <w:r w:rsidRPr="004306EF">
              <w:rPr>
                <w:strike/>
                <w:sz w:val="17"/>
                <w:szCs w:val="17"/>
              </w:rPr>
              <w:t>T3</w:t>
            </w:r>
            <w:r w:rsidRPr="004306EF">
              <w:rPr>
                <w:sz w:val="17"/>
                <w:szCs w:val="17"/>
              </w:rPr>
              <w:t xml:space="preserve"> </w:t>
            </w:r>
            <w:r w:rsidRPr="004306EF">
              <w:rPr>
                <w:sz w:val="17"/>
                <w:szCs w:val="17"/>
                <w:u w:val="single"/>
              </w:rPr>
              <w:t>T6</w:t>
            </w:r>
          </w:p>
        </w:tc>
        <w:tc>
          <w:tcPr>
            <w:tcW w:w="872" w:type="dxa"/>
            <w:shd w:val="clear" w:color="auto" w:fill="auto"/>
            <w:hideMark/>
          </w:tcPr>
          <w:p w14:paraId="478D5867" w14:textId="77777777" w:rsidR="00FD5E69" w:rsidRPr="004306EF" w:rsidRDefault="00FD5E69" w:rsidP="0099025B">
            <w:pPr>
              <w:suppressAutoHyphens w:val="0"/>
              <w:spacing w:before="60" w:after="60" w:line="240" w:lineRule="auto"/>
              <w:ind w:left="28" w:right="28"/>
              <w:jc w:val="center"/>
              <w:rPr>
                <w:sz w:val="17"/>
                <w:szCs w:val="17"/>
              </w:rPr>
            </w:pPr>
            <w:r w:rsidRPr="004306EF">
              <w:rPr>
                <w:sz w:val="17"/>
                <w:szCs w:val="17"/>
              </w:rPr>
              <w:t>TP33</w:t>
            </w:r>
          </w:p>
        </w:tc>
      </w:tr>
    </w:tbl>
    <w:bookmarkEnd w:id="1"/>
    <w:p w14:paraId="19776C25" w14:textId="77777777" w:rsidR="0024276D" w:rsidRDefault="0024276D" w:rsidP="00FD5E69">
      <w:pPr>
        <w:pStyle w:val="H1G"/>
      </w:pPr>
      <w:r>
        <w:tab/>
      </w:r>
      <w:r>
        <w:tab/>
      </w:r>
      <w:r w:rsidRPr="00744658">
        <w:t>Solution 2</w:t>
      </w:r>
    </w:p>
    <w:tbl>
      <w:tblPr>
        <w:tblStyle w:val="TableGrid7"/>
        <w:tblW w:w="9643" w:type="dxa"/>
        <w:tblLayout w:type="fixed"/>
        <w:tblLook w:val="04A0" w:firstRow="1" w:lastRow="0" w:firstColumn="1" w:lastColumn="0" w:noHBand="0" w:noVBand="1"/>
      </w:tblPr>
      <w:tblGrid>
        <w:gridCol w:w="498"/>
        <w:gridCol w:w="1944"/>
        <w:gridCol w:w="647"/>
        <w:gridCol w:w="593"/>
        <w:gridCol w:w="849"/>
        <w:gridCol w:w="840"/>
        <w:gridCol w:w="428"/>
        <w:gridCol w:w="394"/>
        <w:gridCol w:w="864"/>
        <w:gridCol w:w="875"/>
        <w:gridCol w:w="838"/>
        <w:gridCol w:w="873"/>
      </w:tblGrid>
      <w:tr w:rsidR="00744658" w:rsidRPr="00977B53" w14:paraId="761A6515" w14:textId="77777777" w:rsidTr="00177D69">
        <w:trPr>
          <w:tblHeader/>
        </w:trPr>
        <w:tc>
          <w:tcPr>
            <w:tcW w:w="498" w:type="dxa"/>
            <w:vMerge w:val="restart"/>
            <w:shd w:val="clear" w:color="auto" w:fill="auto"/>
            <w:vAlign w:val="bottom"/>
            <w:hideMark/>
          </w:tcPr>
          <w:p w14:paraId="7C2E4ABB" w14:textId="77777777" w:rsidR="00744658" w:rsidRPr="00977B53" w:rsidRDefault="00744658" w:rsidP="00177D69">
            <w:pPr>
              <w:suppressAutoHyphens w:val="0"/>
              <w:spacing w:before="60" w:after="60" w:line="240" w:lineRule="auto"/>
              <w:ind w:left="28" w:right="28"/>
              <w:jc w:val="center"/>
              <w:rPr>
                <w:i/>
                <w:sz w:val="15"/>
                <w:szCs w:val="15"/>
              </w:rPr>
            </w:pPr>
            <w:r w:rsidRPr="00977B53">
              <w:rPr>
                <w:i/>
                <w:sz w:val="15"/>
                <w:szCs w:val="15"/>
              </w:rPr>
              <w:t>No ONU</w:t>
            </w:r>
          </w:p>
        </w:tc>
        <w:tc>
          <w:tcPr>
            <w:tcW w:w="1944" w:type="dxa"/>
            <w:vMerge w:val="restart"/>
            <w:shd w:val="clear" w:color="auto" w:fill="auto"/>
            <w:vAlign w:val="bottom"/>
            <w:hideMark/>
          </w:tcPr>
          <w:p w14:paraId="16F5EB23" w14:textId="77777777" w:rsidR="00744658" w:rsidRPr="00977B53" w:rsidRDefault="00744658" w:rsidP="00177D69">
            <w:pPr>
              <w:suppressAutoHyphens w:val="0"/>
              <w:spacing w:before="60" w:after="60" w:line="240" w:lineRule="auto"/>
              <w:ind w:left="57" w:right="57"/>
              <w:rPr>
                <w:i/>
                <w:sz w:val="15"/>
                <w:szCs w:val="15"/>
              </w:rPr>
            </w:pPr>
            <w:r w:rsidRPr="00977B53">
              <w:rPr>
                <w:i/>
                <w:sz w:val="15"/>
                <w:szCs w:val="15"/>
              </w:rPr>
              <w:t>Nom et description</w:t>
            </w:r>
          </w:p>
        </w:tc>
        <w:tc>
          <w:tcPr>
            <w:tcW w:w="647" w:type="dxa"/>
            <w:vMerge w:val="restart"/>
            <w:shd w:val="clear" w:color="auto" w:fill="auto"/>
            <w:vAlign w:val="bottom"/>
            <w:hideMark/>
          </w:tcPr>
          <w:p w14:paraId="734A5349" w14:textId="77777777" w:rsidR="00744658" w:rsidRPr="00977B53" w:rsidRDefault="00744658" w:rsidP="00177D69">
            <w:pPr>
              <w:suppressAutoHyphens w:val="0"/>
              <w:spacing w:before="60" w:after="60" w:line="240" w:lineRule="auto"/>
              <w:ind w:left="57" w:right="57"/>
              <w:jc w:val="center"/>
              <w:rPr>
                <w:i/>
                <w:sz w:val="15"/>
                <w:szCs w:val="15"/>
              </w:rPr>
            </w:pPr>
            <w:r w:rsidRPr="00977B53">
              <w:rPr>
                <w:i/>
                <w:sz w:val="15"/>
                <w:szCs w:val="15"/>
              </w:rPr>
              <w:t>Classe</w:t>
            </w:r>
            <w:r>
              <w:rPr>
                <w:i/>
                <w:sz w:val="15"/>
                <w:szCs w:val="15"/>
              </w:rPr>
              <w:br/>
            </w:r>
            <w:r w:rsidRPr="00977B53">
              <w:rPr>
                <w:i/>
                <w:sz w:val="15"/>
                <w:szCs w:val="15"/>
              </w:rPr>
              <w:t>ou division</w:t>
            </w:r>
          </w:p>
        </w:tc>
        <w:tc>
          <w:tcPr>
            <w:tcW w:w="593" w:type="dxa"/>
            <w:vMerge w:val="restart"/>
            <w:shd w:val="clear" w:color="auto" w:fill="auto"/>
            <w:vAlign w:val="bottom"/>
            <w:hideMark/>
          </w:tcPr>
          <w:p w14:paraId="056A12DB" w14:textId="77777777" w:rsidR="00744658" w:rsidRPr="00977B53" w:rsidRDefault="00744658" w:rsidP="00177D69">
            <w:pPr>
              <w:suppressAutoHyphens w:val="0"/>
              <w:spacing w:before="60" w:after="60" w:line="240" w:lineRule="auto"/>
              <w:ind w:left="57" w:right="57"/>
              <w:jc w:val="center"/>
              <w:rPr>
                <w:i/>
                <w:sz w:val="15"/>
                <w:szCs w:val="15"/>
              </w:rPr>
            </w:pPr>
            <w:r w:rsidRPr="00977B53">
              <w:rPr>
                <w:i/>
                <w:sz w:val="15"/>
                <w:szCs w:val="15"/>
              </w:rPr>
              <w:t>Danger subsi-diaire</w:t>
            </w:r>
          </w:p>
        </w:tc>
        <w:tc>
          <w:tcPr>
            <w:tcW w:w="849" w:type="dxa"/>
            <w:vMerge w:val="restart"/>
            <w:shd w:val="clear" w:color="auto" w:fill="auto"/>
            <w:vAlign w:val="bottom"/>
            <w:hideMark/>
          </w:tcPr>
          <w:p w14:paraId="51620E6F" w14:textId="77777777" w:rsidR="00744658" w:rsidRPr="00977B53" w:rsidRDefault="00744658" w:rsidP="00177D69">
            <w:pPr>
              <w:suppressAutoHyphens w:val="0"/>
              <w:spacing w:before="60" w:after="60" w:line="240" w:lineRule="auto"/>
              <w:ind w:left="28" w:right="28"/>
              <w:jc w:val="center"/>
              <w:rPr>
                <w:i/>
                <w:sz w:val="15"/>
                <w:szCs w:val="15"/>
              </w:rPr>
            </w:pPr>
            <w:r w:rsidRPr="00977B53">
              <w:rPr>
                <w:i/>
                <w:sz w:val="15"/>
                <w:szCs w:val="15"/>
              </w:rPr>
              <w:t>Groupe d’emballage</w:t>
            </w:r>
          </w:p>
        </w:tc>
        <w:tc>
          <w:tcPr>
            <w:tcW w:w="840" w:type="dxa"/>
            <w:vMerge w:val="restart"/>
            <w:shd w:val="clear" w:color="auto" w:fill="auto"/>
            <w:vAlign w:val="bottom"/>
            <w:hideMark/>
          </w:tcPr>
          <w:p w14:paraId="39D09EFA" w14:textId="77777777" w:rsidR="00744658" w:rsidRPr="00977B53" w:rsidRDefault="00744658" w:rsidP="00177D69">
            <w:pPr>
              <w:suppressAutoHyphens w:val="0"/>
              <w:spacing w:before="60" w:after="60" w:line="240" w:lineRule="auto"/>
              <w:ind w:left="28" w:right="28"/>
              <w:jc w:val="center"/>
              <w:rPr>
                <w:i/>
                <w:sz w:val="15"/>
                <w:szCs w:val="15"/>
              </w:rPr>
            </w:pPr>
            <w:r w:rsidRPr="00977B53">
              <w:rPr>
                <w:i/>
                <w:sz w:val="15"/>
                <w:szCs w:val="15"/>
              </w:rPr>
              <w:t>Dispositions spéciales</w:t>
            </w:r>
          </w:p>
        </w:tc>
        <w:tc>
          <w:tcPr>
            <w:tcW w:w="822" w:type="dxa"/>
            <w:gridSpan w:val="2"/>
            <w:vMerge w:val="restart"/>
            <w:shd w:val="clear" w:color="auto" w:fill="auto"/>
            <w:vAlign w:val="bottom"/>
            <w:hideMark/>
          </w:tcPr>
          <w:p w14:paraId="136FB0D1" w14:textId="77777777" w:rsidR="00744658" w:rsidRPr="00977B53" w:rsidRDefault="00744658" w:rsidP="00177D69">
            <w:pPr>
              <w:suppressAutoHyphens w:val="0"/>
              <w:spacing w:before="60" w:after="60" w:line="240" w:lineRule="auto"/>
              <w:ind w:left="57" w:right="57"/>
              <w:jc w:val="center"/>
              <w:rPr>
                <w:i/>
                <w:sz w:val="15"/>
                <w:szCs w:val="15"/>
              </w:rPr>
            </w:pPr>
            <w:r w:rsidRPr="00977B53">
              <w:rPr>
                <w:i/>
                <w:sz w:val="15"/>
                <w:szCs w:val="15"/>
              </w:rPr>
              <w:t>Quantités limitées et exceptées</w:t>
            </w:r>
          </w:p>
        </w:tc>
        <w:tc>
          <w:tcPr>
            <w:tcW w:w="1739" w:type="dxa"/>
            <w:gridSpan w:val="2"/>
            <w:shd w:val="clear" w:color="auto" w:fill="auto"/>
            <w:vAlign w:val="bottom"/>
            <w:hideMark/>
          </w:tcPr>
          <w:p w14:paraId="3EDF0D27" w14:textId="77777777" w:rsidR="00744658" w:rsidRPr="00977B53" w:rsidRDefault="00744658" w:rsidP="00177D69">
            <w:pPr>
              <w:suppressAutoHyphens w:val="0"/>
              <w:spacing w:before="60" w:after="60" w:line="240" w:lineRule="auto"/>
              <w:ind w:left="28" w:right="28"/>
              <w:jc w:val="center"/>
              <w:rPr>
                <w:i/>
                <w:sz w:val="15"/>
                <w:szCs w:val="15"/>
              </w:rPr>
            </w:pPr>
            <w:r w:rsidRPr="00977B53">
              <w:rPr>
                <w:i/>
                <w:sz w:val="15"/>
                <w:szCs w:val="15"/>
              </w:rPr>
              <w:t>4</w:t>
            </w:r>
          </w:p>
        </w:tc>
        <w:tc>
          <w:tcPr>
            <w:tcW w:w="1711" w:type="dxa"/>
            <w:gridSpan w:val="2"/>
            <w:shd w:val="clear" w:color="auto" w:fill="auto"/>
            <w:vAlign w:val="bottom"/>
            <w:hideMark/>
          </w:tcPr>
          <w:p w14:paraId="0E087919" w14:textId="77777777" w:rsidR="00744658" w:rsidRPr="00977B53" w:rsidRDefault="00744658" w:rsidP="00177D69">
            <w:pPr>
              <w:suppressAutoHyphens w:val="0"/>
              <w:spacing w:before="60" w:after="60" w:line="240" w:lineRule="auto"/>
              <w:ind w:left="28" w:right="28"/>
              <w:jc w:val="center"/>
              <w:rPr>
                <w:i/>
                <w:sz w:val="15"/>
                <w:szCs w:val="15"/>
              </w:rPr>
            </w:pPr>
            <w:r w:rsidRPr="00977B53">
              <w:rPr>
                <w:i/>
                <w:sz w:val="15"/>
                <w:szCs w:val="15"/>
              </w:rPr>
              <w:t xml:space="preserve">Citernes mobiles </w:t>
            </w:r>
            <w:r>
              <w:rPr>
                <w:i/>
                <w:sz w:val="15"/>
                <w:szCs w:val="15"/>
              </w:rPr>
              <w:br/>
            </w:r>
            <w:r w:rsidRPr="00977B53">
              <w:rPr>
                <w:i/>
                <w:sz w:val="15"/>
                <w:szCs w:val="15"/>
              </w:rPr>
              <w:t>et conteneurs pour vrac</w:t>
            </w:r>
          </w:p>
        </w:tc>
      </w:tr>
      <w:tr w:rsidR="00744658" w:rsidRPr="00301699" w14:paraId="20DF760B" w14:textId="77777777" w:rsidTr="00177D69">
        <w:trPr>
          <w:tblHeader/>
        </w:trPr>
        <w:tc>
          <w:tcPr>
            <w:tcW w:w="498" w:type="dxa"/>
            <w:vMerge/>
            <w:shd w:val="clear" w:color="auto" w:fill="auto"/>
            <w:vAlign w:val="bottom"/>
            <w:hideMark/>
          </w:tcPr>
          <w:p w14:paraId="6DA4CEE3" w14:textId="77777777" w:rsidR="00744658" w:rsidRPr="00301699" w:rsidRDefault="00744658" w:rsidP="00177D69">
            <w:pPr>
              <w:suppressAutoHyphens w:val="0"/>
              <w:spacing w:before="60" w:after="60" w:line="240" w:lineRule="auto"/>
              <w:ind w:left="28" w:right="28"/>
              <w:rPr>
                <w:sz w:val="18"/>
              </w:rPr>
            </w:pPr>
          </w:p>
        </w:tc>
        <w:tc>
          <w:tcPr>
            <w:tcW w:w="1944" w:type="dxa"/>
            <w:vMerge/>
            <w:shd w:val="clear" w:color="auto" w:fill="auto"/>
            <w:vAlign w:val="bottom"/>
            <w:hideMark/>
          </w:tcPr>
          <w:p w14:paraId="66A1C8D5" w14:textId="77777777" w:rsidR="00744658" w:rsidRPr="00301699" w:rsidRDefault="00744658" w:rsidP="00177D69">
            <w:pPr>
              <w:suppressAutoHyphens w:val="0"/>
              <w:spacing w:before="60" w:after="60" w:line="240" w:lineRule="auto"/>
              <w:ind w:left="57" w:right="57"/>
              <w:rPr>
                <w:sz w:val="18"/>
              </w:rPr>
            </w:pPr>
          </w:p>
        </w:tc>
        <w:tc>
          <w:tcPr>
            <w:tcW w:w="647" w:type="dxa"/>
            <w:vMerge/>
            <w:shd w:val="clear" w:color="auto" w:fill="auto"/>
            <w:vAlign w:val="bottom"/>
            <w:hideMark/>
          </w:tcPr>
          <w:p w14:paraId="67A282A5" w14:textId="77777777" w:rsidR="00744658" w:rsidRPr="00301699" w:rsidRDefault="00744658" w:rsidP="00177D69">
            <w:pPr>
              <w:suppressAutoHyphens w:val="0"/>
              <w:spacing w:before="60" w:after="60" w:line="240" w:lineRule="auto"/>
              <w:ind w:left="57" w:right="57"/>
              <w:jc w:val="right"/>
              <w:rPr>
                <w:sz w:val="18"/>
              </w:rPr>
            </w:pPr>
          </w:p>
        </w:tc>
        <w:tc>
          <w:tcPr>
            <w:tcW w:w="593" w:type="dxa"/>
            <w:vMerge/>
            <w:shd w:val="clear" w:color="auto" w:fill="auto"/>
            <w:vAlign w:val="bottom"/>
            <w:hideMark/>
          </w:tcPr>
          <w:p w14:paraId="607AEA07" w14:textId="77777777" w:rsidR="00744658" w:rsidRPr="00301699" w:rsidRDefault="00744658" w:rsidP="00177D69">
            <w:pPr>
              <w:suppressAutoHyphens w:val="0"/>
              <w:spacing w:before="60" w:after="60" w:line="240" w:lineRule="auto"/>
              <w:ind w:left="57" w:right="57"/>
              <w:jc w:val="right"/>
              <w:rPr>
                <w:sz w:val="18"/>
              </w:rPr>
            </w:pPr>
          </w:p>
        </w:tc>
        <w:tc>
          <w:tcPr>
            <w:tcW w:w="849" w:type="dxa"/>
            <w:vMerge/>
            <w:shd w:val="clear" w:color="auto" w:fill="auto"/>
            <w:vAlign w:val="bottom"/>
            <w:hideMark/>
          </w:tcPr>
          <w:p w14:paraId="6670F292" w14:textId="77777777" w:rsidR="00744658" w:rsidRPr="00301699" w:rsidRDefault="00744658" w:rsidP="00177D69">
            <w:pPr>
              <w:suppressAutoHyphens w:val="0"/>
              <w:spacing w:before="60" w:after="60" w:line="240" w:lineRule="auto"/>
              <w:ind w:left="28" w:right="28"/>
              <w:jc w:val="right"/>
              <w:rPr>
                <w:sz w:val="18"/>
              </w:rPr>
            </w:pPr>
          </w:p>
        </w:tc>
        <w:tc>
          <w:tcPr>
            <w:tcW w:w="840" w:type="dxa"/>
            <w:vMerge/>
            <w:shd w:val="clear" w:color="auto" w:fill="auto"/>
            <w:vAlign w:val="bottom"/>
            <w:hideMark/>
          </w:tcPr>
          <w:p w14:paraId="1616B7B0" w14:textId="77777777" w:rsidR="00744658" w:rsidRPr="00301699" w:rsidRDefault="00744658" w:rsidP="00177D69">
            <w:pPr>
              <w:suppressAutoHyphens w:val="0"/>
              <w:spacing w:before="60" w:after="60" w:line="240" w:lineRule="auto"/>
              <w:ind w:left="28" w:right="28"/>
              <w:jc w:val="right"/>
              <w:rPr>
                <w:sz w:val="18"/>
              </w:rPr>
            </w:pPr>
          </w:p>
        </w:tc>
        <w:tc>
          <w:tcPr>
            <w:tcW w:w="822" w:type="dxa"/>
            <w:gridSpan w:val="2"/>
            <w:vMerge/>
            <w:shd w:val="clear" w:color="auto" w:fill="auto"/>
            <w:vAlign w:val="bottom"/>
            <w:hideMark/>
          </w:tcPr>
          <w:p w14:paraId="00919CF4" w14:textId="77777777" w:rsidR="00744658" w:rsidRPr="00301699" w:rsidRDefault="00744658" w:rsidP="00177D69">
            <w:pPr>
              <w:suppressAutoHyphens w:val="0"/>
              <w:spacing w:before="60" w:after="60" w:line="240" w:lineRule="auto"/>
              <w:ind w:left="57" w:right="57"/>
              <w:jc w:val="right"/>
              <w:rPr>
                <w:sz w:val="18"/>
              </w:rPr>
            </w:pPr>
          </w:p>
        </w:tc>
        <w:tc>
          <w:tcPr>
            <w:tcW w:w="864" w:type="dxa"/>
            <w:shd w:val="clear" w:color="auto" w:fill="auto"/>
            <w:vAlign w:val="bottom"/>
            <w:hideMark/>
          </w:tcPr>
          <w:p w14:paraId="6D3EF117" w14:textId="77777777" w:rsidR="00744658" w:rsidRPr="004306EF" w:rsidRDefault="00744658" w:rsidP="00177D69">
            <w:pPr>
              <w:suppressAutoHyphens w:val="0"/>
              <w:spacing w:before="60" w:after="60" w:line="240" w:lineRule="auto"/>
              <w:ind w:left="28" w:right="28"/>
              <w:jc w:val="center"/>
              <w:rPr>
                <w:i/>
                <w:iCs/>
                <w:spacing w:val="-1"/>
                <w:sz w:val="16"/>
                <w:szCs w:val="16"/>
              </w:rPr>
            </w:pPr>
            <w:r w:rsidRPr="004306EF">
              <w:rPr>
                <w:i/>
                <w:iCs/>
                <w:spacing w:val="-1"/>
                <w:sz w:val="16"/>
                <w:szCs w:val="16"/>
              </w:rPr>
              <w:t>Instructions d’emballage</w:t>
            </w:r>
          </w:p>
        </w:tc>
        <w:tc>
          <w:tcPr>
            <w:tcW w:w="875" w:type="dxa"/>
            <w:shd w:val="clear" w:color="auto" w:fill="auto"/>
            <w:vAlign w:val="bottom"/>
            <w:hideMark/>
          </w:tcPr>
          <w:p w14:paraId="22B3DEE4" w14:textId="77777777" w:rsidR="00744658" w:rsidRPr="00301699" w:rsidRDefault="00744658" w:rsidP="00177D69">
            <w:pPr>
              <w:suppressAutoHyphens w:val="0"/>
              <w:spacing w:before="60" w:after="60" w:line="240" w:lineRule="auto"/>
              <w:ind w:left="28" w:right="28"/>
              <w:jc w:val="center"/>
              <w:rPr>
                <w:i/>
                <w:iCs/>
                <w:sz w:val="16"/>
                <w:szCs w:val="16"/>
              </w:rPr>
            </w:pPr>
            <w:r w:rsidRPr="00301699">
              <w:rPr>
                <w:i/>
                <w:iCs/>
                <w:sz w:val="16"/>
                <w:szCs w:val="16"/>
              </w:rPr>
              <w:t>Dispositions spéciales d’emballage</w:t>
            </w:r>
          </w:p>
        </w:tc>
        <w:tc>
          <w:tcPr>
            <w:tcW w:w="838" w:type="dxa"/>
            <w:shd w:val="clear" w:color="auto" w:fill="auto"/>
            <w:vAlign w:val="bottom"/>
            <w:hideMark/>
          </w:tcPr>
          <w:p w14:paraId="697AA69E" w14:textId="77777777" w:rsidR="00744658" w:rsidRPr="00301699" w:rsidRDefault="00744658" w:rsidP="00177D69">
            <w:pPr>
              <w:suppressAutoHyphens w:val="0"/>
              <w:spacing w:before="60" w:after="60" w:line="240" w:lineRule="auto"/>
              <w:ind w:left="28" w:right="28"/>
              <w:jc w:val="center"/>
              <w:rPr>
                <w:i/>
                <w:iCs/>
                <w:sz w:val="16"/>
                <w:szCs w:val="16"/>
              </w:rPr>
            </w:pPr>
            <w:r w:rsidRPr="00301699">
              <w:rPr>
                <w:i/>
                <w:iCs/>
                <w:sz w:val="16"/>
                <w:szCs w:val="16"/>
              </w:rPr>
              <w:t>Instructions</w:t>
            </w:r>
            <w:r>
              <w:rPr>
                <w:i/>
                <w:iCs/>
                <w:sz w:val="16"/>
                <w:szCs w:val="16"/>
              </w:rPr>
              <w:br/>
            </w:r>
            <w:r w:rsidRPr="00301699">
              <w:rPr>
                <w:i/>
                <w:iCs/>
                <w:sz w:val="16"/>
                <w:szCs w:val="16"/>
              </w:rPr>
              <w:t xml:space="preserve"> de </w:t>
            </w:r>
            <w:r>
              <w:rPr>
                <w:i/>
                <w:iCs/>
                <w:sz w:val="16"/>
                <w:szCs w:val="16"/>
              </w:rPr>
              <w:t>t</w:t>
            </w:r>
            <w:r w:rsidRPr="00301699">
              <w:rPr>
                <w:i/>
                <w:iCs/>
                <w:sz w:val="16"/>
                <w:szCs w:val="16"/>
              </w:rPr>
              <w:t>ransport</w:t>
            </w:r>
          </w:p>
        </w:tc>
        <w:tc>
          <w:tcPr>
            <w:tcW w:w="873" w:type="dxa"/>
            <w:shd w:val="clear" w:color="auto" w:fill="auto"/>
            <w:vAlign w:val="bottom"/>
            <w:hideMark/>
          </w:tcPr>
          <w:p w14:paraId="2156FAC7" w14:textId="77777777" w:rsidR="00744658" w:rsidRPr="00301699" w:rsidRDefault="00744658" w:rsidP="00177D69">
            <w:pPr>
              <w:suppressAutoHyphens w:val="0"/>
              <w:spacing w:before="60" w:after="60" w:line="240" w:lineRule="auto"/>
              <w:ind w:left="28" w:right="28"/>
              <w:jc w:val="center"/>
              <w:rPr>
                <w:i/>
                <w:iCs/>
                <w:sz w:val="16"/>
                <w:szCs w:val="16"/>
              </w:rPr>
            </w:pPr>
            <w:r w:rsidRPr="00301699">
              <w:rPr>
                <w:i/>
                <w:iCs/>
                <w:sz w:val="16"/>
                <w:szCs w:val="16"/>
              </w:rPr>
              <w:t>Dispositions spéciales</w:t>
            </w:r>
          </w:p>
        </w:tc>
      </w:tr>
      <w:tr w:rsidR="00744658" w:rsidRPr="007849A0" w14:paraId="0B72B8FF" w14:textId="77777777" w:rsidTr="00177D69">
        <w:trPr>
          <w:tblHeader/>
        </w:trPr>
        <w:tc>
          <w:tcPr>
            <w:tcW w:w="498" w:type="dxa"/>
            <w:shd w:val="clear" w:color="auto" w:fill="auto"/>
          </w:tcPr>
          <w:p w14:paraId="37C03DFE" w14:textId="77777777" w:rsidR="00744658" w:rsidRPr="007849A0" w:rsidRDefault="00744658" w:rsidP="00177D69">
            <w:pPr>
              <w:suppressAutoHyphens w:val="0"/>
              <w:spacing w:before="60" w:after="60" w:line="240" w:lineRule="auto"/>
              <w:ind w:left="28" w:right="28"/>
              <w:rPr>
                <w:sz w:val="17"/>
                <w:szCs w:val="17"/>
              </w:rPr>
            </w:pPr>
            <w:r w:rsidRPr="00270698">
              <w:rPr>
                <w:rFonts w:asciiTheme="majorBidi" w:hAnsiTheme="majorBidi"/>
                <w:sz w:val="17"/>
                <w:szCs w:val="17"/>
                <w:u w:val="single"/>
              </w:rPr>
              <w:t>1835</w:t>
            </w:r>
          </w:p>
        </w:tc>
        <w:tc>
          <w:tcPr>
            <w:tcW w:w="1944" w:type="dxa"/>
            <w:shd w:val="clear" w:color="auto" w:fill="auto"/>
            <w:vAlign w:val="bottom"/>
          </w:tcPr>
          <w:p w14:paraId="65170360" w14:textId="77777777" w:rsidR="00744658" w:rsidRPr="007849A0" w:rsidRDefault="00744658" w:rsidP="00177D69">
            <w:pPr>
              <w:suppressAutoHyphens w:val="0"/>
              <w:spacing w:before="60" w:after="60" w:line="240" w:lineRule="auto"/>
              <w:ind w:left="57" w:right="57"/>
              <w:rPr>
                <w:sz w:val="17"/>
                <w:szCs w:val="17"/>
              </w:rPr>
            </w:pPr>
            <w:r w:rsidRPr="00270698">
              <w:rPr>
                <w:rFonts w:ascii="TimesNewRoman" w:hAnsi="TimesNewRoman"/>
                <w:sz w:val="17"/>
                <w:szCs w:val="17"/>
                <w:u w:val="single"/>
              </w:rPr>
              <w:t>HYDROXYDE DE TÉTRAMÉTHYLAMMONIUM EN SOLUTION</w:t>
            </w:r>
          </w:p>
        </w:tc>
        <w:tc>
          <w:tcPr>
            <w:tcW w:w="647" w:type="dxa"/>
            <w:shd w:val="clear" w:color="auto" w:fill="auto"/>
          </w:tcPr>
          <w:p w14:paraId="3EE96C5E" w14:textId="77777777" w:rsidR="00744658" w:rsidRPr="007849A0" w:rsidRDefault="00744658" w:rsidP="00177D69">
            <w:pPr>
              <w:suppressAutoHyphens w:val="0"/>
              <w:spacing w:before="60" w:after="60" w:line="240" w:lineRule="auto"/>
              <w:ind w:left="57" w:right="57"/>
              <w:jc w:val="center"/>
              <w:rPr>
                <w:sz w:val="17"/>
                <w:szCs w:val="17"/>
              </w:rPr>
            </w:pPr>
            <w:r w:rsidRPr="00270698">
              <w:rPr>
                <w:rFonts w:asciiTheme="majorBidi" w:hAnsiTheme="majorBidi"/>
                <w:sz w:val="17"/>
                <w:szCs w:val="17"/>
                <w:u w:val="single"/>
              </w:rPr>
              <w:t>6.1</w:t>
            </w:r>
          </w:p>
        </w:tc>
        <w:tc>
          <w:tcPr>
            <w:tcW w:w="593" w:type="dxa"/>
            <w:shd w:val="clear" w:color="auto" w:fill="auto"/>
          </w:tcPr>
          <w:p w14:paraId="1BEF1A9B" w14:textId="77777777" w:rsidR="00744658" w:rsidRPr="007849A0" w:rsidRDefault="00744658" w:rsidP="00177D69">
            <w:pPr>
              <w:suppressAutoHyphens w:val="0"/>
              <w:spacing w:before="60" w:after="60" w:line="240" w:lineRule="auto"/>
              <w:ind w:left="57" w:right="57"/>
              <w:jc w:val="center"/>
              <w:rPr>
                <w:sz w:val="17"/>
                <w:szCs w:val="17"/>
              </w:rPr>
            </w:pPr>
            <w:r w:rsidRPr="00270698">
              <w:rPr>
                <w:rFonts w:asciiTheme="majorBidi" w:hAnsiTheme="majorBidi"/>
                <w:sz w:val="17"/>
                <w:szCs w:val="17"/>
                <w:u w:val="single"/>
              </w:rPr>
              <w:t>8</w:t>
            </w:r>
          </w:p>
        </w:tc>
        <w:tc>
          <w:tcPr>
            <w:tcW w:w="849" w:type="dxa"/>
            <w:shd w:val="clear" w:color="auto" w:fill="auto"/>
          </w:tcPr>
          <w:p w14:paraId="3EDC7896" w14:textId="77777777" w:rsidR="00744658" w:rsidRPr="007849A0" w:rsidRDefault="00744658" w:rsidP="00177D69">
            <w:pPr>
              <w:suppressAutoHyphens w:val="0"/>
              <w:spacing w:before="60" w:after="60" w:line="240" w:lineRule="auto"/>
              <w:ind w:left="28" w:right="28"/>
              <w:jc w:val="center"/>
              <w:rPr>
                <w:sz w:val="17"/>
                <w:szCs w:val="17"/>
              </w:rPr>
            </w:pPr>
            <w:r w:rsidRPr="00270698">
              <w:rPr>
                <w:rFonts w:asciiTheme="majorBidi" w:hAnsiTheme="majorBidi"/>
                <w:sz w:val="17"/>
                <w:szCs w:val="17"/>
                <w:u w:val="single"/>
              </w:rPr>
              <w:t>I</w:t>
            </w:r>
          </w:p>
        </w:tc>
        <w:tc>
          <w:tcPr>
            <w:tcW w:w="840" w:type="dxa"/>
            <w:shd w:val="clear" w:color="auto" w:fill="auto"/>
          </w:tcPr>
          <w:p w14:paraId="2B0AE8E3" w14:textId="77777777" w:rsidR="00744658" w:rsidRPr="007849A0" w:rsidRDefault="00744658" w:rsidP="00177D69">
            <w:pPr>
              <w:suppressAutoHyphens w:val="0"/>
              <w:spacing w:before="60" w:after="60" w:line="240" w:lineRule="auto"/>
              <w:ind w:left="28" w:right="28"/>
              <w:jc w:val="center"/>
              <w:rPr>
                <w:sz w:val="17"/>
                <w:szCs w:val="17"/>
              </w:rPr>
            </w:pPr>
            <w:r w:rsidRPr="00270698">
              <w:rPr>
                <w:rFonts w:asciiTheme="majorBidi" w:hAnsiTheme="majorBidi"/>
                <w:sz w:val="17"/>
                <w:szCs w:val="17"/>
                <w:u w:val="single"/>
              </w:rPr>
              <w:t>279</w:t>
            </w:r>
          </w:p>
        </w:tc>
        <w:tc>
          <w:tcPr>
            <w:tcW w:w="428" w:type="dxa"/>
            <w:shd w:val="clear" w:color="auto" w:fill="auto"/>
          </w:tcPr>
          <w:p w14:paraId="5C951080" w14:textId="77777777" w:rsidR="00744658" w:rsidRPr="007849A0" w:rsidRDefault="00744658" w:rsidP="00177D69">
            <w:pPr>
              <w:suppressAutoHyphens w:val="0"/>
              <w:spacing w:before="60" w:after="60" w:line="240" w:lineRule="auto"/>
              <w:ind w:left="57" w:right="57"/>
              <w:jc w:val="center"/>
              <w:rPr>
                <w:sz w:val="17"/>
                <w:szCs w:val="17"/>
              </w:rPr>
            </w:pPr>
            <w:r w:rsidRPr="00270698">
              <w:rPr>
                <w:rFonts w:asciiTheme="majorBidi" w:hAnsiTheme="majorBidi"/>
                <w:sz w:val="17"/>
                <w:szCs w:val="17"/>
                <w:u w:val="single"/>
              </w:rPr>
              <w:t>0</w:t>
            </w:r>
          </w:p>
        </w:tc>
        <w:tc>
          <w:tcPr>
            <w:tcW w:w="394" w:type="dxa"/>
            <w:shd w:val="clear" w:color="auto" w:fill="auto"/>
          </w:tcPr>
          <w:p w14:paraId="5DA6D5A4" w14:textId="77777777" w:rsidR="00744658" w:rsidRPr="007849A0" w:rsidRDefault="00744658" w:rsidP="00177D69">
            <w:pPr>
              <w:suppressAutoHyphens w:val="0"/>
              <w:spacing w:before="60" w:after="60" w:line="240" w:lineRule="auto"/>
              <w:ind w:left="57" w:right="57"/>
              <w:jc w:val="center"/>
              <w:rPr>
                <w:rFonts w:eastAsia="Times New Roman"/>
                <w:sz w:val="17"/>
                <w:szCs w:val="17"/>
                <w:lang w:eastAsia="en-GB"/>
              </w:rPr>
            </w:pPr>
            <w:r w:rsidRPr="00270698">
              <w:rPr>
                <w:rFonts w:asciiTheme="majorBidi" w:hAnsiTheme="majorBidi"/>
                <w:sz w:val="17"/>
                <w:szCs w:val="17"/>
                <w:u w:val="single"/>
              </w:rPr>
              <w:t>E5</w:t>
            </w:r>
          </w:p>
        </w:tc>
        <w:tc>
          <w:tcPr>
            <w:tcW w:w="864" w:type="dxa"/>
            <w:shd w:val="clear" w:color="auto" w:fill="auto"/>
          </w:tcPr>
          <w:p w14:paraId="645ED7EE" w14:textId="77777777" w:rsidR="00744658" w:rsidRPr="007849A0" w:rsidRDefault="00744658" w:rsidP="00177D69">
            <w:pPr>
              <w:suppressAutoHyphens w:val="0"/>
              <w:spacing w:before="60" w:after="60" w:line="240" w:lineRule="auto"/>
              <w:ind w:left="28" w:right="28"/>
              <w:jc w:val="center"/>
              <w:rPr>
                <w:i/>
                <w:iCs/>
                <w:spacing w:val="-1"/>
                <w:sz w:val="17"/>
                <w:szCs w:val="17"/>
              </w:rPr>
            </w:pPr>
            <w:r w:rsidRPr="00270698">
              <w:rPr>
                <w:rFonts w:asciiTheme="majorBidi" w:hAnsiTheme="majorBidi"/>
                <w:sz w:val="17"/>
                <w:szCs w:val="17"/>
                <w:u w:val="single"/>
              </w:rPr>
              <w:t>P001</w:t>
            </w:r>
          </w:p>
        </w:tc>
        <w:tc>
          <w:tcPr>
            <w:tcW w:w="875" w:type="dxa"/>
            <w:shd w:val="clear" w:color="auto" w:fill="auto"/>
          </w:tcPr>
          <w:p w14:paraId="258EC01F" w14:textId="77777777" w:rsidR="00744658" w:rsidRPr="007849A0" w:rsidRDefault="00744658" w:rsidP="00177D69">
            <w:pPr>
              <w:suppressAutoHyphens w:val="0"/>
              <w:spacing w:before="60" w:after="60" w:line="240" w:lineRule="auto"/>
              <w:ind w:left="28" w:right="28"/>
              <w:jc w:val="center"/>
              <w:rPr>
                <w:i/>
                <w:iCs/>
                <w:sz w:val="17"/>
                <w:szCs w:val="17"/>
              </w:rPr>
            </w:pPr>
          </w:p>
        </w:tc>
        <w:tc>
          <w:tcPr>
            <w:tcW w:w="838" w:type="dxa"/>
            <w:shd w:val="clear" w:color="auto" w:fill="auto"/>
          </w:tcPr>
          <w:p w14:paraId="706D25FF" w14:textId="77777777" w:rsidR="00744658" w:rsidRPr="007849A0" w:rsidRDefault="00744658" w:rsidP="00177D69">
            <w:pPr>
              <w:suppressAutoHyphens w:val="0"/>
              <w:spacing w:before="60" w:after="60" w:line="240" w:lineRule="auto"/>
              <w:ind w:left="28" w:right="28"/>
              <w:jc w:val="center"/>
              <w:rPr>
                <w:i/>
                <w:iCs/>
                <w:sz w:val="17"/>
                <w:szCs w:val="17"/>
              </w:rPr>
            </w:pPr>
            <w:r w:rsidRPr="00270698">
              <w:rPr>
                <w:rFonts w:asciiTheme="majorBidi" w:hAnsiTheme="majorBidi"/>
                <w:sz w:val="17"/>
                <w:szCs w:val="17"/>
                <w:u w:val="single"/>
              </w:rPr>
              <w:t>T14</w:t>
            </w:r>
          </w:p>
        </w:tc>
        <w:tc>
          <w:tcPr>
            <w:tcW w:w="873" w:type="dxa"/>
            <w:shd w:val="clear" w:color="auto" w:fill="auto"/>
          </w:tcPr>
          <w:p w14:paraId="2657A571" w14:textId="77777777" w:rsidR="00744658" w:rsidRPr="007849A0" w:rsidRDefault="00744658" w:rsidP="00177D69">
            <w:pPr>
              <w:suppressAutoHyphens w:val="0"/>
              <w:spacing w:before="60" w:after="60" w:line="240" w:lineRule="auto"/>
              <w:ind w:left="28" w:right="28"/>
              <w:jc w:val="center"/>
              <w:rPr>
                <w:i/>
                <w:iCs/>
                <w:sz w:val="17"/>
                <w:szCs w:val="17"/>
              </w:rPr>
            </w:pPr>
            <w:r w:rsidRPr="00270698">
              <w:rPr>
                <w:rFonts w:asciiTheme="majorBidi" w:hAnsiTheme="majorBidi"/>
                <w:sz w:val="17"/>
                <w:szCs w:val="17"/>
                <w:u w:val="single"/>
              </w:rPr>
              <w:t>TP2</w:t>
            </w:r>
          </w:p>
        </w:tc>
      </w:tr>
      <w:tr w:rsidR="00744658" w:rsidRPr="007849A0" w14:paraId="3A21DAEC" w14:textId="77777777" w:rsidTr="00177D69">
        <w:trPr>
          <w:tblHeader/>
        </w:trPr>
        <w:tc>
          <w:tcPr>
            <w:tcW w:w="498" w:type="dxa"/>
            <w:shd w:val="clear" w:color="auto" w:fill="auto"/>
          </w:tcPr>
          <w:p w14:paraId="4B2FB30D" w14:textId="77777777" w:rsidR="00744658" w:rsidRPr="007849A0" w:rsidRDefault="00744658" w:rsidP="00177D69">
            <w:pPr>
              <w:suppressAutoHyphens w:val="0"/>
              <w:spacing w:before="60" w:after="60" w:line="240" w:lineRule="auto"/>
              <w:ind w:left="28" w:right="28"/>
              <w:rPr>
                <w:sz w:val="17"/>
                <w:szCs w:val="17"/>
              </w:rPr>
            </w:pPr>
            <w:r w:rsidRPr="00270698">
              <w:rPr>
                <w:rFonts w:asciiTheme="majorBidi" w:hAnsiTheme="majorBidi"/>
                <w:sz w:val="17"/>
                <w:szCs w:val="17"/>
              </w:rPr>
              <w:t>1835</w:t>
            </w:r>
          </w:p>
        </w:tc>
        <w:tc>
          <w:tcPr>
            <w:tcW w:w="1944" w:type="dxa"/>
            <w:shd w:val="clear" w:color="auto" w:fill="auto"/>
          </w:tcPr>
          <w:p w14:paraId="7FF4DE33" w14:textId="77777777" w:rsidR="00744658" w:rsidRPr="007849A0" w:rsidRDefault="00744658" w:rsidP="00177D69">
            <w:pPr>
              <w:suppressAutoHyphens w:val="0"/>
              <w:spacing w:before="60" w:after="60" w:line="240" w:lineRule="auto"/>
              <w:ind w:left="57" w:right="57"/>
              <w:rPr>
                <w:sz w:val="17"/>
                <w:szCs w:val="17"/>
              </w:rPr>
            </w:pPr>
            <w:r w:rsidRPr="00270698">
              <w:rPr>
                <w:rFonts w:ascii="TimesNewRoman" w:hAnsi="TimesNewRoman"/>
                <w:sz w:val="17"/>
                <w:szCs w:val="17"/>
              </w:rPr>
              <w:t>HYDROXYDE DE TÉTRAMÉTHYLAMMONIUM EN SOLUTION</w:t>
            </w:r>
          </w:p>
        </w:tc>
        <w:tc>
          <w:tcPr>
            <w:tcW w:w="647" w:type="dxa"/>
            <w:shd w:val="clear" w:color="auto" w:fill="auto"/>
          </w:tcPr>
          <w:p w14:paraId="6FFD3A9E" w14:textId="77777777" w:rsidR="00744658" w:rsidRPr="007849A0" w:rsidRDefault="00744658" w:rsidP="00177D69">
            <w:pPr>
              <w:suppressAutoHyphens w:val="0"/>
              <w:spacing w:before="60" w:after="60" w:line="240" w:lineRule="auto"/>
              <w:ind w:left="57" w:right="57"/>
              <w:jc w:val="center"/>
              <w:rPr>
                <w:sz w:val="17"/>
                <w:szCs w:val="17"/>
              </w:rPr>
            </w:pPr>
            <w:r w:rsidRPr="00270698">
              <w:rPr>
                <w:rFonts w:asciiTheme="majorBidi" w:hAnsiTheme="majorBidi"/>
                <w:sz w:val="17"/>
                <w:szCs w:val="17"/>
                <w:u w:val="single"/>
              </w:rPr>
              <w:t>6.1</w:t>
            </w:r>
            <w:r w:rsidRPr="00270698">
              <w:rPr>
                <w:rFonts w:asciiTheme="majorBidi" w:hAnsiTheme="majorBidi"/>
                <w:strike/>
                <w:sz w:val="17"/>
                <w:szCs w:val="17"/>
              </w:rPr>
              <w:t>8</w:t>
            </w:r>
          </w:p>
        </w:tc>
        <w:tc>
          <w:tcPr>
            <w:tcW w:w="593" w:type="dxa"/>
            <w:shd w:val="clear" w:color="auto" w:fill="auto"/>
          </w:tcPr>
          <w:p w14:paraId="60BEB569" w14:textId="77777777" w:rsidR="00744658" w:rsidRPr="007849A0" w:rsidRDefault="00744658" w:rsidP="00177D69">
            <w:pPr>
              <w:suppressAutoHyphens w:val="0"/>
              <w:spacing w:before="60" w:after="60" w:line="240" w:lineRule="auto"/>
              <w:ind w:left="57" w:right="57"/>
              <w:jc w:val="center"/>
              <w:rPr>
                <w:sz w:val="17"/>
                <w:szCs w:val="17"/>
              </w:rPr>
            </w:pPr>
            <w:r w:rsidRPr="00270698">
              <w:rPr>
                <w:rFonts w:asciiTheme="majorBidi" w:hAnsiTheme="majorBidi"/>
                <w:sz w:val="17"/>
                <w:szCs w:val="17"/>
                <w:u w:val="single"/>
              </w:rPr>
              <w:t>8</w:t>
            </w:r>
          </w:p>
        </w:tc>
        <w:tc>
          <w:tcPr>
            <w:tcW w:w="849" w:type="dxa"/>
            <w:shd w:val="clear" w:color="auto" w:fill="auto"/>
          </w:tcPr>
          <w:p w14:paraId="0F425A49" w14:textId="77777777" w:rsidR="00744658" w:rsidRPr="007849A0" w:rsidRDefault="00744658" w:rsidP="00177D69">
            <w:pPr>
              <w:suppressAutoHyphens w:val="0"/>
              <w:spacing w:before="60" w:after="60" w:line="240" w:lineRule="auto"/>
              <w:ind w:left="28" w:right="28"/>
              <w:jc w:val="center"/>
              <w:rPr>
                <w:sz w:val="17"/>
                <w:szCs w:val="17"/>
              </w:rPr>
            </w:pPr>
            <w:r w:rsidRPr="00270698">
              <w:rPr>
                <w:rFonts w:asciiTheme="majorBidi" w:hAnsiTheme="majorBidi"/>
                <w:sz w:val="17"/>
                <w:szCs w:val="17"/>
              </w:rPr>
              <w:t>II</w:t>
            </w:r>
          </w:p>
        </w:tc>
        <w:tc>
          <w:tcPr>
            <w:tcW w:w="840" w:type="dxa"/>
            <w:shd w:val="clear" w:color="auto" w:fill="auto"/>
          </w:tcPr>
          <w:p w14:paraId="7F8E4D86" w14:textId="77777777" w:rsidR="00744658" w:rsidRPr="007849A0" w:rsidRDefault="00744658" w:rsidP="00177D69">
            <w:pPr>
              <w:suppressAutoHyphens w:val="0"/>
              <w:spacing w:before="60" w:after="60" w:line="240" w:lineRule="auto"/>
              <w:ind w:left="28" w:right="28"/>
              <w:jc w:val="center"/>
              <w:rPr>
                <w:sz w:val="17"/>
                <w:szCs w:val="17"/>
              </w:rPr>
            </w:pPr>
          </w:p>
        </w:tc>
        <w:tc>
          <w:tcPr>
            <w:tcW w:w="428" w:type="dxa"/>
            <w:shd w:val="clear" w:color="auto" w:fill="auto"/>
          </w:tcPr>
          <w:p w14:paraId="114117ED" w14:textId="77777777" w:rsidR="00744658" w:rsidRPr="007849A0" w:rsidRDefault="00744658" w:rsidP="00177D69">
            <w:pPr>
              <w:suppressAutoHyphens w:val="0"/>
              <w:spacing w:before="60" w:after="60" w:line="240" w:lineRule="auto"/>
              <w:ind w:left="57" w:right="57"/>
              <w:jc w:val="center"/>
              <w:rPr>
                <w:sz w:val="17"/>
                <w:szCs w:val="17"/>
              </w:rPr>
            </w:pPr>
            <w:r w:rsidRPr="00270698">
              <w:rPr>
                <w:rFonts w:asciiTheme="majorBidi" w:hAnsiTheme="majorBidi"/>
                <w:strike/>
                <w:sz w:val="17"/>
                <w:szCs w:val="17"/>
              </w:rPr>
              <w:t>1 L</w:t>
            </w:r>
            <w:r w:rsidRPr="00270698">
              <w:rPr>
                <w:rFonts w:asciiTheme="majorBidi" w:hAnsiTheme="majorBidi"/>
                <w:sz w:val="17"/>
                <w:szCs w:val="17"/>
              </w:rPr>
              <w:t xml:space="preserve"> </w:t>
            </w:r>
            <w:r w:rsidRPr="00270698">
              <w:rPr>
                <w:rFonts w:asciiTheme="majorBidi" w:hAnsiTheme="majorBidi"/>
                <w:sz w:val="17"/>
                <w:szCs w:val="17"/>
                <w:u w:val="single"/>
              </w:rPr>
              <w:t>100 ml</w:t>
            </w:r>
          </w:p>
        </w:tc>
        <w:tc>
          <w:tcPr>
            <w:tcW w:w="394" w:type="dxa"/>
            <w:shd w:val="clear" w:color="auto" w:fill="auto"/>
          </w:tcPr>
          <w:p w14:paraId="093F9786" w14:textId="77777777" w:rsidR="00744658" w:rsidRPr="007849A0" w:rsidRDefault="00744658" w:rsidP="00177D69">
            <w:pPr>
              <w:suppressAutoHyphens w:val="0"/>
              <w:spacing w:before="60" w:after="60" w:line="240" w:lineRule="auto"/>
              <w:ind w:left="57" w:right="57"/>
              <w:jc w:val="center"/>
              <w:rPr>
                <w:rFonts w:eastAsia="Times New Roman"/>
                <w:sz w:val="17"/>
                <w:szCs w:val="17"/>
                <w:lang w:eastAsia="en-GB"/>
              </w:rPr>
            </w:pPr>
            <w:r w:rsidRPr="00270698">
              <w:rPr>
                <w:rFonts w:asciiTheme="majorBidi" w:hAnsiTheme="majorBidi"/>
                <w:strike/>
                <w:sz w:val="17"/>
                <w:szCs w:val="17"/>
              </w:rPr>
              <w:t>E2</w:t>
            </w:r>
            <w:r w:rsidRPr="00270698">
              <w:rPr>
                <w:rFonts w:asciiTheme="majorBidi" w:hAnsiTheme="majorBidi"/>
                <w:sz w:val="17"/>
                <w:szCs w:val="17"/>
              </w:rPr>
              <w:t xml:space="preserve"> </w:t>
            </w:r>
            <w:r w:rsidRPr="00270698">
              <w:rPr>
                <w:rFonts w:asciiTheme="majorBidi" w:hAnsiTheme="majorBidi"/>
                <w:sz w:val="17"/>
                <w:szCs w:val="17"/>
                <w:u w:val="single"/>
              </w:rPr>
              <w:t>E4</w:t>
            </w:r>
          </w:p>
        </w:tc>
        <w:tc>
          <w:tcPr>
            <w:tcW w:w="864" w:type="dxa"/>
            <w:shd w:val="clear" w:color="auto" w:fill="auto"/>
          </w:tcPr>
          <w:p w14:paraId="67A49A89" w14:textId="77777777" w:rsidR="00744658" w:rsidRPr="007849A0" w:rsidRDefault="00744658" w:rsidP="00177D69">
            <w:pPr>
              <w:kinsoku/>
              <w:overflowPunct/>
              <w:autoSpaceDE/>
              <w:autoSpaceDN/>
              <w:adjustRightInd/>
              <w:snapToGrid/>
              <w:spacing w:before="60" w:after="60" w:line="240" w:lineRule="auto"/>
              <w:ind w:left="57" w:right="57"/>
              <w:jc w:val="center"/>
              <w:rPr>
                <w:i/>
                <w:iCs/>
                <w:spacing w:val="-1"/>
                <w:sz w:val="17"/>
                <w:szCs w:val="17"/>
              </w:rPr>
            </w:pPr>
            <w:r w:rsidRPr="00270698">
              <w:rPr>
                <w:rFonts w:asciiTheme="majorBidi" w:hAnsiTheme="majorBidi"/>
                <w:sz w:val="17"/>
                <w:szCs w:val="17"/>
              </w:rPr>
              <w:t>P001</w:t>
            </w:r>
            <w:r>
              <w:rPr>
                <w:rFonts w:asciiTheme="majorBidi" w:hAnsiTheme="majorBidi"/>
                <w:sz w:val="17"/>
                <w:szCs w:val="17"/>
              </w:rPr>
              <w:br/>
            </w:r>
            <w:r w:rsidRPr="00270698">
              <w:rPr>
                <w:rFonts w:asciiTheme="majorBidi" w:hAnsiTheme="majorBidi"/>
                <w:sz w:val="17"/>
                <w:szCs w:val="17"/>
              </w:rPr>
              <w:t>IBC02</w:t>
            </w:r>
          </w:p>
        </w:tc>
        <w:tc>
          <w:tcPr>
            <w:tcW w:w="875" w:type="dxa"/>
            <w:shd w:val="clear" w:color="auto" w:fill="auto"/>
          </w:tcPr>
          <w:p w14:paraId="30C97614" w14:textId="77777777" w:rsidR="00744658" w:rsidRPr="007849A0" w:rsidRDefault="00744658" w:rsidP="00177D69">
            <w:pPr>
              <w:suppressAutoHyphens w:val="0"/>
              <w:spacing w:before="60" w:after="60" w:line="240" w:lineRule="auto"/>
              <w:ind w:left="28" w:right="28"/>
              <w:jc w:val="center"/>
              <w:rPr>
                <w:i/>
                <w:iCs/>
                <w:sz w:val="17"/>
                <w:szCs w:val="17"/>
              </w:rPr>
            </w:pPr>
          </w:p>
        </w:tc>
        <w:tc>
          <w:tcPr>
            <w:tcW w:w="838" w:type="dxa"/>
            <w:shd w:val="clear" w:color="auto" w:fill="auto"/>
          </w:tcPr>
          <w:p w14:paraId="3BC39DDB" w14:textId="77777777" w:rsidR="00744658" w:rsidRPr="007849A0" w:rsidRDefault="00744658" w:rsidP="00177D69">
            <w:pPr>
              <w:suppressAutoHyphens w:val="0"/>
              <w:spacing w:before="60" w:after="60" w:line="240" w:lineRule="auto"/>
              <w:ind w:left="28" w:right="28"/>
              <w:jc w:val="center"/>
              <w:rPr>
                <w:i/>
                <w:iCs/>
                <w:sz w:val="17"/>
                <w:szCs w:val="17"/>
              </w:rPr>
            </w:pPr>
            <w:r w:rsidRPr="00270698">
              <w:rPr>
                <w:rFonts w:asciiTheme="majorBidi" w:hAnsiTheme="majorBidi"/>
                <w:sz w:val="17"/>
                <w:szCs w:val="17"/>
              </w:rPr>
              <w:t>T7</w:t>
            </w:r>
          </w:p>
        </w:tc>
        <w:tc>
          <w:tcPr>
            <w:tcW w:w="873" w:type="dxa"/>
            <w:shd w:val="clear" w:color="auto" w:fill="auto"/>
          </w:tcPr>
          <w:p w14:paraId="5A8BA410" w14:textId="77777777" w:rsidR="00744658" w:rsidRPr="007849A0" w:rsidRDefault="00744658" w:rsidP="00177D69">
            <w:pPr>
              <w:suppressAutoHyphens w:val="0"/>
              <w:spacing w:before="60" w:after="60" w:line="240" w:lineRule="auto"/>
              <w:ind w:left="28" w:right="28"/>
              <w:jc w:val="center"/>
              <w:rPr>
                <w:i/>
                <w:iCs/>
                <w:sz w:val="17"/>
                <w:szCs w:val="17"/>
              </w:rPr>
            </w:pPr>
            <w:r w:rsidRPr="00270698">
              <w:rPr>
                <w:rFonts w:asciiTheme="majorBidi" w:hAnsiTheme="majorBidi"/>
                <w:sz w:val="17"/>
                <w:szCs w:val="17"/>
              </w:rPr>
              <w:t>TP2</w:t>
            </w:r>
          </w:p>
        </w:tc>
      </w:tr>
      <w:tr w:rsidR="00744658" w:rsidRPr="007849A0" w14:paraId="0DF74BB7" w14:textId="77777777" w:rsidTr="00177D69">
        <w:trPr>
          <w:tblHeader/>
        </w:trPr>
        <w:tc>
          <w:tcPr>
            <w:tcW w:w="498" w:type="dxa"/>
            <w:shd w:val="clear" w:color="auto" w:fill="auto"/>
          </w:tcPr>
          <w:p w14:paraId="3FD852CC" w14:textId="77777777" w:rsidR="00744658" w:rsidRPr="007849A0" w:rsidRDefault="00744658" w:rsidP="00177D69">
            <w:pPr>
              <w:suppressAutoHyphens w:val="0"/>
              <w:spacing w:before="60" w:after="60" w:line="240" w:lineRule="auto"/>
              <w:ind w:left="28" w:right="28"/>
              <w:rPr>
                <w:sz w:val="17"/>
                <w:szCs w:val="17"/>
              </w:rPr>
            </w:pPr>
            <w:r w:rsidRPr="00270698">
              <w:rPr>
                <w:rFonts w:asciiTheme="majorBidi" w:hAnsiTheme="majorBidi"/>
                <w:sz w:val="17"/>
                <w:szCs w:val="17"/>
              </w:rPr>
              <w:t>1835</w:t>
            </w:r>
          </w:p>
        </w:tc>
        <w:tc>
          <w:tcPr>
            <w:tcW w:w="1944" w:type="dxa"/>
            <w:shd w:val="clear" w:color="auto" w:fill="auto"/>
          </w:tcPr>
          <w:p w14:paraId="68ED2563" w14:textId="77777777" w:rsidR="00744658" w:rsidRPr="007849A0" w:rsidRDefault="00744658" w:rsidP="00177D69">
            <w:pPr>
              <w:suppressAutoHyphens w:val="0"/>
              <w:spacing w:before="60" w:after="60" w:line="240" w:lineRule="auto"/>
              <w:ind w:left="57" w:right="57"/>
              <w:rPr>
                <w:sz w:val="17"/>
                <w:szCs w:val="17"/>
              </w:rPr>
            </w:pPr>
            <w:r w:rsidRPr="00270698">
              <w:rPr>
                <w:rFonts w:ascii="TimesNewRoman" w:hAnsi="TimesNewRoman"/>
                <w:sz w:val="17"/>
                <w:szCs w:val="17"/>
              </w:rPr>
              <w:t>HYDROXYDE DE TÉTRAMÉTHYLAMMONIUM EN SOLUTION</w:t>
            </w:r>
          </w:p>
        </w:tc>
        <w:tc>
          <w:tcPr>
            <w:tcW w:w="647" w:type="dxa"/>
            <w:shd w:val="clear" w:color="auto" w:fill="auto"/>
          </w:tcPr>
          <w:p w14:paraId="6CC03987" w14:textId="77777777" w:rsidR="00744658" w:rsidRPr="007849A0" w:rsidRDefault="00744658" w:rsidP="00177D69">
            <w:pPr>
              <w:suppressAutoHyphens w:val="0"/>
              <w:spacing w:before="60" w:after="60" w:line="240" w:lineRule="auto"/>
              <w:ind w:left="57" w:right="57"/>
              <w:jc w:val="center"/>
              <w:rPr>
                <w:sz w:val="17"/>
                <w:szCs w:val="17"/>
              </w:rPr>
            </w:pPr>
            <w:r w:rsidRPr="00270698">
              <w:rPr>
                <w:rFonts w:asciiTheme="majorBidi" w:hAnsiTheme="majorBidi"/>
                <w:sz w:val="17"/>
                <w:szCs w:val="17"/>
              </w:rPr>
              <w:t>8</w:t>
            </w:r>
          </w:p>
        </w:tc>
        <w:tc>
          <w:tcPr>
            <w:tcW w:w="593" w:type="dxa"/>
            <w:shd w:val="clear" w:color="auto" w:fill="auto"/>
          </w:tcPr>
          <w:p w14:paraId="256BE5D5" w14:textId="77777777" w:rsidR="00744658" w:rsidRPr="007849A0" w:rsidRDefault="00744658" w:rsidP="00177D69">
            <w:pPr>
              <w:suppressAutoHyphens w:val="0"/>
              <w:spacing w:before="60" w:after="60" w:line="240" w:lineRule="auto"/>
              <w:ind w:left="57" w:right="57"/>
              <w:jc w:val="center"/>
              <w:rPr>
                <w:sz w:val="17"/>
                <w:szCs w:val="17"/>
              </w:rPr>
            </w:pPr>
          </w:p>
        </w:tc>
        <w:tc>
          <w:tcPr>
            <w:tcW w:w="849" w:type="dxa"/>
            <w:shd w:val="clear" w:color="auto" w:fill="auto"/>
          </w:tcPr>
          <w:p w14:paraId="375CE489" w14:textId="77777777" w:rsidR="00744658" w:rsidRPr="007849A0" w:rsidRDefault="00744658" w:rsidP="00177D69">
            <w:pPr>
              <w:suppressAutoHyphens w:val="0"/>
              <w:spacing w:before="60" w:after="60" w:line="240" w:lineRule="auto"/>
              <w:ind w:left="28" w:right="28"/>
              <w:jc w:val="center"/>
              <w:rPr>
                <w:sz w:val="17"/>
                <w:szCs w:val="17"/>
              </w:rPr>
            </w:pPr>
            <w:r w:rsidRPr="00270698">
              <w:rPr>
                <w:rFonts w:asciiTheme="majorBidi" w:hAnsiTheme="majorBidi"/>
                <w:sz w:val="17"/>
                <w:szCs w:val="17"/>
              </w:rPr>
              <w:t>III</w:t>
            </w:r>
          </w:p>
        </w:tc>
        <w:tc>
          <w:tcPr>
            <w:tcW w:w="840" w:type="dxa"/>
            <w:shd w:val="clear" w:color="auto" w:fill="auto"/>
          </w:tcPr>
          <w:p w14:paraId="01B8328A" w14:textId="77777777" w:rsidR="00744658" w:rsidRPr="007849A0" w:rsidRDefault="00744658" w:rsidP="00177D69">
            <w:pPr>
              <w:suppressAutoHyphens w:val="0"/>
              <w:spacing w:before="60" w:after="60" w:line="240" w:lineRule="auto"/>
              <w:ind w:left="28" w:right="28"/>
              <w:jc w:val="center"/>
              <w:rPr>
                <w:sz w:val="17"/>
                <w:szCs w:val="17"/>
              </w:rPr>
            </w:pPr>
            <w:r w:rsidRPr="00270698">
              <w:rPr>
                <w:rFonts w:asciiTheme="majorBidi" w:hAnsiTheme="majorBidi"/>
                <w:sz w:val="17"/>
                <w:szCs w:val="17"/>
              </w:rPr>
              <w:t>223</w:t>
            </w:r>
          </w:p>
        </w:tc>
        <w:tc>
          <w:tcPr>
            <w:tcW w:w="428" w:type="dxa"/>
            <w:shd w:val="clear" w:color="auto" w:fill="auto"/>
          </w:tcPr>
          <w:p w14:paraId="127798A6" w14:textId="77777777" w:rsidR="00744658" w:rsidRPr="007849A0" w:rsidRDefault="00744658" w:rsidP="00177D69">
            <w:pPr>
              <w:suppressAutoHyphens w:val="0"/>
              <w:spacing w:before="60" w:after="60" w:line="240" w:lineRule="auto"/>
              <w:ind w:left="57" w:right="57"/>
              <w:jc w:val="center"/>
              <w:rPr>
                <w:sz w:val="17"/>
                <w:szCs w:val="17"/>
              </w:rPr>
            </w:pPr>
            <w:r w:rsidRPr="00270698">
              <w:rPr>
                <w:rFonts w:asciiTheme="majorBidi" w:hAnsiTheme="majorBidi"/>
                <w:sz w:val="17"/>
                <w:szCs w:val="17"/>
              </w:rPr>
              <w:t>5 L</w:t>
            </w:r>
          </w:p>
        </w:tc>
        <w:tc>
          <w:tcPr>
            <w:tcW w:w="394" w:type="dxa"/>
            <w:shd w:val="clear" w:color="auto" w:fill="auto"/>
          </w:tcPr>
          <w:p w14:paraId="1127DAD9" w14:textId="77777777" w:rsidR="00744658" w:rsidRPr="007849A0" w:rsidRDefault="00744658" w:rsidP="00177D69">
            <w:pPr>
              <w:suppressAutoHyphens w:val="0"/>
              <w:spacing w:before="60" w:after="60" w:line="240" w:lineRule="auto"/>
              <w:ind w:left="57" w:right="57"/>
              <w:jc w:val="center"/>
              <w:rPr>
                <w:rFonts w:eastAsia="Times New Roman"/>
                <w:sz w:val="17"/>
                <w:szCs w:val="17"/>
                <w:lang w:eastAsia="en-GB"/>
              </w:rPr>
            </w:pPr>
            <w:r w:rsidRPr="00270698">
              <w:rPr>
                <w:rFonts w:asciiTheme="majorBidi" w:hAnsiTheme="majorBidi"/>
                <w:sz w:val="17"/>
                <w:szCs w:val="17"/>
              </w:rPr>
              <w:t>E1</w:t>
            </w:r>
          </w:p>
        </w:tc>
        <w:tc>
          <w:tcPr>
            <w:tcW w:w="864" w:type="dxa"/>
            <w:shd w:val="clear" w:color="auto" w:fill="auto"/>
          </w:tcPr>
          <w:p w14:paraId="41036656" w14:textId="77777777" w:rsidR="00744658" w:rsidRPr="007849A0" w:rsidRDefault="00744658" w:rsidP="00177D69">
            <w:pPr>
              <w:kinsoku/>
              <w:overflowPunct/>
              <w:autoSpaceDE/>
              <w:autoSpaceDN/>
              <w:adjustRightInd/>
              <w:snapToGrid/>
              <w:spacing w:before="60" w:after="60" w:line="240" w:lineRule="auto"/>
              <w:ind w:left="57" w:right="57"/>
              <w:jc w:val="center"/>
              <w:rPr>
                <w:i/>
                <w:iCs/>
                <w:spacing w:val="-1"/>
                <w:sz w:val="17"/>
                <w:szCs w:val="17"/>
              </w:rPr>
            </w:pPr>
            <w:r w:rsidRPr="00270698">
              <w:rPr>
                <w:rFonts w:asciiTheme="majorBidi" w:hAnsiTheme="majorBidi"/>
                <w:sz w:val="17"/>
                <w:szCs w:val="17"/>
              </w:rPr>
              <w:t>P001</w:t>
            </w:r>
            <w:r>
              <w:rPr>
                <w:rFonts w:asciiTheme="majorBidi" w:hAnsiTheme="majorBidi"/>
                <w:sz w:val="17"/>
                <w:szCs w:val="17"/>
              </w:rPr>
              <w:br/>
            </w:r>
            <w:r w:rsidRPr="00270698">
              <w:rPr>
                <w:rFonts w:asciiTheme="majorBidi" w:hAnsiTheme="majorBidi"/>
                <w:sz w:val="17"/>
                <w:szCs w:val="17"/>
              </w:rPr>
              <w:t>IBC03</w:t>
            </w:r>
            <w:r>
              <w:rPr>
                <w:rFonts w:asciiTheme="majorBidi" w:hAnsiTheme="majorBidi"/>
                <w:sz w:val="17"/>
                <w:szCs w:val="17"/>
              </w:rPr>
              <w:br/>
            </w:r>
            <w:r w:rsidRPr="00270698">
              <w:rPr>
                <w:rFonts w:asciiTheme="majorBidi" w:hAnsiTheme="majorBidi"/>
                <w:sz w:val="17"/>
                <w:szCs w:val="17"/>
              </w:rPr>
              <w:t>LP01</w:t>
            </w:r>
          </w:p>
        </w:tc>
        <w:tc>
          <w:tcPr>
            <w:tcW w:w="875" w:type="dxa"/>
            <w:shd w:val="clear" w:color="auto" w:fill="auto"/>
          </w:tcPr>
          <w:p w14:paraId="3A79D13A" w14:textId="77777777" w:rsidR="00744658" w:rsidRPr="007849A0" w:rsidRDefault="00744658" w:rsidP="00177D69">
            <w:pPr>
              <w:suppressAutoHyphens w:val="0"/>
              <w:spacing w:before="60" w:after="60" w:line="240" w:lineRule="auto"/>
              <w:ind w:left="28" w:right="28"/>
              <w:jc w:val="center"/>
              <w:rPr>
                <w:i/>
                <w:iCs/>
                <w:sz w:val="17"/>
                <w:szCs w:val="17"/>
              </w:rPr>
            </w:pPr>
          </w:p>
        </w:tc>
        <w:tc>
          <w:tcPr>
            <w:tcW w:w="838" w:type="dxa"/>
            <w:shd w:val="clear" w:color="auto" w:fill="auto"/>
          </w:tcPr>
          <w:p w14:paraId="6E5C6BB2" w14:textId="77777777" w:rsidR="00744658" w:rsidRPr="007849A0" w:rsidRDefault="00744658" w:rsidP="00177D69">
            <w:pPr>
              <w:suppressAutoHyphens w:val="0"/>
              <w:spacing w:before="60" w:after="60" w:line="240" w:lineRule="auto"/>
              <w:ind w:left="28" w:right="28"/>
              <w:jc w:val="center"/>
              <w:rPr>
                <w:i/>
                <w:iCs/>
                <w:sz w:val="17"/>
                <w:szCs w:val="17"/>
              </w:rPr>
            </w:pPr>
            <w:r w:rsidRPr="00270698">
              <w:rPr>
                <w:rFonts w:asciiTheme="majorBidi" w:hAnsiTheme="majorBidi"/>
                <w:sz w:val="17"/>
                <w:szCs w:val="17"/>
              </w:rPr>
              <w:t>T7</w:t>
            </w:r>
          </w:p>
        </w:tc>
        <w:tc>
          <w:tcPr>
            <w:tcW w:w="873" w:type="dxa"/>
            <w:shd w:val="clear" w:color="auto" w:fill="auto"/>
          </w:tcPr>
          <w:p w14:paraId="6A9C6C65" w14:textId="77777777" w:rsidR="00744658" w:rsidRPr="007849A0" w:rsidRDefault="00744658" w:rsidP="00177D69">
            <w:pPr>
              <w:suppressAutoHyphens w:val="0"/>
              <w:spacing w:before="60" w:after="60" w:line="240" w:lineRule="auto"/>
              <w:ind w:left="28" w:right="28"/>
              <w:jc w:val="center"/>
              <w:rPr>
                <w:i/>
                <w:iCs/>
                <w:sz w:val="17"/>
                <w:szCs w:val="17"/>
              </w:rPr>
            </w:pPr>
            <w:r w:rsidRPr="00270698">
              <w:rPr>
                <w:rFonts w:asciiTheme="majorBidi" w:hAnsiTheme="majorBidi"/>
                <w:sz w:val="17"/>
                <w:szCs w:val="17"/>
              </w:rPr>
              <w:t>TP2</w:t>
            </w:r>
          </w:p>
        </w:tc>
      </w:tr>
      <w:tr w:rsidR="00744658" w:rsidRPr="007849A0" w14:paraId="600F7436" w14:textId="77777777" w:rsidTr="00177D69">
        <w:trPr>
          <w:tblHeader/>
        </w:trPr>
        <w:tc>
          <w:tcPr>
            <w:tcW w:w="498" w:type="dxa"/>
            <w:shd w:val="clear" w:color="auto" w:fill="auto"/>
          </w:tcPr>
          <w:p w14:paraId="632069F8" w14:textId="77777777" w:rsidR="00744658" w:rsidRPr="007849A0" w:rsidRDefault="00744658" w:rsidP="00177D69">
            <w:pPr>
              <w:suppressAutoHyphens w:val="0"/>
              <w:spacing w:before="60" w:after="60" w:line="240" w:lineRule="auto"/>
              <w:ind w:left="28" w:right="28"/>
              <w:rPr>
                <w:sz w:val="17"/>
                <w:szCs w:val="17"/>
              </w:rPr>
            </w:pPr>
            <w:r w:rsidRPr="00270698">
              <w:rPr>
                <w:rFonts w:asciiTheme="majorBidi" w:hAnsiTheme="majorBidi"/>
                <w:sz w:val="17"/>
                <w:szCs w:val="17"/>
              </w:rPr>
              <w:t>3423</w:t>
            </w:r>
          </w:p>
        </w:tc>
        <w:tc>
          <w:tcPr>
            <w:tcW w:w="1944" w:type="dxa"/>
            <w:shd w:val="clear" w:color="auto" w:fill="auto"/>
          </w:tcPr>
          <w:p w14:paraId="6D8E3BAA" w14:textId="77777777" w:rsidR="00744658" w:rsidRPr="007849A0" w:rsidRDefault="00744658" w:rsidP="00177D69">
            <w:pPr>
              <w:suppressAutoHyphens w:val="0"/>
              <w:spacing w:before="60" w:after="60" w:line="240" w:lineRule="auto"/>
              <w:ind w:left="57" w:right="57"/>
              <w:rPr>
                <w:sz w:val="17"/>
                <w:szCs w:val="17"/>
              </w:rPr>
            </w:pPr>
            <w:r w:rsidRPr="00270698">
              <w:rPr>
                <w:rFonts w:asciiTheme="majorBidi" w:hAnsiTheme="majorBidi"/>
                <w:sz w:val="17"/>
                <w:szCs w:val="17"/>
              </w:rPr>
              <w:t>HYDROXYDE DE TÉTRAMÉTHYLAMMONIUM, SOLIDE</w:t>
            </w:r>
          </w:p>
        </w:tc>
        <w:tc>
          <w:tcPr>
            <w:tcW w:w="647" w:type="dxa"/>
            <w:shd w:val="clear" w:color="auto" w:fill="auto"/>
          </w:tcPr>
          <w:p w14:paraId="0493CA2B" w14:textId="77777777" w:rsidR="00744658" w:rsidRPr="007849A0" w:rsidRDefault="00744658" w:rsidP="00177D69">
            <w:pPr>
              <w:suppressAutoHyphens w:val="0"/>
              <w:spacing w:before="60" w:after="60" w:line="240" w:lineRule="auto"/>
              <w:ind w:left="57" w:right="57"/>
              <w:jc w:val="center"/>
              <w:rPr>
                <w:sz w:val="17"/>
                <w:szCs w:val="17"/>
              </w:rPr>
            </w:pPr>
            <w:r w:rsidRPr="00270698">
              <w:rPr>
                <w:rFonts w:asciiTheme="majorBidi" w:hAnsiTheme="majorBidi"/>
                <w:sz w:val="17"/>
                <w:szCs w:val="17"/>
                <w:u w:val="single"/>
              </w:rPr>
              <w:t>6.1</w:t>
            </w:r>
            <w:r w:rsidRPr="00270698">
              <w:rPr>
                <w:rFonts w:asciiTheme="majorBidi" w:hAnsiTheme="majorBidi"/>
                <w:strike/>
                <w:sz w:val="17"/>
                <w:szCs w:val="17"/>
              </w:rPr>
              <w:t>8</w:t>
            </w:r>
          </w:p>
        </w:tc>
        <w:tc>
          <w:tcPr>
            <w:tcW w:w="593" w:type="dxa"/>
            <w:shd w:val="clear" w:color="auto" w:fill="auto"/>
          </w:tcPr>
          <w:p w14:paraId="34BF8C31" w14:textId="77777777" w:rsidR="00744658" w:rsidRPr="007849A0" w:rsidRDefault="00744658" w:rsidP="00177D69">
            <w:pPr>
              <w:suppressAutoHyphens w:val="0"/>
              <w:spacing w:before="60" w:after="60" w:line="240" w:lineRule="auto"/>
              <w:ind w:left="57" w:right="57"/>
              <w:jc w:val="center"/>
              <w:rPr>
                <w:sz w:val="17"/>
                <w:szCs w:val="17"/>
              </w:rPr>
            </w:pPr>
            <w:r w:rsidRPr="00270698">
              <w:rPr>
                <w:rFonts w:asciiTheme="majorBidi" w:hAnsiTheme="majorBidi"/>
                <w:sz w:val="17"/>
                <w:szCs w:val="17"/>
                <w:u w:val="single"/>
              </w:rPr>
              <w:t>8</w:t>
            </w:r>
          </w:p>
        </w:tc>
        <w:tc>
          <w:tcPr>
            <w:tcW w:w="849" w:type="dxa"/>
            <w:shd w:val="clear" w:color="auto" w:fill="auto"/>
          </w:tcPr>
          <w:p w14:paraId="337212F6" w14:textId="77777777" w:rsidR="00744658" w:rsidRPr="007849A0" w:rsidRDefault="00744658" w:rsidP="00177D69">
            <w:pPr>
              <w:suppressAutoHyphens w:val="0"/>
              <w:spacing w:before="60" w:after="60" w:line="240" w:lineRule="auto"/>
              <w:ind w:left="28" w:right="28"/>
              <w:jc w:val="center"/>
              <w:rPr>
                <w:sz w:val="17"/>
                <w:szCs w:val="17"/>
              </w:rPr>
            </w:pPr>
            <w:r w:rsidRPr="00270698">
              <w:rPr>
                <w:rFonts w:asciiTheme="majorBidi" w:hAnsiTheme="majorBidi"/>
                <w:sz w:val="17"/>
                <w:szCs w:val="17"/>
              </w:rPr>
              <w:t>I</w:t>
            </w:r>
            <w:r w:rsidRPr="00270698">
              <w:rPr>
                <w:rFonts w:asciiTheme="majorBidi" w:hAnsiTheme="majorBidi"/>
                <w:strike/>
                <w:sz w:val="17"/>
                <w:szCs w:val="17"/>
              </w:rPr>
              <w:t>I</w:t>
            </w:r>
          </w:p>
        </w:tc>
        <w:tc>
          <w:tcPr>
            <w:tcW w:w="840" w:type="dxa"/>
            <w:shd w:val="clear" w:color="auto" w:fill="auto"/>
          </w:tcPr>
          <w:p w14:paraId="3A4E3512" w14:textId="77777777" w:rsidR="00744658" w:rsidRPr="007849A0" w:rsidRDefault="00744658" w:rsidP="00177D69">
            <w:pPr>
              <w:suppressAutoHyphens w:val="0"/>
              <w:spacing w:before="60" w:after="60" w:line="240" w:lineRule="auto"/>
              <w:ind w:left="28" w:right="28"/>
              <w:jc w:val="center"/>
              <w:rPr>
                <w:sz w:val="17"/>
                <w:szCs w:val="17"/>
              </w:rPr>
            </w:pPr>
            <w:r w:rsidRPr="00270698">
              <w:rPr>
                <w:rFonts w:asciiTheme="majorBidi" w:hAnsiTheme="majorBidi"/>
                <w:sz w:val="17"/>
                <w:szCs w:val="17"/>
                <w:u w:val="single"/>
              </w:rPr>
              <w:t>279</w:t>
            </w:r>
          </w:p>
        </w:tc>
        <w:tc>
          <w:tcPr>
            <w:tcW w:w="428" w:type="dxa"/>
            <w:shd w:val="clear" w:color="auto" w:fill="auto"/>
          </w:tcPr>
          <w:p w14:paraId="6556B4E0" w14:textId="77777777" w:rsidR="00744658" w:rsidRPr="007849A0" w:rsidRDefault="00744658" w:rsidP="00177D69">
            <w:pPr>
              <w:suppressAutoHyphens w:val="0"/>
              <w:spacing w:before="60" w:after="60" w:line="240" w:lineRule="auto"/>
              <w:ind w:left="57" w:right="57"/>
              <w:jc w:val="center"/>
              <w:rPr>
                <w:sz w:val="17"/>
                <w:szCs w:val="17"/>
              </w:rPr>
            </w:pPr>
            <w:r w:rsidRPr="00270698">
              <w:rPr>
                <w:rFonts w:asciiTheme="majorBidi" w:hAnsiTheme="majorBidi"/>
                <w:strike/>
                <w:sz w:val="17"/>
                <w:szCs w:val="17"/>
              </w:rPr>
              <w:t>1 kg</w:t>
            </w:r>
            <w:r w:rsidRPr="00270698">
              <w:rPr>
                <w:rFonts w:asciiTheme="majorBidi" w:hAnsiTheme="majorBidi"/>
                <w:sz w:val="17"/>
                <w:szCs w:val="17"/>
              </w:rPr>
              <w:t xml:space="preserve"> </w:t>
            </w:r>
            <w:r w:rsidRPr="00270698">
              <w:rPr>
                <w:rFonts w:asciiTheme="majorBidi" w:hAnsiTheme="majorBidi"/>
                <w:sz w:val="17"/>
                <w:szCs w:val="17"/>
                <w:u w:val="single"/>
              </w:rPr>
              <w:t>0</w:t>
            </w:r>
          </w:p>
        </w:tc>
        <w:tc>
          <w:tcPr>
            <w:tcW w:w="394" w:type="dxa"/>
            <w:shd w:val="clear" w:color="auto" w:fill="auto"/>
          </w:tcPr>
          <w:p w14:paraId="4A65DE33" w14:textId="77777777" w:rsidR="00744658" w:rsidRPr="007849A0" w:rsidRDefault="00744658" w:rsidP="00177D69">
            <w:pPr>
              <w:suppressAutoHyphens w:val="0"/>
              <w:spacing w:before="60" w:after="60" w:line="240" w:lineRule="auto"/>
              <w:ind w:left="57" w:right="57"/>
              <w:jc w:val="center"/>
              <w:rPr>
                <w:rFonts w:eastAsia="Times New Roman"/>
                <w:sz w:val="17"/>
                <w:szCs w:val="17"/>
                <w:lang w:eastAsia="en-GB"/>
              </w:rPr>
            </w:pPr>
            <w:r w:rsidRPr="00270698">
              <w:rPr>
                <w:rFonts w:asciiTheme="majorBidi" w:hAnsiTheme="majorBidi"/>
                <w:strike/>
                <w:sz w:val="17"/>
                <w:szCs w:val="17"/>
              </w:rPr>
              <w:t>E2</w:t>
            </w:r>
            <w:r w:rsidRPr="00270698">
              <w:rPr>
                <w:rFonts w:asciiTheme="majorBidi" w:hAnsiTheme="majorBidi"/>
                <w:sz w:val="17"/>
                <w:szCs w:val="17"/>
              </w:rPr>
              <w:t xml:space="preserve"> </w:t>
            </w:r>
            <w:r w:rsidRPr="00270698">
              <w:rPr>
                <w:rFonts w:asciiTheme="majorBidi" w:hAnsiTheme="majorBidi"/>
                <w:sz w:val="17"/>
                <w:szCs w:val="17"/>
                <w:u w:val="single"/>
              </w:rPr>
              <w:t>E5</w:t>
            </w:r>
          </w:p>
        </w:tc>
        <w:tc>
          <w:tcPr>
            <w:tcW w:w="864" w:type="dxa"/>
            <w:shd w:val="clear" w:color="auto" w:fill="auto"/>
          </w:tcPr>
          <w:p w14:paraId="410A28CA" w14:textId="77777777" w:rsidR="00744658" w:rsidRPr="007849A0" w:rsidRDefault="00744658" w:rsidP="00177D69">
            <w:pPr>
              <w:suppressAutoHyphens w:val="0"/>
              <w:spacing w:before="60" w:after="60" w:line="240" w:lineRule="auto"/>
              <w:ind w:left="28" w:right="28"/>
              <w:jc w:val="center"/>
              <w:rPr>
                <w:i/>
                <w:iCs/>
                <w:spacing w:val="-1"/>
                <w:sz w:val="17"/>
                <w:szCs w:val="17"/>
              </w:rPr>
            </w:pPr>
            <w:r w:rsidRPr="00270698">
              <w:rPr>
                <w:rFonts w:asciiTheme="majorBidi" w:hAnsiTheme="majorBidi"/>
                <w:sz w:val="17"/>
                <w:szCs w:val="17"/>
              </w:rPr>
              <w:t>P002</w:t>
            </w:r>
            <w:r>
              <w:rPr>
                <w:rFonts w:asciiTheme="majorBidi" w:hAnsiTheme="majorBidi"/>
                <w:sz w:val="17"/>
                <w:szCs w:val="17"/>
              </w:rPr>
              <w:br/>
            </w:r>
            <w:r w:rsidRPr="00270698">
              <w:rPr>
                <w:rFonts w:asciiTheme="majorBidi" w:hAnsiTheme="majorBidi"/>
                <w:strike/>
                <w:sz w:val="17"/>
                <w:szCs w:val="17"/>
              </w:rPr>
              <w:t>IBC08</w:t>
            </w:r>
            <w:r>
              <w:rPr>
                <w:rFonts w:asciiTheme="majorBidi" w:hAnsiTheme="majorBidi"/>
                <w:strike/>
                <w:sz w:val="17"/>
                <w:szCs w:val="17"/>
              </w:rPr>
              <w:br/>
            </w:r>
            <w:r w:rsidRPr="00270698">
              <w:rPr>
                <w:rFonts w:asciiTheme="majorBidi" w:hAnsiTheme="majorBidi"/>
                <w:sz w:val="17"/>
                <w:szCs w:val="17"/>
                <w:u w:val="single"/>
              </w:rPr>
              <w:t>IBC99</w:t>
            </w:r>
          </w:p>
        </w:tc>
        <w:tc>
          <w:tcPr>
            <w:tcW w:w="875" w:type="dxa"/>
            <w:shd w:val="clear" w:color="auto" w:fill="auto"/>
          </w:tcPr>
          <w:p w14:paraId="3DCB9431" w14:textId="77777777" w:rsidR="00744658" w:rsidRPr="007849A0" w:rsidRDefault="00744658" w:rsidP="00177D69">
            <w:pPr>
              <w:suppressAutoHyphens w:val="0"/>
              <w:spacing w:before="60" w:after="60" w:line="240" w:lineRule="auto"/>
              <w:ind w:left="28" w:right="28"/>
              <w:jc w:val="center"/>
              <w:rPr>
                <w:i/>
                <w:iCs/>
                <w:sz w:val="17"/>
                <w:szCs w:val="17"/>
              </w:rPr>
            </w:pPr>
            <w:r w:rsidRPr="00270698">
              <w:rPr>
                <w:rFonts w:asciiTheme="majorBidi" w:hAnsiTheme="majorBidi"/>
                <w:strike/>
                <w:sz w:val="17"/>
                <w:szCs w:val="17"/>
              </w:rPr>
              <w:t>B2, B4</w:t>
            </w:r>
          </w:p>
        </w:tc>
        <w:tc>
          <w:tcPr>
            <w:tcW w:w="838" w:type="dxa"/>
            <w:shd w:val="clear" w:color="auto" w:fill="auto"/>
          </w:tcPr>
          <w:p w14:paraId="4600E83A" w14:textId="77777777" w:rsidR="00744658" w:rsidRPr="007849A0" w:rsidRDefault="00744658" w:rsidP="00177D69">
            <w:pPr>
              <w:suppressAutoHyphens w:val="0"/>
              <w:spacing w:before="60" w:after="60" w:line="240" w:lineRule="auto"/>
              <w:ind w:left="28" w:right="28"/>
              <w:jc w:val="center"/>
              <w:rPr>
                <w:i/>
                <w:iCs/>
                <w:sz w:val="17"/>
                <w:szCs w:val="17"/>
              </w:rPr>
            </w:pPr>
            <w:r w:rsidRPr="00270698">
              <w:rPr>
                <w:rFonts w:asciiTheme="majorBidi" w:hAnsiTheme="majorBidi"/>
                <w:strike/>
                <w:sz w:val="17"/>
                <w:szCs w:val="17"/>
              </w:rPr>
              <w:t>T3</w:t>
            </w:r>
            <w:r w:rsidRPr="00270698">
              <w:rPr>
                <w:rFonts w:asciiTheme="majorBidi" w:hAnsiTheme="majorBidi"/>
                <w:sz w:val="17"/>
                <w:szCs w:val="17"/>
              </w:rPr>
              <w:t xml:space="preserve"> </w:t>
            </w:r>
            <w:r w:rsidRPr="00270698">
              <w:rPr>
                <w:rFonts w:asciiTheme="majorBidi" w:hAnsiTheme="majorBidi"/>
                <w:sz w:val="17"/>
                <w:szCs w:val="17"/>
                <w:u w:val="single"/>
              </w:rPr>
              <w:t>T6</w:t>
            </w:r>
          </w:p>
        </w:tc>
        <w:tc>
          <w:tcPr>
            <w:tcW w:w="873" w:type="dxa"/>
            <w:shd w:val="clear" w:color="auto" w:fill="auto"/>
          </w:tcPr>
          <w:p w14:paraId="2BD9DD67" w14:textId="77777777" w:rsidR="00744658" w:rsidRPr="007849A0" w:rsidRDefault="00744658" w:rsidP="00177D69">
            <w:pPr>
              <w:suppressAutoHyphens w:val="0"/>
              <w:spacing w:before="60" w:after="60" w:line="240" w:lineRule="auto"/>
              <w:ind w:left="28" w:right="28"/>
              <w:jc w:val="center"/>
              <w:rPr>
                <w:i/>
                <w:iCs/>
                <w:sz w:val="17"/>
                <w:szCs w:val="17"/>
              </w:rPr>
            </w:pPr>
            <w:r w:rsidRPr="00270698">
              <w:rPr>
                <w:rFonts w:asciiTheme="majorBidi" w:hAnsiTheme="majorBidi"/>
                <w:sz w:val="17"/>
                <w:szCs w:val="17"/>
              </w:rPr>
              <w:t>TP33</w:t>
            </w:r>
          </w:p>
        </w:tc>
      </w:tr>
    </w:tbl>
    <w:p w14:paraId="6A42ED24" w14:textId="77777777" w:rsidR="0024276D" w:rsidRDefault="0024276D" w:rsidP="0024276D"/>
    <w:p w14:paraId="24906C60" w14:textId="77777777" w:rsidR="0024276D" w:rsidRDefault="0024276D" w:rsidP="0024276D">
      <w:pPr>
        <w:suppressAutoHyphens w:val="0"/>
        <w:kinsoku/>
        <w:overflowPunct/>
        <w:autoSpaceDE/>
        <w:autoSpaceDN/>
        <w:adjustRightInd/>
        <w:snapToGrid/>
        <w:spacing w:after="200" w:line="276" w:lineRule="auto"/>
      </w:pPr>
      <w:r>
        <w:br w:type="page"/>
      </w:r>
    </w:p>
    <w:p w14:paraId="539A60BC" w14:textId="77777777" w:rsidR="0024276D" w:rsidRDefault="0024276D" w:rsidP="00744658">
      <w:pPr>
        <w:pStyle w:val="HChG"/>
      </w:pPr>
      <w:r>
        <w:lastRenderedPageBreak/>
        <w:t>Annexe I</w:t>
      </w:r>
    </w:p>
    <w:p w14:paraId="647DFF89" w14:textId="77777777" w:rsidR="0024276D" w:rsidRPr="005E104B" w:rsidRDefault="0024276D" w:rsidP="00744658">
      <w:pPr>
        <w:pStyle w:val="HChG"/>
      </w:pPr>
      <w:r>
        <w:tab/>
      </w:r>
      <w:r>
        <w:tab/>
        <w:t>Études de toxicité aiguë chez l’animal</w:t>
      </w:r>
    </w:p>
    <w:p w14:paraId="50C1128B" w14:textId="3740E955" w:rsidR="0024276D" w:rsidRPr="00916EA3" w:rsidRDefault="00744658" w:rsidP="00744658">
      <w:pPr>
        <w:pStyle w:val="H4G"/>
        <w:rPr>
          <w:iCs/>
        </w:rPr>
      </w:pPr>
      <w:r>
        <w:tab/>
      </w:r>
      <w:r w:rsidR="0024276D">
        <w:t>1.1</w:t>
      </w:r>
      <w:r w:rsidR="0024276D">
        <w:tab/>
        <w:t>Voie orale</w:t>
      </w:r>
    </w:p>
    <w:p w14:paraId="19F14E4B" w14:textId="4F5F3860" w:rsidR="0024276D" w:rsidRPr="00DF4409" w:rsidRDefault="0024276D" w:rsidP="00744658">
      <w:pPr>
        <w:pStyle w:val="SingleTxtG"/>
        <w:ind w:firstLine="567"/>
      </w:pPr>
      <w:r>
        <w:t>On dispose d’études de toxicité aiguë par voie orale pour des solutions à 2,5 % et 25 % de TMAH. Toutes les études ont été réalisées sur des rats conformément aux principes directeurs et aux bonnes pratiques de laboratoire de l’Organisation de coopération et de développement économiques (OCDE). Les résultats sont présentés dans le tableau</w:t>
      </w:r>
      <w:r w:rsidR="005C42BE">
        <w:t> </w:t>
      </w:r>
      <w:r>
        <w:t>1 ci</w:t>
      </w:r>
      <w:r w:rsidR="00744658">
        <w:noBreakHyphen/>
      </w:r>
      <w:r>
        <w:t>dessous. La colonne</w:t>
      </w:r>
      <w:r w:rsidR="005C42BE">
        <w:t> </w:t>
      </w:r>
      <w:r>
        <w:t>2 donne la DL</w:t>
      </w:r>
      <w:r>
        <w:rPr>
          <w:vertAlign w:val="subscript"/>
        </w:rPr>
        <w:t>50</w:t>
      </w:r>
      <w:r>
        <w:t xml:space="preserve"> obtenue avec la solution d’essai, le groupe d’emballage correspondant étant indiqué entre parenthèses. La colonne</w:t>
      </w:r>
      <w:r w:rsidR="005C42BE">
        <w:t> </w:t>
      </w:r>
      <w:r>
        <w:t>3 donne la DL</w:t>
      </w:r>
      <w:r>
        <w:rPr>
          <w:vertAlign w:val="subscript"/>
        </w:rPr>
        <w:t>50</w:t>
      </w:r>
      <w:r>
        <w:t xml:space="preserve"> extrapolée à la forme pure à l’aide de la formule du paragraphe</w:t>
      </w:r>
      <w:r w:rsidR="005C42BE">
        <w:t> </w:t>
      </w:r>
      <w:r>
        <w:t>2.6.2.3.2 du Règlement type, le groupe d’emballage correspondant étant indiqué entre parenthèses.</w:t>
      </w:r>
    </w:p>
    <w:p w14:paraId="59554705" w14:textId="4FC29034" w:rsidR="0024276D" w:rsidRPr="00DF4409" w:rsidRDefault="0024276D" w:rsidP="00E55CC9">
      <w:pPr>
        <w:pStyle w:val="Heading1"/>
        <w:spacing w:after="120"/>
        <w:rPr>
          <w:bCs/>
        </w:rPr>
      </w:pPr>
      <w:r>
        <w:t>Tableau 1</w:t>
      </w:r>
      <w:r w:rsidR="00744658">
        <w:br/>
      </w:r>
      <w:r w:rsidRPr="00976EE2">
        <w:rPr>
          <w:b/>
          <w:bCs/>
        </w:rPr>
        <w:t>Toxicité aiguë chez les rats, voie orale</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9"/>
        <w:gridCol w:w="1831"/>
        <w:gridCol w:w="2355"/>
        <w:gridCol w:w="3139"/>
      </w:tblGrid>
      <w:tr w:rsidR="0024276D" w:rsidRPr="000F008E" w14:paraId="5D9555E6" w14:textId="77777777" w:rsidTr="000F008E">
        <w:trPr>
          <w:tblHeader/>
        </w:trPr>
        <w:tc>
          <w:tcPr>
            <w:tcW w:w="1276" w:type="dxa"/>
            <w:shd w:val="clear" w:color="auto" w:fill="auto"/>
            <w:vAlign w:val="bottom"/>
          </w:tcPr>
          <w:p w14:paraId="3792785D" w14:textId="77777777" w:rsidR="0024276D" w:rsidRPr="000F008E" w:rsidRDefault="0024276D" w:rsidP="000F008E">
            <w:pPr>
              <w:suppressAutoHyphens w:val="0"/>
              <w:spacing w:before="60" w:after="60" w:line="240" w:lineRule="auto"/>
              <w:ind w:left="57" w:right="57"/>
              <w:rPr>
                <w:bCs/>
                <w:i/>
                <w:iCs/>
                <w:sz w:val="16"/>
              </w:rPr>
            </w:pPr>
            <w:r w:rsidRPr="000F008E">
              <w:rPr>
                <w:i/>
                <w:sz w:val="16"/>
              </w:rPr>
              <w:t>Concentration en TMAH de la solution d’essai (%)</w:t>
            </w:r>
          </w:p>
        </w:tc>
        <w:tc>
          <w:tcPr>
            <w:tcW w:w="1984" w:type="dxa"/>
            <w:shd w:val="clear" w:color="auto" w:fill="auto"/>
            <w:vAlign w:val="bottom"/>
          </w:tcPr>
          <w:p w14:paraId="092050B2" w14:textId="77777777" w:rsidR="0024276D" w:rsidRPr="000F008E" w:rsidRDefault="0024276D" w:rsidP="000F008E">
            <w:pPr>
              <w:suppressAutoHyphens w:val="0"/>
              <w:spacing w:before="60" w:after="60" w:line="240" w:lineRule="auto"/>
              <w:ind w:left="57" w:right="57"/>
              <w:rPr>
                <w:bCs/>
                <w:i/>
                <w:iCs/>
                <w:sz w:val="16"/>
              </w:rPr>
            </w:pPr>
            <w:r w:rsidRPr="000F008E">
              <w:rPr>
                <w:i/>
                <w:sz w:val="16"/>
              </w:rPr>
              <w:t>DL</w:t>
            </w:r>
            <w:r w:rsidRPr="000F008E">
              <w:rPr>
                <w:i/>
                <w:sz w:val="16"/>
                <w:vertAlign w:val="subscript"/>
              </w:rPr>
              <w:t>50</w:t>
            </w:r>
            <w:r w:rsidRPr="000F008E">
              <w:rPr>
                <w:i/>
                <w:sz w:val="16"/>
              </w:rPr>
              <w:t xml:space="preserve"> (mg/kg) obtenue avec la solution d’essai (GE)</w:t>
            </w:r>
          </w:p>
        </w:tc>
        <w:tc>
          <w:tcPr>
            <w:tcW w:w="2552" w:type="dxa"/>
            <w:shd w:val="clear" w:color="auto" w:fill="auto"/>
            <w:vAlign w:val="bottom"/>
          </w:tcPr>
          <w:p w14:paraId="37C46606" w14:textId="77777777" w:rsidR="0024276D" w:rsidRPr="000F008E" w:rsidRDefault="0024276D" w:rsidP="000F008E">
            <w:pPr>
              <w:suppressAutoHyphens w:val="0"/>
              <w:spacing w:before="60" w:after="60" w:line="240" w:lineRule="auto"/>
              <w:ind w:left="57" w:right="57"/>
              <w:rPr>
                <w:bCs/>
                <w:i/>
                <w:iCs/>
                <w:sz w:val="16"/>
              </w:rPr>
            </w:pPr>
            <w:r w:rsidRPr="000F008E">
              <w:rPr>
                <w:i/>
                <w:sz w:val="16"/>
              </w:rPr>
              <w:t>DL</w:t>
            </w:r>
            <w:r w:rsidRPr="000F008E">
              <w:rPr>
                <w:i/>
                <w:sz w:val="16"/>
                <w:vertAlign w:val="subscript"/>
              </w:rPr>
              <w:t>50</w:t>
            </w:r>
            <w:r w:rsidRPr="000F008E">
              <w:rPr>
                <w:i/>
                <w:sz w:val="16"/>
              </w:rPr>
              <w:t xml:space="preserve"> (mg/kg) extrapolée au TMAH pur (GE)</w:t>
            </w:r>
          </w:p>
        </w:tc>
        <w:tc>
          <w:tcPr>
            <w:tcW w:w="3402" w:type="dxa"/>
            <w:shd w:val="clear" w:color="auto" w:fill="auto"/>
            <w:vAlign w:val="bottom"/>
          </w:tcPr>
          <w:p w14:paraId="048AD837" w14:textId="77777777" w:rsidR="0024276D" w:rsidRPr="000F008E" w:rsidRDefault="0024276D" w:rsidP="000F008E">
            <w:pPr>
              <w:suppressAutoHyphens w:val="0"/>
              <w:spacing w:before="60" w:after="60" w:line="240" w:lineRule="auto"/>
              <w:ind w:left="57" w:right="57"/>
              <w:rPr>
                <w:bCs/>
                <w:i/>
                <w:iCs/>
                <w:sz w:val="16"/>
              </w:rPr>
            </w:pPr>
            <w:r w:rsidRPr="000F008E">
              <w:rPr>
                <w:i/>
                <w:sz w:val="16"/>
              </w:rPr>
              <w:t>Référence bibliographique</w:t>
            </w:r>
          </w:p>
        </w:tc>
      </w:tr>
      <w:tr w:rsidR="0024276D" w:rsidRPr="000F008E" w14:paraId="3EC03C1A" w14:textId="77777777" w:rsidTr="00F83843">
        <w:tc>
          <w:tcPr>
            <w:tcW w:w="1276" w:type="dxa"/>
            <w:shd w:val="clear" w:color="auto" w:fill="auto"/>
          </w:tcPr>
          <w:p w14:paraId="450D40EE" w14:textId="77777777" w:rsidR="0024276D" w:rsidRPr="000F008E" w:rsidRDefault="0024276D" w:rsidP="000F008E">
            <w:pPr>
              <w:suppressAutoHyphens w:val="0"/>
              <w:spacing w:before="60" w:after="60" w:line="240" w:lineRule="auto"/>
              <w:ind w:left="57" w:right="57"/>
              <w:rPr>
                <w:sz w:val="18"/>
              </w:rPr>
            </w:pPr>
            <w:r w:rsidRPr="000F008E">
              <w:rPr>
                <w:sz w:val="18"/>
              </w:rPr>
              <w:t>2,5 %</w:t>
            </w:r>
          </w:p>
        </w:tc>
        <w:tc>
          <w:tcPr>
            <w:tcW w:w="1984" w:type="dxa"/>
            <w:shd w:val="clear" w:color="auto" w:fill="auto"/>
          </w:tcPr>
          <w:p w14:paraId="6F1CEDF6" w14:textId="081B7463" w:rsidR="0024276D" w:rsidRPr="000F008E" w:rsidRDefault="0024276D" w:rsidP="00F83843">
            <w:pPr>
              <w:suppressAutoHyphens w:val="0"/>
              <w:spacing w:before="60" w:after="60" w:line="240" w:lineRule="auto"/>
              <w:ind w:left="57" w:right="57"/>
              <w:rPr>
                <w:sz w:val="18"/>
              </w:rPr>
            </w:pPr>
            <w:r w:rsidRPr="000F008E">
              <w:rPr>
                <w:sz w:val="18"/>
              </w:rPr>
              <w:t>300 à 2000 mg/kg p.c.</w:t>
            </w:r>
            <w:r w:rsidR="00F83843">
              <w:rPr>
                <w:sz w:val="18"/>
              </w:rPr>
              <w:br/>
            </w:r>
            <w:r w:rsidRPr="000F008E">
              <w:rPr>
                <w:sz w:val="18"/>
              </w:rPr>
              <w:t>(MND*)</w:t>
            </w:r>
          </w:p>
        </w:tc>
        <w:tc>
          <w:tcPr>
            <w:tcW w:w="2552" w:type="dxa"/>
            <w:shd w:val="clear" w:color="auto" w:fill="auto"/>
          </w:tcPr>
          <w:p w14:paraId="43E1E6E9" w14:textId="77777777" w:rsidR="0024276D" w:rsidRPr="000F008E" w:rsidRDefault="0024276D" w:rsidP="00F83843">
            <w:pPr>
              <w:suppressAutoHyphens w:val="0"/>
              <w:spacing w:before="60" w:after="60" w:line="240" w:lineRule="auto"/>
              <w:ind w:left="57" w:right="57"/>
              <w:rPr>
                <w:sz w:val="18"/>
              </w:rPr>
            </w:pPr>
            <w:r w:rsidRPr="000F008E">
              <w:rPr>
                <w:sz w:val="18"/>
              </w:rPr>
              <w:t>7,5 à 50 mg/kg p.c. (GE II)</w:t>
            </w:r>
          </w:p>
        </w:tc>
        <w:tc>
          <w:tcPr>
            <w:tcW w:w="3402" w:type="dxa"/>
            <w:shd w:val="clear" w:color="auto" w:fill="auto"/>
            <w:vAlign w:val="bottom"/>
          </w:tcPr>
          <w:p w14:paraId="4C644BE4" w14:textId="62847031" w:rsidR="0024276D" w:rsidRPr="00676179" w:rsidRDefault="007B2D18" w:rsidP="000F008E">
            <w:pPr>
              <w:suppressAutoHyphens w:val="0"/>
              <w:spacing w:before="60" w:after="60" w:line="240" w:lineRule="auto"/>
              <w:ind w:left="57" w:right="57"/>
              <w:rPr>
                <w:rStyle w:val="Hyperlink"/>
                <w:sz w:val="18"/>
                <w:szCs w:val="18"/>
              </w:rPr>
            </w:pPr>
            <w:hyperlink r:id="rId9" w:history="1">
              <w:r w:rsidR="0024276D" w:rsidRPr="00676179">
                <w:rPr>
                  <w:rStyle w:val="Hyperlink"/>
                  <w:sz w:val="18"/>
                  <w:szCs w:val="18"/>
                </w:rPr>
                <w:t>https://echa.europa.eu/registration-dossier/-/registered-dossier/14295/7/3/2</w:t>
              </w:r>
            </w:hyperlink>
          </w:p>
        </w:tc>
      </w:tr>
      <w:tr w:rsidR="0024276D" w:rsidRPr="00E3196D" w14:paraId="603BC46B" w14:textId="77777777" w:rsidTr="00F83843">
        <w:tc>
          <w:tcPr>
            <w:tcW w:w="1276" w:type="dxa"/>
            <w:shd w:val="clear" w:color="auto" w:fill="auto"/>
          </w:tcPr>
          <w:p w14:paraId="6FCE75DA" w14:textId="77777777" w:rsidR="0024276D" w:rsidRPr="000F008E" w:rsidRDefault="0024276D" w:rsidP="000F008E">
            <w:pPr>
              <w:suppressAutoHyphens w:val="0"/>
              <w:spacing w:before="60" w:after="60" w:line="240" w:lineRule="auto"/>
              <w:ind w:left="57" w:right="57"/>
              <w:rPr>
                <w:sz w:val="18"/>
              </w:rPr>
            </w:pPr>
            <w:r w:rsidRPr="000F008E">
              <w:rPr>
                <w:sz w:val="18"/>
              </w:rPr>
              <w:t>25 %</w:t>
            </w:r>
          </w:p>
        </w:tc>
        <w:tc>
          <w:tcPr>
            <w:tcW w:w="1984" w:type="dxa"/>
            <w:shd w:val="clear" w:color="auto" w:fill="auto"/>
          </w:tcPr>
          <w:p w14:paraId="41A18176" w14:textId="3AE1300D" w:rsidR="0024276D" w:rsidRPr="000F008E" w:rsidRDefault="0024276D" w:rsidP="00F83843">
            <w:pPr>
              <w:suppressAutoHyphens w:val="0"/>
              <w:spacing w:before="60" w:after="60" w:line="240" w:lineRule="auto"/>
              <w:ind w:left="57" w:right="57"/>
              <w:rPr>
                <w:sz w:val="18"/>
              </w:rPr>
            </w:pPr>
            <w:r w:rsidRPr="000F008E">
              <w:rPr>
                <w:sz w:val="18"/>
              </w:rPr>
              <w:t>50 à 500 mg/kg p.c.</w:t>
            </w:r>
            <w:r w:rsidR="00F83843">
              <w:rPr>
                <w:sz w:val="18"/>
              </w:rPr>
              <w:br/>
            </w:r>
            <w:r w:rsidRPr="000F008E">
              <w:rPr>
                <w:sz w:val="18"/>
              </w:rPr>
              <w:t>(GE III/MND)</w:t>
            </w:r>
          </w:p>
        </w:tc>
        <w:tc>
          <w:tcPr>
            <w:tcW w:w="2552" w:type="dxa"/>
            <w:shd w:val="clear" w:color="auto" w:fill="auto"/>
          </w:tcPr>
          <w:p w14:paraId="6BF06208" w14:textId="1302976A" w:rsidR="0024276D" w:rsidRPr="000F008E" w:rsidRDefault="0024276D" w:rsidP="00F83843">
            <w:pPr>
              <w:suppressAutoHyphens w:val="0"/>
              <w:spacing w:before="60" w:after="60" w:line="240" w:lineRule="auto"/>
              <w:ind w:left="57" w:right="57"/>
              <w:rPr>
                <w:sz w:val="18"/>
              </w:rPr>
            </w:pPr>
            <w:r w:rsidRPr="000F008E">
              <w:rPr>
                <w:sz w:val="18"/>
              </w:rPr>
              <w:t xml:space="preserve">&gt;12,5 et &lt;125 mg/kg p.c. </w:t>
            </w:r>
            <w:r w:rsidR="005C42BE">
              <w:rPr>
                <w:sz w:val="18"/>
              </w:rPr>
              <w:br/>
            </w:r>
            <w:r w:rsidRPr="000F008E">
              <w:rPr>
                <w:sz w:val="18"/>
              </w:rPr>
              <w:t>(GE II/III)</w:t>
            </w:r>
          </w:p>
        </w:tc>
        <w:tc>
          <w:tcPr>
            <w:tcW w:w="3402" w:type="dxa"/>
            <w:shd w:val="clear" w:color="auto" w:fill="auto"/>
            <w:vAlign w:val="bottom"/>
          </w:tcPr>
          <w:p w14:paraId="7FEDC8C2" w14:textId="0DD0FA85" w:rsidR="0024276D" w:rsidRPr="00676179" w:rsidRDefault="007B2D18" w:rsidP="000F008E">
            <w:pPr>
              <w:suppressAutoHyphens w:val="0"/>
              <w:spacing w:before="60" w:after="60" w:line="240" w:lineRule="auto"/>
              <w:ind w:left="57" w:right="57"/>
              <w:rPr>
                <w:rStyle w:val="Hyperlink"/>
                <w:sz w:val="18"/>
                <w:szCs w:val="18"/>
                <w:lang w:val="es-ES"/>
              </w:rPr>
            </w:pPr>
            <w:hyperlink r:id="rId10" w:history="1">
              <w:r w:rsidR="0024276D" w:rsidRPr="00676179">
                <w:rPr>
                  <w:rStyle w:val="Hyperlink"/>
                  <w:sz w:val="18"/>
                  <w:szCs w:val="18"/>
                  <w:lang w:val="es-ES"/>
                </w:rPr>
                <w:t>https://echa.europa.eu/registration-dossier/-/registered-dossier/</w:t>
              </w:r>
              <w:r w:rsidR="00676179" w:rsidRPr="00676179">
                <w:rPr>
                  <w:rStyle w:val="Hyperlink"/>
                  <w:sz w:val="18"/>
                  <w:szCs w:val="18"/>
                  <w:lang w:val="es-ES"/>
                </w:rPr>
                <w:t xml:space="preserve"> </w:t>
              </w:r>
              <w:r w:rsidR="0024276D" w:rsidRPr="00676179">
                <w:rPr>
                  <w:rStyle w:val="Hyperlink"/>
                  <w:sz w:val="18"/>
                  <w:szCs w:val="18"/>
                  <w:lang w:val="es-ES"/>
                </w:rPr>
                <w:t>14295/7/3/2/?documentUUID=5567b827-5f89-4158-bb92-05dcb8fec961</w:t>
              </w:r>
            </w:hyperlink>
          </w:p>
        </w:tc>
      </w:tr>
      <w:tr w:rsidR="0024276D" w:rsidRPr="00E3196D" w14:paraId="06AB85BB" w14:textId="77777777" w:rsidTr="00F83843">
        <w:tc>
          <w:tcPr>
            <w:tcW w:w="1276" w:type="dxa"/>
            <w:shd w:val="clear" w:color="auto" w:fill="auto"/>
          </w:tcPr>
          <w:p w14:paraId="6FEB2625" w14:textId="77777777" w:rsidR="0024276D" w:rsidRPr="000F008E" w:rsidRDefault="0024276D" w:rsidP="000F008E">
            <w:pPr>
              <w:suppressAutoHyphens w:val="0"/>
              <w:spacing w:before="60" w:after="60" w:line="240" w:lineRule="auto"/>
              <w:ind w:left="57" w:right="57"/>
              <w:rPr>
                <w:sz w:val="18"/>
              </w:rPr>
            </w:pPr>
            <w:r w:rsidRPr="000F008E">
              <w:rPr>
                <w:sz w:val="18"/>
              </w:rPr>
              <w:t>25 %</w:t>
            </w:r>
          </w:p>
        </w:tc>
        <w:tc>
          <w:tcPr>
            <w:tcW w:w="1984" w:type="dxa"/>
            <w:shd w:val="clear" w:color="auto" w:fill="auto"/>
          </w:tcPr>
          <w:p w14:paraId="01A0F541" w14:textId="6DFC1704" w:rsidR="0024276D" w:rsidRPr="000F008E" w:rsidRDefault="0024276D" w:rsidP="00F83843">
            <w:pPr>
              <w:suppressAutoHyphens w:val="0"/>
              <w:spacing w:before="60" w:after="60" w:line="240" w:lineRule="auto"/>
              <w:ind w:left="57" w:right="57"/>
              <w:rPr>
                <w:sz w:val="18"/>
                <w:lang w:val="en-US"/>
              </w:rPr>
            </w:pPr>
            <w:r w:rsidRPr="000F008E">
              <w:rPr>
                <w:sz w:val="18"/>
                <w:lang w:val="en-US"/>
              </w:rPr>
              <w:t>174 mg/kg p.c.</w:t>
            </w:r>
            <w:r w:rsidR="00F83843">
              <w:rPr>
                <w:sz w:val="18"/>
                <w:lang w:val="en-US"/>
              </w:rPr>
              <w:br/>
            </w:r>
            <w:r w:rsidRPr="000F008E">
              <w:rPr>
                <w:sz w:val="18"/>
                <w:lang w:val="en-US"/>
              </w:rPr>
              <w:t>(GE III)</w:t>
            </w:r>
          </w:p>
        </w:tc>
        <w:tc>
          <w:tcPr>
            <w:tcW w:w="2552" w:type="dxa"/>
            <w:shd w:val="clear" w:color="auto" w:fill="auto"/>
          </w:tcPr>
          <w:p w14:paraId="16ED66ED" w14:textId="77777777" w:rsidR="0024276D" w:rsidRPr="000F008E" w:rsidRDefault="0024276D" w:rsidP="00F83843">
            <w:pPr>
              <w:suppressAutoHyphens w:val="0"/>
              <w:spacing w:before="60" w:after="60" w:line="240" w:lineRule="auto"/>
              <w:ind w:left="57" w:right="57"/>
              <w:rPr>
                <w:sz w:val="18"/>
                <w:lang w:val="en-US"/>
              </w:rPr>
            </w:pPr>
            <w:r w:rsidRPr="000F008E">
              <w:rPr>
                <w:sz w:val="18"/>
                <w:lang w:val="en-US"/>
              </w:rPr>
              <w:t>43,5 mg/kg p.c. (GE II)</w:t>
            </w:r>
          </w:p>
        </w:tc>
        <w:tc>
          <w:tcPr>
            <w:tcW w:w="3402" w:type="dxa"/>
            <w:shd w:val="clear" w:color="auto" w:fill="auto"/>
            <w:vAlign w:val="bottom"/>
          </w:tcPr>
          <w:p w14:paraId="2C92614D" w14:textId="25277751" w:rsidR="0024276D" w:rsidRPr="00676179" w:rsidRDefault="007B2D18" w:rsidP="000F008E">
            <w:pPr>
              <w:suppressAutoHyphens w:val="0"/>
              <w:spacing w:before="60" w:after="60" w:line="240" w:lineRule="auto"/>
              <w:ind w:left="57" w:right="57"/>
              <w:rPr>
                <w:rStyle w:val="Hyperlink"/>
                <w:sz w:val="18"/>
                <w:szCs w:val="18"/>
                <w:lang w:val="es-ES"/>
              </w:rPr>
            </w:pPr>
            <w:hyperlink r:id="rId11" w:history="1">
              <w:r w:rsidR="0024276D" w:rsidRPr="00676179">
                <w:rPr>
                  <w:rStyle w:val="Hyperlink"/>
                  <w:sz w:val="18"/>
                  <w:szCs w:val="18"/>
                  <w:lang w:val="es-ES"/>
                </w:rPr>
                <w:t>https://echa.europa.eu/registration-dossier/-/registered-dossier/</w:t>
              </w:r>
              <w:r w:rsidR="00676179" w:rsidRPr="00676179">
                <w:rPr>
                  <w:rStyle w:val="Hyperlink"/>
                  <w:sz w:val="18"/>
                  <w:szCs w:val="18"/>
                  <w:lang w:val="es-ES"/>
                </w:rPr>
                <w:t xml:space="preserve"> </w:t>
              </w:r>
              <w:r w:rsidR="0024276D" w:rsidRPr="00676179">
                <w:rPr>
                  <w:rStyle w:val="Hyperlink"/>
                  <w:sz w:val="18"/>
                  <w:szCs w:val="18"/>
                  <w:lang w:val="es-ES"/>
                </w:rPr>
                <w:t>14295/7/3/2/?documentUUID=e864d832-06d8-46e8-8a4f-fac7a93605e3</w:t>
              </w:r>
            </w:hyperlink>
          </w:p>
        </w:tc>
      </w:tr>
      <w:tr w:rsidR="0024276D" w:rsidRPr="00E3196D" w14:paraId="05278CD4" w14:textId="77777777" w:rsidTr="00F83843">
        <w:tc>
          <w:tcPr>
            <w:tcW w:w="1276" w:type="dxa"/>
            <w:shd w:val="clear" w:color="auto" w:fill="auto"/>
          </w:tcPr>
          <w:p w14:paraId="7D35FBFB" w14:textId="77777777" w:rsidR="0024276D" w:rsidRPr="000F008E" w:rsidRDefault="0024276D" w:rsidP="000F008E">
            <w:pPr>
              <w:suppressAutoHyphens w:val="0"/>
              <w:spacing w:before="60" w:after="60" w:line="240" w:lineRule="auto"/>
              <w:ind w:left="57" w:right="57"/>
              <w:rPr>
                <w:sz w:val="18"/>
              </w:rPr>
            </w:pPr>
            <w:r w:rsidRPr="000F008E">
              <w:rPr>
                <w:sz w:val="18"/>
              </w:rPr>
              <w:t xml:space="preserve">25 % </w:t>
            </w:r>
          </w:p>
        </w:tc>
        <w:tc>
          <w:tcPr>
            <w:tcW w:w="1984" w:type="dxa"/>
            <w:shd w:val="clear" w:color="auto" w:fill="auto"/>
          </w:tcPr>
          <w:p w14:paraId="70569E66" w14:textId="13AD2EAE" w:rsidR="0024276D" w:rsidRPr="000F008E" w:rsidRDefault="0024276D" w:rsidP="00F83843">
            <w:pPr>
              <w:suppressAutoHyphens w:val="0"/>
              <w:spacing w:before="60" w:after="60" w:line="240" w:lineRule="auto"/>
              <w:ind w:left="57" w:right="57"/>
              <w:rPr>
                <w:sz w:val="18"/>
              </w:rPr>
            </w:pPr>
            <w:r w:rsidRPr="000F008E">
              <w:rPr>
                <w:sz w:val="18"/>
              </w:rPr>
              <w:t>50 à 300 mg/kg p.c.</w:t>
            </w:r>
            <w:r w:rsidR="00F83843">
              <w:rPr>
                <w:sz w:val="18"/>
              </w:rPr>
              <w:br/>
            </w:r>
            <w:r w:rsidRPr="000F008E">
              <w:rPr>
                <w:sz w:val="18"/>
              </w:rPr>
              <w:t>(GE III)</w:t>
            </w:r>
          </w:p>
        </w:tc>
        <w:tc>
          <w:tcPr>
            <w:tcW w:w="2552" w:type="dxa"/>
            <w:shd w:val="clear" w:color="auto" w:fill="auto"/>
          </w:tcPr>
          <w:p w14:paraId="4607988E" w14:textId="77777777" w:rsidR="0024276D" w:rsidRPr="000F008E" w:rsidRDefault="0024276D" w:rsidP="00F83843">
            <w:pPr>
              <w:suppressAutoHyphens w:val="0"/>
              <w:spacing w:before="60" w:after="60" w:line="240" w:lineRule="auto"/>
              <w:ind w:left="57" w:right="57"/>
              <w:rPr>
                <w:sz w:val="18"/>
              </w:rPr>
            </w:pPr>
            <w:r w:rsidRPr="000F008E">
              <w:rPr>
                <w:sz w:val="18"/>
              </w:rPr>
              <w:t>12,5 à 75 mg/kg p.c. (GE II)</w:t>
            </w:r>
          </w:p>
        </w:tc>
        <w:tc>
          <w:tcPr>
            <w:tcW w:w="3402" w:type="dxa"/>
            <w:shd w:val="clear" w:color="auto" w:fill="auto"/>
            <w:vAlign w:val="bottom"/>
          </w:tcPr>
          <w:p w14:paraId="2C744FD6" w14:textId="68EBF7EF" w:rsidR="0024276D" w:rsidRPr="00676179" w:rsidRDefault="0024276D" w:rsidP="000F008E">
            <w:pPr>
              <w:suppressAutoHyphens w:val="0"/>
              <w:spacing w:before="60" w:after="60" w:line="240" w:lineRule="auto"/>
              <w:ind w:left="57" w:right="57"/>
              <w:rPr>
                <w:rStyle w:val="Hyperlink"/>
                <w:sz w:val="18"/>
                <w:szCs w:val="18"/>
                <w:lang w:val="es-ES"/>
              </w:rPr>
            </w:pPr>
            <w:r w:rsidRPr="00676179">
              <w:rPr>
                <w:rStyle w:val="Hyperlink"/>
                <w:sz w:val="18"/>
                <w:szCs w:val="18"/>
                <w:lang w:val="es-ES"/>
              </w:rPr>
              <w:t>https://echa.europa.eu/registration-dossier/-/registered-dossier/</w:t>
            </w:r>
            <w:r w:rsidR="00676179" w:rsidRPr="00676179">
              <w:rPr>
                <w:rStyle w:val="Hyperlink"/>
                <w:sz w:val="18"/>
                <w:szCs w:val="18"/>
                <w:lang w:val="es-ES"/>
              </w:rPr>
              <w:t xml:space="preserve"> </w:t>
            </w:r>
            <w:r w:rsidRPr="00676179">
              <w:rPr>
                <w:rStyle w:val="Hyperlink"/>
                <w:sz w:val="18"/>
                <w:szCs w:val="18"/>
                <w:lang w:val="es-ES"/>
              </w:rPr>
              <w:t>14295/7/3/2/?documentUUID=8cf1b039-7bcb-4209-9260-45cf6592c0e4</w:t>
            </w:r>
          </w:p>
        </w:tc>
      </w:tr>
    </w:tbl>
    <w:p w14:paraId="730557DE" w14:textId="61B95FC1" w:rsidR="00977C92" w:rsidRDefault="0024276D" w:rsidP="00977C92">
      <w:pPr>
        <w:spacing w:before="120"/>
        <w:ind w:left="1134" w:firstLine="170"/>
        <w:rPr>
          <w:sz w:val="18"/>
          <w:szCs w:val="18"/>
        </w:rPr>
      </w:pPr>
      <w:r w:rsidRPr="00977C92">
        <w:rPr>
          <w:sz w:val="18"/>
          <w:szCs w:val="18"/>
        </w:rPr>
        <w:t>*</w:t>
      </w:r>
      <w:r w:rsidR="00977C92">
        <w:rPr>
          <w:sz w:val="18"/>
          <w:szCs w:val="18"/>
        </w:rPr>
        <w:t xml:space="preserve">  </w:t>
      </w:r>
      <w:r w:rsidRPr="00977C92">
        <w:rPr>
          <w:sz w:val="18"/>
          <w:szCs w:val="18"/>
        </w:rPr>
        <w:t>MND = marchandises non dangereuses</w:t>
      </w:r>
      <w:r w:rsidR="00977C92">
        <w:rPr>
          <w:sz w:val="18"/>
          <w:szCs w:val="18"/>
        </w:rPr>
        <w:t>.</w:t>
      </w:r>
    </w:p>
    <w:p w14:paraId="59524A73" w14:textId="74DDE382" w:rsidR="0024276D" w:rsidRPr="00977C92" w:rsidRDefault="0024276D" w:rsidP="00977C92">
      <w:pPr>
        <w:spacing w:after="240"/>
        <w:ind w:left="1134" w:firstLine="340"/>
        <w:rPr>
          <w:sz w:val="18"/>
          <w:szCs w:val="18"/>
        </w:rPr>
      </w:pPr>
      <w:r w:rsidRPr="00977C92">
        <w:rPr>
          <w:sz w:val="18"/>
          <w:szCs w:val="18"/>
        </w:rPr>
        <w:t>p.c. = poids corporel</w:t>
      </w:r>
      <w:r w:rsidR="00977C92">
        <w:rPr>
          <w:sz w:val="18"/>
          <w:szCs w:val="18"/>
        </w:rPr>
        <w:t>.</w:t>
      </w:r>
    </w:p>
    <w:p w14:paraId="44FF08C6" w14:textId="2EDC95BB" w:rsidR="0024276D" w:rsidRPr="005E4F1E" w:rsidRDefault="0024276D" w:rsidP="00E55CC9">
      <w:pPr>
        <w:pStyle w:val="SingleTxtG"/>
        <w:ind w:firstLine="567"/>
      </w:pPr>
      <w:r>
        <w:t>Les données de toxicité orale ci-dessus conduiraient à classer la solution à 25 % de TMAH dans la division 6.1, groupe d’emballage III, et le TMAH solide dans la division</w:t>
      </w:r>
      <w:r w:rsidR="004B067B">
        <w:t> </w:t>
      </w:r>
      <w:r>
        <w:t>6.1, groupe d’emballage II.</w:t>
      </w:r>
    </w:p>
    <w:p w14:paraId="07007C75" w14:textId="34C1DD58" w:rsidR="0024276D" w:rsidRPr="0045232D" w:rsidRDefault="00E55CC9" w:rsidP="00E55CC9">
      <w:pPr>
        <w:pStyle w:val="H4G"/>
        <w:rPr>
          <w:iCs/>
        </w:rPr>
      </w:pPr>
      <w:r>
        <w:tab/>
      </w:r>
      <w:r w:rsidR="0024276D">
        <w:t>1.2</w:t>
      </w:r>
      <w:r w:rsidR="0024276D">
        <w:tab/>
        <w:t>Voie cutanée</w:t>
      </w:r>
    </w:p>
    <w:p w14:paraId="38B356E4" w14:textId="1C3CC667" w:rsidR="0024276D" w:rsidRDefault="0024276D" w:rsidP="00E55CC9">
      <w:pPr>
        <w:pStyle w:val="SingleTxtG"/>
        <w:ind w:firstLine="567"/>
      </w:pPr>
      <w:r>
        <w:t>On dispose d’études de toxicité aiguë par voie cutanée pour des solutions à 2,38 %, 2,5 % et 25 % de TMAH. Toutes les études ont été réalisées sur des rats conformément aux principes directeurs et aux bonnes pratiques de laboratoire de l’OCDE. Les résultats sont présentés dans le tableau</w:t>
      </w:r>
      <w:r w:rsidR="004B067B">
        <w:t> </w:t>
      </w:r>
      <w:r>
        <w:t>2 ci-dessous. La colonne</w:t>
      </w:r>
      <w:r w:rsidR="004B067B">
        <w:t> </w:t>
      </w:r>
      <w:r>
        <w:t>2 donne la DL</w:t>
      </w:r>
      <w:r>
        <w:rPr>
          <w:vertAlign w:val="subscript"/>
        </w:rPr>
        <w:t>50</w:t>
      </w:r>
      <w:r>
        <w:t xml:space="preserve"> obtenue avec la solution d’essai, le groupe d’emballage correspondant étant indiqué entre parenthèses. La colonne</w:t>
      </w:r>
      <w:r w:rsidR="004B067B">
        <w:t> </w:t>
      </w:r>
      <w:r>
        <w:t>3 donne la DL</w:t>
      </w:r>
      <w:r>
        <w:rPr>
          <w:vertAlign w:val="subscript"/>
        </w:rPr>
        <w:t>50</w:t>
      </w:r>
      <w:r>
        <w:t xml:space="preserve"> extrapolée à la forme pure à l’aide de la formule du paragraphe</w:t>
      </w:r>
      <w:r w:rsidR="004B067B">
        <w:t> </w:t>
      </w:r>
      <w:r>
        <w:t>2.6.2.3.2 du Règlement type, le groupe d’emballage correspondant étant indiqué entre parenthèses.</w:t>
      </w:r>
    </w:p>
    <w:p w14:paraId="5319401E" w14:textId="77777777" w:rsidR="0024276D" w:rsidRDefault="0024276D" w:rsidP="0024276D">
      <w:pPr>
        <w:suppressAutoHyphens w:val="0"/>
        <w:kinsoku/>
        <w:overflowPunct/>
        <w:autoSpaceDE/>
        <w:autoSpaceDN/>
        <w:adjustRightInd/>
        <w:snapToGrid/>
        <w:spacing w:after="200" w:line="276" w:lineRule="auto"/>
        <w:rPr>
          <w:b/>
          <w:bCs/>
        </w:rPr>
      </w:pPr>
      <w:r>
        <w:br w:type="page"/>
      </w:r>
    </w:p>
    <w:p w14:paraId="1CA6E807" w14:textId="5285AB32" w:rsidR="00E55CC9" w:rsidRPr="00FB7993" w:rsidRDefault="0024276D" w:rsidP="00FB7993">
      <w:pPr>
        <w:pStyle w:val="Heading1"/>
        <w:spacing w:after="120"/>
      </w:pPr>
      <w:r>
        <w:lastRenderedPageBreak/>
        <w:t>Tableau 2</w:t>
      </w:r>
      <w:r w:rsidR="00E55CC9">
        <w:br/>
      </w:r>
      <w:r w:rsidRPr="00E55CC9">
        <w:rPr>
          <w:b/>
          <w:bCs/>
        </w:rPr>
        <w:t>Toxicité aiguë chez les rats, voie cutanée</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9"/>
        <w:gridCol w:w="1831"/>
        <w:gridCol w:w="2178"/>
        <w:gridCol w:w="3316"/>
      </w:tblGrid>
      <w:tr w:rsidR="00E55CC9" w:rsidRPr="000F008E" w14:paraId="35A944C2" w14:textId="77777777" w:rsidTr="00563405">
        <w:trPr>
          <w:tblHeader/>
        </w:trPr>
        <w:tc>
          <w:tcPr>
            <w:tcW w:w="1179" w:type="dxa"/>
            <w:shd w:val="clear" w:color="auto" w:fill="auto"/>
            <w:vAlign w:val="bottom"/>
          </w:tcPr>
          <w:p w14:paraId="49614478" w14:textId="77777777" w:rsidR="00E55CC9" w:rsidRPr="000F008E" w:rsidRDefault="00E55CC9" w:rsidP="00177D69">
            <w:pPr>
              <w:suppressAutoHyphens w:val="0"/>
              <w:spacing w:before="60" w:after="60" w:line="240" w:lineRule="auto"/>
              <w:ind w:left="57" w:right="57"/>
              <w:rPr>
                <w:bCs/>
                <w:i/>
                <w:iCs/>
                <w:sz w:val="16"/>
              </w:rPr>
            </w:pPr>
            <w:r w:rsidRPr="000F008E">
              <w:rPr>
                <w:i/>
                <w:sz w:val="16"/>
              </w:rPr>
              <w:t>Concentration en TMAH de la solution d’essai (%)</w:t>
            </w:r>
          </w:p>
        </w:tc>
        <w:tc>
          <w:tcPr>
            <w:tcW w:w="1831" w:type="dxa"/>
            <w:shd w:val="clear" w:color="auto" w:fill="auto"/>
            <w:vAlign w:val="bottom"/>
          </w:tcPr>
          <w:p w14:paraId="338C7E58" w14:textId="77777777" w:rsidR="00E55CC9" w:rsidRPr="000F008E" w:rsidRDefault="00E55CC9" w:rsidP="00177D69">
            <w:pPr>
              <w:suppressAutoHyphens w:val="0"/>
              <w:spacing w:before="60" w:after="60" w:line="240" w:lineRule="auto"/>
              <w:ind w:left="57" w:right="57"/>
              <w:rPr>
                <w:bCs/>
                <w:i/>
                <w:iCs/>
                <w:sz w:val="16"/>
              </w:rPr>
            </w:pPr>
            <w:r w:rsidRPr="000F008E">
              <w:rPr>
                <w:i/>
                <w:sz w:val="16"/>
              </w:rPr>
              <w:t>DL</w:t>
            </w:r>
            <w:r w:rsidRPr="000F008E">
              <w:rPr>
                <w:i/>
                <w:sz w:val="16"/>
                <w:vertAlign w:val="subscript"/>
              </w:rPr>
              <w:t>50</w:t>
            </w:r>
            <w:r w:rsidRPr="000F008E">
              <w:rPr>
                <w:i/>
                <w:sz w:val="16"/>
              </w:rPr>
              <w:t xml:space="preserve"> (mg/kg) obtenue avec la solution d’essai (GE)</w:t>
            </w:r>
          </w:p>
        </w:tc>
        <w:tc>
          <w:tcPr>
            <w:tcW w:w="2178" w:type="dxa"/>
            <w:shd w:val="clear" w:color="auto" w:fill="auto"/>
            <w:vAlign w:val="bottom"/>
          </w:tcPr>
          <w:p w14:paraId="2FD7CC23" w14:textId="77777777" w:rsidR="00E55CC9" w:rsidRPr="000F008E" w:rsidRDefault="00E55CC9" w:rsidP="00177D69">
            <w:pPr>
              <w:suppressAutoHyphens w:val="0"/>
              <w:spacing w:before="60" w:after="60" w:line="240" w:lineRule="auto"/>
              <w:ind w:left="57" w:right="57"/>
              <w:rPr>
                <w:bCs/>
                <w:i/>
                <w:iCs/>
                <w:sz w:val="16"/>
              </w:rPr>
            </w:pPr>
            <w:r w:rsidRPr="000F008E">
              <w:rPr>
                <w:i/>
                <w:sz w:val="16"/>
              </w:rPr>
              <w:t>DL</w:t>
            </w:r>
            <w:r w:rsidRPr="000F008E">
              <w:rPr>
                <w:i/>
                <w:sz w:val="16"/>
                <w:vertAlign w:val="subscript"/>
              </w:rPr>
              <w:t>50</w:t>
            </w:r>
            <w:r w:rsidRPr="000F008E">
              <w:rPr>
                <w:i/>
                <w:sz w:val="16"/>
              </w:rPr>
              <w:t xml:space="preserve"> (mg/kg) extrapolée au TMAH pur (GE)</w:t>
            </w:r>
          </w:p>
        </w:tc>
        <w:tc>
          <w:tcPr>
            <w:tcW w:w="3316" w:type="dxa"/>
            <w:shd w:val="clear" w:color="auto" w:fill="auto"/>
            <w:vAlign w:val="bottom"/>
          </w:tcPr>
          <w:p w14:paraId="04BF3036" w14:textId="77777777" w:rsidR="00E55CC9" w:rsidRPr="000F008E" w:rsidRDefault="00E55CC9" w:rsidP="00177D69">
            <w:pPr>
              <w:suppressAutoHyphens w:val="0"/>
              <w:spacing w:before="60" w:after="60" w:line="240" w:lineRule="auto"/>
              <w:ind w:left="57" w:right="57"/>
              <w:rPr>
                <w:bCs/>
                <w:i/>
                <w:iCs/>
                <w:sz w:val="16"/>
              </w:rPr>
            </w:pPr>
            <w:r w:rsidRPr="000F008E">
              <w:rPr>
                <w:i/>
                <w:sz w:val="16"/>
              </w:rPr>
              <w:t>Référence bibliographique</w:t>
            </w:r>
          </w:p>
        </w:tc>
      </w:tr>
      <w:tr w:rsidR="00E55CC9" w:rsidRPr="00E3196D" w14:paraId="424A2184" w14:textId="77777777" w:rsidTr="00563405">
        <w:tc>
          <w:tcPr>
            <w:tcW w:w="1179" w:type="dxa"/>
            <w:shd w:val="clear" w:color="auto" w:fill="auto"/>
          </w:tcPr>
          <w:p w14:paraId="39BFA8B5" w14:textId="22B97792" w:rsidR="00E55CC9" w:rsidRPr="000F008E" w:rsidRDefault="001276D2" w:rsidP="00177D69">
            <w:pPr>
              <w:suppressAutoHyphens w:val="0"/>
              <w:spacing w:before="60" w:after="60" w:line="240" w:lineRule="auto"/>
              <w:ind w:left="57" w:right="57"/>
              <w:rPr>
                <w:sz w:val="18"/>
              </w:rPr>
            </w:pPr>
            <w:r w:rsidRPr="00FF4275">
              <w:rPr>
                <w:sz w:val="18"/>
              </w:rPr>
              <w:t>2,38 %</w:t>
            </w:r>
          </w:p>
        </w:tc>
        <w:tc>
          <w:tcPr>
            <w:tcW w:w="1831" w:type="dxa"/>
            <w:shd w:val="clear" w:color="auto" w:fill="auto"/>
          </w:tcPr>
          <w:p w14:paraId="16E28D3B" w14:textId="469B2529" w:rsidR="00E55CC9" w:rsidRPr="001276D2" w:rsidRDefault="001276D2" w:rsidP="00FB7993">
            <w:pPr>
              <w:suppressAutoHyphens w:val="0"/>
              <w:spacing w:before="60" w:after="60" w:line="240" w:lineRule="auto"/>
              <w:ind w:left="57" w:right="57"/>
              <w:rPr>
                <w:sz w:val="18"/>
                <w:lang w:val="en-US"/>
              </w:rPr>
            </w:pPr>
            <w:r w:rsidRPr="001276D2">
              <w:rPr>
                <w:sz w:val="18"/>
                <w:lang w:val="en-US"/>
              </w:rPr>
              <w:t>85,9 mg/kg p.c. (GE II)</w:t>
            </w:r>
          </w:p>
        </w:tc>
        <w:tc>
          <w:tcPr>
            <w:tcW w:w="2178" w:type="dxa"/>
            <w:shd w:val="clear" w:color="auto" w:fill="auto"/>
          </w:tcPr>
          <w:p w14:paraId="0C50BBE5" w14:textId="144A6F60" w:rsidR="00E55CC9" w:rsidRPr="001276D2" w:rsidRDefault="00FB7993" w:rsidP="00FB7993">
            <w:pPr>
              <w:suppressAutoHyphens w:val="0"/>
              <w:spacing w:before="60" w:after="60" w:line="240" w:lineRule="auto"/>
              <w:ind w:left="57" w:right="57"/>
              <w:rPr>
                <w:sz w:val="18"/>
                <w:lang w:val="en-US"/>
              </w:rPr>
            </w:pPr>
            <w:r w:rsidRPr="00FF4275">
              <w:rPr>
                <w:sz w:val="18"/>
              </w:rPr>
              <w:t>2,0 mg/kg p.c. (GE I)</w:t>
            </w:r>
          </w:p>
        </w:tc>
        <w:tc>
          <w:tcPr>
            <w:tcW w:w="3316" w:type="dxa"/>
            <w:shd w:val="clear" w:color="auto" w:fill="auto"/>
          </w:tcPr>
          <w:p w14:paraId="10450128" w14:textId="76191E56" w:rsidR="00E55CC9" w:rsidRPr="001276D2" w:rsidRDefault="007B2D18" w:rsidP="00FB7993">
            <w:pPr>
              <w:suppressAutoHyphens w:val="0"/>
              <w:spacing w:before="60" w:after="60" w:line="240" w:lineRule="auto"/>
              <w:ind w:left="57" w:right="57"/>
              <w:rPr>
                <w:rStyle w:val="Hyperlink"/>
                <w:sz w:val="18"/>
                <w:szCs w:val="18"/>
                <w:lang w:val="en-US"/>
              </w:rPr>
            </w:pPr>
            <w:hyperlink r:id="rId12" w:history="1">
              <w:r w:rsidR="00FB7993" w:rsidRPr="00FB7993">
                <w:rPr>
                  <w:rStyle w:val="Hyperlink"/>
                  <w:sz w:val="18"/>
                  <w:szCs w:val="18"/>
                  <w:lang w:val="en-US"/>
                </w:rPr>
                <w:t>https://pubmed.ncbi.nlm.nih.gov/21310775/</w:t>
              </w:r>
            </w:hyperlink>
          </w:p>
        </w:tc>
      </w:tr>
      <w:tr w:rsidR="00E55CC9" w:rsidRPr="00E3196D" w14:paraId="764F8597" w14:textId="77777777" w:rsidTr="00563405">
        <w:tc>
          <w:tcPr>
            <w:tcW w:w="1179" w:type="dxa"/>
            <w:shd w:val="clear" w:color="auto" w:fill="auto"/>
          </w:tcPr>
          <w:p w14:paraId="30F49175" w14:textId="4B536958" w:rsidR="00E55CC9" w:rsidRPr="000F008E" w:rsidRDefault="001276D2" w:rsidP="00177D69">
            <w:pPr>
              <w:suppressAutoHyphens w:val="0"/>
              <w:spacing w:before="60" w:after="60" w:line="240" w:lineRule="auto"/>
              <w:ind w:left="57" w:right="57"/>
              <w:rPr>
                <w:sz w:val="18"/>
              </w:rPr>
            </w:pPr>
            <w:r w:rsidRPr="00FF4275">
              <w:rPr>
                <w:sz w:val="18"/>
              </w:rPr>
              <w:t>2,5 %</w:t>
            </w:r>
          </w:p>
        </w:tc>
        <w:tc>
          <w:tcPr>
            <w:tcW w:w="1831" w:type="dxa"/>
            <w:shd w:val="clear" w:color="auto" w:fill="auto"/>
          </w:tcPr>
          <w:p w14:paraId="22A078BA" w14:textId="48440D9C" w:rsidR="00E55CC9" w:rsidRPr="000F008E" w:rsidRDefault="001276D2" w:rsidP="00FB7993">
            <w:pPr>
              <w:suppressAutoHyphens w:val="0"/>
              <w:spacing w:before="60" w:after="60" w:line="240" w:lineRule="auto"/>
              <w:ind w:left="57" w:right="57"/>
              <w:rPr>
                <w:sz w:val="18"/>
              </w:rPr>
            </w:pPr>
            <w:r w:rsidRPr="00FF4275">
              <w:rPr>
                <w:sz w:val="18"/>
              </w:rPr>
              <w:t>1</w:t>
            </w:r>
            <w:r w:rsidR="00563405">
              <w:rPr>
                <w:sz w:val="18"/>
              </w:rPr>
              <w:t> </w:t>
            </w:r>
            <w:r w:rsidRPr="00FF4275">
              <w:rPr>
                <w:sz w:val="18"/>
              </w:rPr>
              <w:t>000 à 2</w:t>
            </w:r>
            <w:r w:rsidR="00563405">
              <w:rPr>
                <w:sz w:val="18"/>
              </w:rPr>
              <w:t> </w:t>
            </w:r>
            <w:r w:rsidRPr="00FF4275">
              <w:rPr>
                <w:sz w:val="18"/>
              </w:rPr>
              <w:t>000 mg/kg p.c. (MND)</w:t>
            </w:r>
          </w:p>
        </w:tc>
        <w:tc>
          <w:tcPr>
            <w:tcW w:w="2178" w:type="dxa"/>
            <w:shd w:val="clear" w:color="auto" w:fill="auto"/>
          </w:tcPr>
          <w:p w14:paraId="0144297A" w14:textId="26555F06" w:rsidR="00E55CC9" w:rsidRPr="00FB7993" w:rsidRDefault="00FB7993" w:rsidP="00FB7993">
            <w:pPr>
              <w:suppressAutoHyphens w:val="0"/>
              <w:spacing w:before="60" w:after="60" w:line="240" w:lineRule="auto"/>
              <w:ind w:left="57" w:right="57"/>
              <w:rPr>
                <w:sz w:val="18"/>
                <w:lang w:val="en-US"/>
              </w:rPr>
            </w:pPr>
            <w:r w:rsidRPr="00FB7993">
              <w:rPr>
                <w:sz w:val="18"/>
                <w:lang w:val="en-US"/>
              </w:rPr>
              <w:t>25 à 50 mg/kg p.c. (GE I)</w:t>
            </w:r>
          </w:p>
        </w:tc>
        <w:tc>
          <w:tcPr>
            <w:tcW w:w="3316" w:type="dxa"/>
            <w:shd w:val="clear" w:color="auto" w:fill="auto"/>
          </w:tcPr>
          <w:p w14:paraId="2EF7DFC0" w14:textId="3CADC71F" w:rsidR="00E55CC9" w:rsidRPr="00FB7993" w:rsidRDefault="007B2D18" w:rsidP="00FB7993">
            <w:pPr>
              <w:suppressAutoHyphens w:val="0"/>
              <w:spacing w:before="60" w:after="60" w:line="240" w:lineRule="auto"/>
              <w:ind w:left="57" w:right="57"/>
              <w:rPr>
                <w:rStyle w:val="Hyperlink"/>
                <w:sz w:val="18"/>
                <w:szCs w:val="18"/>
                <w:lang w:val="es-ES"/>
              </w:rPr>
            </w:pPr>
            <w:hyperlink r:id="rId13" w:history="1">
              <w:r w:rsidR="00FB7993" w:rsidRPr="00FF4275">
                <w:rPr>
                  <w:rStyle w:val="Hyperlink"/>
                  <w:sz w:val="18"/>
                  <w:szCs w:val="18"/>
                  <w:lang w:val="es-ES"/>
                </w:rPr>
                <w:t>https://echa.europa.eu/registration-dossier/-/registered-dossier/14295/7/3/4/?document</w:t>
              </w:r>
              <w:r w:rsidR="00563405">
                <w:rPr>
                  <w:rStyle w:val="Hyperlink"/>
                  <w:sz w:val="18"/>
                  <w:szCs w:val="18"/>
                  <w:lang w:val="es-ES"/>
                </w:rPr>
                <w:t xml:space="preserve"> </w:t>
              </w:r>
              <w:r w:rsidR="00FB7993" w:rsidRPr="00FF4275">
                <w:rPr>
                  <w:rStyle w:val="Hyperlink"/>
                  <w:sz w:val="18"/>
                  <w:szCs w:val="18"/>
                  <w:lang w:val="es-ES"/>
                </w:rPr>
                <w:t>UUID=51d64548-5ca0-41d2-8c10-e89bbaa9f54a</w:t>
              </w:r>
            </w:hyperlink>
          </w:p>
        </w:tc>
      </w:tr>
      <w:tr w:rsidR="00E55CC9" w:rsidRPr="00FB7993" w14:paraId="1D0B7E69" w14:textId="77777777" w:rsidTr="00563405">
        <w:tc>
          <w:tcPr>
            <w:tcW w:w="1179" w:type="dxa"/>
            <w:shd w:val="clear" w:color="auto" w:fill="auto"/>
          </w:tcPr>
          <w:p w14:paraId="63C4EA13" w14:textId="14B94D6E" w:rsidR="00E55CC9" w:rsidRPr="000F008E" w:rsidRDefault="001276D2" w:rsidP="00177D69">
            <w:pPr>
              <w:suppressAutoHyphens w:val="0"/>
              <w:spacing w:before="60" w:after="60" w:line="240" w:lineRule="auto"/>
              <w:ind w:left="57" w:right="57"/>
              <w:rPr>
                <w:sz w:val="18"/>
              </w:rPr>
            </w:pPr>
            <w:r w:rsidRPr="00FF4275">
              <w:rPr>
                <w:sz w:val="18"/>
              </w:rPr>
              <w:t>25 %</w:t>
            </w:r>
          </w:p>
        </w:tc>
        <w:tc>
          <w:tcPr>
            <w:tcW w:w="1831" w:type="dxa"/>
            <w:shd w:val="clear" w:color="auto" w:fill="auto"/>
          </w:tcPr>
          <w:p w14:paraId="1615F01B" w14:textId="08AFDA74" w:rsidR="00E55CC9" w:rsidRPr="001276D2" w:rsidRDefault="001276D2" w:rsidP="00FB7993">
            <w:pPr>
              <w:suppressAutoHyphens w:val="0"/>
              <w:spacing w:before="60" w:after="60" w:line="240" w:lineRule="auto"/>
              <w:ind w:left="57" w:right="57"/>
              <w:rPr>
                <w:sz w:val="18"/>
              </w:rPr>
            </w:pPr>
            <w:r w:rsidRPr="00FF4275">
              <w:rPr>
                <w:sz w:val="18"/>
              </w:rPr>
              <w:t>&gt;50 et &lt;200 mg/kg p.c. (GE II)</w:t>
            </w:r>
          </w:p>
        </w:tc>
        <w:tc>
          <w:tcPr>
            <w:tcW w:w="2178" w:type="dxa"/>
            <w:shd w:val="clear" w:color="auto" w:fill="auto"/>
          </w:tcPr>
          <w:p w14:paraId="62A8EF22" w14:textId="4B6DC66B" w:rsidR="00E55CC9" w:rsidRPr="00FB7993" w:rsidRDefault="00FB7993" w:rsidP="00FB7993">
            <w:pPr>
              <w:suppressAutoHyphens w:val="0"/>
              <w:spacing w:before="60" w:after="60" w:line="240" w:lineRule="auto"/>
              <w:ind w:left="57" w:right="57"/>
              <w:rPr>
                <w:sz w:val="18"/>
                <w:lang w:val="en-US"/>
              </w:rPr>
            </w:pPr>
            <w:r w:rsidRPr="00FB7993">
              <w:rPr>
                <w:sz w:val="18"/>
                <w:lang w:val="en-US"/>
              </w:rPr>
              <w:t xml:space="preserve">&gt;12,5 et &lt;50 mg/kg p.c. </w:t>
            </w:r>
            <w:r>
              <w:rPr>
                <w:sz w:val="18"/>
                <w:lang w:val="en-US"/>
              </w:rPr>
              <w:br/>
            </w:r>
            <w:r w:rsidRPr="00FB7993">
              <w:rPr>
                <w:sz w:val="18"/>
                <w:lang w:val="en-US"/>
              </w:rPr>
              <w:t>(GE I)</w:t>
            </w:r>
          </w:p>
        </w:tc>
        <w:tc>
          <w:tcPr>
            <w:tcW w:w="3316" w:type="dxa"/>
            <w:shd w:val="clear" w:color="auto" w:fill="auto"/>
          </w:tcPr>
          <w:p w14:paraId="05EAD574" w14:textId="71BCD018" w:rsidR="00E55CC9" w:rsidRPr="00FB7993" w:rsidRDefault="007B2D18" w:rsidP="00FB7993">
            <w:pPr>
              <w:suppressAutoHyphens w:val="0"/>
              <w:spacing w:before="60" w:after="60" w:line="240" w:lineRule="auto"/>
              <w:ind w:left="57" w:right="57"/>
              <w:rPr>
                <w:rStyle w:val="Hyperlink"/>
                <w:sz w:val="18"/>
                <w:szCs w:val="18"/>
                <w:lang w:val="en-US"/>
              </w:rPr>
            </w:pPr>
            <w:hyperlink r:id="rId14" w:history="1">
              <w:r w:rsidR="00FB7993" w:rsidRPr="00FF4275">
                <w:rPr>
                  <w:rStyle w:val="Hyperlink"/>
                  <w:sz w:val="18"/>
                  <w:szCs w:val="18"/>
                </w:rPr>
                <w:t>https://echa.europa.eu/registration-dossier/-/registered-dossier/14295/7/3/4/?document</w:t>
              </w:r>
              <w:r w:rsidR="00563405">
                <w:rPr>
                  <w:rStyle w:val="Hyperlink"/>
                  <w:sz w:val="18"/>
                  <w:szCs w:val="18"/>
                </w:rPr>
                <w:t xml:space="preserve"> </w:t>
              </w:r>
              <w:r w:rsidR="00FB7993" w:rsidRPr="00FF4275">
                <w:rPr>
                  <w:rStyle w:val="Hyperlink"/>
                  <w:sz w:val="18"/>
                  <w:szCs w:val="18"/>
                </w:rPr>
                <w:t>UUID=bbb4ce5a-d439-4078-9287-49656ba91ab6</w:t>
              </w:r>
            </w:hyperlink>
          </w:p>
        </w:tc>
      </w:tr>
      <w:tr w:rsidR="00E55CC9" w:rsidRPr="00E3196D" w14:paraId="5AD60DBD" w14:textId="77777777" w:rsidTr="00563405">
        <w:tc>
          <w:tcPr>
            <w:tcW w:w="1179" w:type="dxa"/>
            <w:shd w:val="clear" w:color="auto" w:fill="auto"/>
          </w:tcPr>
          <w:p w14:paraId="5CFD4F9E" w14:textId="3FC27ABC" w:rsidR="00E55CC9" w:rsidRPr="000F008E" w:rsidRDefault="001276D2" w:rsidP="00177D69">
            <w:pPr>
              <w:suppressAutoHyphens w:val="0"/>
              <w:spacing w:before="60" w:after="60" w:line="240" w:lineRule="auto"/>
              <w:ind w:left="57" w:right="57"/>
              <w:rPr>
                <w:sz w:val="18"/>
              </w:rPr>
            </w:pPr>
            <w:r w:rsidRPr="00FF4275">
              <w:rPr>
                <w:sz w:val="18"/>
              </w:rPr>
              <w:t>25 %</w:t>
            </w:r>
          </w:p>
        </w:tc>
        <w:tc>
          <w:tcPr>
            <w:tcW w:w="1831" w:type="dxa"/>
            <w:shd w:val="clear" w:color="auto" w:fill="auto"/>
          </w:tcPr>
          <w:p w14:paraId="5F4C91C6" w14:textId="79893317" w:rsidR="00E55CC9" w:rsidRPr="001276D2" w:rsidRDefault="001276D2" w:rsidP="00FB7993">
            <w:pPr>
              <w:suppressAutoHyphens w:val="0"/>
              <w:spacing w:before="60" w:after="60" w:line="240" w:lineRule="auto"/>
              <w:ind w:left="57"/>
              <w:rPr>
                <w:sz w:val="18"/>
                <w:lang w:val="en-US"/>
              </w:rPr>
            </w:pPr>
            <w:r w:rsidRPr="001276D2">
              <w:rPr>
                <w:sz w:val="18"/>
                <w:lang w:val="en-US"/>
              </w:rPr>
              <w:t>499 mg/kg p.c. (GE III)</w:t>
            </w:r>
          </w:p>
        </w:tc>
        <w:tc>
          <w:tcPr>
            <w:tcW w:w="2178" w:type="dxa"/>
            <w:shd w:val="clear" w:color="auto" w:fill="auto"/>
          </w:tcPr>
          <w:p w14:paraId="17813611" w14:textId="6E8000EE" w:rsidR="00E55CC9" w:rsidRPr="001276D2" w:rsidRDefault="00FB7993" w:rsidP="00FB7993">
            <w:pPr>
              <w:suppressAutoHyphens w:val="0"/>
              <w:spacing w:before="60" w:after="60" w:line="240" w:lineRule="auto"/>
              <w:ind w:left="57" w:right="57"/>
              <w:rPr>
                <w:sz w:val="18"/>
                <w:lang w:val="en-US"/>
              </w:rPr>
            </w:pPr>
            <w:r w:rsidRPr="00FB7993">
              <w:rPr>
                <w:sz w:val="18"/>
                <w:lang w:val="en-US"/>
              </w:rPr>
              <w:t>112 mg/kg p.c. (GE II)</w:t>
            </w:r>
          </w:p>
        </w:tc>
        <w:tc>
          <w:tcPr>
            <w:tcW w:w="3316" w:type="dxa"/>
            <w:shd w:val="clear" w:color="auto" w:fill="auto"/>
          </w:tcPr>
          <w:p w14:paraId="5303FB8C" w14:textId="73880EC5" w:rsidR="00E55CC9" w:rsidRPr="001276D2" w:rsidRDefault="007B2D18" w:rsidP="00FB7993">
            <w:pPr>
              <w:suppressAutoHyphens w:val="0"/>
              <w:spacing w:before="60" w:after="60" w:line="240" w:lineRule="auto"/>
              <w:ind w:left="57" w:right="57"/>
              <w:rPr>
                <w:rStyle w:val="Hyperlink"/>
                <w:sz w:val="18"/>
                <w:szCs w:val="18"/>
                <w:lang w:val="en-US"/>
              </w:rPr>
            </w:pPr>
            <w:hyperlink r:id="rId15" w:history="1">
              <w:r w:rsidR="00FB7993" w:rsidRPr="00FF4275">
                <w:rPr>
                  <w:rStyle w:val="Hyperlink"/>
                  <w:sz w:val="18"/>
                  <w:szCs w:val="18"/>
                  <w:lang w:val="en-US"/>
                </w:rPr>
                <w:t>https://echa.europa.eu/registration-dossier/-/registered-dossier/14295/7/3/4/?document</w:t>
              </w:r>
              <w:r w:rsidR="00563405">
                <w:rPr>
                  <w:rStyle w:val="Hyperlink"/>
                  <w:sz w:val="18"/>
                  <w:szCs w:val="18"/>
                  <w:lang w:val="en-US"/>
                </w:rPr>
                <w:t xml:space="preserve"> </w:t>
              </w:r>
              <w:r w:rsidR="00FB7993" w:rsidRPr="00FF4275">
                <w:rPr>
                  <w:rStyle w:val="Hyperlink"/>
                  <w:sz w:val="18"/>
                  <w:szCs w:val="18"/>
                  <w:lang w:val="en-US"/>
                </w:rPr>
                <w:t>UUID=644286ad-1b78-4a56-b774-66f48d0adb96</w:t>
              </w:r>
            </w:hyperlink>
          </w:p>
        </w:tc>
      </w:tr>
      <w:tr w:rsidR="001276D2" w:rsidRPr="00E3196D" w14:paraId="1F804F35" w14:textId="77777777" w:rsidTr="00563405">
        <w:tc>
          <w:tcPr>
            <w:tcW w:w="1179" w:type="dxa"/>
            <w:shd w:val="clear" w:color="auto" w:fill="auto"/>
          </w:tcPr>
          <w:p w14:paraId="40A3B375" w14:textId="56734066" w:rsidR="001276D2" w:rsidRPr="00FF4275" w:rsidRDefault="001276D2" w:rsidP="00177D69">
            <w:pPr>
              <w:suppressAutoHyphens w:val="0"/>
              <w:spacing w:before="60" w:after="60" w:line="240" w:lineRule="auto"/>
              <w:ind w:left="57" w:right="57"/>
              <w:rPr>
                <w:sz w:val="18"/>
              </w:rPr>
            </w:pPr>
            <w:r w:rsidRPr="00FF4275">
              <w:rPr>
                <w:sz w:val="18"/>
              </w:rPr>
              <w:t>25 %</w:t>
            </w:r>
          </w:p>
        </w:tc>
        <w:tc>
          <w:tcPr>
            <w:tcW w:w="1831" w:type="dxa"/>
            <w:shd w:val="clear" w:color="auto" w:fill="auto"/>
          </w:tcPr>
          <w:p w14:paraId="6328710F" w14:textId="5D5C36D5" w:rsidR="001276D2" w:rsidRPr="000F008E" w:rsidRDefault="00FB7993" w:rsidP="00FB7993">
            <w:pPr>
              <w:suppressAutoHyphens w:val="0"/>
              <w:spacing w:before="60" w:after="60" w:line="240" w:lineRule="auto"/>
              <w:ind w:left="57" w:right="57"/>
              <w:rPr>
                <w:sz w:val="18"/>
              </w:rPr>
            </w:pPr>
            <w:r w:rsidRPr="00FF4275">
              <w:rPr>
                <w:sz w:val="18"/>
              </w:rPr>
              <w:t>200 à 1</w:t>
            </w:r>
            <w:r w:rsidR="00563405">
              <w:rPr>
                <w:sz w:val="18"/>
              </w:rPr>
              <w:t> </w:t>
            </w:r>
            <w:r w:rsidRPr="00FF4275">
              <w:rPr>
                <w:sz w:val="18"/>
              </w:rPr>
              <w:t>000 mg/kg p.c. (GE III)</w:t>
            </w:r>
          </w:p>
        </w:tc>
        <w:tc>
          <w:tcPr>
            <w:tcW w:w="2178" w:type="dxa"/>
            <w:shd w:val="clear" w:color="auto" w:fill="auto"/>
          </w:tcPr>
          <w:p w14:paraId="21863952" w14:textId="53F75F19" w:rsidR="001276D2" w:rsidRPr="000F008E" w:rsidRDefault="00FB7993" w:rsidP="00FB7993">
            <w:pPr>
              <w:suppressAutoHyphens w:val="0"/>
              <w:spacing w:before="60" w:after="60" w:line="240" w:lineRule="auto"/>
              <w:ind w:left="57" w:right="57"/>
              <w:rPr>
                <w:sz w:val="18"/>
              </w:rPr>
            </w:pPr>
            <w:r w:rsidRPr="00FF4275">
              <w:rPr>
                <w:sz w:val="18"/>
              </w:rPr>
              <w:t>50 à 250 mg/kg p.c. (GE II)</w:t>
            </w:r>
          </w:p>
        </w:tc>
        <w:tc>
          <w:tcPr>
            <w:tcW w:w="3316" w:type="dxa"/>
            <w:shd w:val="clear" w:color="auto" w:fill="auto"/>
          </w:tcPr>
          <w:p w14:paraId="3551D5B5" w14:textId="45AB84B1" w:rsidR="001276D2" w:rsidRPr="007F1CC9" w:rsidRDefault="007B2D18" w:rsidP="00FB7993">
            <w:pPr>
              <w:suppressAutoHyphens w:val="0"/>
              <w:spacing w:before="60" w:after="60" w:line="240" w:lineRule="auto"/>
              <w:ind w:left="57" w:right="57"/>
              <w:rPr>
                <w:rStyle w:val="Hyperlink"/>
                <w:sz w:val="18"/>
                <w:szCs w:val="18"/>
                <w:lang w:val="en-US"/>
              </w:rPr>
            </w:pPr>
            <w:hyperlink r:id="rId16" w:history="1">
              <w:r w:rsidR="00FB7993" w:rsidRPr="007F1CC9">
                <w:rPr>
                  <w:rStyle w:val="Hyperlink"/>
                  <w:sz w:val="18"/>
                  <w:szCs w:val="18"/>
                  <w:lang w:val="en-US"/>
                </w:rPr>
                <w:t>https://echa.europa.eu/registration-dossier/-/registered-dossier/14295/7/3/4/?document</w:t>
              </w:r>
              <w:r w:rsidR="00563405" w:rsidRPr="007F1CC9">
                <w:rPr>
                  <w:rStyle w:val="Hyperlink"/>
                  <w:sz w:val="18"/>
                  <w:szCs w:val="18"/>
                  <w:lang w:val="en-US"/>
                </w:rPr>
                <w:t xml:space="preserve"> </w:t>
              </w:r>
              <w:r w:rsidR="00FB7993" w:rsidRPr="007F1CC9">
                <w:rPr>
                  <w:rStyle w:val="Hyperlink"/>
                  <w:sz w:val="18"/>
                  <w:szCs w:val="18"/>
                  <w:lang w:val="en-US"/>
                </w:rPr>
                <w:t>UUID=02eaa4c8-2487-4c07-b2a6-dea7706fb090</w:t>
              </w:r>
            </w:hyperlink>
          </w:p>
        </w:tc>
      </w:tr>
      <w:tr w:rsidR="001276D2" w:rsidRPr="00FB7993" w14:paraId="1F8BD8F7" w14:textId="77777777" w:rsidTr="00563405">
        <w:tc>
          <w:tcPr>
            <w:tcW w:w="1179" w:type="dxa"/>
            <w:shd w:val="clear" w:color="auto" w:fill="auto"/>
          </w:tcPr>
          <w:p w14:paraId="6644DEA0" w14:textId="1E7A72EE" w:rsidR="001276D2" w:rsidRPr="00FF4275" w:rsidRDefault="001276D2" w:rsidP="00177D69">
            <w:pPr>
              <w:suppressAutoHyphens w:val="0"/>
              <w:spacing w:before="60" w:after="60" w:line="240" w:lineRule="auto"/>
              <w:ind w:left="57" w:right="57"/>
              <w:rPr>
                <w:sz w:val="18"/>
              </w:rPr>
            </w:pPr>
            <w:r w:rsidRPr="00FF4275">
              <w:rPr>
                <w:sz w:val="18"/>
              </w:rPr>
              <w:t>25 %</w:t>
            </w:r>
          </w:p>
        </w:tc>
        <w:tc>
          <w:tcPr>
            <w:tcW w:w="1831" w:type="dxa"/>
            <w:shd w:val="clear" w:color="auto" w:fill="auto"/>
          </w:tcPr>
          <w:p w14:paraId="7B1D813B" w14:textId="5746D8BE" w:rsidR="001276D2" w:rsidRPr="000F008E" w:rsidRDefault="00FB7993" w:rsidP="00FB7993">
            <w:pPr>
              <w:suppressAutoHyphens w:val="0"/>
              <w:spacing w:before="60" w:after="60" w:line="240" w:lineRule="auto"/>
              <w:ind w:left="57" w:right="57"/>
              <w:rPr>
                <w:sz w:val="18"/>
              </w:rPr>
            </w:pPr>
            <w:r w:rsidRPr="00FF4275">
              <w:rPr>
                <w:sz w:val="18"/>
              </w:rPr>
              <w:t>28,7 mg/kg p.c. (GE I)</w:t>
            </w:r>
          </w:p>
        </w:tc>
        <w:tc>
          <w:tcPr>
            <w:tcW w:w="2178" w:type="dxa"/>
            <w:shd w:val="clear" w:color="auto" w:fill="auto"/>
          </w:tcPr>
          <w:p w14:paraId="35F39DDC" w14:textId="5E9AD6B1" w:rsidR="001276D2" w:rsidRPr="000F008E" w:rsidRDefault="00FB7993" w:rsidP="00FB7993">
            <w:pPr>
              <w:suppressAutoHyphens w:val="0"/>
              <w:spacing w:before="60" w:after="60" w:line="240" w:lineRule="auto"/>
              <w:ind w:left="57" w:right="57"/>
              <w:rPr>
                <w:sz w:val="18"/>
              </w:rPr>
            </w:pPr>
            <w:r w:rsidRPr="00FF4275">
              <w:rPr>
                <w:sz w:val="18"/>
              </w:rPr>
              <w:t>7,2 mg/kg p.c. (GE I)</w:t>
            </w:r>
          </w:p>
        </w:tc>
        <w:tc>
          <w:tcPr>
            <w:tcW w:w="3316" w:type="dxa"/>
            <w:shd w:val="clear" w:color="auto" w:fill="auto"/>
          </w:tcPr>
          <w:p w14:paraId="5DFBCA46" w14:textId="600E4E25" w:rsidR="001276D2" w:rsidRPr="00FB7993" w:rsidRDefault="007B2D18" w:rsidP="00FB7993">
            <w:pPr>
              <w:suppressAutoHyphens w:val="0"/>
              <w:spacing w:before="60" w:after="60" w:line="240" w:lineRule="auto"/>
              <w:ind w:left="57" w:right="57"/>
              <w:rPr>
                <w:rStyle w:val="Hyperlink"/>
                <w:sz w:val="18"/>
                <w:szCs w:val="18"/>
              </w:rPr>
            </w:pPr>
            <w:hyperlink r:id="rId17" w:history="1">
              <w:r w:rsidR="00FB7993" w:rsidRPr="00FF4275">
                <w:rPr>
                  <w:rStyle w:val="Hyperlink"/>
                  <w:sz w:val="18"/>
                  <w:szCs w:val="18"/>
                </w:rPr>
                <w:t>https://pubmed.ncbi.nlm.nih.gov/21310775/</w:t>
              </w:r>
            </w:hyperlink>
          </w:p>
        </w:tc>
      </w:tr>
    </w:tbl>
    <w:p w14:paraId="157E3781" w14:textId="5B4E1689" w:rsidR="0024276D" w:rsidRPr="00B403C5" w:rsidRDefault="0024276D" w:rsidP="00206665">
      <w:pPr>
        <w:pStyle w:val="SingleTxtG"/>
        <w:spacing w:before="120"/>
        <w:ind w:firstLine="567"/>
      </w:pPr>
      <w:r>
        <w:t>Les données de toxicité cutanée présentées ci-dessus montrent que les résultats diffèrent pour des concentrations identiques ou comparables. Elles conduisent à classer la solution à 2,38 % de TMAH dans la division 6.1, groupe d’emballage II, la solution à 25 % de TMAH dans la division 6.1, groupe d’emballage I et le TMAH solide dans la division 6.1, groupe d’emballage I. Cependant, les études n’ont pas été réalisées sur des lapins, comme le prévoit le paragraphe</w:t>
      </w:r>
      <w:r w:rsidR="007F1CC9">
        <w:t> </w:t>
      </w:r>
      <w:r>
        <w:t>2.6.2.1.2 du Règlement type, mais sur des rats.</w:t>
      </w:r>
    </w:p>
    <w:p w14:paraId="262405AA" w14:textId="4D53F592" w:rsidR="0024276D" w:rsidRPr="00DF2277" w:rsidRDefault="008810CD" w:rsidP="008810CD">
      <w:pPr>
        <w:pStyle w:val="H4G"/>
        <w:rPr>
          <w:iCs/>
        </w:rPr>
      </w:pPr>
      <w:r>
        <w:tab/>
      </w:r>
      <w:r w:rsidR="0024276D">
        <w:t>1.3</w:t>
      </w:r>
      <w:r w:rsidR="0024276D">
        <w:tab/>
        <w:t>Toxicité aiguë par inhalation</w:t>
      </w:r>
    </w:p>
    <w:p w14:paraId="4EFA0E45" w14:textId="77777777" w:rsidR="0024276D" w:rsidRPr="00B403C5" w:rsidRDefault="0024276D" w:rsidP="00FB7993">
      <w:pPr>
        <w:pStyle w:val="SingleTxtG"/>
        <w:ind w:firstLine="567"/>
      </w:pPr>
      <w:r>
        <w:t>Aucune étude de toxicité aiguë par inhalation n’a été répertoriée pour le TMAH.</w:t>
      </w:r>
    </w:p>
    <w:p w14:paraId="6A0239CA" w14:textId="77777777" w:rsidR="0024276D" w:rsidRDefault="0024276D" w:rsidP="0024276D">
      <w:pPr>
        <w:suppressAutoHyphens w:val="0"/>
        <w:kinsoku/>
        <w:overflowPunct/>
        <w:autoSpaceDE/>
        <w:autoSpaceDN/>
        <w:adjustRightInd/>
        <w:snapToGrid/>
        <w:spacing w:after="200" w:line="276" w:lineRule="auto"/>
      </w:pPr>
      <w:r>
        <w:br w:type="page"/>
      </w:r>
    </w:p>
    <w:p w14:paraId="726FFA95" w14:textId="77777777" w:rsidR="0024276D" w:rsidRDefault="0024276D" w:rsidP="00206665">
      <w:pPr>
        <w:pStyle w:val="HChG"/>
      </w:pPr>
      <w:r>
        <w:lastRenderedPageBreak/>
        <w:t>Annexe II</w:t>
      </w:r>
    </w:p>
    <w:p w14:paraId="4CED1E2A" w14:textId="77777777" w:rsidR="0024276D" w:rsidRPr="006307C2" w:rsidRDefault="0024276D" w:rsidP="00206665">
      <w:pPr>
        <w:pStyle w:val="HChG"/>
      </w:pPr>
      <w:r>
        <w:tab/>
      </w:r>
      <w:r>
        <w:tab/>
        <w:t>Études de corrosivité chez l’animal et in vitro</w:t>
      </w:r>
    </w:p>
    <w:p w14:paraId="3FAB0ACC" w14:textId="11F908A2" w:rsidR="0024276D" w:rsidRDefault="0024276D" w:rsidP="00206665">
      <w:pPr>
        <w:pStyle w:val="SingleTxtG"/>
        <w:spacing w:before="120"/>
        <w:ind w:firstLine="567"/>
      </w:pPr>
      <w:r>
        <w:t>On dispose d’études relatives à la corrosivité pour la solution à 2,38 % de TMAH (in vivo) et pour le TMAH solide (in vitro). L’étude in vivo a été réalisée sur des lapins conformément aux principes directeurs et aux bonnes pratiques de laboratoire de l’OCDE. Les résultats de l’étude in vitro proviennent des tests Corrositex qui ont un score de fiabilité de 2 (fiable avec restrictions) selon le Règlement concernant l’enregistrement, l’évaluation et l’autorisation des substances chimiques, ainsi que les restrictions applicables à ces substances (REACH). Les résultats sont présentés dans le tableau 3 ci-dessous. La colonne</w:t>
      </w:r>
      <w:r w:rsidR="00C90ACC">
        <w:t> </w:t>
      </w:r>
      <w:r>
        <w:t>2 indique les résultats de l’étude et le groupe d’emballage correspondant entre parenthèses.</w:t>
      </w:r>
    </w:p>
    <w:p w14:paraId="1FCA1046" w14:textId="5F47FA1B" w:rsidR="0024276D" w:rsidRPr="0074050D" w:rsidRDefault="0024276D" w:rsidP="00062517">
      <w:pPr>
        <w:pStyle w:val="Heading1"/>
        <w:spacing w:after="120"/>
        <w:rPr>
          <w:bCs/>
        </w:rPr>
      </w:pPr>
      <w:r>
        <w:t>Tableau 3</w:t>
      </w:r>
      <w:r w:rsidR="00206665">
        <w:br/>
      </w:r>
      <w:r w:rsidRPr="00062517">
        <w:rPr>
          <w:b/>
          <w:bCs/>
        </w:rPr>
        <w:t>Études de corrosivité chez l’animal</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3593"/>
        <w:gridCol w:w="3237"/>
      </w:tblGrid>
      <w:tr w:rsidR="0024276D" w:rsidRPr="002E08E0" w14:paraId="2D408B9A" w14:textId="77777777" w:rsidTr="00CE11D0">
        <w:tc>
          <w:tcPr>
            <w:tcW w:w="1675" w:type="dxa"/>
            <w:tcBorders>
              <w:bottom w:val="single" w:sz="4" w:space="0" w:color="auto"/>
            </w:tcBorders>
          </w:tcPr>
          <w:p w14:paraId="25DF10F1" w14:textId="77777777" w:rsidR="0024276D" w:rsidRPr="002E08E0" w:rsidRDefault="0024276D" w:rsidP="000C0C21">
            <w:pPr>
              <w:kinsoku/>
              <w:overflowPunct/>
              <w:autoSpaceDE/>
              <w:autoSpaceDN/>
              <w:adjustRightInd/>
              <w:snapToGrid/>
              <w:spacing w:before="60" w:after="60" w:line="240" w:lineRule="auto"/>
              <w:rPr>
                <w:bCs/>
                <w:i/>
                <w:iCs/>
                <w:sz w:val="16"/>
                <w:szCs w:val="16"/>
              </w:rPr>
            </w:pPr>
            <w:r w:rsidRPr="002E08E0">
              <w:rPr>
                <w:i/>
                <w:sz w:val="16"/>
                <w:szCs w:val="16"/>
              </w:rPr>
              <w:t>Concentration en TMAH de la solution d’essai (%)</w:t>
            </w:r>
          </w:p>
        </w:tc>
        <w:tc>
          <w:tcPr>
            <w:tcW w:w="3593" w:type="dxa"/>
            <w:tcBorders>
              <w:bottom w:val="single" w:sz="4" w:space="0" w:color="auto"/>
            </w:tcBorders>
            <w:vAlign w:val="bottom"/>
          </w:tcPr>
          <w:p w14:paraId="7999BA46" w14:textId="77777777" w:rsidR="0024276D" w:rsidRPr="002E08E0" w:rsidRDefault="0024276D" w:rsidP="00CE11D0">
            <w:pPr>
              <w:kinsoku/>
              <w:overflowPunct/>
              <w:autoSpaceDE/>
              <w:autoSpaceDN/>
              <w:adjustRightInd/>
              <w:snapToGrid/>
              <w:spacing w:before="60" w:after="60" w:line="240" w:lineRule="auto"/>
              <w:ind w:left="57" w:right="57"/>
              <w:rPr>
                <w:bCs/>
                <w:i/>
                <w:iCs/>
                <w:sz w:val="16"/>
                <w:szCs w:val="16"/>
              </w:rPr>
            </w:pPr>
            <w:r w:rsidRPr="002E08E0">
              <w:rPr>
                <w:i/>
                <w:sz w:val="16"/>
                <w:szCs w:val="16"/>
              </w:rPr>
              <w:t>Résultats de l’essai (GE)</w:t>
            </w:r>
          </w:p>
        </w:tc>
        <w:tc>
          <w:tcPr>
            <w:tcW w:w="3237" w:type="dxa"/>
            <w:tcBorders>
              <w:bottom w:val="single" w:sz="4" w:space="0" w:color="auto"/>
            </w:tcBorders>
            <w:vAlign w:val="bottom"/>
          </w:tcPr>
          <w:p w14:paraId="198C0FA2" w14:textId="77777777" w:rsidR="0024276D" w:rsidRPr="002E08E0" w:rsidRDefault="0024276D" w:rsidP="00CE11D0">
            <w:pPr>
              <w:kinsoku/>
              <w:overflowPunct/>
              <w:autoSpaceDE/>
              <w:autoSpaceDN/>
              <w:adjustRightInd/>
              <w:snapToGrid/>
              <w:spacing w:before="60" w:after="60" w:line="240" w:lineRule="auto"/>
              <w:ind w:left="57" w:right="57"/>
              <w:rPr>
                <w:bCs/>
                <w:i/>
                <w:iCs/>
                <w:sz w:val="16"/>
                <w:szCs w:val="16"/>
              </w:rPr>
            </w:pPr>
            <w:r w:rsidRPr="002E08E0">
              <w:rPr>
                <w:i/>
                <w:sz w:val="16"/>
                <w:szCs w:val="16"/>
              </w:rPr>
              <w:t>Référence bibliographique</w:t>
            </w:r>
          </w:p>
        </w:tc>
      </w:tr>
      <w:tr w:rsidR="0024276D" w:rsidRPr="00E3196D" w14:paraId="76C471F8" w14:textId="77777777" w:rsidTr="004B2DD5">
        <w:tc>
          <w:tcPr>
            <w:tcW w:w="1675" w:type="dxa"/>
            <w:tcBorders>
              <w:bottom w:val="nil"/>
            </w:tcBorders>
          </w:tcPr>
          <w:p w14:paraId="20384CF1" w14:textId="77777777" w:rsidR="0024276D" w:rsidRPr="004B2DD5" w:rsidRDefault="0024276D" w:rsidP="000C0C21">
            <w:pPr>
              <w:kinsoku/>
              <w:overflowPunct/>
              <w:autoSpaceDE/>
              <w:autoSpaceDN/>
              <w:adjustRightInd/>
              <w:snapToGrid/>
              <w:spacing w:before="60" w:after="60" w:line="240" w:lineRule="auto"/>
              <w:rPr>
                <w:sz w:val="18"/>
                <w:szCs w:val="18"/>
              </w:rPr>
            </w:pPr>
            <w:r w:rsidRPr="004B2DD5">
              <w:rPr>
                <w:sz w:val="18"/>
                <w:szCs w:val="18"/>
              </w:rPr>
              <w:t>2,38 %</w:t>
            </w:r>
          </w:p>
        </w:tc>
        <w:tc>
          <w:tcPr>
            <w:tcW w:w="3593" w:type="dxa"/>
            <w:tcBorders>
              <w:bottom w:val="nil"/>
            </w:tcBorders>
          </w:tcPr>
          <w:p w14:paraId="4E839028" w14:textId="761BBBEA" w:rsidR="0024276D" w:rsidRPr="004B2DD5" w:rsidRDefault="0024276D" w:rsidP="004B2DD5">
            <w:pPr>
              <w:kinsoku/>
              <w:overflowPunct/>
              <w:autoSpaceDE/>
              <w:autoSpaceDN/>
              <w:adjustRightInd/>
              <w:snapToGrid/>
              <w:spacing w:before="60" w:after="60" w:line="240" w:lineRule="auto"/>
              <w:rPr>
                <w:sz w:val="18"/>
                <w:szCs w:val="18"/>
              </w:rPr>
            </w:pPr>
            <w:r w:rsidRPr="004B2DD5">
              <w:rPr>
                <w:sz w:val="18"/>
                <w:szCs w:val="18"/>
              </w:rPr>
              <w:t>Aucune irritation cutanée n’a été observée après une application de 3 minutes. Une application d’une heure a provoqué une irritation cutanée bien définie. Une application pendant une période de 4 heures a entraîné une irritation cutanée bien définie à sévère chez tous les animaux, avec nécrose chez un animal (III).</w:t>
            </w:r>
          </w:p>
        </w:tc>
        <w:tc>
          <w:tcPr>
            <w:tcW w:w="3237" w:type="dxa"/>
            <w:tcBorders>
              <w:bottom w:val="nil"/>
            </w:tcBorders>
          </w:tcPr>
          <w:p w14:paraId="283E3D5A" w14:textId="1FD8C519" w:rsidR="0024276D" w:rsidRPr="00884200" w:rsidRDefault="007B2D18" w:rsidP="004B2DD5">
            <w:pPr>
              <w:kinsoku/>
              <w:overflowPunct/>
              <w:autoSpaceDE/>
              <w:autoSpaceDN/>
              <w:adjustRightInd/>
              <w:snapToGrid/>
              <w:spacing w:before="60" w:after="60" w:line="240" w:lineRule="auto"/>
              <w:jc w:val="both"/>
              <w:rPr>
                <w:rStyle w:val="Hyperlink"/>
                <w:sz w:val="18"/>
                <w:szCs w:val="18"/>
                <w:lang w:val="es-ES"/>
              </w:rPr>
            </w:pPr>
            <w:hyperlink r:id="rId18" w:history="1">
              <w:r w:rsidR="0024276D" w:rsidRPr="00884200">
                <w:rPr>
                  <w:rStyle w:val="Hyperlink"/>
                  <w:sz w:val="18"/>
                  <w:szCs w:val="18"/>
                  <w:lang w:val="es-ES"/>
                </w:rPr>
                <w:t>https://echa</w:t>
              </w:r>
            </w:hyperlink>
            <w:r w:rsidR="0024276D" w:rsidRPr="00884200">
              <w:rPr>
                <w:rStyle w:val="Hyperlink"/>
                <w:sz w:val="18"/>
                <w:szCs w:val="18"/>
                <w:lang w:val="es-ES"/>
              </w:rPr>
              <w:t>.europa.eu/registration-dossier/-/registered-dossier/14295/7/4/2/?</w:t>
            </w:r>
            <w:r w:rsidR="00884200" w:rsidRPr="00884200">
              <w:rPr>
                <w:rStyle w:val="Hyperlink"/>
                <w:sz w:val="18"/>
                <w:szCs w:val="18"/>
                <w:lang w:val="es-ES"/>
              </w:rPr>
              <w:t xml:space="preserve"> </w:t>
            </w:r>
            <w:r w:rsidR="0024276D" w:rsidRPr="00884200">
              <w:rPr>
                <w:rStyle w:val="Hyperlink"/>
                <w:sz w:val="18"/>
                <w:szCs w:val="18"/>
                <w:lang w:val="es-ES"/>
              </w:rPr>
              <w:t>documentUUID=803ad984-f2c4-4804-b90e-4a4534a8806c</w:t>
            </w:r>
          </w:p>
        </w:tc>
      </w:tr>
      <w:tr w:rsidR="004B2DD5" w:rsidRPr="00FE67EE" w14:paraId="24DF63F3" w14:textId="77777777" w:rsidTr="004B2DD5">
        <w:tc>
          <w:tcPr>
            <w:tcW w:w="1675" w:type="dxa"/>
            <w:tcBorders>
              <w:top w:val="nil"/>
            </w:tcBorders>
          </w:tcPr>
          <w:p w14:paraId="46F15BF3" w14:textId="77777777" w:rsidR="004B2DD5" w:rsidRPr="00884200" w:rsidRDefault="004B2DD5" w:rsidP="000C0C21">
            <w:pPr>
              <w:kinsoku/>
              <w:overflowPunct/>
              <w:autoSpaceDE/>
              <w:autoSpaceDN/>
              <w:adjustRightInd/>
              <w:snapToGrid/>
              <w:spacing w:before="60" w:after="60" w:line="240" w:lineRule="auto"/>
              <w:rPr>
                <w:sz w:val="18"/>
                <w:szCs w:val="18"/>
                <w:lang w:val="es-ES"/>
              </w:rPr>
            </w:pPr>
          </w:p>
        </w:tc>
        <w:tc>
          <w:tcPr>
            <w:tcW w:w="3593" w:type="dxa"/>
            <w:tcBorders>
              <w:top w:val="nil"/>
            </w:tcBorders>
          </w:tcPr>
          <w:p w14:paraId="34615AFC" w14:textId="08350C0B" w:rsidR="004B2DD5" w:rsidRPr="004B2DD5" w:rsidRDefault="004B2DD5" w:rsidP="004B2DD5">
            <w:pPr>
              <w:kinsoku/>
              <w:overflowPunct/>
              <w:autoSpaceDE/>
              <w:autoSpaceDN/>
              <w:adjustRightInd/>
              <w:snapToGrid/>
              <w:spacing w:before="60" w:after="60" w:line="240" w:lineRule="auto"/>
              <w:rPr>
                <w:sz w:val="18"/>
                <w:szCs w:val="18"/>
              </w:rPr>
            </w:pPr>
            <w:r w:rsidRPr="004B2DD5">
              <w:rPr>
                <w:sz w:val="18"/>
                <w:szCs w:val="18"/>
              </w:rPr>
              <w:t>Cotation de l’érythème : 2,43 ; cotation de l’œdème : 1,33.</w:t>
            </w:r>
          </w:p>
        </w:tc>
        <w:tc>
          <w:tcPr>
            <w:tcW w:w="3237" w:type="dxa"/>
            <w:tcBorders>
              <w:top w:val="nil"/>
            </w:tcBorders>
          </w:tcPr>
          <w:p w14:paraId="15EC49FE" w14:textId="77777777" w:rsidR="004B2DD5" w:rsidRPr="004B2DD5" w:rsidRDefault="004B2DD5" w:rsidP="004B2DD5">
            <w:pPr>
              <w:kinsoku/>
              <w:overflowPunct/>
              <w:autoSpaceDE/>
              <w:autoSpaceDN/>
              <w:adjustRightInd/>
              <w:snapToGrid/>
              <w:spacing w:before="60" w:after="60" w:line="240" w:lineRule="auto"/>
              <w:jc w:val="both"/>
              <w:rPr>
                <w:sz w:val="18"/>
                <w:szCs w:val="18"/>
              </w:rPr>
            </w:pPr>
          </w:p>
        </w:tc>
      </w:tr>
      <w:tr w:rsidR="0024276D" w:rsidRPr="00E3196D" w14:paraId="723EB0A5" w14:textId="77777777" w:rsidTr="004B2DD5">
        <w:tc>
          <w:tcPr>
            <w:tcW w:w="1675" w:type="dxa"/>
          </w:tcPr>
          <w:p w14:paraId="695533D9" w14:textId="77777777" w:rsidR="0024276D" w:rsidRPr="004B2DD5" w:rsidRDefault="0024276D" w:rsidP="000C0C21">
            <w:pPr>
              <w:kinsoku/>
              <w:overflowPunct/>
              <w:autoSpaceDE/>
              <w:autoSpaceDN/>
              <w:adjustRightInd/>
              <w:snapToGrid/>
              <w:spacing w:before="60" w:after="60" w:line="240" w:lineRule="auto"/>
              <w:rPr>
                <w:sz w:val="18"/>
                <w:szCs w:val="18"/>
              </w:rPr>
            </w:pPr>
            <w:r w:rsidRPr="004B2DD5">
              <w:rPr>
                <w:sz w:val="18"/>
                <w:szCs w:val="18"/>
              </w:rPr>
              <w:t>Solide</w:t>
            </w:r>
          </w:p>
        </w:tc>
        <w:tc>
          <w:tcPr>
            <w:tcW w:w="3593" w:type="dxa"/>
          </w:tcPr>
          <w:p w14:paraId="04B2F64F" w14:textId="77777777" w:rsidR="0024276D" w:rsidRPr="004B2DD5" w:rsidRDefault="0024276D" w:rsidP="004B2DD5">
            <w:pPr>
              <w:kinsoku/>
              <w:overflowPunct/>
              <w:autoSpaceDE/>
              <w:autoSpaceDN/>
              <w:adjustRightInd/>
              <w:snapToGrid/>
              <w:spacing w:before="60" w:after="60" w:line="240" w:lineRule="auto"/>
              <w:rPr>
                <w:sz w:val="18"/>
                <w:szCs w:val="18"/>
              </w:rPr>
            </w:pPr>
            <w:r w:rsidRPr="004B2DD5">
              <w:rPr>
                <w:sz w:val="18"/>
                <w:szCs w:val="18"/>
              </w:rPr>
              <w:t>Selon la méthode d’essai Corrositex, le pentahydrate de TMAH doit être classé dans le groupe d’emballage II pour le transport (ADR/DOT) (II).</w:t>
            </w:r>
          </w:p>
        </w:tc>
        <w:tc>
          <w:tcPr>
            <w:tcW w:w="3237" w:type="dxa"/>
          </w:tcPr>
          <w:p w14:paraId="609FEC72" w14:textId="5A0E19E3" w:rsidR="0024276D" w:rsidRPr="00884200" w:rsidRDefault="007B2D18" w:rsidP="004B2DD5">
            <w:pPr>
              <w:kinsoku/>
              <w:overflowPunct/>
              <w:autoSpaceDE/>
              <w:autoSpaceDN/>
              <w:adjustRightInd/>
              <w:snapToGrid/>
              <w:spacing w:before="60" w:after="60" w:line="240" w:lineRule="auto"/>
              <w:jc w:val="both"/>
              <w:rPr>
                <w:rStyle w:val="Hyperlink"/>
                <w:sz w:val="18"/>
                <w:szCs w:val="18"/>
                <w:lang w:val="es-ES"/>
              </w:rPr>
            </w:pPr>
            <w:hyperlink r:id="rId19" w:history="1">
              <w:r w:rsidR="0024276D" w:rsidRPr="00884200">
                <w:rPr>
                  <w:rStyle w:val="Hyperlink"/>
                  <w:sz w:val="18"/>
                  <w:szCs w:val="18"/>
                  <w:lang w:val="es-ES"/>
                </w:rPr>
                <w:t>https://echa.europa.eu/registration-dossier/-/registered-dossier/14295/7/4/2/?</w:t>
              </w:r>
              <w:r w:rsidR="00884200" w:rsidRPr="00884200">
                <w:rPr>
                  <w:rStyle w:val="Hyperlink"/>
                  <w:sz w:val="18"/>
                  <w:szCs w:val="18"/>
                  <w:lang w:val="es-ES"/>
                </w:rPr>
                <w:t xml:space="preserve"> </w:t>
              </w:r>
              <w:r w:rsidR="0024276D" w:rsidRPr="00884200">
                <w:rPr>
                  <w:rStyle w:val="Hyperlink"/>
                  <w:sz w:val="18"/>
                  <w:szCs w:val="18"/>
                  <w:lang w:val="es-ES"/>
                </w:rPr>
                <w:t>documentUUID=60d2e288-0a41-4843-861e-8d72b1575014</w:t>
              </w:r>
            </w:hyperlink>
          </w:p>
        </w:tc>
      </w:tr>
    </w:tbl>
    <w:p w14:paraId="6A0BA4F9" w14:textId="69D24E5F" w:rsidR="0024276D" w:rsidRDefault="0024276D" w:rsidP="00A97849">
      <w:pPr>
        <w:pStyle w:val="SingleTxtG"/>
        <w:spacing w:before="120"/>
        <w:ind w:firstLine="567"/>
      </w:pPr>
      <w:r>
        <w:t>Les données de corrosivité ci-dessus conduiraient à classer la solution à 2,38 % de TMAH dans la classe 8, groupe d’emballage III, et le TMAH solide dans la classe</w:t>
      </w:r>
      <w:r w:rsidR="00A97849">
        <w:t> </w:t>
      </w:r>
      <w:r>
        <w:t>8, groupe d’emballage</w:t>
      </w:r>
      <w:r w:rsidR="00A97849">
        <w:t> </w:t>
      </w:r>
      <w:r>
        <w:t>II, bien que la fiabilité des résultats soit moindre dans ce dernier cas.</w:t>
      </w:r>
    </w:p>
    <w:p w14:paraId="5BC4C82F" w14:textId="66976537" w:rsidR="0024276D" w:rsidRDefault="0024276D" w:rsidP="00062517">
      <w:pPr>
        <w:pStyle w:val="SingleTxtG"/>
        <w:spacing w:before="120"/>
        <w:ind w:firstLine="567"/>
      </w:pPr>
      <w:r>
        <w:t>Des informations complémentaires, mais incomplètes</w:t>
      </w:r>
      <w:r w:rsidR="00A97849">
        <w:t>,</w:t>
      </w:r>
      <w:r>
        <w:t xml:space="preserve"> sur les effets corrosifs du TMAH sont disponibles dans les résumés des études de toxicité aiguë par voie cutanée chez les rats. Les effets corrosifs sont présentés dans le tableau </w:t>
      </w:r>
      <w:r w:rsidR="00C90ACC">
        <w:t xml:space="preserve">4 </w:t>
      </w:r>
      <w:r>
        <w:t xml:space="preserve">ci-dessous, dans lequel est également mentionnée à titre secondaire une étude menée sur des cobayes qui a été incluse dans l’enquête sur les substances chimiques produites en grandes quantités de l’OCDE. </w:t>
      </w:r>
    </w:p>
    <w:p w14:paraId="2740AA36" w14:textId="77777777" w:rsidR="0024276D" w:rsidRDefault="0024276D" w:rsidP="00062517">
      <w:pPr>
        <w:pStyle w:val="SingleTxtG"/>
        <w:spacing w:before="120"/>
        <w:ind w:firstLine="567"/>
        <w:rPr>
          <w:b/>
          <w:bCs/>
        </w:rPr>
      </w:pPr>
      <w:r>
        <w:br w:type="page"/>
      </w:r>
    </w:p>
    <w:p w14:paraId="76CEAC1C" w14:textId="4350D844" w:rsidR="0024276D" w:rsidRDefault="0024276D" w:rsidP="00CE11D0">
      <w:pPr>
        <w:pStyle w:val="Heading1"/>
        <w:spacing w:after="120"/>
        <w:rPr>
          <w:b/>
          <w:bCs/>
        </w:rPr>
      </w:pPr>
      <w:r>
        <w:lastRenderedPageBreak/>
        <w:t xml:space="preserve">Tableau </w:t>
      </w:r>
      <w:r w:rsidR="00C90ACC">
        <w:t>4</w:t>
      </w:r>
      <w:r w:rsidR="00CE11D0">
        <w:br/>
      </w:r>
      <w:r w:rsidRPr="00CE11D0">
        <w:rPr>
          <w:b/>
          <w:bCs/>
        </w:rPr>
        <w:t xml:space="preserve">Effets corrosifs du TMAH mis en évidence dans des études de toxicité aiguë par voie cutanée </w:t>
      </w:r>
      <w:r w:rsidR="00C90ACC">
        <w:rPr>
          <w:b/>
          <w:bCs/>
        </w:rPr>
        <w:br/>
      </w:r>
      <w:r w:rsidRPr="00CE11D0">
        <w:rPr>
          <w:b/>
          <w:bCs/>
        </w:rPr>
        <w:t>chez les rats (solution) et les cobayes (solide)</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3593"/>
        <w:gridCol w:w="3237"/>
      </w:tblGrid>
      <w:tr w:rsidR="005157BC" w:rsidRPr="002E08E0" w14:paraId="7CD92029" w14:textId="77777777" w:rsidTr="00177D69">
        <w:tc>
          <w:tcPr>
            <w:tcW w:w="1675" w:type="dxa"/>
            <w:tcBorders>
              <w:bottom w:val="single" w:sz="4" w:space="0" w:color="auto"/>
            </w:tcBorders>
          </w:tcPr>
          <w:p w14:paraId="2BD6F92B" w14:textId="0EDEC91C" w:rsidR="005157BC" w:rsidRPr="002E08E0" w:rsidRDefault="005157BC" w:rsidP="00177D69">
            <w:pPr>
              <w:kinsoku/>
              <w:overflowPunct/>
              <w:autoSpaceDE/>
              <w:autoSpaceDN/>
              <w:adjustRightInd/>
              <w:snapToGrid/>
              <w:spacing w:before="60" w:after="60" w:line="240" w:lineRule="auto"/>
              <w:rPr>
                <w:bCs/>
                <w:i/>
                <w:iCs/>
                <w:sz w:val="16"/>
                <w:szCs w:val="16"/>
              </w:rPr>
            </w:pPr>
            <w:r>
              <w:rPr>
                <w:i/>
                <w:sz w:val="16"/>
                <w:szCs w:val="16"/>
              </w:rPr>
              <w:t>Échantillon d’essai</w:t>
            </w:r>
          </w:p>
        </w:tc>
        <w:tc>
          <w:tcPr>
            <w:tcW w:w="3593" w:type="dxa"/>
            <w:tcBorders>
              <w:bottom w:val="single" w:sz="4" w:space="0" w:color="auto"/>
            </w:tcBorders>
            <w:vAlign w:val="bottom"/>
          </w:tcPr>
          <w:p w14:paraId="7121AFAC" w14:textId="4E7C48A3" w:rsidR="005157BC" w:rsidRPr="002E08E0" w:rsidRDefault="005157BC" w:rsidP="00177D69">
            <w:pPr>
              <w:kinsoku/>
              <w:overflowPunct/>
              <w:autoSpaceDE/>
              <w:autoSpaceDN/>
              <w:adjustRightInd/>
              <w:snapToGrid/>
              <w:spacing w:before="60" w:after="60" w:line="240" w:lineRule="auto"/>
              <w:ind w:left="57" w:right="57"/>
              <w:rPr>
                <w:bCs/>
                <w:i/>
                <w:iCs/>
                <w:sz w:val="16"/>
                <w:szCs w:val="16"/>
              </w:rPr>
            </w:pPr>
            <w:r>
              <w:rPr>
                <w:i/>
                <w:sz w:val="16"/>
                <w:szCs w:val="16"/>
              </w:rPr>
              <w:t>Effets décrits dans le résumé de l’étude</w:t>
            </w:r>
          </w:p>
        </w:tc>
        <w:tc>
          <w:tcPr>
            <w:tcW w:w="3237" w:type="dxa"/>
            <w:tcBorders>
              <w:bottom w:val="single" w:sz="4" w:space="0" w:color="auto"/>
            </w:tcBorders>
            <w:vAlign w:val="bottom"/>
          </w:tcPr>
          <w:p w14:paraId="345D5D82" w14:textId="77777777" w:rsidR="005157BC" w:rsidRPr="002E08E0" w:rsidRDefault="005157BC" w:rsidP="00177D69">
            <w:pPr>
              <w:kinsoku/>
              <w:overflowPunct/>
              <w:autoSpaceDE/>
              <w:autoSpaceDN/>
              <w:adjustRightInd/>
              <w:snapToGrid/>
              <w:spacing w:before="60" w:after="60" w:line="240" w:lineRule="auto"/>
              <w:ind w:left="57" w:right="57"/>
              <w:rPr>
                <w:bCs/>
                <w:i/>
                <w:iCs/>
                <w:sz w:val="16"/>
                <w:szCs w:val="16"/>
              </w:rPr>
            </w:pPr>
            <w:r w:rsidRPr="002E08E0">
              <w:rPr>
                <w:i/>
                <w:sz w:val="16"/>
                <w:szCs w:val="16"/>
              </w:rPr>
              <w:t>Référence bibliographique</w:t>
            </w:r>
          </w:p>
        </w:tc>
      </w:tr>
      <w:tr w:rsidR="005157BC" w:rsidRPr="00E3196D" w14:paraId="617313D7" w14:textId="77777777" w:rsidTr="00F7563B">
        <w:tc>
          <w:tcPr>
            <w:tcW w:w="1675" w:type="dxa"/>
            <w:tcBorders>
              <w:bottom w:val="single" w:sz="4" w:space="0" w:color="auto"/>
            </w:tcBorders>
          </w:tcPr>
          <w:p w14:paraId="30B3C03A" w14:textId="0AB44B18" w:rsidR="005157BC" w:rsidRPr="004B2DD5" w:rsidRDefault="00F7563B" w:rsidP="00177D69">
            <w:pPr>
              <w:kinsoku/>
              <w:overflowPunct/>
              <w:autoSpaceDE/>
              <w:autoSpaceDN/>
              <w:adjustRightInd/>
              <w:snapToGrid/>
              <w:spacing w:before="60" w:after="60" w:line="240" w:lineRule="auto"/>
              <w:rPr>
                <w:sz w:val="18"/>
                <w:szCs w:val="18"/>
              </w:rPr>
            </w:pPr>
            <w:r w:rsidRPr="00F7563B">
              <w:rPr>
                <w:sz w:val="18"/>
                <w:szCs w:val="18"/>
              </w:rPr>
              <w:t>Solution à 2,5 %</w:t>
            </w:r>
          </w:p>
        </w:tc>
        <w:tc>
          <w:tcPr>
            <w:tcW w:w="3593" w:type="dxa"/>
            <w:tcBorders>
              <w:bottom w:val="single" w:sz="4" w:space="0" w:color="auto"/>
            </w:tcBorders>
          </w:tcPr>
          <w:p w14:paraId="7AE24A4E" w14:textId="32762239" w:rsidR="005157BC" w:rsidRPr="004B2DD5" w:rsidRDefault="00F7563B" w:rsidP="00177D69">
            <w:pPr>
              <w:kinsoku/>
              <w:overflowPunct/>
              <w:autoSpaceDE/>
              <w:autoSpaceDN/>
              <w:adjustRightInd/>
              <w:snapToGrid/>
              <w:spacing w:before="60" w:after="60" w:line="240" w:lineRule="auto"/>
              <w:rPr>
                <w:sz w:val="18"/>
                <w:szCs w:val="18"/>
              </w:rPr>
            </w:pPr>
            <w:r w:rsidRPr="00F7563B">
              <w:rPr>
                <w:sz w:val="18"/>
                <w:szCs w:val="18"/>
              </w:rPr>
              <w:t>Une desquamation, des croûtes ou un érythème maculaire ont été observés dans la zone cutanée traitée de plusieurs animaux entre les jours 3 et 10.</w:t>
            </w:r>
          </w:p>
        </w:tc>
        <w:tc>
          <w:tcPr>
            <w:tcW w:w="3237" w:type="dxa"/>
            <w:tcBorders>
              <w:bottom w:val="single" w:sz="4" w:space="0" w:color="auto"/>
            </w:tcBorders>
          </w:tcPr>
          <w:p w14:paraId="56499F5A" w14:textId="6A03F014" w:rsidR="005157BC" w:rsidRPr="005157BC" w:rsidRDefault="007B2D18" w:rsidP="00177D69">
            <w:pPr>
              <w:kinsoku/>
              <w:overflowPunct/>
              <w:autoSpaceDE/>
              <w:autoSpaceDN/>
              <w:adjustRightInd/>
              <w:snapToGrid/>
              <w:spacing w:before="60" w:after="60" w:line="240" w:lineRule="auto"/>
              <w:jc w:val="both"/>
              <w:rPr>
                <w:rStyle w:val="Hyperlink"/>
                <w:sz w:val="18"/>
                <w:szCs w:val="18"/>
                <w:lang w:val="es-ES"/>
              </w:rPr>
            </w:pPr>
            <w:hyperlink r:id="rId20" w:history="1">
              <w:r w:rsidR="005157BC" w:rsidRPr="005157BC">
                <w:rPr>
                  <w:rStyle w:val="Hyperlink"/>
                  <w:sz w:val="18"/>
                  <w:szCs w:val="18"/>
                  <w:lang w:val="es-ES"/>
                </w:rPr>
                <w:t>https://echa.europa.eu/registration-dossier/-/registered-dossier/14295/7/3/4/? documentUUID=51d64548-5ca0-41d2-8c10-e89bbaa9f54a</w:t>
              </w:r>
            </w:hyperlink>
          </w:p>
        </w:tc>
      </w:tr>
      <w:tr w:rsidR="005157BC" w:rsidRPr="005157BC" w14:paraId="54725680" w14:textId="77777777" w:rsidTr="00F7563B">
        <w:tc>
          <w:tcPr>
            <w:tcW w:w="1675" w:type="dxa"/>
            <w:tcBorders>
              <w:top w:val="single" w:sz="4" w:space="0" w:color="auto"/>
            </w:tcBorders>
          </w:tcPr>
          <w:p w14:paraId="16CCF846" w14:textId="654D221E" w:rsidR="005157BC" w:rsidRPr="005157BC" w:rsidRDefault="00F7563B" w:rsidP="00177D69">
            <w:pPr>
              <w:kinsoku/>
              <w:overflowPunct/>
              <w:autoSpaceDE/>
              <w:autoSpaceDN/>
              <w:adjustRightInd/>
              <w:snapToGrid/>
              <w:spacing w:before="60" w:after="60" w:line="240" w:lineRule="auto"/>
              <w:rPr>
                <w:sz w:val="18"/>
                <w:szCs w:val="18"/>
                <w:lang w:val="es-ES"/>
              </w:rPr>
            </w:pPr>
            <w:r w:rsidRPr="00F7563B">
              <w:rPr>
                <w:sz w:val="18"/>
                <w:szCs w:val="18"/>
              </w:rPr>
              <w:t>Solution à 25 %</w:t>
            </w:r>
          </w:p>
        </w:tc>
        <w:tc>
          <w:tcPr>
            <w:tcW w:w="3593" w:type="dxa"/>
            <w:tcBorders>
              <w:top w:val="single" w:sz="4" w:space="0" w:color="auto"/>
            </w:tcBorders>
          </w:tcPr>
          <w:p w14:paraId="505D4EC0" w14:textId="14A83798" w:rsidR="005157BC" w:rsidRPr="00E3196D" w:rsidRDefault="00F7563B" w:rsidP="00177D69">
            <w:pPr>
              <w:kinsoku/>
              <w:overflowPunct/>
              <w:autoSpaceDE/>
              <w:autoSpaceDN/>
              <w:adjustRightInd/>
              <w:snapToGrid/>
              <w:spacing w:before="60" w:after="60" w:line="240" w:lineRule="auto"/>
              <w:rPr>
                <w:sz w:val="18"/>
                <w:szCs w:val="18"/>
              </w:rPr>
            </w:pPr>
            <w:r w:rsidRPr="00F7563B">
              <w:rPr>
                <w:sz w:val="18"/>
                <w:szCs w:val="18"/>
              </w:rPr>
              <w:t>L’autopsie des animaux décédés a montré que la zone de peau traitée présentait des anomalies. Quelles que soient les doses, des effets cutanés ont été observés, allant de bien définis à sévères au jour 1 et d’absents à sévères aux jours 7 et 14. Les animaux survivants présentaient un léger œdème et un début d’escarre.</w:t>
            </w:r>
          </w:p>
        </w:tc>
        <w:tc>
          <w:tcPr>
            <w:tcW w:w="3237" w:type="dxa"/>
            <w:tcBorders>
              <w:top w:val="single" w:sz="4" w:space="0" w:color="auto"/>
            </w:tcBorders>
          </w:tcPr>
          <w:p w14:paraId="26A2F3DE" w14:textId="341E2E92" w:rsidR="005157BC" w:rsidRPr="00F7563B" w:rsidRDefault="007B2D18" w:rsidP="00177D69">
            <w:pPr>
              <w:kinsoku/>
              <w:overflowPunct/>
              <w:autoSpaceDE/>
              <w:autoSpaceDN/>
              <w:adjustRightInd/>
              <w:snapToGrid/>
              <w:spacing w:before="60" w:after="60" w:line="240" w:lineRule="auto"/>
              <w:jc w:val="both"/>
              <w:rPr>
                <w:sz w:val="18"/>
                <w:szCs w:val="18"/>
                <w:lang w:val="es-ES"/>
              </w:rPr>
            </w:pPr>
            <w:hyperlink r:id="rId21" w:history="1">
              <w:r w:rsidR="00F7563B" w:rsidRPr="00F7563B">
                <w:rPr>
                  <w:rStyle w:val="Hyperlink"/>
                  <w:sz w:val="18"/>
                  <w:szCs w:val="18"/>
                  <w:lang w:val="es-ES"/>
                </w:rPr>
                <w:t>https://echa.europa.eu/registration-dossier/-/registered-dossier/14295/7/3/4/?</w:t>
              </w:r>
              <w:r w:rsidR="00F7563B">
                <w:rPr>
                  <w:rStyle w:val="Hyperlink"/>
                  <w:sz w:val="18"/>
                  <w:szCs w:val="18"/>
                  <w:lang w:val="es-ES"/>
                </w:rPr>
                <w:t xml:space="preserve"> </w:t>
              </w:r>
              <w:r w:rsidR="00F7563B" w:rsidRPr="00F7563B">
                <w:rPr>
                  <w:rStyle w:val="Hyperlink"/>
                  <w:sz w:val="18"/>
                  <w:szCs w:val="18"/>
                  <w:lang w:val="es-ES"/>
                </w:rPr>
                <w:t>documentUUID=bbb4ce5a-d439-4078-9287-49656ba91ab6</w:t>
              </w:r>
            </w:hyperlink>
          </w:p>
        </w:tc>
      </w:tr>
      <w:tr w:rsidR="005157BC" w:rsidRPr="00E3196D" w14:paraId="110632F4" w14:textId="77777777" w:rsidTr="00177D69">
        <w:tc>
          <w:tcPr>
            <w:tcW w:w="1675" w:type="dxa"/>
          </w:tcPr>
          <w:p w14:paraId="416D57F3" w14:textId="6C23156B" w:rsidR="005157BC" w:rsidRPr="00F7563B" w:rsidRDefault="00A4269C" w:rsidP="00177D69">
            <w:pPr>
              <w:kinsoku/>
              <w:overflowPunct/>
              <w:autoSpaceDE/>
              <w:autoSpaceDN/>
              <w:adjustRightInd/>
              <w:snapToGrid/>
              <w:spacing w:before="60" w:after="60" w:line="240" w:lineRule="auto"/>
              <w:rPr>
                <w:sz w:val="18"/>
                <w:szCs w:val="18"/>
                <w:lang w:val="es-ES"/>
              </w:rPr>
            </w:pPr>
            <w:r w:rsidRPr="00F7563B">
              <w:rPr>
                <w:sz w:val="18"/>
                <w:szCs w:val="18"/>
              </w:rPr>
              <w:t>Solution à 25 %</w:t>
            </w:r>
          </w:p>
        </w:tc>
        <w:tc>
          <w:tcPr>
            <w:tcW w:w="3593" w:type="dxa"/>
          </w:tcPr>
          <w:p w14:paraId="1AD3CAE3" w14:textId="2FEC6464" w:rsidR="005157BC" w:rsidRPr="00A4269C" w:rsidRDefault="00A4269C" w:rsidP="00177D69">
            <w:pPr>
              <w:kinsoku/>
              <w:overflowPunct/>
              <w:autoSpaceDE/>
              <w:autoSpaceDN/>
              <w:adjustRightInd/>
              <w:snapToGrid/>
              <w:spacing w:before="60" w:after="60" w:line="240" w:lineRule="auto"/>
              <w:rPr>
                <w:sz w:val="18"/>
                <w:szCs w:val="18"/>
              </w:rPr>
            </w:pPr>
            <w:r w:rsidRPr="00F7563B">
              <w:rPr>
                <w:sz w:val="18"/>
                <w:szCs w:val="18"/>
              </w:rPr>
              <w:t>Un animal trouvé mort (appartenant au groupe exposé à une dose de 500 mg/kg p.c.) présentait un érythème bien défini. Les autres animaux ne montraient aucun signe d’irritation cutanée.</w:t>
            </w:r>
          </w:p>
        </w:tc>
        <w:tc>
          <w:tcPr>
            <w:tcW w:w="3237" w:type="dxa"/>
          </w:tcPr>
          <w:p w14:paraId="4A1B367D" w14:textId="04ED61D2" w:rsidR="005157BC" w:rsidRPr="00A4269C" w:rsidRDefault="007B2D18" w:rsidP="00177D69">
            <w:pPr>
              <w:kinsoku/>
              <w:overflowPunct/>
              <w:autoSpaceDE/>
              <w:autoSpaceDN/>
              <w:adjustRightInd/>
              <w:snapToGrid/>
              <w:spacing w:before="60" w:after="60" w:line="240" w:lineRule="auto"/>
              <w:jc w:val="both"/>
              <w:rPr>
                <w:rStyle w:val="Hyperlink"/>
                <w:sz w:val="18"/>
                <w:szCs w:val="18"/>
                <w:lang w:val="en-US"/>
              </w:rPr>
            </w:pPr>
            <w:hyperlink r:id="rId22" w:history="1">
              <w:r w:rsidR="00A4269C" w:rsidRPr="00A4269C">
                <w:rPr>
                  <w:rStyle w:val="Hyperlink"/>
                  <w:sz w:val="18"/>
                  <w:szCs w:val="18"/>
                  <w:lang w:val="en-US"/>
                </w:rPr>
                <w:t>https://echa.europa.eu/registration-dossier/-/registered-dossier/14295/7/3/4/? documentUUID=644286ad-1b78-4a56-b774-66f48d0adb96</w:t>
              </w:r>
            </w:hyperlink>
          </w:p>
        </w:tc>
      </w:tr>
      <w:tr w:rsidR="00F7563B" w:rsidRPr="00E3196D" w14:paraId="2D14F7AD" w14:textId="77777777" w:rsidTr="005A3CF6">
        <w:tc>
          <w:tcPr>
            <w:tcW w:w="1675" w:type="dxa"/>
            <w:tcBorders>
              <w:bottom w:val="single" w:sz="4" w:space="0" w:color="auto"/>
            </w:tcBorders>
          </w:tcPr>
          <w:p w14:paraId="78660FA8" w14:textId="149506B9" w:rsidR="00F7563B" w:rsidRPr="00F7563B" w:rsidRDefault="00A4269C" w:rsidP="00177D69">
            <w:pPr>
              <w:kinsoku/>
              <w:overflowPunct/>
              <w:autoSpaceDE/>
              <w:autoSpaceDN/>
              <w:adjustRightInd/>
              <w:snapToGrid/>
              <w:spacing w:before="60" w:after="60" w:line="240" w:lineRule="auto"/>
              <w:rPr>
                <w:sz w:val="18"/>
                <w:szCs w:val="18"/>
                <w:lang w:val="es-ES"/>
              </w:rPr>
            </w:pPr>
            <w:r w:rsidRPr="00F7563B">
              <w:rPr>
                <w:sz w:val="18"/>
                <w:szCs w:val="18"/>
              </w:rPr>
              <w:t>Solution à 25 %</w:t>
            </w:r>
          </w:p>
        </w:tc>
        <w:tc>
          <w:tcPr>
            <w:tcW w:w="3593" w:type="dxa"/>
            <w:tcBorders>
              <w:bottom w:val="single" w:sz="4" w:space="0" w:color="auto"/>
            </w:tcBorders>
          </w:tcPr>
          <w:p w14:paraId="7E739571" w14:textId="7D4DF911" w:rsidR="00F7563B" w:rsidRPr="00A4269C" w:rsidRDefault="00A4269C" w:rsidP="00177D69">
            <w:pPr>
              <w:kinsoku/>
              <w:overflowPunct/>
              <w:autoSpaceDE/>
              <w:autoSpaceDN/>
              <w:adjustRightInd/>
              <w:snapToGrid/>
              <w:spacing w:before="60" w:after="60" w:line="240" w:lineRule="auto"/>
              <w:rPr>
                <w:sz w:val="18"/>
                <w:szCs w:val="18"/>
              </w:rPr>
            </w:pPr>
            <w:r w:rsidRPr="00F7563B">
              <w:rPr>
                <w:sz w:val="18"/>
                <w:szCs w:val="18"/>
              </w:rPr>
              <w:t>Sur la zone cutanée traitée</w:t>
            </w:r>
            <w:r w:rsidR="00E438D1">
              <w:rPr>
                <w:sz w:val="18"/>
                <w:szCs w:val="18"/>
              </w:rPr>
              <w:t> </w:t>
            </w:r>
            <w:r w:rsidRPr="00F7563B">
              <w:rPr>
                <w:sz w:val="18"/>
                <w:szCs w:val="18"/>
              </w:rPr>
              <w:t>: érythème, desquamation et croûtes pendant la période d’observation.</w:t>
            </w:r>
          </w:p>
        </w:tc>
        <w:tc>
          <w:tcPr>
            <w:tcW w:w="3237" w:type="dxa"/>
            <w:tcBorders>
              <w:bottom w:val="single" w:sz="4" w:space="0" w:color="auto"/>
            </w:tcBorders>
          </w:tcPr>
          <w:p w14:paraId="3339022B" w14:textId="4065FF5C" w:rsidR="00F7563B" w:rsidRPr="00A4269C" w:rsidRDefault="00A4269C" w:rsidP="00177D69">
            <w:pPr>
              <w:kinsoku/>
              <w:overflowPunct/>
              <w:autoSpaceDE/>
              <w:autoSpaceDN/>
              <w:adjustRightInd/>
              <w:snapToGrid/>
              <w:spacing w:before="60" w:after="60" w:line="240" w:lineRule="auto"/>
              <w:jc w:val="both"/>
              <w:rPr>
                <w:rStyle w:val="Hyperlink"/>
                <w:sz w:val="18"/>
                <w:szCs w:val="18"/>
                <w:lang w:val="es-ES"/>
              </w:rPr>
            </w:pPr>
            <w:r w:rsidRPr="00A4269C">
              <w:rPr>
                <w:rStyle w:val="Hyperlink"/>
                <w:sz w:val="18"/>
                <w:szCs w:val="18"/>
                <w:lang w:val="es-ES"/>
              </w:rPr>
              <w:t>https://echa.europa.eu/registration-dossier/-/registered-dossier/14295/7/3/4/? documentUUID=02eaa4c8-2487-4c07-b2a6-dea7706fb090</w:t>
            </w:r>
          </w:p>
        </w:tc>
      </w:tr>
      <w:tr w:rsidR="00F7563B" w:rsidRPr="00A4269C" w14:paraId="12EA8917" w14:textId="77777777" w:rsidTr="005A3CF6">
        <w:tc>
          <w:tcPr>
            <w:tcW w:w="1675" w:type="dxa"/>
            <w:tcBorders>
              <w:bottom w:val="nil"/>
              <w:right w:val="single" w:sz="4" w:space="0" w:color="auto"/>
            </w:tcBorders>
          </w:tcPr>
          <w:p w14:paraId="6ABC0212" w14:textId="00E0A691" w:rsidR="00F7563B" w:rsidRPr="00F7563B" w:rsidRDefault="00A4269C" w:rsidP="00177D69">
            <w:pPr>
              <w:kinsoku/>
              <w:overflowPunct/>
              <w:autoSpaceDE/>
              <w:autoSpaceDN/>
              <w:adjustRightInd/>
              <w:snapToGrid/>
              <w:spacing w:before="60" w:after="60" w:line="240" w:lineRule="auto"/>
              <w:rPr>
                <w:sz w:val="18"/>
                <w:szCs w:val="18"/>
                <w:lang w:val="es-ES"/>
              </w:rPr>
            </w:pPr>
            <w:r w:rsidRPr="00F7563B">
              <w:rPr>
                <w:sz w:val="18"/>
                <w:szCs w:val="18"/>
              </w:rPr>
              <w:t>Solide</w:t>
            </w:r>
          </w:p>
        </w:tc>
        <w:tc>
          <w:tcPr>
            <w:tcW w:w="3593" w:type="dxa"/>
            <w:tcBorders>
              <w:left w:val="single" w:sz="4" w:space="0" w:color="auto"/>
              <w:bottom w:val="nil"/>
              <w:right w:val="single" w:sz="4" w:space="0" w:color="auto"/>
            </w:tcBorders>
          </w:tcPr>
          <w:p w14:paraId="49A851FE" w14:textId="33590DF8" w:rsidR="00F7563B" w:rsidRPr="00A4269C" w:rsidRDefault="00A4269C" w:rsidP="00177D69">
            <w:pPr>
              <w:kinsoku/>
              <w:overflowPunct/>
              <w:autoSpaceDE/>
              <w:autoSpaceDN/>
              <w:adjustRightInd/>
              <w:snapToGrid/>
              <w:spacing w:before="60" w:after="60" w:line="240" w:lineRule="auto"/>
              <w:rPr>
                <w:sz w:val="18"/>
                <w:szCs w:val="18"/>
              </w:rPr>
            </w:pPr>
            <w:r w:rsidRPr="00F7563B">
              <w:rPr>
                <w:sz w:val="18"/>
                <w:szCs w:val="18"/>
              </w:rPr>
              <w:t>Du pentahydrate d’hydroxyde de tétraméthylammonium solide humidifié avec de l’eau a été appliqué sur la peau de cobayes à l’aide d’un timbre occlusif à des doses allant de 25 à 1</w:t>
            </w:r>
            <w:r w:rsidR="00E438D1">
              <w:rPr>
                <w:sz w:val="18"/>
                <w:szCs w:val="18"/>
              </w:rPr>
              <w:t> </w:t>
            </w:r>
            <w:r w:rsidRPr="00F7563B">
              <w:rPr>
                <w:sz w:val="18"/>
                <w:szCs w:val="18"/>
              </w:rPr>
              <w:t>000 mg/kg p.c.</w:t>
            </w:r>
          </w:p>
        </w:tc>
        <w:tc>
          <w:tcPr>
            <w:tcW w:w="3237" w:type="dxa"/>
            <w:tcBorders>
              <w:left w:val="single" w:sz="4" w:space="0" w:color="auto"/>
              <w:bottom w:val="nil"/>
            </w:tcBorders>
          </w:tcPr>
          <w:p w14:paraId="595E54DD" w14:textId="21CE7368" w:rsidR="00F7563B" w:rsidRPr="00A4269C" w:rsidRDefault="007B2D18" w:rsidP="00177D69">
            <w:pPr>
              <w:kinsoku/>
              <w:overflowPunct/>
              <w:autoSpaceDE/>
              <w:autoSpaceDN/>
              <w:adjustRightInd/>
              <w:snapToGrid/>
              <w:spacing w:before="60" w:after="60" w:line="240" w:lineRule="auto"/>
              <w:jc w:val="both"/>
              <w:rPr>
                <w:rStyle w:val="Hyperlink"/>
                <w:sz w:val="18"/>
                <w:szCs w:val="18"/>
              </w:rPr>
            </w:pPr>
            <w:hyperlink r:id="rId23" w:history="1">
              <w:r w:rsidR="00A4269C" w:rsidRPr="00A4269C">
                <w:rPr>
                  <w:rStyle w:val="Hyperlink"/>
                  <w:sz w:val="18"/>
                  <w:szCs w:val="18"/>
                </w:rPr>
                <w:t>https://hpvchemicals.oecd.org/UI/SIDS_Details.aspx?key=05f8249f-1562-4e9f-950c-2ac1b42e7b20&amp;idx=0</w:t>
              </w:r>
            </w:hyperlink>
            <w:r w:rsidR="00A4269C" w:rsidRPr="00A4269C">
              <w:rPr>
                <w:rStyle w:val="Hyperlink"/>
                <w:sz w:val="18"/>
                <w:szCs w:val="18"/>
              </w:rPr>
              <w:t xml:space="preserve"> (fichier zip)</w:t>
            </w:r>
          </w:p>
        </w:tc>
      </w:tr>
      <w:tr w:rsidR="00F7563B" w:rsidRPr="00A4269C" w14:paraId="7E39A729" w14:textId="77777777" w:rsidTr="005A3CF6">
        <w:tc>
          <w:tcPr>
            <w:tcW w:w="1675" w:type="dxa"/>
            <w:tcBorders>
              <w:top w:val="nil"/>
              <w:bottom w:val="nil"/>
              <w:right w:val="single" w:sz="4" w:space="0" w:color="auto"/>
            </w:tcBorders>
          </w:tcPr>
          <w:p w14:paraId="2E4F65FF" w14:textId="77777777" w:rsidR="00F7563B" w:rsidRPr="00A4269C" w:rsidRDefault="00F7563B" w:rsidP="00177D69">
            <w:pPr>
              <w:kinsoku/>
              <w:overflowPunct/>
              <w:autoSpaceDE/>
              <w:autoSpaceDN/>
              <w:adjustRightInd/>
              <w:snapToGrid/>
              <w:spacing w:before="60" w:after="60" w:line="240" w:lineRule="auto"/>
              <w:rPr>
                <w:sz w:val="18"/>
                <w:szCs w:val="18"/>
              </w:rPr>
            </w:pPr>
          </w:p>
        </w:tc>
        <w:tc>
          <w:tcPr>
            <w:tcW w:w="3593" w:type="dxa"/>
            <w:tcBorders>
              <w:top w:val="nil"/>
              <w:left w:val="single" w:sz="4" w:space="0" w:color="auto"/>
              <w:bottom w:val="nil"/>
              <w:right w:val="single" w:sz="4" w:space="0" w:color="auto"/>
            </w:tcBorders>
          </w:tcPr>
          <w:p w14:paraId="3708A7C7" w14:textId="4A4A4E86" w:rsidR="00F7563B" w:rsidRPr="00A4269C" w:rsidRDefault="000A7982" w:rsidP="00177D69">
            <w:pPr>
              <w:kinsoku/>
              <w:overflowPunct/>
              <w:autoSpaceDE/>
              <w:autoSpaceDN/>
              <w:adjustRightInd/>
              <w:snapToGrid/>
              <w:spacing w:before="60" w:after="60" w:line="240" w:lineRule="auto"/>
              <w:rPr>
                <w:sz w:val="18"/>
                <w:szCs w:val="18"/>
              </w:rPr>
            </w:pPr>
            <w:r w:rsidRPr="00F7563B">
              <w:rPr>
                <w:sz w:val="18"/>
                <w:szCs w:val="18"/>
              </w:rPr>
              <w:t>24 heures : léger œdème. Toute la zone du timbre était nécrosée, avec un érythème grave ou une bande hémorragique en périphérie.</w:t>
            </w:r>
          </w:p>
        </w:tc>
        <w:tc>
          <w:tcPr>
            <w:tcW w:w="3237" w:type="dxa"/>
            <w:tcBorders>
              <w:top w:val="nil"/>
              <w:left w:val="single" w:sz="4" w:space="0" w:color="auto"/>
              <w:bottom w:val="nil"/>
            </w:tcBorders>
          </w:tcPr>
          <w:p w14:paraId="62194359" w14:textId="77777777" w:rsidR="00F7563B" w:rsidRPr="00A4269C" w:rsidRDefault="00F7563B" w:rsidP="00177D69">
            <w:pPr>
              <w:kinsoku/>
              <w:overflowPunct/>
              <w:autoSpaceDE/>
              <w:autoSpaceDN/>
              <w:adjustRightInd/>
              <w:snapToGrid/>
              <w:spacing w:before="60" w:after="60" w:line="240" w:lineRule="auto"/>
              <w:jc w:val="both"/>
              <w:rPr>
                <w:rStyle w:val="Hyperlink"/>
                <w:sz w:val="18"/>
                <w:szCs w:val="18"/>
              </w:rPr>
            </w:pPr>
          </w:p>
        </w:tc>
      </w:tr>
      <w:tr w:rsidR="000A7982" w:rsidRPr="00A4269C" w14:paraId="76C32B76" w14:textId="77777777" w:rsidTr="005A3CF6">
        <w:tc>
          <w:tcPr>
            <w:tcW w:w="1675" w:type="dxa"/>
            <w:tcBorders>
              <w:top w:val="nil"/>
              <w:bottom w:val="nil"/>
              <w:right w:val="single" w:sz="4" w:space="0" w:color="auto"/>
            </w:tcBorders>
          </w:tcPr>
          <w:p w14:paraId="7468016D" w14:textId="77777777" w:rsidR="000A7982" w:rsidRPr="00A4269C" w:rsidRDefault="000A7982" w:rsidP="00177D69">
            <w:pPr>
              <w:kinsoku/>
              <w:overflowPunct/>
              <w:autoSpaceDE/>
              <w:autoSpaceDN/>
              <w:adjustRightInd/>
              <w:snapToGrid/>
              <w:spacing w:before="60" w:after="60" w:line="240" w:lineRule="auto"/>
              <w:rPr>
                <w:sz w:val="18"/>
                <w:szCs w:val="18"/>
              </w:rPr>
            </w:pPr>
          </w:p>
        </w:tc>
        <w:tc>
          <w:tcPr>
            <w:tcW w:w="3593" w:type="dxa"/>
            <w:tcBorders>
              <w:top w:val="nil"/>
              <w:left w:val="single" w:sz="4" w:space="0" w:color="auto"/>
              <w:bottom w:val="nil"/>
              <w:right w:val="single" w:sz="4" w:space="0" w:color="auto"/>
            </w:tcBorders>
          </w:tcPr>
          <w:p w14:paraId="550B9E27" w14:textId="27529C8A" w:rsidR="000A7982" w:rsidRPr="00A4269C" w:rsidRDefault="000A7982" w:rsidP="00177D69">
            <w:pPr>
              <w:kinsoku/>
              <w:overflowPunct/>
              <w:autoSpaceDE/>
              <w:autoSpaceDN/>
              <w:adjustRightInd/>
              <w:snapToGrid/>
              <w:spacing w:before="60" w:after="60" w:line="240" w:lineRule="auto"/>
              <w:rPr>
                <w:sz w:val="18"/>
                <w:szCs w:val="18"/>
              </w:rPr>
            </w:pPr>
            <w:r w:rsidRPr="00F7563B">
              <w:rPr>
                <w:sz w:val="18"/>
                <w:szCs w:val="18"/>
              </w:rPr>
              <w:t>1 semaine</w:t>
            </w:r>
            <w:r w:rsidR="00E438D1">
              <w:rPr>
                <w:sz w:val="18"/>
                <w:szCs w:val="18"/>
              </w:rPr>
              <w:t> </w:t>
            </w:r>
            <w:r w:rsidRPr="00F7563B">
              <w:rPr>
                <w:sz w:val="18"/>
                <w:szCs w:val="18"/>
              </w:rPr>
              <w:t>: escarres profondes se décollant en périphérie. Quelques zones à vif et formation d’escarres secondaires.</w:t>
            </w:r>
          </w:p>
        </w:tc>
        <w:tc>
          <w:tcPr>
            <w:tcW w:w="3237" w:type="dxa"/>
            <w:tcBorders>
              <w:top w:val="nil"/>
              <w:left w:val="single" w:sz="4" w:space="0" w:color="auto"/>
              <w:bottom w:val="nil"/>
            </w:tcBorders>
          </w:tcPr>
          <w:p w14:paraId="39BF30E2" w14:textId="77777777" w:rsidR="000A7982" w:rsidRPr="00A4269C" w:rsidRDefault="000A7982" w:rsidP="00177D69">
            <w:pPr>
              <w:kinsoku/>
              <w:overflowPunct/>
              <w:autoSpaceDE/>
              <w:autoSpaceDN/>
              <w:adjustRightInd/>
              <w:snapToGrid/>
              <w:spacing w:before="60" w:after="60" w:line="240" w:lineRule="auto"/>
              <w:jc w:val="both"/>
              <w:rPr>
                <w:rStyle w:val="Hyperlink"/>
                <w:sz w:val="18"/>
                <w:szCs w:val="18"/>
              </w:rPr>
            </w:pPr>
          </w:p>
        </w:tc>
      </w:tr>
      <w:tr w:rsidR="000A7982" w:rsidRPr="00A4269C" w14:paraId="4F27D5AF" w14:textId="77777777" w:rsidTr="005A3CF6">
        <w:tc>
          <w:tcPr>
            <w:tcW w:w="1675" w:type="dxa"/>
            <w:tcBorders>
              <w:top w:val="nil"/>
              <w:bottom w:val="nil"/>
              <w:right w:val="single" w:sz="4" w:space="0" w:color="auto"/>
            </w:tcBorders>
          </w:tcPr>
          <w:p w14:paraId="38673425" w14:textId="77777777" w:rsidR="000A7982" w:rsidRPr="00A4269C" w:rsidRDefault="000A7982" w:rsidP="00177D69">
            <w:pPr>
              <w:kinsoku/>
              <w:overflowPunct/>
              <w:autoSpaceDE/>
              <w:autoSpaceDN/>
              <w:adjustRightInd/>
              <w:snapToGrid/>
              <w:spacing w:before="60" w:after="60" w:line="240" w:lineRule="auto"/>
              <w:rPr>
                <w:sz w:val="18"/>
                <w:szCs w:val="18"/>
              </w:rPr>
            </w:pPr>
          </w:p>
        </w:tc>
        <w:tc>
          <w:tcPr>
            <w:tcW w:w="3593" w:type="dxa"/>
            <w:tcBorders>
              <w:top w:val="nil"/>
              <w:left w:val="single" w:sz="4" w:space="0" w:color="auto"/>
              <w:bottom w:val="nil"/>
              <w:right w:val="single" w:sz="4" w:space="0" w:color="auto"/>
            </w:tcBorders>
          </w:tcPr>
          <w:p w14:paraId="6A484708" w14:textId="2D0BDBD3" w:rsidR="000A7982" w:rsidRPr="00A4269C" w:rsidRDefault="000A7982" w:rsidP="00177D69">
            <w:pPr>
              <w:kinsoku/>
              <w:overflowPunct/>
              <w:autoSpaceDE/>
              <w:autoSpaceDN/>
              <w:adjustRightInd/>
              <w:snapToGrid/>
              <w:spacing w:before="60" w:after="60" w:line="240" w:lineRule="auto"/>
              <w:rPr>
                <w:sz w:val="18"/>
                <w:szCs w:val="18"/>
              </w:rPr>
            </w:pPr>
            <w:r w:rsidRPr="00F7563B">
              <w:rPr>
                <w:sz w:val="18"/>
                <w:szCs w:val="18"/>
              </w:rPr>
              <w:t>2 semaines</w:t>
            </w:r>
            <w:r w:rsidR="00E438D1">
              <w:rPr>
                <w:sz w:val="18"/>
                <w:szCs w:val="18"/>
              </w:rPr>
              <w:t> </w:t>
            </w:r>
            <w:r w:rsidRPr="00F7563B">
              <w:rPr>
                <w:sz w:val="18"/>
                <w:szCs w:val="18"/>
              </w:rPr>
              <w:t>: escarres profondes avec bords relevés. Cicatrices en périphérie. Cinq animaux sont morts dans les 24 heures suivant l’application.</w:t>
            </w:r>
          </w:p>
        </w:tc>
        <w:tc>
          <w:tcPr>
            <w:tcW w:w="3237" w:type="dxa"/>
            <w:tcBorders>
              <w:top w:val="nil"/>
              <w:left w:val="single" w:sz="4" w:space="0" w:color="auto"/>
              <w:bottom w:val="nil"/>
            </w:tcBorders>
          </w:tcPr>
          <w:p w14:paraId="71D9E4B5" w14:textId="77777777" w:rsidR="000A7982" w:rsidRPr="00A4269C" w:rsidRDefault="000A7982" w:rsidP="00177D69">
            <w:pPr>
              <w:kinsoku/>
              <w:overflowPunct/>
              <w:autoSpaceDE/>
              <w:autoSpaceDN/>
              <w:adjustRightInd/>
              <w:snapToGrid/>
              <w:spacing w:before="60" w:after="60" w:line="240" w:lineRule="auto"/>
              <w:jc w:val="both"/>
              <w:rPr>
                <w:rStyle w:val="Hyperlink"/>
                <w:sz w:val="18"/>
                <w:szCs w:val="18"/>
              </w:rPr>
            </w:pPr>
          </w:p>
        </w:tc>
      </w:tr>
      <w:tr w:rsidR="00F7563B" w:rsidRPr="00A4269C" w14:paraId="3A027B7E" w14:textId="77777777" w:rsidTr="005A3CF6">
        <w:tc>
          <w:tcPr>
            <w:tcW w:w="1675" w:type="dxa"/>
            <w:tcBorders>
              <w:top w:val="nil"/>
              <w:right w:val="single" w:sz="4" w:space="0" w:color="auto"/>
            </w:tcBorders>
          </w:tcPr>
          <w:p w14:paraId="3C62E89D" w14:textId="77777777" w:rsidR="00F7563B" w:rsidRPr="00A4269C" w:rsidRDefault="00F7563B" w:rsidP="00177D69">
            <w:pPr>
              <w:kinsoku/>
              <w:overflowPunct/>
              <w:autoSpaceDE/>
              <w:autoSpaceDN/>
              <w:adjustRightInd/>
              <w:snapToGrid/>
              <w:spacing w:before="60" w:after="60" w:line="240" w:lineRule="auto"/>
              <w:rPr>
                <w:sz w:val="18"/>
                <w:szCs w:val="18"/>
              </w:rPr>
            </w:pPr>
          </w:p>
        </w:tc>
        <w:tc>
          <w:tcPr>
            <w:tcW w:w="3593" w:type="dxa"/>
            <w:tcBorders>
              <w:top w:val="nil"/>
              <w:left w:val="single" w:sz="4" w:space="0" w:color="auto"/>
              <w:right w:val="single" w:sz="4" w:space="0" w:color="auto"/>
            </w:tcBorders>
          </w:tcPr>
          <w:p w14:paraId="3982994A" w14:textId="1899F322" w:rsidR="00F7563B" w:rsidRPr="00A4269C" w:rsidRDefault="000A7982" w:rsidP="00177D69">
            <w:pPr>
              <w:kinsoku/>
              <w:overflowPunct/>
              <w:autoSpaceDE/>
              <w:autoSpaceDN/>
              <w:adjustRightInd/>
              <w:snapToGrid/>
              <w:spacing w:before="60" w:after="60" w:line="240" w:lineRule="auto"/>
              <w:rPr>
                <w:sz w:val="18"/>
                <w:szCs w:val="18"/>
              </w:rPr>
            </w:pPr>
            <w:r w:rsidRPr="00F7563B">
              <w:rPr>
                <w:sz w:val="18"/>
                <w:szCs w:val="18"/>
              </w:rPr>
              <w:t>Sur la base de ces observations, il a été conclu que le pentahydrate d’hydroxyde de tétraméthylammonium est extrêmement irritant et corrosif pour la peau.</w:t>
            </w:r>
          </w:p>
        </w:tc>
        <w:tc>
          <w:tcPr>
            <w:tcW w:w="3237" w:type="dxa"/>
            <w:tcBorders>
              <w:top w:val="nil"/>
              <w:left w:val="single" w:sz="4" w:space="0" w:color="auto"/>
            </w:tcBorders>
          </w:tcPr>
          <w:p w14:paraId="623F85F2" w14:textId="77777777" w:rsidR="00F7563B" w:rsidRPr="00A4269C" w:rsidRDefault="00F7563B" w:rsidP="00177D69">
            <w:pPr>
              <w:kinsoku/>
              <w:overflowPunct/>
              <w:autoSpaceDE/>
              <w:autoSpaceDN/>
              <w:adjustRightInd/>
              <w:snapToGrid/>
              <w:spacing w:before="60" w:after="60" w:line="240" w:lineRule="auto"/>
              <w:jc w:val="both"/>
              <w:rPr>
                <w:rStyle w:val="Hyperlink"/>
                <w:sz w:val="18"/>
                <w:szCs w:val="18"/>
              </w:rPr>
            </w:pPr>
          </w:p>
        </w:tc>
      </w:tr>
    </w:tbl>
    <w:p w14:paraId="15DE5D4C" w14:textId="77777777" w:rsidR="0024276D" w:rsidRDefault="0024276D" w:rsidP="005A3CF6">
      <w:pPr>
        <w:pStyle w:val="SingleTxtG"/>
        <w:spacing w:before="120"/>
        <w:ind w:firstLine="567"/>
      </w:pPr>
      <w:r>
        <w:t>Les résultats du tableau ne sont pas assez complets pour être utilisés à des fins de classification. Ils mettent cependant en évidence des effets allant de l’absence de lésions à des lésions cutanées graves.</w:t>
      </w:r>
    </w:p>
    <w:p w14:paraId="69FEE234" w14:textId="77777777" w:rsidR="00710121" w:rsidRDefault="00710121" w:rsidP="005A3CF6">
      <w:pPr>
        <w:pStyle w:val="SingleTxtG"/>
        <w:spacing w:before="120"/>
        <w:ind w:firstLine="567"/>
        <w:sectPr w:rsidR="00710121" w:rsidSect="00A1078B">
          <w:headerReference w:type="even" r:id="rId24"/>
          <w:headerReference w:type="default" r:id="rId25"/>
          <w:footerReference w:type="even" r:id="rId26"/>
          <w:footerReference w:type="default" r:id="rId27"/>
          <w:footerReference w:type="first" r:id="rId28"/>
          <w:footnotePr>
            <w:numRestart w:val="eachSect"/>
          </w:footnotePr>
          <w:endnotePr>
            <w:numFmt w:val="decimal"/>
          </w:endnotePr>
          <w:pgSz w:w="11906" w:h="16838" w:code="9"/>
          <w:pgMar w:top="1417" w:right="1134" w:bottom="1134" w:left="1134" w:header="850" w:footer="567" w:gutter="0"/>
          <w:cols w:space="708"/>
          <w:titlePg/>
          <w:docGrid w:linePitch="360"/>
        </w:sectPr>
      </w:pPr>
    </w:p>
    <w:p w14:paraId="6B0999E9" w14:textId="77777777" w:rsidR="00920F2C" w:rsidRPr="00702C7B" w:rsidRDefault="00920F2C" w:rsidP="005A3CF6">
      <w:pPr>
        <w:pStyle w:val="HChG"/>
      </w:pPr>
      <w:r>
        <w:lastRenderedPageBreak/>
        <w:t>Annexe III</w:t>
      </w:r>
    </w:p>
    <w:p w14:paraId="5CFB1A2B" w14:textId="7992CB52" w:rsidR="00920F2C" w:rsidRPr="009A78F1" w:rsidRDefault="00AE0079" w:rsidP="009A78F1">
      <w:pPr>
        <w:pStyle w:val="HChG"/>
      </w:pPr>
      <w:r>
        <w:tab/>
      </w:r>
      <w:r>
        <w:tab/>
      </w:r>
      <w:r w:rsidR="009A78F1">
        <w:t xml:space="preserve">Formule de renseignements à communiquer à l’ONU </w:t>
      </w:r>
      <w:r w:rsidR="009A78F1">
        <w:br/>
        <w:t>en vue du classement ou du reclassement d’une matière</w:t>
      </w:r>
    </w:p>
    <w:p w14:paraId="2827C6AE" w14:textId="76E5BBCF" w:rsidR="00920F2C" w:rsidRDefault="00920F2C" w:rsidP="009A78F1">
      <w:pPr>
        <w:pStyle w:val="SingleTxtG"/>
        <w:tabs>
          <w:tab w:val="left" w:pos="6523"/>
        </w:tabs>
        <w:rPr>
          <w:b/>
        </w:rPr>
      </w:pPr>
      <w:r>
        <w:t>Soumise par : SACHEM</w:t>
      </w:r>
      <w:r>
        <w:tab/>
        <w:t>Date</w:t>
      </w:r>
      <w:r w:rsidR="00B077E6">
        <w:t> </w:t>
      </w:r>
      <w:r>
        <w:t>: 2 novembre 2021</w:t>
      </w:r>
    </w:p>
    <w:p w14:paraId="18FDB9A2" w14:textId="233C122B" w:rsidR="00920F2C" w:rsidRDefault="00920F2C" w:rsidP="00F464C8">
      <w:pPr>
        <w:pStyle w:val="SingleTxtG"/>
      </w:pPr>
      <w:r>
        <w:t xml:space="preserve">Fournir tous les renseignements pertinents, y compris les sources des principales données relatives au classement. Les données doivent se rapporter au produit tel qu’il est présenté au transport. Indiquer les méthodes d’essai. Répondre à toutes les questions </w:t>
      </w:r>
      <w:r w:rsidR="00F80632">
        <w:t>−</w:t>
      </w:r>
      <w:r>
        <w:t xml:space="preserve"> le cas échéant, répondre « non connu » ou </w:t>
      </w:r>
      <w:bookmarkStart w:id="2" w:name="_Hlk41485084"/>
      <w:r>
        <w:t xml:space="preserve">« sans objet » </w:t>
      </w:r>
      <w:bookmarkEnd w:id="2"/>
      <w:r w:rsidR="00F80632">
        <w:t>−</w:t>
      </w:r>
      <w:r>
        <w:t xml:space="preserve"> Si les renseignements ne sont pas disponibles sous la forme requise, fournir toute autre information dont on dispose, avec les commentaires nécessaires. Biffer les mentions inutiles.</w:t>
      </w:r>
    </w:p>
    <w:p w14:paraId="58C74D13" w14:textId="69207BCC" w:rsidR="00920F2C" w:rsidRDefault="00E854C1" w:rsidP="00922673">
      <w:pPr>
        <w:pStyle w:val="H23G"/>
        <w:rPr>
          <w:bCs/>
        </w:rPr>
      </w:pPr>
      <w:r>
        <w:tab/>
      </w:r>
      <w:r>
        <w:tab/>
      </w:r>
      <w:r w:rsidR="00920F2C">
        <w:t>Section 1</w:t>
      </w:r>
      <w:r>
        <w:br/>
        <w:t>IDENTIFICATION DE LA MATIÈRE</w:t>
      </w:r>
    </w:p>
    <w:p w14:paraId="70E4A7D8" w14:textId="77777777" w:rsidR="00920F2C" w:rsidRPr="00704001" w:rsidRDefault="00920F2C" w:rsidP="00546A81">
      <w:pPr>
        <w:pStyle w:val="SingleTxtG"/>
        <w:tabs>
          <w:tab w:val="clear" w:pos="1701"/>
        </w:tabs>
        <w:ind w:left="1985" w:hanging="851"/>
      </w:pPr>
      <w:r w:rsidRPr="00704001">
        <w:t>1.1</w:t>
      </w:r>
      <w:r w:rsidRPr="00704001">
        <w:tab/>
      </w:r>
      <w:r>
        <w:t>Nom chimique</w:t>
      </w:r>
    </w:p>
    <w:p w14:paraId="0F07F06C" w14:textId="77777777" w:rsidR="00920F2C" w:rsidRDefault="00920F2C" w:rsidP="00922673">
      <w:pPr>
        <w:tabs>
          <w:tab w:val="left" w:pos="851"/>
          <w:tab w:val="left" w:pos="3686"/>
          <w:tab w:val="right" w:leader="dot" w:pos="9637"/>
        </w:tabs>
        <w:spacing w:line="360" w:lineRule="auto"/>
        <w:ind w:left="1985"/>
        <w:rPr>
          <w:b/>
        </w:rPr>
      </w:pPr>
      <w:r>
        <w:rPr>
          <w:b/>
        </w:rPr>
        <w:t>Hydroxyde de tétraméthylammonium (pentahydrate)</w:t>
      </w:r>
    </w:p>
    <w:p w14:paraId="3E9F28E4" w14:textId="77777777" w:rsidR="00920F2C" w:rsidRPr="00704001" w:rsidRDefault="00920F2C" w:rsidP="00546A81">
      <w:pPr>
        <w:pStyle w:val="SingleTxtG"/>
        <w:tabs>
          <w:tab w:val="clear" w:pos="1701"/>
        </w:tabs>
        <w:ind w:left="1985" w:hanging="851"/>
      </w:pPr>
      <w:r w:rsidRPr="00704001">
        <w:t>1.2</w:t>
      </w:r>
      <w:r w:rsidRPr="00704001">
        <w:tab/>
      </w:r>
      <w:r>
        <w:t xml:space="preserve">Formule chimique </w:t>
      </w:r>
    </w:p>
    <w:p w14:paraId="7AF07B81" w14:textId="77777777" w:rsidR="00920F2C" w:rsidRPr="000572A7" w:rsidRDefault="00920F2C" w:rsidP="00922673">
      <w:pPr>
        <w:tabs>
          <w:tab w:val="left" w:pos="851"/>
          <w:tab w:val="left" w:pos="3686"/>
          <w:tab w:val="right" w:leader="dot" w:pos="9637"/>
        </w:tabs>
        <w:spacing w:line="360" w:lineRule="auto"/>
        <w:ind w:left="1985"/>
        <w:rPr>
          <w:rFonts w:asciiTheme="majorBidi" w:hAnsiTheme="majorBidi" w:cstheme="majorBidi"/>
        </w:rPr>
      </w:pPr>
      <w:r>
        <w:rPr>
          <w:rFonts w:asciiTheme="majorBidi" w:hAnsiTheme="majorBidi"/>
          <w:b/>
        </w:rPr>
        <w:t>C4H12N.5H2O.HO</w:t>
      </w:r>
    </w:p>
    <w:p w14:paraId="76BF0B68" w14:textId="77777777" w:rsidR="00920F2C" w:rsidRPr="00704001" w:rsidRDefault="00920F2C" w:rsidP="00546A81">
      <w:pPr>
        <w:pStyle w:val="SingleTxtG"/>
        <w:tabs>
          <w:tab w:val="clear" w:pos="1701"/>
        </w:tabs>
        <w:ind w:left="1985" w:hanging="851"/>
        <w:rPr>
          <w:b/>
        </w:rPr>
      </w:pPr>
      <w:r w:rsidRPr="00CA64B9">
        <w:rPr>
          <w:bCs/>
        </w:rPr>
        <w:t>1.3</w:t>
      </w:r>
      <w:r w:rsidRPr="00704001">
        <w:rPr>
          <w:b/>
        </w:rPr>
        <w:tab/>
      </w:r>
      <w:r>
        <w:t>Autres noms/synonymes</w:t>
      </w:r>
    </w:p>
    <w:p w14:paraId="1A258540" w14:textId="77777777" w:rsidR="00920F2C" w:rsidRPr="00D81C55" w:rsidRDefault="00920F2C" w:rsidP="00D81C55">
      <w:pPr>
        <w:pStyle w:val="SingleTxtG"/>
        <w:ind w:left="1985"/>
        <w:rPr>
          <w:b/>
          <w:bCs/>
        </w:rPr>
      </w:pPr>
      <w:r w:rsidRPr="00D81C55">
        <w:rPr>
          <w:b/>
          <w:bCs/>
        </w:rPr>
        <w:t>Méthanaminium, N,N,N,N-tétraméthyl-, hydroxyde, hydrate (1:1:5)</w:t>
      </w:r>
    </w:p>
    <w:p w14:paraId="2C75B474" w14:textId="77777777" w:rsidR="00920F2C" w:rsidRPr="00D81C55" w:rsidRDefault="00920F2C" w:rsidP="00D81C55">
      <w:pPr>
        <w:pStyle w:val="SingleTxtG"/>
        <w:ind w:left="1985"/>
        <w:rPr>
          <w:b/>
          <w:bCs/>
        </w:rPr>
      </w:pPr>
      <w:r w:rsidRPr="00D81C55">
        <w:rPr>
          <w:b/>
          <w:bCs/>
        </w:rPr>
        <w:t xml:space="preserve">Pentahydrate d’hydroxyde de tétraméthylammonium </w:t>
      </w:r>
    </w:p>
    <w:p w14:paraId="3A989591" w14:textId="77777777" w:rsidR="00920F2C" w:rsidRPr="00984407" w:rsidRDefault="00920F2C" w:rsidP="00D81C55">
      <w:pPr>
        <w:pStyle w:val="SingleTxtG"/>
        <w:ind w:left="1985"/>
      </w:pPr>
      <w:r w:rsidRPr="00D81C55">
        <w:rPr>
          <w:b/>
          <w:bCs/>
        </w:rPr>
        <w:t>Pentahydrate d’hydroxyde de tétraméthylazanium</w:t>
      </w:r>
    </w:p>
    <w:p w14:paraId="0AAEA3D6" w14:textId="77777777" w:rsidR="00920F2C" w:rsidRPr="00A95FAA" w:rsidRDefault="00920F2C" w:rsidP="00546A81">
      <w:pPr>
        <w:pStyle w:val="SingleTxtG"/>
        <w:tabs>
          <w:tab w:val="clear" w:pos="1701"/>
        </w:tabs>
        <w:ind w:left="1985" w:hanging="851"/>
      </w:pPr>
      <w:r>
        <w:t>1.4.1</w:t>
      </w:r>
      <w:r>
        <w:tab/>
        <w:t xml:space="preserve">Numéro ONU </w:t>
      </w:r>
    </w:p>
    <w:p w14:paraId="68CFF925" w14:textId="07CB52A2" w:rsidR="00920F2C" w:rsidRPr="00984407" w:rsidRDefault="00920F2C" w:rsidP="00922673">
      <w:pPr>
        <w:tabs>
          <w:tab w:val="left" w:pos="851"/>
          <w:tab w:val="left" w:pos="3686"/>
          <w:tab w:val="right" w:leader="dot" w:pos="9637"/>
        </w:tabs>
        <w:spacing w:line="360" w:lineRule="auto"/>
        <w:ind w:left="1985"/>
        <w:rPr>
          <w:b/>
          <w:bCs/>
        </w:rPr>
      </w:pPr>
      <w:r w:rsidRPr="00984407">
        <w:rPr>
          <w:b/>
          <w:bCs/>
        </w:rPr>
        <w:t>3423</w:t>
      </w:r>
    </w:p>
    <w:p w14:paraId="0D95E752" w14:textId="77777777" w:rsidR="00920F2C" w:rsidRPr="00A95FAA" w:rsidRDefault="00920F2C" w:rsidP="00546A81">
      <w:pPr>
        <w:pStyle w:val="SingleTxtG"/>
        <w:tabs>
          <w:tab w:val="clear" w:pos="1701"/>
        </w:tabs>
        <w:ind w:left="1985" w:hanging="851"/>
        <w:rPr>
          <w:b/>
        </w:rPr>
      </w:pPr>
      <w:r>
        <w:t>1.4.2</w:t>
      </w:r>
      <w:r>
        <w:tab/>
        <w:t xml:space="preserve">Numéro CAS </w:t>
      </w:r>
    </w:p>
    <w:p w14:paraId="4AD7F753" w14:textId="1E2DCB39" w:rsidR="00920F2C" w:rsidRPr="00984407" w:rsidRDefault="00920F2C" w:rsidP="00922673">
      <w:pPr>
        <w:tabs>
          <w:tab w:val="left" w:pos="851"/>
          <w:tab w:val="left" w:pos="3686"/>
          <w:tab w:val="right" w:leader="dot" w:pos="9637"/>
        </w:tabs>
        <w:spacing w:line="360" w:lineRule="auto"/>
        <w:ind w:left="1985"/>
        <w:rPr>
          <w:b/>
          <w:bCs/>
          <w:szCs w:val="18"/>
        </w:rPr>
      </w:pPr>
      <w:bookmarkStart w:id="3" w:name="_Hlk86780382"/>
      <w:r w:rsidRPr="00984407">
        <w:rPr>
          <w:b/>
          <w:bCs/>
        </w:rPr>
        <w:t>10424-65-4</w:t>
      </w:r>
      <w:bookmarkEnd w:id="3"/>
    </w:p>
    <w:p w14:paraId="5A381061" w14:textId="77777777" w:rsidR="00920F2C" w:rsidRPr="00704001" w:rsidRDefault="00920F2C" w:rsidP="00546A81">
      <w:pPr>
        <w:pStyle w:val="SingleTxtG"/>
        <w:tabs>
          <w:tab w:val="clear" w:pos="1701"/>
        </w:tabs>
        <w:ind w:left="1985" w:hanging="851"/>
        <w:rPr>
          <w:b/>
        </w:rPr>
      </w:pPr>
      <w:r>
        <w:t>1.5</w:t>
      </w:r>
      <w:r>
        <w:tab/>
        <w:t>Classement proposé dans les Recommandations</w:t>
      </w:r>
    </w:p>
    <w:p w14:paraId="33D9424A" w14:textId="114CBE6F" w:rsidR="00920F2C" w:rsidRDefault="00920F2C" w:rsidP="00C745F7">
      <w:pPr>
        <w:pStyle w:val="SingleTxtG"/>
        <w:ind w:left="2836" w:hanging="851"/>
      </w:pPr>
      <w:r>
        <w:t>1.5.1</w:t>
      </w:r>
      <w:r w:rsidR="00546A81">
        <w:tab/>
      </w:r>
      <w:r>
        <w:t>Désignation officielle de transport (cf. 3.1.2</w:t>
      </w:r>
      <w:r w:rsidR="00851A53">
        <w:rPr>
          <w:rStyle w:val="FootnoteReference"/>
        </w:rPr>
        <w:footnoteReference w:id="8"/>
      </w:r>
      <w:r>
        <w:t>)</w:t>
      </w:r>
    </w:p>
    <w:p w14:paraId="30D0DDB0" w14:textId="77777777" w:rsidR="00920F2C" w:rsidRDefault="00920F2C" w:rsidP="00D81C55">
      <w:pPr>
        <w:pStyle w:val="SingleTxtG"/>
        <w:ind w:left="1985"/>
        <w:rPr>
          <w:b/>
        </w:rPr>
      </w:pPr>
      <w:r>
        <w:rPr>
          <w:b/>
        </w:rPr>
        <w:t>Hydroxyde de tétraméthylammonium, solide</w:t>
      </w:r>
    </w:p>
    <w:p w14:paraId="57D56361" w14:textId="77777777" w:rsidR="00920F2C" w:rsidRPr="00704001" w:rsidRDefault="00920F2C" w:rsidP="00C745F7">
      <w:pPr>
        <w:pStyle w:val="SingleTxtG"/>
        <w:ind w:left="2836" w:hanging="851"/>
      </w:pPr>
      <w:r>
        <w:t>1.5.2</w:t>
      </w:r>
      <w:r>
        <w:tab/>
        <w:t xml:space="preserve">Classe/division et danger(s) subsidiaire(s)  </w:t>
      </w:r>
      <w:r>
        <w:rPr>
          <w:b/>
        </w:rPr>
        <w:t>8, groupe d’emballage II</w:t>
      </w:r>
    </w:p>
    <w:p w14:paraId="30527427" w14:textId="77777777" w:rsidR="00920F2C" w:rsidRPr="00704001" w:rsidRDefault="00920F2C" w:rsidP="00C745F7">
      <w:pPr>
        <w:pStyle w:val="SingleTxtG"/>
        <w:ind w:left="2836" w:hanging="851"/>
      </w:pPr>
      <w:r>
        <w:t>1.5.3</w:t>
      </w:r>
      <w:r>
        <w:tab/>
        <w:t xml:space="preserve">Dispositions spéciales proposées, le cas échéant  </w:t>
      </w:r>
    </w:p>
    <w:p w14:paraId="663ED5EE" w14:textId="77777777" w:rsidR="00920F2C" w:rsidRDefault="00920F2C" w:rsidP="00C745F7">
      <w:pPr>
        <w:pStyle w:val="SingleTxtG"/>
        <w:ind w:left="2836" w:hanging="851"/>
      </w:pPr>
      <w:r>
        <w:t>1.5.4</w:t>
      </w:r>
      <w:r>
        <w:tab/>
        <w:t xml:space="preserve">Méthode d’emballage proposée </w:t>
      </w:r>
    </w:p>
    <w:p w14:paraId="13A1FC88" w14:textId="5AAA6B1F" w:rsidR="00920F2C" w:rsidRDefault="000D1349" w:rsidP="0007137F">
      <w:pPr>
        <w:pStyle w:val="H23G"/>
        <w:rPr>
          <w:bCs/>
        </w:rPr>
      </w:pPr>
      <w:r>
        <w:tab/>
      </w:r>
      <w:r>
        <w:tab/>
      </w:r>
      <w:r w:rsidR="00920F2C">
        <w:t>Section 2</w:t>
      </w:r>
      <w:r>
        <w:br/>
      </w:r>
      <w:r w:rsidR="00920F2C">
        <w:t>PROPRIÉTÉS PHYSIQUES</w:t>
      </w:r>
    </w:p>
    <w:p w14:paraId="4861A48E" w14:textId="1218A3A1" w:rsidR="00920F2C" w:rsidRPr="00704001" w:rsidRDefault="00920F2C" w:rsidP="00881794">
      <w:pPr>
        <w:pStyle w:val="SingleTxtG"/>
        <w:tabs>
          <w:tab w:val="clear" w:pos="1701"/>
        </w:tabs>
        <w:ind w:left="1985" w:hanging="851"/>
      </w:pPr>
      <w:r>
        <w:t>2.1</w:t>
      </w:r>
      <w:r>
        <w:tab/>
        <w:t>Point ou plage de fusion ...</w:t>
      </w:r>
      <w:r w:rsidR="00C51C71">
        <w:t xml:space="preserve"> </w:t>
      </w:r>
      <w:r w:rsidRPr="0007137F">
        <w:rPr>
          <w:b/>
          <w:bCs/>
        </w:rPr>
        <w:t>63 à 70 °C (solide)</w:t>
      </w:r>
    </w:p>
    <w:p w14:paraId="64F2A96F" w14:textId="723FEFA4" w:rsidR="00920F2C" w:rsidRPr="00704001" w:rsidRDefault="00920F2C" w:rsidP="00881794">
      <w:pPr>
        <w:pStyle w:val="SingleTxtG"/>
        <w:tabs>
          <w:tab w:val="clear" w:pos="1701"/>
        </w:tabs>
        <w:ind w:left="1985" w:hanging="851"/>
      </w:pPr>
      <w:r>
        <w:t>2.2</w:t>
      </w:r>
      <w:r>
        <w:tab/>
        <w:t>Point ou plage d</w:t>
      </w:r>
      <w:r>
        <w:rPr>
          <w:b/>
        </w:rPr>
        <w:t>’</w:t>
      </w:r>
      <w:r>
        <w:t>ébullition ...</w:t>
      </w:r>
      <w:r w:rsidR="00C51C71">
        <w:t xml:space="preserve"> </w:t>
      </w:r>
      <w:r w:rsidRPr="0007137F">
        <w:rPr>
          <w:b/>
          <w:bCs/>
        </w:rPr>
        <w:t>Non disponible</w:t>
      </w:r>
    </w:p>
    <w:p w14:paraId="4C5AFCF6" w14:textId="77777777" w:rsidR="00920F2C" w:rsidRPr="00704001" w:rsidRDefault="00920F2C" w:rsidP="00881794">
      <w:pPr>
        <w:pStyle w:val="SingleTxtG"/>
        <w:tabs>
          <w:tab w:val="clear" w:pos="1701"/>
        </w:tabs>
        <w:ind w:left="1985" w:hanging="851"/>
      </w:pPr>
      <w:r>
        <w:t>2.3</w:t>
      </w:r>
      <w:r>
        <w:tab/>
        <w:t>Densité relative</w:t>
      </w:r>
    </w:p>
    <w:p w14:paraId="59A749F3" w14:textId="05880F78" w:rsidR="00920F2C" w:rsidRPr="00704001" w:rsidRDefault="00920F2C" w:rsidP="00C745F7">
      <w:pPr>
        <w:pStyle w:val="SingleTxtG"/>
        <w:ind w:left="2836" w:hanging="851"/>
      </w:pPr>
      <w:r>
        <w:t>2.3.1</w:t>
      </w:r>
      <w:r w:rsidR="00C51C71">
        <w:tab/>
        <w:t xml:space="preserve">… </w:t>
      </w:r>
      <w:r>
        <w:rPr>
          <w:b/>
        </w:rPr>
        <w:t>1,13 à 20 °C</w:t>
      </w:r>
    </w:p>
    <w:p w14:paraId="01CCCE4A" w14:textId="77777777" w:rsidR="00920F2C" w:rsidRPr="00704001" w:rsidRDefault="00920F2C" w:rsidP="00881794">
      <w:pPr>
        <w:pStyle w:val="SingleTxtG"/>
        <w:tabs>
          <w:tab w:val="clear" w:pos="1701"/>
        </w:tabs>
        <w:ind w:left="1985" w:hanging="851"/>
      </w:pPr>
      <w:r>
        <w:t>2.4</w:t>
      </w:r>
      <w:r>
        <w:tab/>
        <w:t>Pression de vapeur</w:t>
      </w:r>
    </w:p>
    <w:p w14:paraId="2912ACA6" w14:textId="53ECFB41" w:rsidR="00920F2C" w:rsidRPr="00572C2C" w:rsidRDefault="00920F2C" w:rsidP="00C745F7">
      <w:pPr>
        <w:pStyle w:val="SingleTxtG"/>
        <w:ind w:left="2836" w:hanging="851"/>
      </w:pPr>
      <w:r>
        <w:lastRenderedPageBreak/>
        <w:t>2.4.1</w:t>
      </w:r>
      <w:r w:rsidR="00C51C71">
        <w:tab/>
      </w:r>
      <w:r w:rsidR="00C51C71">
        <w:rPr>
          <w:bCs/>
        </w:rPr>
        <w:t xml:space="preserve">… </w:t>
      </w:r>
      <w:r>
        <w:rPr>
          <w:b/>
        </w:rPr>
        <w:t>0,154 mPa à 25 °C</w:t>
      </w:r>
    </w:p>
    <w:p w14:paraId="4C7625E3" w14:textId="3E8AF1C7" w:rsidR="00920F2C" w:rsidRPr="00704001" w:rsidRDefault="00920F2C" w:rsidP="00881794">
      <w:pPr>
        <w:pStyle w:val="SingleTxtG"/>
        <w:tabs>
          <w:tab w:val="clear" w:pos="1701"/>
        </w:tabs>
        <w:ind w:left="1985" w:hanging="851"/>
      </w:pPr>
      <w:r>
        <w:t>2.5</w:t>
      </w:r>
      <w:r>
        <w:tab/>
        <w:t>Viscosité à 20 °C</w:t>
      </w:r>
      <w:r w:rsidR="00F72DD3">
        <w:rPr>
          <w:rStyle w:val="FootnoteReference"/>
        </w:rPr>
        <w:footnoteReference w:id="9"/>
      </w:r>
      <w:r>
        <w:t xml:space="preserve"> ...................</w:t>
      </w:r>
      <w:r>
        <w:rPr>
          <w:b/>
          <w:bCs/>
        </w:rPr>
        <w:t>Aucune</w:t>
      </w:r>
      <w:r>
        <w:rPr>
          <w:b/>
        </w:rPr>
        <w:t xml:space="preserve"> donnée disponible</w:t>
      </w:r>
    </w:p>
    <w:p w14:paraId="6B984E2D" w14:textId="77777777" w:rsidR="00920F2C" w:rsidRPr="00704001" w:rsidRDefault="00920F2C" w:rsidP="00881794">
      <w:pPr>
        <w:pStyle w:val="SingleTxtG"/>
        <w:tabs>
          <w:tab w:val="clear" w:pos="1701"/>
        </w:tabs>
        <w:ind w:left="1985" w:hanging="851"/>
      </w:pPr>
      <w:r>
        <w:t>2.6</w:t>
      </w:r>
      <w:r>
        <w:tab/>
        <w:t>Solubilité dans l</w:t>
      </w:r>
      <w:r>
        <w:rPr>
          <w:b/>
        </w:rPr>
        <w:t>’</w:t>
      </w:r>
      <w:r>
        <w:t xml:space="preserve">eau à 20 °C  </w:t>
      </w:r>
      <w:r w:rsidRPr="00F34E19">
        <w:rPr>
          <w:b/>
          <w:bCs/>
        </w:rPr>
        <w:t>100 g/100 ml</w:t>
      </w:r>
    </w:p>
    <w:p w14:paraId="4CFC16F2" w14:textId="77777777" w:rsidR="00920F2C" w:rsidRPr="00A9478F" w:rsidRDefault="00920F2C" w:rsidP="00881794">
      <w:pPr>
        <w:pStyle w:val="SingleTxtG"/>
        <w:tabs>
          <w:tab w:val="clear" w:pos="1701"/>
        </w:tabs>
        <w:ind w:left="1985" w:hanging="851"/>
      </w:pPr>
      <w:r>
        <w:t>2.7</w:t>
      </w:r>
      <w:r>
        <w:tab/>
        <w:t>État physique à 20 °C (cf. 2.2.1.1)</w:t>
      </w:r>
      <w:r>
        <w:tab/>
      </w:r>
      <w:r>
        <w:rPr>
          <w:b/>
          <w:bCs/>
        </w:rPr>
        <w:t>solide, cristallin</w:t>
      </w:r>
    </w:p>
    <w:p w14:paraId="141A5F18" w14:textId="77777777" w:rsidR="00F34E19" w:rsidRDefault="00920F2C" w:rsidP="00F34E19">
      <w:pPr>
        <w:pStyle w:val="SingleTxtG"/>
        <w:tabs>
          <w:tab w:val="clear" w:pos="1701"/>
        </w:tabs>
        <w:ind w:left="1985" w:hanging="851"/>
        <w:jc w:val="left"/>
      </w:pPr>
      <w:r>
        <w:t>2.8</w:t>
      </w:r>
      <w:r>
        <w:tab/>
        <w:t>Aspect aux températures de transport normales, couleur, odeur, etc.</w:t>
      </w:r>
    </w:p>
    <w:p w14:paraId="7E0932D4" w14:textId="3901C61F" w:rsidR="00920F2C" w:rsidRPr="0024751E" w:rsidRDefault="00920F2C" w:rsidP="00F34E19">
      <w:pPr>
        <w:pStyle w:val="SingleTxtG"/>
        <w:tabs>
          <w:tab w:val="clear" w:pos="1701"/>
        </w:tabs>
        <w:ind w:left="1985"/>
        <w:jc w:val="left"/>
        <w:rPr>
          <w:rFonts w:asciiTheme="majorBidi" w:hAnsiTheme="majorBidi" w:cstheme="majorBidi"/>
        </w:rPr>
      </w:pPr>
      <w:r w:rsidRPr="00F34E19">
        <w:rPr>
          <w:rFonts w:asciiTheme="majorBidi" w:hAnsiTheme="majorBidi"/>
          <w:b/>
          <w:bCs/>
        </w:rPr>
        <w:t>Solide cristallin, blanc, jaune clair. Légère odeur d’amine</w:t>
      </w:r>
      <w:r>
        <w:rPr>
          <w:rFonts w:asciiTheme="majorBidi" w:hAnsiTheme="majorBidi"/>
        </w:rPr>
        <w:t>.</w:t>
      </w:r>
    </w:p>
    <w:p w14:paraId="41EFE4F4" w14:textId="77777777" w:rsidR="00920F2C" w:rsidRDefault="00920F2C" w:rsidP="00881794">
      <w:pPr>
        <w:pStyle w:val="SingleTxtG"/>
        <w:tabs>
          <w:tab w:val="clear" w:pos="1701"/>
        </w:tabs>
        <w:ind w:left="1985" w:hanging="851"/>
        <w:rPr>
          <w:b/>
        </w:rPr>
      </w:pPr>
      <w:r>
        <w:t>2.9</w:t>
      </w:r>
      <w:r>
        <w:tab/>
        <w:t xml:space="preserve">Autres propriétés physiques pertinentes </w:t>
      </w:r>
      <w:r w:rsidRPr="00F34E19">
        <w:rPr>
          <w:b/>
          <w:bCs/>
        </w:rPr>
        <w:t>dans l’eau :</w:t>
      </w:r>
      <w:r>
        <w:t xml:space="preserve"> </w:t>
      </w:r>
      <w:r w:rsidRPr="00F34E19">
        <w:rPr>
          <w:b/>
          <w:bCs/>
        </w:rPr>
        <w:t>pH &gt; 13</w:t>
      </w:r>
    </w:p>
    <w:p w14:paraId="2B2F3AE2" w14:textId="2A91AEF0" w:rsidR="00920F2C" w:rsidRPr="00704001" w:rsidRDefault="00F34E19" w:rsidP="00F34E19">
      <w:pPr>
        <w:pStyle w:val="H23G"/>
        <w:rPr>
          <w:bCs/>
        </w:rPr>
      </w:pPr>
      <w:r>
        <w:tab/>
      </w:r>
      <w:r>
        <w:tab/>
      </w:r>
      <w:r w:rsidR="00920F2C">
        <w:t>Section 3</w:t>
      </w:r>
      <w:r w:rsidR="00842336">
        <w:br/>
      </w:r>
      <w:r w:rsidR="00920F2C">
        <w:t xml:space="preserve">INFLAMMABILITÉ </w:t>
      </w:r>
      <w:r w:rsidR="00842336">
        <w:t>−</w:t>
      </w:r>
      <w:r w:rsidR="00920F2C">
        <w:t xml:space="preserve"> le produit n’est pas inflammable</w:t>
      </w:r>
    </w:p>
    <w:p w14:paraId="4DF2CC90" w14:textId="77777777" w:rsidR="00920F2C" w:rsidRPr="00704001" w:rsidRDefault="00920F2C" w:rsidP="00881794">
      <w:pPr>
        <w:pStyle w:val="SingleTxtG"/>
        <w:tabs>
          <w:tab w:val="clear" w:pos="1701"/>
        </w:tabs>
        <w:ind w:left="1985" w:hanging="851"/>
        <w:rPr>
          <w:b/>
        </w:rPr>
      </w:pPr>
      <w:r>
        <w:t>3.1</w:t>
      </w:r>
      <w:r>
        <w:tab/>
        <w:t>Vapeurs inflammables</w:t>
      </w:r>
    </w:p>
    <w:p w14:paraId="769E8FB1" w14:textId="27CDF1F3" w:rsidR="00920F2C" w:rsidRPr="00704001" w:rsidRDefault="00920F2C" w:rsidP="00C745F7">
      <w:pPr>
        <w:pStyle w:val="SingleTxtG"/>
        <w:ind w:left="2836" w:hanging="851"/>
        <w:rPr>
          <w:b/>
        </w:rPr>
      </w:pPr>
      <w:r>
        <w:t>3.1.1</w:t>
      </w:r>
      <w:r>
        <w:tab/>
        <w:t>Point d’éclair (cf. 2.3.3)</w:t>
      </w:r>
      <w:r w:rsidR="009E41B3">
        <w:t xml:space="preserve">……… </w:t>
      </w:r>
      <w:r>
        <w:rPr>
          <w:b/>
        </w:rPr>
        <w:t>Aucune donnée disponible</w:t>
      </w:r>
    </w:p>
    <w:p w14:paraId="3BFB8245" w14:textId="3A213204" w:rsidR="00920F2C" w:rsidRPr="00704001" w:rsidRDefault="00920F2C" w:rsidP="00C745F7">
      <w:pPr>
        <w:pStyle w:val="SingleTxtG"/>
        <w:ind w:left="2836" w:hanging="851"/>
      </w:pPr>
      <w:r>
        <w:t>3.1.2</w:t>
      </w:r>
      <w:r>
        <w:tab/>
        <w:t>La matière entretient-elle une combustion ? (cf. 2.3.1.3)</w:t>
      </w:r>
    </w:p>
    <w:p w14:paraId="3AC16C68" w14:textId="30EA4E63" w:rsidR="00920F2C" w:rsidRPr="00704001" w:rsidRDefault="00920F2C" w:rsidP="00881794">
      <w:pPr>
        <w:pStyle w:val="SingleTxtG"/>
        <w:tabs>
          <w:tab w:val="clear" w:pos="1701"/>
        </w:tabs>
        <w:ind w:left="1985" w:hanging="851"/>
      </w:pPr>
      <w:r>
        <w:t>3.2</w:t>
      </w:r>
      <w:r>
        <w:tab/>
        <w:t>Température d</w:t>
      </w:r>
      <w:r>
        <w:rPr>
          <w:b/>
        </w:rPr>
        <w:t>’</w:t>
      </w:r>
      <w:r>
        <w:t xml:space="preserve">auto-inflammation </w:t>
      </w:r>
      <w:r w:rsidR="009E41B3">
        <w:t xml:space="preserve">……… </w:t>
      </w:r>
      <w:r w:rsidRPr="009E41B3">
        <w:rPr>
          <w:b/>
          <w:bCs/>
        </w:rPr>
        <w:t>Aucune donnée disponible</w:t>
      </w:r>
    </w:p>
    <w:p w14:paraId="2968955E" w14:textId="22C7D16B" w:rsidR="00920F2C" w:rsidRPr="00704001" w:rsidRDefault="00920F2C" w:rsidP="00881794">
      <w:pPr>
        <w:pStyle w:val="SingleTxtG"/>
        <w:tabs>
          <w:tab w:val="clear" w:pos="1701"/>
        </w:tabs>
        <w:ind w:left="1985" w:hanging="851"/>
      </w:pPr>
      <w:r>
        <w:t>3.3</w:t>
      </w:r>
      <w:r>
        <w:tab/>
        <w:t>Limites d</w:t>
      </w:r>
      <w:r>
        <w:rPr>
          <w:b/>
        </w:rPr>
        <w:t>’</w:t>
      </w:r>
      <w:r>
        <w:t>inflammabilité (LII/LSI</w:t>
      </w:r>
      <w:r w:rsidRPr="009E41B3">
        <w:rPr>
          <w:b/>
          <w:bCs/>
        </w:rPr>
        <w:t>) Sans objet</w:t>
      </w:r>
    </w:p>
    <w:p w14:paraId="2C370AD8" w14:textId="2FD5AED8" w:rsidR="00920F2C" w:rsidRPr="00704001" w:rsidRDefault="00920F2C" w:rsidP="00881794">
      <w:pPr>
        <w:pStyle w:val="SingleTxtG"/>
        <w:tabs>
          <w:tab w:val="clear" w:pos="1701"/>
        </w:tabs>
        <w:ind w:left="1985" w:hanging="851"/>
      </w:pPr>
      <w:r>
        <w:t>3.4</w:t>
      </w:r>
      <w:r>
        <w:tab/>
        <w:t>La matière est-elle une matière solide inflammable ? (cf. 2.4.2</w:t>
      </w:r>
      <w:r w:rsidR="000A0933" w:rsidRPr="000A0933">
        <w:rPr>
          <w:sz w:val="18"/>
          <w:szCs w:val="18"/>
          <w:vertAlign w:val="superscript"/>
        </w:rPr>
        <w:t>1</w:t>
      </w:r>
      <w:r w:rsidR="00321A17">
        <w:t>)</w:t>
      </w:r>
      <w:r w:rsidR="00215C10">
        <w:tab/>
      </w:r>
      <w:r>
        <w:rPr>
          <w:b/>
        </w:rPr>
        <w:t>Non</w:t>
      </w:r>
    </w:p>
    <w:p w14:paraId="56A7D630" w14:textId="7FDF980E" w:rsidR="00920F2C" w:rsidRPr="00704001" w:rsidRDefault="00920F2C" w:rsidP="009C5F40">
      <w:pPr>
        <w:pStyle w:val="SingleTxtG"/>
        <w:tabs>
          <w:tab w:val="right" w:leader="dot" w:pos="8505"/>
        </w:tabs>
        <w:ind w:left="2836" w:hanging="851"/>
      </w:pPr>
      <w:r>
        <w:t>3.4.1</w:t>
      </w:r>
      <w:r w:rsidR="00C25794">
        <w:tab/>
      </w:r>
      <w:r>
        <w:t>Dans l’affirmative, donner des précisions</w:t>
      </w:r>
      <w:r>
        <w:tab/>
      </w:r>
    </w:p>
    <w:p w14:paraId="7FD0C17B" w14:textId="7F95BCD2" w:rsidR="00920F2C" w:rsidRPr="00704001" w:rsidRDefault="004974A1" w:rsidP="004974A1">
      <w:pPr>
        <w:pStyle w:val="H23G"/>
      </w:pPr>
      <w:r>
        <w:tab/>
      </w:r>
      <w:r>
        <w:tab/>
      </w:r>
      <w:r w:rsidR="00920F2C">
        <w:t>Section 4</w:t>
      </w:r>
      <w:r>
        <w:br/>
      </w:r>
      <w:r w:rsidR="00920F2C">
        <w:t>PROPRIÉTÉS CHIMIQUES</w:t>
      </w:r>
    </w:p>
    <w:p w14:paraId="069B87EB" w14:textId="36E774AD" w:rsidR="00920F2C" w:rsidRPr="00572C2C" w:rsidRDefault="00920F2C" w:rsidP="00881794">
      <w:pPr>
        <w:pStyle w:val="SingleTxtG"/>
        <w:tabs>
          <w:tab w:val="clear" w:pos="1701"/>
        </w:tabs>
        <w:ind w:left="1985" w:hanging="851"/>
        <w:rPr>
          <w:b/>
        </w:rPr>
      </w:pPr>
      <w:r>
        <w:t>4.1</w:t>
      </w:r>
      <w:r>
        <w:tab/>
        <w:t>La matière nécessite-t-elle une inhibition/stabilisation ou un autre traitement (transport sous atmosphère d’azote par exemple) pour empêcher des réactions dangereuses ?</w:t>
      </w:r>
      <w:r>
        <w:tab/>
      </w:r>
      <w:r>
        <w:rPr>
          <w:b/>
        </w:rPr>
        <w:t>Non</w:t>
      </w:r>
      <w:r>
        <w:t xml:space="preserve"> </w:t>
      </w:r>
    </w:p>
    <w:p w14:paraId="17B9FC25" w14:textId="77777777" w:rsidR="00920F2C" w:rsidRPr="00704001" w:rsidRDefault="00920F2C" w:rsidP="00C745F7">
      <w:pPr>
        <w:pStyle w:val="SingleTxtG"/>
        <w:ind w:left="2836" w:hanging="851"/>
      </w:pPr>
      <w:r>
        <w:t>Dans l’affirmative, indiquer :</w:t>
      </w:r>
    </w:p>
    <w:p w14:paraId="550ACCA4" w14:textId="16503424" w:rsidR="00920F2C" w:rsidRDefault="00920F2C" w:rsidP="009C5F40">
      <w:pPr>
        <w:pStyle w:val="SingleTxtG"/>
        <w:tabs>
          <w:tab w:val="right" w:leader="dot" w:pos="8505"/>
        </w:tabs>
        <w:ind w:left="2836" w:hanging="851"/>
      </w:pPr>
      <w:r>
        <w:t>4.1.1</w:t>
      </w:r>
      <w:r>
        <w:tab/>
        <w:t xml:space="preserve">L’inhibiteur/le stabilisant utilisé </w:t>
      </w:r>
      <w:r>
        <w:tab/>
      </w:r>
      <w:r>
        <w:tab/>
      </w:r>
    </w:p>
    <w:p w14:paraId="1DED168E" w14:textId="0D2F8DBF" w:rsidR="00DE53DE" w:rsidRPr="00704001" w:rsidRDefault="00DE53DE" w:rsidP="009C5F40">
      <w:pPr>
        <w:pStyle w:val="SingleTxtG"/>
        <w:tabs>
          <w:tab w:val="right" w:leader="dot" w:pos="8505"/>
        </w:tabs>
        <w:ind w:left="2836" w:hanging="851"/>
      </w:pPr>
      <w:r>
        <w:tab/>
      </w:r>
      <w:r>
        <w:tab/>
      </w:r>
      <w:r>
        <w:tab/>
      </w:r>
      <w:r>
        <w:tab/>
      </w:r>
    </w:p>
    <w:p w14:paraId="3E8972A1" w14:textId="745D9CDE" w:rsidR="008250C4" w:rsidRDefault="00920F2C" w:rsidP="009C5F40">
      <w:pPr>
        <w:pStyle w:val="SingleTxtG"/>
        <w:tabs>
          <w:tab w:val="right" w:leader="dot" w:pos="8505"/>
        </w:tabs>
        <w:ind w:left="2836" w:hanging="851"/>
      </w:pPr>
      <w:r>
        <w:t>4.1.2</w:t>
      </w:r>
      <w:r>
        <w:tab/>
        <w:t xml:space="preserve">Autre méthode </w:t>
      </w:r>
      <w:r>
        <w:tab/>
      </w:r>
      <w:r>
        <w:tab/>
      </w:r>
    </w:p>
    <w:p w14:paraId="4657F19A" w14:textId="2DDC6092" w:rsidR="00DE53DE" w:rsidRPr="00704001" w:rsidRDefault="00DE53DE" w:rsidP="009C5F40">
      <w:pPr>
        <w:pStyle w:val="SingleTxtG"/>
        <w:tabs>
          <w:tab w:val="right" w:leader="dot" w:pos="8505"/>
        </w:tabs>
        <w:ind w:left="2836" w:hanging="851"/>
      </w:pPr>
      <w:r>
        <w:tab/>
      </w:r>
      <w:r>
        <w:tab/>
      </w:r>
      <w:r>
        <w:tab/>
      </w:r>
      <w:r>
        <w:tab/>
      </w:r>
    </w:p>
    <w:p w14:paraId="77C5E1DE" w14:textId="77777777" w:rsidR="00920F2C" w:rsidRPr="00704001" w:rsidRDefault="00920F2C" w:rsidP="009C5F40">
      <w:pPr>
        <w:pStyle w:val="SingleTxtG"/>
        <w:tabs>
          <w:tab w:val="right" w:leader="dot" w:pos="8505"/>
        </w:tabs>
        <w:ind w:left="2836" w:hanging="851"/>
      </w:pPr>
      <w:r>
        <w:t>4.1.3</w:t>
      </w:r>
      <w:r>
        <w:tab/>
        <w:t>Durée d’efficacité à 55 °C</w:t>
      </w:r>
      <w:r>
        <w:tab/>
      </w:r>
    </w:p>
    <w:p w14:paraId="7D76FEDA" w14:textId="7A717B41" w:rsidR="00920F2C" w:rsidRDefault="00920F2C" w:rsidP="009C5F40">
      <w:pPr>
        <w:pStyle w:val="SingleTxtG"/>
        <w:tabs>
          <w:tab w:val="right" w:leader="dot" w:pos="8505"/>
        </w:tabs>
        <w:ind w:left="2836" w:hanging="851"/>
      </w:pPr>
      <w:r>
        <w:t>4.1.4</w:t>
      </w:r>
      <w:r>
        <w:tab/>
        <w:t>Conditions dans lesquelles la méthode est inefficace</w:t>
      </w:r>
      <w:r>
        <w:tab/>
      </w:r>
    </w:p>
    <w:p w14:paraId="6E9271FC" w14:textId="21E7C9AF" w:rsidR="00DE53DE" w:rsidRPr="00704001" w:rsidRDefault="00DE53DE" w:rsidP="009C5F40">
      <w:pPr>
        <w:pStyle w:val="SingleTxtG"/>
        <w:tabs>
          <w:tab w:val="right" w:leader="dot" w:pos="8505"/>
        </w:tabs>
        <w:ind w:left="2836" w:hanging="851"/>
      </w:pPr>
      <w:r>
        <w:tab/>
      </w:r>
      <w:r>
        <w:tab/>
      </w:r>
      <w:r>
        <w:tab/>
      </w:r>
      <w:r>
        <w:tab/>
      </w:r>
    </w:p>
    <w:p w14:paraId="591BDF1D" w14:textId="38CFC93A" w:rsidR="00920F2C" w:rsidRPr="00704001" w:rsidRDefault="00920F2C" w:rsidP="00881794">
      <w:pPr>
        <w:pStyle w:val="SingleTxtG"/>
        <w:tabs>
          <w:tab w:val="clear" w:pos="1701"/>
        </w:tabs>
        <w:ind w:left="1985" w:hanging="851"/>
      </w:pPr>
      <w:r>
        <w:t>4.2</w:t>
      </w:r>
      <w:r>
        <w:tab/>
        <w:t>La matière est-elle une matière explosible au sens du paragraphe 2.1.1.1 ? (cf. 2.1</w:t>
      </w:r>
      <w:r w:rsidRPr="005A0131">
        <w:rPr>
          <w:b/>
          <w:sz w:val="18"/>
          <w:szCs w:val="18"/>
          <w:vertAlign w:val="superscript"/>
        </w:rPr>
        <w:t>1</w:t>
      </w:r>
      <w:r>
        <w:t xml:space="preserve">) </w:t>
      </w:r>
      <w:r w:rsidR="009C7CE6">
        <w:br/>
      </w:r>
      <w:r>
        <w:rPr>
          <w:b/>
        </w:rPr>
        <w:t>Non</w:t>
      </w:r>
    </w:p>
    <w:p w14:paraId="1D4B475C" w14:textId="77777777" w:rsidR="00920F2C" w:rsidRPr="00704001" w:rsidRDefault="00920F2C" w:rsidP="009C5F40">
      <w:pPr>
        <w:pStyle w:val="SingleTxtG"/>
        <w:tabs>
          <w:tab w:val="right" w:leader="dot" w:pos="8505"/>
        </w:tabs>
        <w:ind w:left="2836" w:hanging="851"/>
      </w:pPr>
      <w:r>
        <w:t>4.2.1</w:t>
      </w:r>
      <w:r>
        <w:tab/>
        <w:t>Dans l’affirmative, donner des précisions</w:t>
      </w:r>
      <w:r>
        <w:tab/>
      </w:r>
    </w:p>
    <w:p w14:paraId="6BFD5682" w14:textId="5B534D79" w:rsidR="00920F2C" w:rsidRPr="00E23FA9" w:rsidRDefault="00920F2C" w:rsidP="00881794">
      <w:pPr>
        <w:pStyle w:val="SingleTxtG"/>
        <w:tabs>
          <w:tab w:val="clear" w:pos="1701"/>
        </w:tabs>
        <w:ind w:left="1985" w:hanging="851"/>
      </w:pPr>
      <w:r w:rsidRPr="00E23FA9">
        <w:t>4.3</w:t>
      </w:r>
      <w:r w:rsidRPr="00E23FA9">
        <w:tab/>
        <w:t>La matière est-elle une matière explosible désensibilisée ? (cf. 2.4.2.4</w:t>
      </w:r>
      <w:r w:rsidR="005A0131" w:rsidRPr="00745A2D">
        <w:rPr>
          <w:b/>
          <w:sz w:val="18"/>
          <w:szCs w:val="18"/>
          <w:vertAlign w:val="superscript"/>
        </w:rPr>
        <w:t>1</w:t>
      </w:r>
      <w:r w:rsidRPr="00E23FA9">
        <w:t>)</w:t>
      </w:r>
      <w:r w:rsidR="009C7CE6">
        <w:tab/>
      </w:r>
      <w:r w:rsidRPr="009C7CE6">
        <w:rPr>
          <w:b/>
          <w:bCs/>
        </w:rPr>
        <w:t>Non</w:t>
      </w:r>
    </w:p>
    <w:p w14:paraId="70EC9B01" w14:textId="77777777" w:rsidR="00920F2C" w:rsidRPr="00E23FA9" w:rsidRDefault="00920F2C" w:rsidP="009C5F40">
      <w:pPr>
        <w:pStyle w:val="SingleTxtG"/>
        <w:tabs>
          <w:tab w:val="right" w:leader="dot" w:pos="8505"/>
        </w:tabs>
        <w:ind w:left="2836" w:hanging="851"/>
      </w:pPr>
      <w:r w:rsidRPr="00E23FA9">
        <w:t>4.3.1</w:t>
      </w:r>
      <w:r w:rsidRPr="00E23FA9">
        <w:tab/>
        <w:t>Dans l’affirmative, donner des précisions</w:t>
      </w:r>
      <w:r w:rsidRPr="00E23FA9">
        <w:tab/>
      </w:r>
    </w:p>
    <w:p w14:paraId="40037737" w14:textId="1DB832F1" w:rsidR="00920F2C" w:rsidRPr="00E23FA9" w:rsidRDefault="00920F2C" w:rsidP="00881794">
      <w:pPr>
        <w:pStyle w:val="SingleTxtG"/>
        <w:tabs>
          <w:tab w:val="clear" w:pos="1701"/>
        </w:tabs>
        <w:ind w:left="1985" w:hanging="851"/>
      </w:pPr>
      <w:r w:rsidRPr="00E23FA9">
        <w:t>4.4</w:t>
      </w:r>
      <w:r w:rsidRPr="00E23FA9">
        <w:tab/>
        <w:t>La matière est-elle une matière autoréactive ? (cf. 2.4.1</w:t>
      </w:r>
      <w:r w:rsidR="005A0131" w:rsidRPr="00745A2D">
        <w:rPr>
          <w:b/>
          <w:sz w:val="18"/>
          <w:szCs w:val="18"/>
          <w:vertAlign w:val="superscript"/>
        </w:rPr>
        <w:t>1</w:t>
      </w:r>
      <w:r w:rsidRPr="00E23FA9">
        <w:t>)</w:t>
      </w:r>
      <w:r w:rsidR="009C7CE6">
        <w:tab/>
      </w:r>
      <w:r w:rsidRPr="009C7CE6">
        <w:rPr>
          <w:b/>
          <w:bCs/>
        </w:rPr>
        <w:t>Non</w:t>
      </w:r>
    </w:p>
    <w:p w14:paraId="60014A93" w14:textId="77777777" w:rsidR="00920F2C" w:rsidRPr="00E23FA9" w:rsidRDefault="00920F2C" w:rsidP="00C745F7">
      <w:pPr>
        <w:pStyle w:val="SingleTxtG"/>
        <w:ind w:left="2836" w:hanging="851"/>
      </w:pPr>
      <w:r w:rsidRPr="00E23FA9">
        <w:t>Dans l’affirmative, indiquer :</w:t>
      </w:r>
    </w:p>
    <w:p w14:paraId="2C96E230" w14:textId="77777777" w:rsidR="00920F2C" w:rsidRPr="00E23FA9" w:rsidRDefault="00920F2C" w:rsidP="009C5F40">
      <w:pPr>
        <w:pStyle w:val="SingleTxtG"/>
        <w:tabs>
          <w:tab w:val="right" w:leader="dot" w:pos="8505"/>
        </w:tabs>
        <w:ind w:left="2836" w:hanging="851"/>
      </w:pPr>
      <w:r w:rsidRPr="00E23FA9">
        <w:t>4.4.1</w:t>
      </w:r>
      <w:r w:rsidRPr="00E23FA9">
        <w:tab/>
        <w:t>La case de sortie du diagramme de décision</w:t>
      </w:r>
      <w:r w:rsidRPr="00E23FA9">
        <w:tab/>
      </w:r>
    </w:p>
    <w:p w14:paraId="33701DC9" w14:textId="3C69F22D" w:rsidR="00920F2C" w:rsidRPr="00E23FA9" w:rsidRDefault="00920F2C" w:rsidP="006F2EDA">
      <w:pPr>
        <w:pStyle w:val="SingleTxtG"/>
        <w:tabs>
          <w:tab w:val="clear" w:pos="1701"/>
        </w:tabs>
        <w:ind w:left="2835"/>
      </w:pPr>
      <w:r w:rsidRPr="00E23FA9">
        <w:lastRenderedPageBreak/>
        <w:t>Quelle est la température de décomposition auto-accélérée (TDAA) (point de décomposition exothermique) pour un colis de 50 kg</w:t>
      </w:r>
      <w:r w:rsidR="006F2EDA">
        <w:t> </w:t>
      </w:r>
      <w:r w:rsidRPr="00E23FA9">
        <w:t>?  .................</w:t>
      </w:r>
      <w:r w:rsidR="006F2EDA">
        <w:t>...........................................................................................</w:t>
      </w:r>
      <w:r w:rsidRPr="00E23FA9">
        <w:t>.°C</w:t>
      </w:r>
    </w:p>
    <w:p w14:paraId="6F337365" w14:textId="78B4F192" w:rsidR="00920F2C" w:rsidRPr="00E23FA9" w:rsidRDefault="00920F2C" w:rsidP="00924C48">
      <w:pPr>
        <w:pStyle w:val="SingleTxtG"/>
        <w:tabs>
          <w:tab w:val="clear" w:pos="1701"/>
        </w:tabs>
        <w:ind w:left="2835"/>
      </w:pPr>
      <w:r w:rsidRPr="00E23FA9">
        <w:t>La température doit-elle être régulée ? (cf. 2.4.2.3.4</w:t>
      </w:r>
      <w:r w:rsidR="005A0131" w:rsidRPr="005A0131">
        <w:rPr>
          <w:b/>
          <w:sz w:val="18"/>
          <w:szCs w:val="18"/>
          <w:vertAlign w:val="superscript"/>
        </w:rPr>
        <w:t>1</w:t>
      </w:r>
      <w:r w:rsidRPr="00E23FA9">
        <w:t xml:space="preserve">) </w:t>
      </w:r>
      <w:r w:rsidRPr="00E23FA9">
        <w:tab/>
        <w:t>oui/non</w:t>
      </w:r>
    </w:p>
    <w:p w14:paraId="23DEDF8E" w14:textId="09438877" w:rsidR="00920F2C" w:rsidRPr="00E23FA9" w:rsidRDefault="00920F2C" w:rsidP="009C5F40">
      <w:pPr>
        <w:pStyle w:val="SingleTxtG"/>
        <w:tabs>
          <w:tab w:val="right" w:leader="dot" w:pos="8505"/>
        </w:tabs>
        <w:ind w:left="2836" w:hanging="851"/>
      </w:pPr>
      <w:r w:rsidRPr="00E23FA9">
        <w:t>4.4.2</w:t>
      </w:r>
      <w:r w:rsidRPr="00E23FA9">
        <w:tab/>
        <w:t>Température de régulation proposée pour un colis de 50 kg</w:t>
      </w:r>
      <w:r w:rsidR="00D43DF5">
        <w:t>.............</w:t>
      </w:r>
      <w:r w:rsidR="00D43DF5" w:rsidRPr="00E23FA9">
        <w:t>.°C</w:t>
      </w:r>
    </w:p>
    <w:p w14:paraId="383319C9" w14:textId="17EF2DA8" w:rsidR="00920F2C" w:rsidRPr="00E23FA9" w:rsidRDefault="00920F2C" w:rsidP="009C5F40">
      <w:pPr>
        <w:pStyle w:val="SingleTxtG"/>
        <w:tabs>
          <w:tab w:val="right" w:leader="dot" w:pos="8505"/>
        </w:tabs>
        <w:ind w:left="2836" w:hanging="851"/>
      </w:pPr>
      <w:r w:rsidRPr="00E23FA9">
        <w:t>4.4.3</w:t>
      </w:r>
      <w:r w:rsidRPr="00E23FA9">
        <w:tab/>
        <w:t>Température critique proposée pour un colis de 50 kg</w:t>
      </w:r>
      <w:r w:rsidR="00D43DF5">
        <w:t xml:space="preserve"> </w:t>
      </w:r>
      <w:r w:rsidR="00D43DF5" w:rsidRPr="00E23FA9">
        <w:t>.......</w:t>
      </w:r>
      <w:r w:rsidR="00485E80">
        <w:t>.</w:t>
      </w:r>
      <w:r w:rsidR="00D43DF5">
        <w:t>.............</w:t>
      </w:r>
      <w:r w:rsidR="00D43DF5" w:rsidRPr="00E23FA9">
        <w:t>.°C</w:t>
      </w:r>
    </w:p>
    <w:p w14:paraId="1B710DA3" w14:textId="77777777" w:rsidR="00920F2C" w:rsidRPr="00704001" w:rsidRDefault="00920F2C" w:rsidP="00881794">
      <w:pPr>
        <w:pStyle w:val="SingleTxtG"/>
        <w:tabs>
          <w:tab w:val="clear" w:pos="1701"/>
        </w:tabs>
        <w:ind w:left="1985" w:hanging="851"/>
      </w:pPr>
      <w:r>
        <w:t>4.5</w:t>
      </w:r>
      <w:r>
        <w:tab/>
        <w:t>La matière est-elle pyrophorique ? (2.4.3</w:t>
      </w:r>
      <w:r w:rsidRPr="00745A2D">
        <w:rPr>
          <w:sz w:val="18"/>
          <w:szCs w:val="18"/>
          <w:vertAlign w:val="superscript"/>
        </w:rPr>
        <w:t>1</w:t>
      </w:r>
      <w:r>
        <w:t xml:space="preserve">) </w:t>
      </w:r>
      <w:r>
        <w:tab/>
      </w:r>
      <w:r w:rsidRPr="00485E80">
        <w:rPr>
          <w:b/>
          <w:bCs/>
        </w:rPr>
        <w:t>Non</w:t>
      </w:r>
    </w:p>
    <w:p w14:paraId="5B24E2FB" w14:textId="76AC6C48" w:rsidR="00920F2C" w:rsidRPr="00704001" w:rsidRDefault="00920F2C" w:rsidP="009C5F40">
      <w:pPr>
        <w:pStyle w:val="SingleTxtG"/>
        <w:tabs>
          <w:tab w:val="right" w:leader="dot" w:pos="8505"/>
        </w:tabs>
        <w:ind w:left="2836" w:hanging="851"/>
      </w:pPr>
      <w:r>
        <w:t>4.5.1</w:t>
      </w:r>
      <w:r>
        <w:tab/>
        <w:t>Dans l’affirmative, donner des précisions</w:t>
      </w:r>
      <w:r>
        <w:tab/>
      </w:r>
    </w:p>
    <w:p w14:paraId="31249CF0" w14:textId="530184DB" w:rsidR="00920F2C" w:rsidRPr="00704001" w:rsidRDefault="00920F2C" w:rsidP="00881794">
      <w:pPr>
        <w:pStyle w:val="SingleTxtG"/>
        <w:tabs>
          <w:tab w:val="clear" w:pos="1701"/>
        </w:tabs>
        <w:ind w:left="1985" w:hanging="851"/>
      </w:pPr>
      <w:r>
        <w:t>4.6</w:t>
      </w:r>
      <w:r>
        <w:tab/>
        <w:t>La matière est-elle sujette à l’auto-échauffement ? (cf. 2.4.3</w:t>
      </w:r>
      <w:r w:rsidR="00013DAE" w:rsidRPr="00745A2D">
        <w:rPr>
          <w:sz w:val="18"/>
          <w:szCs w:val="18"/>
          <w:vertAlign w:val="superscript"/>
        </w:rPr>
        <w:t>1</w:t>
      </w:r>
      <w:r>
        <w:t xml:space="preserve">) </w:t>
      </w:r>
      <w:r>
        <w:tab/>
      </w:r>
      <w:r>
        <w:rPr>
          <w:b/>
        </w:rPr>
        <w:t>Non</w:t>
      </w:r>
    </w:p>
    <w:p w14:paraId="64A57049" w14:textId="0D2C96E0" w:rsidR="00920F2C" w:rsidRPr="00704001" w:rsidRDefault="00920F2C" w:rsidP="009C5F40">
      <w:pPr>
        <w:pStyle w:val="SingleTxtG"/>
        <w:tabs>
          <w:tab w:val="right" w:leader="dot" w:pos="8505"/>
        </w:tabs>
        <w:ind w:left="2836" w:hanging="851"/>
      </w:pPr>
      <w:r>
        <w:t>4.6.1</w:t>
      </w:r>
      <w:r>
        <w:tab/>
        <w:t xml:space="preserve">Dans l’affirmative, donner des précisions </w:t>
      </w:r>
      <w:r w:rsidR="00D5780E">
        <w:tab/>
      </w:r>
    </w:p>
    <w:p w14:paraId="39D19D33" w14:textId="77777777" w:rsidR="00920F2C" w:rsidRPr="00704001" w:rsidRDefault="00920F2C" w:rsidP="00881794">
      <w:pPr>
        <w:pStyle w:val="SingleTxtG"/>
        <w:tabs>
          <w:tab w:val="clear" w:pos="1701"/>
        </w:tabs>
        <w:ind w:left="1985" w:hanging="851"/>
      </w:pPr>
      <w:r>
        <w:t>4.7</w:t>
      </w:r>
      <w:r>
        <w:tab/>
        <w:t xml:space="preserve">La matière est-elle un peroxyde organique ? (cf. 2.5.1) </w:t>
      </w:r>
      <w:r>
        <w:tab/>
      </w:r>
      <w:r>
        <w:rPr>
          <w:b/>
        </w:rPr>
        <w:t>Non</w:t>
      </w:r>
    </w:p>
    <w:p w14:paraId="398890F5" w14:textId="77777777" w:rsidR="00920F2C" w:rsidRPr="00704001" w:rsidRDefault="00920F2C" w:rsidP="00D5780E">
      <w:pPr>
        <w:keepNext/>
        <w:tabs>
          <w:tab w:val="left" w:pos="851"/>
          <w:tab w:val="left" w:pos="3686"/>
          <w:tab w:val="right" w:leader="dot" w:pos="8504"/>
        </w:tabs>
        <w:spacing w:line="360" w:lineRule="auto"/>
        <w:ind w:left="2836" w:right="1134" w:hanging="851"/>
      </w:pPr>
      <w:r>
        <w:t xml:space="preserve">Dans l’affirmative, indiquer : </w:t>
      </w:r>
    </w:p>
    <w:p w14:paraId="472DE244" w14:textId="77777777" w:rsidR="00920F2C" w:rsidRPr="00704001" w:rsidRDefault="00920F2C" w:rsidP="009C5F40">
      <w:pPr>
        <w:pStyle w:val="SingleTxtG"/>
        <w:tabs>
          <w:tab w:val="right" w:leader="dot" w:pos="8505"/>
        </w:tabs>
        <w:ind w:left="2836" w:hanging="851"/>
      </w:pPr>
      <w:r>
        <w:t>4.7.1</w:t>
      </w:r>
      <w:r>
        <w:tab/>
        <w:t>La case de sortie du diagramme de décision</w:t>
      </w:r>
      <w:r>
        <w:tab/>
      </w:r>
    </w:p>
    <w:p w14:paraId="464E2DAF" w14:textId="17E66F0C" w:rsidR="00920F2C" w:rsidRPr="00704001" w:rsidRDefault="00920F2C" w:rsidP="004E7552">
      <w:pPr>
        <w:pStyle w:val="SingleTxtG"/>
        <w:tabs>
          <w:tab w:val="right" w:leader="dot" w:pos="8505"/>
        </w:tabs>
        <w:ind w:left="2835"/>
      </w:pPr>
      <w:r>
        <w:t>Quelle est la température de décomposition auto-accélérée (TDAA) (point de décomposition exothermique) pour un colis de 50 kg ? </w:t>
      </w:r>
      <w:r w:rsidR="004E7552">
        <w:tab/>
        <w:t>°</w:t>
      </w:r>
      <w:r>
        <w:t>C</w:t>
      </w:r>
    </w:p>
    <w:p w14:paraId="403B6A64" w14:textId="77777777" w:rsidR="00920F2C" w:rsidRPr="00704001" w:rsidRDefault="00920F2C" w:rsidP="004E7552">
      <w:pPr>
        <w:pStyle w:val="SingleTxtG"/>
        <w:tabs>
          <w:tab w:val="right" w:leader="dot" w:pos="8505"/>
        </w:tabs>
        <w:ind w:left="2835"/>
      </w:pPr>
      <w:r>
        <w:t>La température doit-elle être régulée ? (cf. 2.5.3.4.1</w:t>
      </w:r>
      <w:r>
        <w:rPr>
          <w:b/>
          <w:vertAlign w:val="superscript"/>
        </w:rPr>
        <w:t>1</w:t>
      </w:r>
      <w:r>
        <w:t xml:space="preserve">) </w:t>
      </w:r>
      <w:r>
        <w:tab/>
        <w:t>oui/non</w:t>
      </w:r>
    </w:p>
    <w:p w14:paraId="426D53AC" w14:textId="18D4FD8B" w:rsidR="00920F2C" w:rsidRPr="00704001" w:rsidRDefault="00920F2C" w:rsidP="00EF7261">
      <w:pPr>
        <w:pStyle w:val="SingleTxtG"/>
        <w:tabs>
          <w:tab w:val="right" w:leader="dot" w:pos="8505"/>
        </w:tabs>
        <w:ind w:left="2836" w:hanging="851"/>
      </w:pPr>
      <w:r>
        <w:t>4.7.2</w:t>
      </w:r>
      <w:r>
        <w:tab/>
        <w:t>Température de régulation proposée pour un colis de 50 kg</w:t>
      </w:r>
      <w:r w:rsidR="00A54566">
        <w:t xml:space="preserve"> </w:t>
      </w:r>
      <w:r w:rsidR="00EF7261">
        <w:tab/>
      </w:r>
      <w:r w:rsidR="00A54566">
        <w:t>….........</w:t>
      </w:r>
      <w:r>
        <w:t>°C</w:t>
      </w:r>
    </w:p>
    <w:p w14:paraId="772FC30D" w14:textId="07521EAA" w:rsidR="00920F2C" w:rsidRPr="00704001" w:rsidRDefault="00920F2C" w:rsidP="0036219D">
      <w:pPr>
        <w:pStyle w:val="SingleTxtG"/>
        <w:tabs>
          <w:tab w:val="right" w:leader="dot" w:pos="8505"/>
        </w:tabs>
        <w:ind w:left="2836" w:hanging="851"/>
      </w:pPr>
      <w:r>
        <w:t>4.7.3</w:t>
      </w:r>
      <w:r>
        <w:tab/>
        <w:t>Température critique proposée pour un colis de 50 kg</w:t>
      </w:r>
      <w:r>
        <w:tab/>
      </w:r>
      <w:r w:rsidR="000533AB">
        <w:t>.</w:t>
      </w:r>
      <w:r>
        <w:t>°C</w:t>
      </w:r>
    </w:p>
    <w:p w14:paraId="7E5AB431" w14:textId="77777777" w:rsidR="00920F2C" w:rsidRPr="00704001" w:rsidRDefault="00920F2C" w:rsidP="00881794">
      <w:pPr>
        <w:pStyle w:val="SingleTxtG"/>
        <w:tabs>
          <w:tab w:val="clear" w:pos="1701"/>
        </w:tabs>
        <w:ind w:left="1985" w:hanging="851"/>
      </w:pPr>
      <w:r>
        <w:t>4.8</w:t>
      </w:r>
      <w:r>
        <w:tab/>
        <w:t>La matière dégage-t-elle des gaz inflammables au contact de l’eau ? (cf. 2.4.4</w:t>
      </w:r>
      <w:r w:rsidRPr="00A54566">
        <w:rPr>
          <w:b/>
          <w:bCs/>
          <w:sz w:val="18"/>
          <w:szCs w:val="18"/>
          <w:vertAlign w:val="superscript"/>
        </w:rPr>
        <w:t>1</w:t>
      </w:r>
      <w:r>
        <w:t xml:space="preserve">) </w:t>
      </w:r>
      <w:r>
        <w:rPr>
          <w:b/>
        </w:rPr>
        <w:t>Non</w:t>
      </w:r>
    </w:p>
    <w:p w14:paraId="78BFC059" w14:textId="060BC445" w:rsidR="00920F2C" w:rsidRPr="00704001" w:rsidRDefault="00920F2C" w:rsidP="0036219D">
      <w:pPr>
        <w:pStyle w:val="SingleTxtG"/>
        <w:tabs>
          <w:tab w:val="right" w:leader="dot" w:pos="8505"/>
        </w:tabs>
        <w:ind w:left="2836" w:hanging="851"/>
      </w:pPr>
      <w:r>
        <w:t>4.8.1</w:t>
      </w:r>
      <w:r>
        <w:tab/>
        <w:t>Dans l’affirmative, donner des précisions</w:t>
      </w:r>
      <w:r w:rsidR="000533AB">
        <w:tab/>
      </w:r>
    </w:p>
    <w:p w14:paraId="6F42FC9B" w14:textId="72511FAC" w:rsidR="00920F2C" w:rsidRPr="00704001" w:rsidRDefault="00920F2C" w:rsidP="00881794">
      <w:pPr>
        <w:pStyle w:val="SingleTxtG"/>
        <w:tabs>
          <w:tab w:val="clear" w:pos="1701"/>
        </w:tabs>
        <w:ind w:left="1985" w:hanging="851"/>
      </w:pPr>
      <w:r>
        <w:t>4.9</w:t>
      </w:r>
      <w:r>
        <w:tab/>
        <w:t>La matière a-t-elle des propriétés comburantes ? (cf. 2.5.1</w:t>
      </w:r>
      <w:r w:rsidRPr="00B211A2">
        <w:rPr>
          <w:b/>
          <w:bCs/>
          <w:sz w:val="18"/>
          <w:szCs w:val="18"/>
          <w:vertAlign w:val="superscript"/>
        </w:rPr>
        <w:t>1</w:t>
      </w:r>
      <w:r>
        <w:t>)</w:t>
      </w:r>
      <w:r w:rsidR="001856EA">
        <w:rPr>
          <w:b/>
        </w:rPr>
        <w:t xml:space="preserve">  </w:t>
      </w:r>
      <w:r>
        <w:rPr>
          <w:b/>
        </w:rPr>
        <w:t>Non</w:t>
      </w:r>
    </w:p>
    <w:p w14:paraId="2B332538" w14:textId="30D1592C" w:rsidR="00920F2C" w:rsidRDefault="00920F2C" w:rsidP="0036219D">
      <w:pPr>
        <w:pStyle w:val="SingleTxtG"/>
        <w:tabs>
          <w:tab w:val="right" w:leader="dot" w:pos="8505"/>
        </w:tabs>
        <w:ind w:left="2836" w:hanging="851"/>
      </w:pPr>
      <w:r>
        <w:t>4.9.1</w:t>
      </w:r>
      <w:r>
        <w:tab/>
        <w:t>Dans l’affirmative, donner des précisions</w:t>
      </w:r>
      <w:r w:rsidR="000E0AA1">
        <w:tab/>
      </w:r>
    </w:p>
    <w:p w14:paraId="6A56B729" w14:textId="57550291" w:rsidR="000E0AA1" w:rsidRPr="00704001" w:rsidRDefault="000E0AA1" w:rsidP="000E0AA1">
      <w:pPr>
        <w:tabs>
          <w:tab w:val="left" w:pos="851"/>
          <w:tab w:val="left" w:pos="2835"/>
          <w:tab w:val="right" w:leader="dot" w:pos="8504"/>
        </w:tabs>
        <w:spacing w:line="360" w:lineRule="auto"/>
        <w:ind w:left="1985" w:right="1134"/>
      </w:pPr>
      <w:r>
        <w:tab/>
      </w:r>
      <w:r>
        <w:tab/>
      </w:r>
    </w:p>
    <w:p w14:paraId="642797F4" w14:textId="4E6BC6E6" w:rsidR="00920F2C" w:rsidRPr="00704001" w:rsidRDefault="00920F2C" w:rsidP="00A54566">
      <w:pPr>
        <w:pStyle w:val="SingleTxtG"/>
        <w:tabs>
          <w:tab w:val="clear" w:pos="1701"/>
        </w:tabs>
        <w:ind w:left="1985" w:hanging="851"/>
        <w:jc w:val="left"/>
      </w:pPr>
      <w:r>
        <w:t>4.10</w:t>
      </w:r>
      <w:r>
        <w:tab/>
        <w:t>Action corrosive sur le matériau des emballages (cf. 2.8</w:t>
      </w:r>
      <w:r w:rsidRPr="00B211A2">
        <w:rPr>
          <w:b/>
          <w:bCs/>
          <w:sz w:val="18"/>
          <w:szCs w:val="18"/>
          <w:vertAlign w:val="superscript"/>
        </w:rPr>
        <w:t>1</w:t>
      </w:r>
      <w:r>
        <w:t xml:space="preserve">) </w:t>
      </w:r>
      <w:r w:rsidR="00A54566">
        <w:br/>
      </w:r>
      <w:r>
        <w:rPr>
          <w:b/>
        </w:rPr>
        <w:t>Aucune information disponible</w:t>
      </w:r>
    </w:p>
    <w:p w14:paraId="5DFD57D6" w14:textId="3E8FBE27" w:rsidR="00920F2C" w:rsidRPr="00704001" w:rsidRDefault="00920F2C" w:rsidP="00F920D3">
      <w:pPr>
        <w:pStyle w:val="SingleTxtG"/>
        <w:ind w:left="2836" w:hanging="851"/>
      </w:pPr>
      <w:r>
        <w:t>4.10.1</w:t>
      </w:r>
      <w:r>
        <w:tab/>
        <w:t>Acier doux</w:t>
      </w:r>
      <w:r w:rsidR="0086758D">
        <w:tab/>
      </w:r>
      <w:r>
        <w:rPr>
          <w:b/>
          <w:bCs/>
        </w:rPr>
        <w:t>oui</w:t>
      </w:r>
    </w:p>
    <w:p w14:paraId="5B1F91AB" w14:textId="49400745" w:rsidR="00920F2C" w:rsidRPr="00704001" w:rsidRDefault="00920F2C" w:rsidP="00F920D3">
      <w:pPr>
        <w:pStyle w:val="SingleTxtG"/>
        <w:ind w:left="2836" w:hanging="851"/>
      </w:pPr>
      <w:r>
        <w:t>4.10.2</w:t>
      </w:r>
      <w:r>
        <w:tab/>
        <w:t>Aluminium</w:t>
      </w:r>
      <w:r>
        <w:tab/>
      </w:r>
      <w:r>
        <w:rPr>
          <w:b/>
          <w:bCs/>
        </w:rPr>
        <w:t>oui</w:t>
      </w:r>
      <w:r>
        <w:tab/>
      </w:r>
      <w:r>
        <w:tab/>
        <w:t>mm/an</w:t>
      </w:r>
      <w:r>
        <w:tab/>
      </w:r>
      <w:r>
        <w:tab/>
        <w:t xml:space="preserve"> à</w:t>
      </w:r>
      <w:r>
        <w:tab/>
      </w:r>
      <w:r w:rsidR="00F657FA">
        <w:t>………</w:t>
      </w:r>
      <w:r w:rsidR="008A456C">
        <w:t>………</w:t>
      </w:r>
      <w:r w:rsidR="00F657FA">
        <w:t>….</w:t>
      </w:r>
      <w:r>
        <w:t>°C</w:t>
      </w:r>
    </w:p>
    <w:p w14:paraId="652440A9" w14:textId="77777777" w:rsidR="00920F2C" w:rsidRPr="00704001" w:rsidRDefault="00920F2C" w:rsidP="00F920D3">
      <w:pPr>
        <w:pStyle w:val="SingleTxtG"/>
        <w:ind w:left="2836" w:hanging="851"/>
      </w:pPr>
      <w:r>
        <w:t>4.10.3</w:t>
      </w:r>
      <w:r>
        <w:tab/>
        <w:t>Autres matériaux d’emballage (à préciser)</w:t>
      </w:r>
    </w:p>
    <w:p w14:paraId="3AD170AE" w14:textId="47FF4676" w:rsidR="00920F2C" w:rsidRDefault="00920F2C" w:rsidP="00E46170">
      <w:pPr>
        <w:pStyle w:val="SingleTxtG"/>
        <w:tabs>
          <w:tab w:val="clear" w:pos="1701"/>
        </w:tabs>
        <w:ind w:left="1985" w:hanging="851"/>
        <w:rPr>
          <w:b/>
        </w:rPr>
      </w:pPr>
      <w:r>
        <w:t>4.11</w:t>
      </w:r>
      <w:r>
        <w:tab/>
        <w:t xml:space="preserve">Autres propriétés chimiques pertinentes </w:t>
      </w:r>
    </w:p>
    <w:p w14:paraId="0FDCA286" w14:textId="7FD33EC5" w:rsidR="00920F2C" w:rsidRDefault="00F657FA" w:rsidP="00F657FA">
      <w:pPr>
        <w:pStyle w:val="H23G"/>
      </w:pPr>
      <w:r>
        <w:tab/>
      </w:r>
      <w:r>
        <w:tab/>
      </w:r>
      <w:r w:rsidR="00920F2C">
        <w:t>Section 5</w:t>
      </w:r>
      <w:r>
        <w:br/>
      </w:r>
      <w:r w:rsidR="00920F2C">
        <w:t>EFFETS BIOLOGIQUES NOCIFS</w:t>
      </w:r>
    </w:p>
    <w:p w14:paraId="1E53A3F5" w14:textId="7328DBFE" w:rsidR="00920F2C" w:rsidRPr="00704001" w:rsidRDefault="00920F2C" w:rsidP="007A7176">
      <w:pPr>
        <w:pStyle w:val="SingleTxtG"/>
        <w:tabs>
          <w:tab w:val="clear" w:pos="1701"/>
        </w:tabs>
        <w:ind w:left="1985" w:hanging="851"/>
        <w:jc w:val="left"/>
      </w:pPr>
      <w:r>
        <w:t>5.1</w:t>
      </w:r>
      <w:r>
        <w:tab/>
        <w:t>DL</w:t>
      </w:r>
      <w:r>
        <w:rPr>
          <w:vertAlign w:val="subscript"/>
        </w:rPr>
        <w:t>50</w:t>
      </w:r>
      <w:r>
        <w:t xml:space="preserve"> à l’ingestion (cf. 2.6.2.1.1</w:t>
      </w:r>
      <w:r w:rsidR="0057408F" w:rsidRPr="00357DF2">
        <w:rPr>
          <w:sz w:val="18"/>
          <w:szCs w:val="18"/>
          <w:vertAlign w:val="superscript"/>
        </w:rPr>
        <w:t>1</w:t>
      </w:r>
      <w:r>
        <w:t>)</w:t>
      </w:r>
      <w:r w:rsidR="007A7176">
        <w:br/>
      </w:r>
      <w:r>
        <w:rPr>
          <w:b/>
        </w:rPr>
        <w:t>DL</w:t>
      </w:r>
      <w:r>
        <w:rPr>
          <w:b/>
          <w:vertAlign w:val="subscript"/>
        </w:rPr>
        <w:t>50</w:t>
      </w:r>
      <w:r>
        <w:rPr>
          <w:b/>
        </w:rPr>
        <w:t xml:space="preserve"> à l’ingestion comprise entre 7,5 et 50 mg/kg p.c. chez le rat</w:t>
      </w:r>
    </w:p>
    <w:p w14:paraId="09C5A71A" w14:textId="2B7E4AE0" w:rsidR="00920F2C" w:rsidRPr="00704001" w:rsidRDefault="00920F2C" w:rsidP="007A7176">
      <w:pPr>
        <w:pStyle w:val="SingleTxtG"/>
        <w:tabs>
          <w:tab w:val="clear" w:pos="1701"/>
        </w:tabs>
        <w:ind w:left="1985" w:hanging="851"/>
        <w:jc w:val="left"/>
      </w:pPr>
      <w:r>
        <w:t>5.2</w:t>
      </w:r>
      <w:r>
        <w:tab/>
        <w:t>DL</w:t>
      </w:r>
      <w:r>
        <w:rPr>
          <w:vertAlign w:val="subscript"/>
        </w:rPr>
        <w:t>50</w:t>
      </w:r>
      <w:r>
        <w:t xml:space="preserve"> à l’absorption cutanée (cf. 2.6.2.1.2</w:t>
      </w:r>
      <w:r w:rsidRPr="00357DF2">
        <w:rPr>
          <w:sz w:val="18"/>
          <w:szCs w:val="18"/>
          <w:vertAlign w:val="superscript"/>
        </w:rPr>
        <w:t>1</w:t>
      </w:r>
      <w:r>
        <w:t>)</w:t>
      </w:r>
      <w:r w:rsidR="007A7176">
        <w:br/>
      </w:r>
      <w:r>
        <w:rPr>
          <w:b/>
        </w:rPr>
        <w:t>DL</w:t>
      </w:r>
      <w:r>
        <w:rPr>
          <w:b/>
          <w:vertAlign w:val="subscript"/>
        </w:rPr>
        <w:t>50</w:t>
      </w:r>
      <w:r>
        <w:rPr>
          <w:b/>
        </w:rPr>
        <w:t xml:space="preserve"> à l’absorption cutanée de 2,0 mg/kg p.c. chez le rat</w:t>
      </w:r>
    </w:p>
    <w:p w14:paraId="7EA853A7" w14:textId="6A30DF4B" w:rsidR="00920F2C" w:rsidRPr="00704001" w:rsidRDefault="00920F2C" w:rsidP="00881794">
      <w:pPr>
        <w:pStyle w:val="SingleTxtG"/>
        <w:tabs>
          <w:tab w:val="clear" w:pos="1701"/>
        </w:tabs>
        <w:ind w:left="1985" w:hanging="851"/>
      </w:pPr>
      <w:r>
        <w:t>5.3</w:t>
      </w:r>
      <w:r>
        <w:tab/>
        <w:t>CL</w:t>
      </w:r>
      <w:r>
        <w:rPr>
          <w:vertAlign w:val="subscript"/>
        </w:rPr>
        <w:t>50</w:t>
      </w:r>
      <w:r>
        <w:t xml:space="preserve"> à l’inhalation (cf. 2.6.2.1.3</w:t>
      </w:r>
      <w:r w:rsidRPr="00357DF2">
        <w:rPr>
          <w:sz w:val="18"/>
          <w:szCs w:val="18"/>
          <w:vertAlign w:val="superscript"/>
        </w:rPr>
        <w:t>1</w:t>
      </w:r>
      <w:r>
        <w:t>)</w:t>
      </w:r>
      <w:r>
        <w:tab/>
        <w:t>mg/l</w:t>
      </w:r>
      <w:r>
        <w:tab/>
        <w:t>Durée d’exposition</w:t>
      </w:r>
      <w:r>
        <w:tab/>
        <w:t xml:space="preserve"> </w:t>
      </w:r>
      <w:r w:rsidR="007A7176">
        <w:t xml:space="preserve">       </w:t>
      </w:r>
      <w:r>
        <w:t>heures</w:t>
      </w:r>
      <w:r w:rsidR="007A7176">
        <w:br/>
      </w:r>
      <w:r>
        <w:rPr>
          <w:b/>
          <w:bCs/>
        </w:rPr>
        <w:t>Aucune information disponible</w:t>
      </w:r>
    </w:p>
    <w:p w14:paraId="1A9E2B40" w14:textId="0C68E106" w:rsidR="00920F2C" w:rsidRPr="00704001" w:rsidRDefault="00920F2C" w:rsidP="00D05516">
      <w:pPr>
        <w:tabs>
          <w:tab w:val="left" w:pos="851"/>
          <w:tab w:val="left" w:pos="3686"/>
          <w:tab w:val="left" w:pos="4536"/>
          <w:tab w:val="right" w:leader="dot" w:pos="8504"/>
        </w:tabs>
        <w:spacing w:line="360" w:lineRule="auto"/>
        <w:ind w:left="2836" w:right="1134" w:hanging="851"/>
      </w:pPr>
      <w:r>
        <w:t>ou</w:t>
      </w:r>
      <w:r w:rsidR="00C82D1A">
        <w:t>……………….</w:t>
      </w:r>
      <w:r>
        <w:tab/>
        <w:t>ml/m</w:t>
      </w:r>
      <w:r>
        <w:rPr>
          <w:vertAlign w:val="superscript"/>
        </w:rPr>
        <w:t>3</w:t>
      </w:r>
      <w:r w:rsidR="00D05516">
        <w:tab/>
      </w:r>
      <w:r w:rsidR="00C82D1A">
        <w:t>A</w:t>
      </w:r>
      <w:r>
        <w:t xml:space="preserve">nimal </w:t>
      </w:r>
      <w:r>
        <w:tab/>
      </w:r>
    </w:p>
    <w:p w14:paraId="40EDFA36" w14:textId="755EFC60" w:rsidR="00920F2C" w:rsidRPr="00704001" w:rsidRDefault="00920F2C" w:rsidP="00C82D1A">
      <w:pPr>
        <w:pStyle w:val="SingleTxtG"/>
        <w:tabs>
          <w:tab w:val="clear" w:pos="1701"/>
        </w:tabs>
        <w:ind w:left="1985" w:hanging="851"/>
        <w:jc w:val="left"/>
        <w:rPr>
          <w:b/>
        </w:rPr>
      </w:pPr>
      <w:r>
        <w:t>5.4</w:t>
      </w:r>
      <w:r>
        <w:tab/>
        <w:t>Concentration de vapeur saturée à 20 °C (cf. 2.6.2.2.4.3</w:t>
      </w:r>
      <w:r w:rsidRPr="00357DF2">
        <w:rPr>
          <w:vertAlign w:val="superscript"/>
        </w:rPr>
        <w:t>1</w:t>
      </w:r>
      <w:r>
        <w:t>)</w:t>
      </w:r>
      <w:r w:rsidR="00C82D1A">
        <w:br/>
      </w:r>
      <w:r>
        <w:rPr>
          <w:b/>
          <w:bCs/>
        </w:rPr>
        <w:t>Aucune information disponible</w:t>
      </w:r>
    </w:p>
    <w:p w14:paraId="04A4B9CB" w14:textId="77777777" w:rsidR="00920F2C" w:rsidRPr="00572C2C" w:rsidRDefault="00920F2C" w:rsidP="00881794">
      <w:pPr>
        <w:pStyle w:val="SingleTxtG"/>
        <w:tabs>
          <w:tab w:val="clear" w:pos="1701"/>
        </w:tabs>
        <w:ind w:left="1985" w:hanging="851"/>
      </w:pPr>
      <w:r>
        <w:t>5.5</w:t>
      </w:r>
      <w:r>
        <w:tab/>
        <w:t>Résultats des essais cutanés (cf. 2.8</w:t>
      </w:r>
      <w:r w:rsidRPr="00357DF2">
        <w:rPr>
          <w:sz w:val="18"/>
          <w:szCs w:val="18"/>
          <w:vertAlign w:val="superscript"/>
        </w:rPr>
        <w:t>1</w:t>
      </w:r>
      <w:r>
        <w:t>)</w:t>
      </w:r>
    </w:p>
    <w:p w14:paraId="3E7861DC" w14:textId="2043C811" w:rsidR="00920F2C" w:rsidRDefault="00F464C8" w:rsidP="00F464C8">
      <w:pPr>
        <w:pStyle w:val="H23G"/>
      </w:pPr>
      <w:r>
        <w:lastRenderedPageBreak/>
        <w:tab/>
      </w:r>
      <w:r>
        <w:tab/>
      </w:r>
      <w:r w:rsidR="00920F2C">
        <w:t>Irritation/corrosion de la peau :</w:t>
      </w:r>
    </w:p>
    <w:p w14:paraId="2B4F08D8" w14:textId="51609C00" w:rsidR="00920F2C" w:rsidRPr="00544F58" w:rsidRDefault="00920F2C" w:rsidP="00F464C8">
      <w:pPr>
        <w:pStyle w:val="SingleTxtG"/>
        <w:rPr>
          <w:bCs/>
        </w:rPr>
      </w:pPr>
      <w:r>
        <w:t>Un essai destiné à déterminer l’effet irritant ou corrosif aigu sur la peau d’une solution à 2,38 % de TMAH a été effectué conformément à la Ligne directrice de l’OCDE pour les essais de produits chimiques n</w:t>
      </w:r>
      <w:r>
        <w:rPr>
          <w:vertAlign w:val="superscript"/>
        </w:rPr>
        <w:t>o</w:t>
      </w:r>
      <w:r>
        <w:t> 404 et aux bonnes pratiques de laboratoire. Aucune irritation cutanée n’a été observée après une application de 3 minutes. Une application d’une heure a provoqué une irritation cutanée bien définie. Une application pendant une période de 4</w:t>
      </w:r>
      <w:r w:rsidR="000917D0">
        <w:t> </w:t>
      </w:r>
      <w:r>
        <w:t>heures a entraîné une irritation cutanée bien définie à sévère chez tous les animaux, avec nécrose chez un animal. En raison de la gravité et de l’irréversibilité des lésions, la solution à 2,38 % de TMAH est classée comme corrosive pour la peau, catégorie</w:t>
      </w:r>
      <w:r w:rsidR="000917D0">
        <w:t> </w:t>
      </w:r>
      <w:r>
        <w:t xml:space="preserve">1C, conformément au Règlement (CE) </w:t>
      </w:r>
      <w:r w:rsidR="000917D0">
        <w:rPr>
          <w:rFonts w:eastAsia="MS Mincho"/>
        </w:rPr>
        <w:t>n</w:t>
      </w:r>
      <w:r w:rsidR="000917D0">
        <w:rPr>
          <w:rFonts w:eastAsia="MS Mincho"/>
          <w:vertAlign w:val="superscript"/>
        </w:rPr>
        <w:t>o</w:t>
      </w:r>
      <w:r w:rsidR="000917D0">
        <w:t> </w:t>
      </w:r>
      <w:r>
        <w:t>1272/2008.</w:t>
      </w:r>
    </w:p>
    <w:p w14:paraId="12130ABB" w14:textId="77777777" w:rsidR="00920F2C" w:rsidRPr="00544F58" w:rsidRDefault="00920F2C" w:rsidP="00F464C8">
      <w:pPr>
        <w:pStyle w:val="SingleTxtG"/>
        <w:rPr>
          <w:bCs/>
        </w:rPr>
      </w:pPr>
      <w:r>
        <w:t>Le pH d’une solution aqueuse à 10 % de TMAH est de 13,6.</w:t>
      </w:r>
    </w:p>
    <w:p w14:paraId="7F8F6D9D" w14:textId="1A780C52" w:rsidR="00920F2C" w:rsidRPr="00544F58" w:rsidRDefault="00920F2C" w:rsidP="00F464C8">
      <w:pPr>
        <w:pStyle w:val="SingleTxtG"/>
        <w:rPr>
          <w:bCs/>
        </w:rPr>
      </w:pPr>
      <w:r>
        <w:t>Selon la méthode d’essai Corrositex, le pentahydrate de TMAH doit être classé dans le groupe d’emballage</w:t>
      </w:r>
      <w:r w:rsidR="000917D0">
        <w:t> </w:t>
      </w:r>
      <w:r>
        <w:t>II pour le transport (ADR/DOT). (Les critères de classement dans le groupe d’emballage II étant identiques aux critères de classement de la Ligne directrice de l’OCDE n</w:t>
      </w:r>
      <w:r>
        <w:rPr>
          <w:vertAlign w:val="superscript"/>
        </w:rPr>
        <w:t>o</w:t>
      </w:r>
      <w:r>
        <w:t> 435 s’agissant de la corrosivité, le pentahydrate de TMAH est classé comme corrosif pour la peau, catégorie</w:t>
      </w:r>
      <w:r w:rsidR="000917D0">
        <w:t> </w:t>
      </w:r>
      <w:r>
        <w:t>1B.)</w:t>
      </w:r>
    </w:p>
    <w:p w14:paraId="3C6D1D64" w14:textId="77777777" w:rsidR="00920F2C" w:rsidRPr="00572C2C" w:rsidRDefault="00920F2C" w:rsidP="00881794">
      <w:pPr>
        <w:pStyle w:val="SingleTxtG"/>
        <w:tabs>
          <w:tab w:val="clear" w:pos="1701"/>
        </w:tabs>
        <w:ind w:left="1985" w:hanging="851"/>
        <w:rPr>
          <w:b/>
        </w:rPr>
      </w:pPr>
      <w:r>
        <w:t>5.6</w:t>
      </w:r>
      <w:r>
        <w:tab/>
        <w:t>Autres données</w:t>
      </w:r>
    </w:p>
    <w:p w14:paraId="410D5AD2" w14:textId="488FC42D" w:rsidR="00920F2C" w:rsidRDefault="00920F2C" w:rsidP="0007141E">
      <w:pPr>
        <w:pStyle w:val="SingleTxtG"/>
        <w:keepNext/>
        <w:tabs>
          <w:tab w:val="clear" w:pos="1701"/>
        </w:tabs>
        <w:ind w:left="1985" w:hanging="851"/>
      </w:pPr>
      <w:r>
        <w:t>5.7</w:t>
      </w:r>
      <w:r>
        <w:tab/>
        <w:t xml:space="preserve">Effets sur l’homme </w:t>
      </w:r>
    </w:p>
    <w:p w14:paraId="38620DCB" w14:textId="77777777" w:rsidR="00920F2C" w:rsidRPr="00572C2C" w:rsidRDefault="00920F2C" w:rsidP="0007141E">
      <w:pPr>
        <w:pStyle w:val="SingleTxtG"/>
        <w:ind w:left="1985"/>
      </w:pPr>
      <w:bookmarkStart w:id="4" w:name="_Hlk38972701"/>
      <w:r>
        <w:t>Plusieurs incidents mortels impliquant le TMAH ont été signalés.</w:t>
      </w:r>
    </w:p>
    <w:bookmarkEnd w:id="4"/>
    <w:p w14:paraId="24B806FB" w14:textId="41BB7985" w:rsidR="00920F2C" w:rsidRPr="00572C2C" w:rsidRDefault="00F464C8" w:rsidP="00F464C8">
      <w:pPr>
        <w:pStyle w:val="H23G"/>
      </w:pPr>
      <w:r>
        <w:tab/>
      </w:r>
      <w:r>
        <w:tab/>
      </w:r>
      <w:r w:rsidR="00920F2C">
        <w:t>Section 6</w:t>
      </w:r>
      <w:r>
        <w:br/>
      </w:r>
      <w:r w:rsidR="00920F2C">
        <w:t>INFORMATIONS COMPLÉMENTAIRES</w:t>
      </w:r>
    </w:p>
    <w:p w14:paraId="42F083AE" w14:textId="77777777" w:rsidR="00920F2C" w:rsidRPr="00572C2C" w:rsidRDefault="00920F2C" w:rsidP="00881794">
      <w:pPr>
        <w:pStyle w:val="SingleTxtG"/>
        <w:tabs>
          <w:tab w:val="clear" w:pos="1701"/>
        </w:tabs>
        <w:ind w:left="1985" w:hanging="851"/>
        <w:rPr>
          <w:b/>
        </w:rPr>
      </w:pPr>
      <w:r>
        <w:t>6.1</w:t>
      </w:r>
      <w:r>
        <w:tab/>
        <w:t>Mesures recommandées en cas d</w:t>
      </w:r>
      <w:r>
        <w:rPr>
          <w:b/>
        </w:rPr>
        <w:t>’</w:t>
      </w:r>
      <w:r>
        <w:t>urgence</w:t>
      </w:r>
    </w:p>
    <w:p w14:paraId="1FF88267" w14:textId="0D8FE775" w:rsidR="00920F2C" w:rsidRPr="00572C2C" w:rsidRDefault="00920F2C" w:rsidP="00421B7C">
      <w:pPr>
        <w:pStyle w:val="SingleTxtG"/>
        <w:ind w:left="2836" w:hanging="851"/>
        <w:jc w:val="left"/>
      </w:pPr>
      <w:r>
        <w:t>6.1.1</w:t>
      </w:r>
      <w:r>
        <w:tab/>
        <w:t>Incendie (indiquer les agents d’extinction appropriés et ceux à ne pas utiliser)</w:t>
      </w:r>
    </w:p>
    <w:p w14:paraId="1BAF7B3E" w14:textId="1C4353C2" w:rsidR="00920F2C" w:rsidRPr="00572C2C" w:rsidRDefault="00421B7C" w:rsidP="00421B7C">
      <w:pPr>
        <w:pStyle w:val="H23G"/>
      </w:pPr>
      <w:r>
        <w:tab/>
      </w:r>
      <w:r>
        <w:tab/>
      </w:r>
      <w:r w:rsidR="00920F2C">
        <w:t xml:space="preserve">Agents extincteurs appropriés </w:t>
      </w:r>
    </w:p>
    <w:p w14:paraId="3617BA7D" w14:textId="77777777" w:rsidR="00920F2C" w:rsidRDefault="00920F2C" w:rsidP="00E46170">
      <w:pPr>
        <w:pStyle w:val="SingleTxtG"/>
      </w:pPr>
      <w:r>
        <w:t>Eau pulvérisée, dioxyde de carbone (CO</w:t>
      </w:r>
      <w:r>
        <w:rPr>
          <w:vertAlign w:val="subscript"/>
        </w:rPr>
        <w:t>2</w:t>
      </w:r>
      <w:r>
        <w:t>), mousse, produit chimique sec.</w:t>
      </w:r>
    </w:p>
    <w:p w14:paraId="475A1365" w14:textId="00E9E55B" w:rsidR="00920F2C" w:rsidRPr="00572C2C" w:rsidRDefault="00421B7C" w:rsidP="00421B7C">
      <w:pPr>
        <w:pStyle w:val="H23G"/>
      </w:pPr>
      <w:r>
        <w:tab/>
      </w:r>
      <w:r>
        <w:tab/>
      </w:r>
      <w:r w:rsidR="00920F2C">
        <w:t>Dangers spécifiques du produit</w:t>
      </w:r>
    </w:p>
    <w:p w14:paraId="65A6D631" w14:textId="77777777" w:rsidR="00920F2C" w:rsidRDefault="00920F2C" w:rsidP="00E46170">
      <w:pPr>
        <w:pStyle w:val="SingleTxtG"/>
      </w:pPr>
      <w:r>
        <w:t>Provoque de graves brûlures. Produits de décomposition dangereux. Monoxyde de carbone. Peut brûler violemment. Peut subir une décomposition auto-accélérée et produire de grandes quantités de gaz. Peut être mortel par inhalation, par contact cutané ou par ingestion.</w:t>
      </w:r>
    </w:p>
    <w:p w14:paraId="4C740119" w14:textId="1EA4F381" w:rsidR="00920F2C" w:rsidRPr="00572C2C" w:rsidRDefault="00421B7C" w:rsidP="00421B7C">
      <w:pPr>
        <w:pStyle w:val="H23G"/>
      </w:pPr>
      <w:r>
        <w:tab/>
      </w:r>
      <w:r>
        <w:tab/>
      </w:r>
      <w:r w:rsidR="00920F2C">
        <w:t>Équipements de protection spéciaux et précautions spéciales pour les pompiers</w:t>
      </w:r>
    </w:p>
    <w:p w14:paraId="195AFA1F" w14:textId="77777777" w:rsidR="00920F2C" w:rsidRDefault="00920F2C" w:rsidP="00E46170">
      <w:pPr>
        <w:pStyle w:val="SingleTxtG"/>
      </w:pPr>
      <w:r>
        <w:t>En cas d’incendie ou d’explosion, ne pas respirer les fumées. En cas d’incendie : Porter un appareil respiratoire autonome. Porter des vêtements de protection. Éviter tout contact avec les yeux, la peau et les vêtements.</w:t>
      </w:r>
    </w:p>
    <w:p w14:paraId="01B36F10" w14:textId="34346EAD" w:rsidR="008146E7" w:rsidRPr="008146E7" w:rsidRDefault="00920F2C" w:rsidP="00FA688A">
      <w:pPr>
        <w:pStyle w:val="SingleTxtG"/>
        <w:tabs>
          <w:tab w:val="clear" w:pos="1701"/>
        </w:tabs>
        <w:ind w:left="1985" w:hanging="851"/>
        <w:rPr>
          <w:bCs/>
        </w:rPr>
      </w:pPr>
      <w:r w:rsidRPr="008146E7">
        <w:rPr>
          <w:bCs/>
        </w:rPr>
        <w:t>6.1.2</w:t>
      </w:r>
      <w:r w:rsidR="00FA688A">
        <w:rPr>
          <w:bCs/>
        </w:rPr>
        <w:tab/>
      </w:r>
      <w:r w:rsidRPr="008146E7">
        <w:rPr>
          <w:bCs/>
        </w:rPr>
        <w:t>Fuite de matière</w:t>
      </w:r>
    </w:p>
    <w:p w14:paraId="523A292A" w14:textId="4DBD3D72" w:rsidR="00920F2C" w:rsidRPr="00572C2C" w:rsidRDefault="008146E7" w:rsidP="00421B7C">
      <w:pPr>
        <w:pStyle w:val="H23G"/>
      </w:pPr>
      <w:r>
        <w:rPr>
          <w:b w:val="0"/>
        </w:rPr>
        <w:tab/>
      </w:r>
      <w:r>
        <w:rPr>
          <w:b w:val="0"/>
        </w:rPr>
        <w:tab/>
      </w:r>
      <w:r w:rsidR="00920F2C">
        <w:t>Précautions individuelles, équipement de protection et procédures d’urgence</w:t>
      </w:r>
    </w:p>
    <w:p w14:paraId="1C4A090D" w14:textId="7EB515CF" w:rsidR="00920F2C" w:rsidRDefault="00920F2C" w:rsidP="008146E7">
      <w:pPr>
        <w:pStyle w:val="SingleTxtG"/>
      </w:pPr>
      <w:r>
        <w:t>Éviter la formation de poussière. Ne pas respirer les poussières/fumées/gaz/</w:t>
      </w:r>
      <w:r w:rsidR="008146E7">
        <w:t xml:space="preserve"> </w:t>
      </w:r>
      <w:r>
        <w:t xml:space="preserve">brouillards/vapeurs/aérosols. Ne pas ingérer. Éviter tout contact avec les yeux, la peau ou les vêtements. Porter des vêtements de protection. </w:t>
      </w:r>
    </w:p>
    <w:p w14:paraId="5F49F490" w14:textId="59AEF8CA" w:rsidR="00920F2C" w:rsidRPr="00572C2C" w:rsidRDefault="008146E7" w:rsidP="00421B7C">
      <w:pPr>
        <w:pStyle w:val="H23G"/>
      </w:pPr>
      <w:r>
        <w:tab/>
      </w:r>
      <w:r>
        <w:tab/>
      </w:r>
      <w:r w:rsidR="00920F2C">
        <w:t>Précautions relatives à l’environnement</w:t>
      </w:r>
    </w:p>
    <w:p w14:paraId="33382509" w14:textId="77777777" w:rsidR="00920F2C" w:rsidRDefault="00920F2C" w:rsidP="00E46170">
      <w:pPr>
        <w:pStyle w:val="SingleTxtG"/>
      </w:pPr>
      <w:r>
        <w:t>Empêcher toute autre fuite ou tout autre déversement s’il est possible de le faire en toute sécurité. Empêcher le produit de pénétrer dans les conduits d’écoulement. Les autorités locales doivent être informées en cas de déversements importants impossibles à confiner. Ne pas évacuer vers les eaux de surface ou le réseau d’égouts.</w:t>
      </w:r>
    </w:p>
    <w:p w14:paraId="0BF19341" w14:textId="00147469" w:rsidR="00920F2C" w:rsidRPr="00572C2C" w:rsidRDefault="008146E7" w:rsidP="00421B7C">
      <w:pPr>
        <w:pStyle w:val="H23G"/>
      </w:pPr>
      <w:r>
        <w:lastRenderedPageBreak/>
        <w:tab/>
      </w:r>
      <w:r>
        <w:tab/>
      </w:r>
      <w:r w:rsidR="00920F2C">
        <w:t>Méthodes et matériaux pour l’isolation et le nettoyage</w:t>
      </w:r>
    </w:p>
    <w:p w14:paraId="4DAAD4F1" w14:textId="27C51C16" w:rsidR="00920F2C" w:rsidRDefault="00920F2C" w:rsidP="00E46170">
      <w:pPr>
        <w:pStyle w:val="SingleTxtG"/>
      </w:pPr>
      <w:r>
        <w:t>Confiner et recueillir le produit répandu avec un matériau absorbant non combustible (par exemple, du sable, de la terre, de la terre de diatomées, de la vermiculite). Placer dans un récipient et éliminer conformément aux réglementations locales ou nationales (voir sect</w:t>
      </w:r>
      <w:r w:rsidR="008146E7">
        <w:t>. </w:t>
      </w:r>
      <w:r>
        <w:t>13).</w:t>
      </w:r>
    </w:p>
    <w:p w14:paraId="2DB80176" w14:textId="778FDA37" w:rsidR="00920F2C" w:rsidRPr="00572C2C" w:rsidRDefault="008146E7" w:rsidP="00421B7C">
      <w:pPr>
        <w:pStyle w:val="H23G"/>
      </w:pPr>
      <w:r>
        <w:tab/>
      </w:r>
      <w:r>
        <w:tab/>
      </w:r>
      <w:r w:rsidR="00920F2C">
        <w:t>Méthodes de nettoyage</w:t>
      </w:r>
    </w:p>
    <w:p w14:paraId="77C54388" w14:textId="64B359C7" w:rsidR="00920F2C" w:rsidRPr="00572C2C" w:rsidRDefault="00920F2C" w:rsidP="008146E7">
      <w:pPr>
        <w:pStyle w:val="SingleTxtG"/>
      </w:pPr>
      <w:r>
        <w:t>Balayer et transférer dans des conteneurs correctement étiquetés. Éponger avec un matériau absorbant inerte. Nettoyer soigneusement la surface contaminée. Conserver les eaux de lavage au même titre que les déchets contaminés.</w:t>
      </w:r>
    </w:p>
    <w:p w14:paraId="65BCA4FA" w14:textId="77777777" w:rsidR="00920F2C" w:rsidRPr="00704001" w:rsidRDefault="00920F2C" w:rsidP="00FD64CC">
      <w:pPr>
        <w:pStyle w:val="SingleTxtG"/>
        <w:tabs>
          <w:tab w:val="clear" w:pos="1701"/>
        </w:tabs>
        <w:ind w:left="1985" w:hanging="851"/>
      </w:pPr>
      <w:r>
        <w:t>6.2</w:t>
      </w:r>
      <w:r>
        <w:tab/>
        <w:t>Est-il prévu de transporter la matière en</w:t>
      </w:r>
    </w:p>
    <w:p w14:paraId="1111EC4E" w14:textId="5C854647" w:rsidR="00920F2C" w:rsidRPr="00704001" w:rsidRDefault="00920F2C" w:rsidP="00F920D3">
      <w:pPr>
        <w:pStyle w:val="SingleTxtG"/>
        <w:ind w:left="2836" w:hanging="851"/>
        <w:rPr>
          <w:strike/>
        </w:rPr>
      </w:pPr>
      <w:r>
        <w:t>6.2.1</w:t>
      </w:r>
      <w:r>
        <w:tab/>
        <w:t>Conteneurs pour vrac (cf. 6.8</w:t>
      </w:r>
      <w:r w:rsidRPr="00AD6F77">
        <w:rPr>
          <w:b/>
          <w:bCs/>
          <w:sz w:val="18"/>
          <w:szCs w:val="18"/>
          <w:vertAlign w:val="superscript"/>
        </w:rPr>
        <w:t>1</w:t>
      </w:r>
      <w:r>
        <w:t>)</w:t>
      </w:r>
      <w:r w:rsidR="001D7CD1">
        <w:t> </w:t>
      </w:r>
      <w:r>
        <w:t>?</w:t>
      </w:r>
    </w:p>
    <w:p w14:paraId="77A32BDF" w14:textId="38CB6A61" w:rsidR="00920F2C" w:rsidRPr="00704001" w:rsidRDefault="00920F2C" w:rsidP="00F920D3">
      <w:pPr>
        <w:pStyle w:val="SingleTxtG"/>
        <w:ind w:left="2836" w:hanging="851"/>
      </w:pPr>
      <w:r>
        <w:t>6.2.2</w:t>
      </w:r>
      <w:r>
        <w:tab/>
        <w:t>Grands récipients pour vrac (cf. 6.5</w:t>
      </w:r>
      <w:r w:rsidRPr="00AD6F77">
        <w:rPr>
          <w:b/>
          <w:bCs/>
          <w:sz w:val="18"/>
          <w:szCs w:val="18"/>
          <w:vertAlign w:val="superscript"/>
        </w:rPr>
        <w:t>1</w:t>
      </w:r>
      <w:r>
        <w:t>)</w:t>
      </w:r>
      <w:r w:rsidR="001D7CD1">
        <w:t> </w:t>
      </w:r>
      <w:r>
        <w:t xml:space="preserve">? </w:t>
      </w:r>
    </w:p>
    <w:p w14:paraId="49D70B6A" w14:textId="33902BE3" w:rsidR="00920F2C" w:rsidRPr="00704001" w:rsidRDefault="00920F2C" w:rsidP="00F920D3">
      <w:pPr>
        <w:pStyle w:val="SingleTxtG"/>
        <w:ind w:left="2836" w:hanging="851"/>
        <w:rPr>
          <w:strike/>
        </w:rPr>
      </w:pPr>
      <w:r>
        <w:t>6.2.3</w:t>
      </w:r>
      <w:r>
        <w:tab/>
        <w:t>Citernes mobiles (6.7</w:t>
      </w:r>
      <w:r w:rsidRPr="00AD6F77">
        <w:rPr>
          <w:sz w:val="18"/>
          <w:szCs w:val="18"/>
          <w:vertAlign w:val="superscript"/>
        </w:rPr>
        <w:t>1</w:t>
      </w:r>
      <w:r>
        <w:t>)</w:t>
      </w:r>
      <w:r w:rsidR="001D7CD1">
        <w:t> </w:t>
      </w:r>
      <w:r>
        <w:t xml:space="preserve">? </w:t>
      </w:r>
    </w:p>
    <w:p w14:paraId="59DDAFA8" w14:textId="6D1B9803" w:rsidR="00920F2C" w:rsidRPr="00704001" w:rsidRDefault="00920F2C" w:rsidP="00AD6F77">
      <w:pPr>
        <w:pStyle w:val="SingleTxtG"/>
        <w:ind w:left="1985"/>
      </w:pPr>
      <w:r>
        <w:t>Si la réponse est affirmative, donner des précisions dans les sections</w:t>
      </w:r>
      <w:r w:rsidR="001D7CD1">
        <w:t> </w:t>
      </w:r>
      <w:r>
        <w:t>7, 8 ou 9 ci</w:t>
      </w:r>
      <w:r w:rsidR="00AD6F77">
        <w:noBreakHyphen/>
      </w:r>
      <w:r>
        <w:t>dessous, respectivement.</w:t>
      </w:r>
    </w:p>
    <w:p w14:paraId="28A8AB2E" w14:textId="5B9C71FA" w:rsidR="00920F2C" w:rsidRDefault="00AD6F77" w:rsidP="00AD6F77">
      <w:pPr>
        <w:pStyle w:val="H23G"/>
      </w:pPr>
      <w:r>
        <w:tab/>
      </w:r>
      <w:r>
        <w:tab/>
      </w:r>
      <w:r w:rsidR="00920F2C">
        <w:t>Section 7</w:t>
      </w:r>
      <w:r>
        <w:br/>
      </w:r>
      <w:r w:rsidR="00920F2C">
        <w:t>CONTENEURS POUR VRAC (à ne remplir que si la réponse sous 6.2.1 est « oui »)</w:t>
      </w:r>
    </w:p>
    <w:p w14:paraId="69BBD3CF" w14:textId="77777777" w:rsidR="00920F2C" w:rsidRDefault="00920F2C" w:rsidP="00FD64CC">
      <w:pPr>
        <w:pStyle w:val="SingleTxtG"/>
        <w:tabs>
          <w:tab w:val="clear" w:pos="1701"/>
        </w:tabs>
        <w:ind w:left="1985" w:hanging="851"/>
      </w:pPr>
      <w:r>
        <w:t>7.1</w:t>
      </w:r>
      <w:r>
        <w:tab/>
        <w:t xml:space="preserve">Type(s) proposé(s)  </w:t>
      </w:r>
    </w:p>
    <w:p w14:paraId="65B98CB4" w14:textId="30BA3A9F" w:rsidR="00920F2C" w:rsidRDefault="00AD6F77" w:rsidP="00AD6F77">
      <w:pPr>
        <w:pStyle w:val="H23G"/>
      </w:pPr>
      <w:r>
        <w:tab/>
      </w:r>
      <w:r>
        <w:tab/>
      </w:r>
      <w:r w:rsidR="00920F2C">
        <w:t>Section 8</w:t>
      </w:r>
      <w:r>
        <w:br/>
      </w:r>
      <w:r w:rsidR="00920F2C">
        <w:t xml:space="preserve">TRANSPORT EN GRANDS RÉCIPIENTS POUR VRAC (GRV) </w:t>
      </w:r>
      <w:r>
        <w:br/>
      </w:r>
      <w:r w:rsidR="00920F2C">
        <w:t>(à ne remplir que si la réponse sous 6.2.2 est « oui »)</w:t>
      </w:r>
    </w:p>
    <w:p w14:paraId="1A57D3CC" w14:textId="77777777" w:rsidR="00920F2C" w:rsidRDefault="00920F2C" w:rsidP="00FD64CC">
      <w:pPr>
        <w:pStyle w:val="SingleTxtG"/>
        <w:tabs>
          <w:tab w:val="clear" w:pos="1701"/>
        </w:tabs>
        <w:ind w:left="1985" w:hanging="851"/>
      </w:pPr>
      <w:r>
        <w:t>8.1</w:t>
      </w:r>
      <w:r>
        <w:tab/>
        <w:t xml:space="preserve">Type(s) proposé(s)  </w:t>
      </w:r>
    </w:p>
    <w:p w14:paraId="3664FCFF" w14:textId="7D625016" w:rsidR="00920F2C" w:rsidRDefault="00AD6F77" w:rsidP="00AD6F77">
      <w:pPr>
        <w:pStyle w:val="H23G"/>
      </w:pPr>
      <w:r>
        <w:tab/>
      </w:r>
      <w:r>
        <w:tab/>
      </w:r>
      <w:r w:rsidR="00920F2C">
        <w:t>Section 9</w:t>
      </w:r>
      <w:r>
        <w:br/>
      </w:r>
      <w:r w:rsidR="00920F2C">
        <w:t xml:space="preserve">TRANSPORT EN CITERNES MOBILES </w:t>
      </w:r>
      <w:r w:rsidR="006F4A9C">
        <w:br/>
      </w:r>
      <w:r w:rsidR="00920F2C">
        <w:t>(à ne remplir que si la réponse sous 6.2.3 est « oui »)</w:t>
      </w:r>
    </w:p>
    <w:p w14:paraId="5B4A8BD7" w14:textId="18260D2D" w:rsidR="00920F2C" w:rsidRPr="00704001" w:rsidRDefault="00920F2C" w:rsidP="00FD64CC">
      <w:pPr>
        <w:pStyle w:val="SingleTxtG"/>
        <w:tabs>
          <w:tab w:val="clear" w:pos="1701"/>
        </w:tabs>
        <w:ind w:left="1985" w:hanging="851"/>
      </w:pPr>
      <w:r>
        <w:t>9.1</w:t>
      </w:r>
      <w:r>
        <w:tab/>
        <w:t>Description de la citerne mobile prévue (y compris le type de citerne OMI s’il est connu)</w:t>
      </w:r>
    </w:p>
    <w:p w14:paraId="55E3A2B4" w14:textId="1AA0A15C" w:rsidR="00920F2C" w:rsidRPr="00704001" w:rsidRDefault="00920F2C" w:rsidP="00FD64CC">
      <w:pPr>
        <w:pStyle w:val="SingleTxtG"/>
        <w:tabs>
          <w:tab w:val="clear" w:pos="1701"/>
        </w:tabs>
        <w:ind w:left="1985" w:hanging="851"/>
      </w:pPr>
      <w:r>
        <w:t>9.2</w:t>
      </w:r>
      <w:r>
        <w:tab/>
        <w:t>Pression minimale d’épreuve</w:t>
      </w:r>
    </w:p>
    <w:p w14:paraId="18E5A6F0" w14:textId="7770D9BA" w:rsidR="00920F2C" w:rsidRPr="00704001" w:rsidRDefault="00920F2C" w:rsidP="00FD64CC">
      <w:pPr>
        <w:pStyle w:val="SingleTxtG"/>
        <w:tabs>
          <w:tab w:val="clear" w:pos="1701"/>
        </w:tabs>
        <w:ind w:left="1985" w:hanging="851"/>
      </w:pPr>
      <w:r>
        <w:t>9.3</w:t>
      </w:r>
      <w:r>
        <w:tab/>
        <w:t>Épaisseur minimale du réservoir</w:t>
      </w:r>
    </w:p>
    <w:p w14:paraId="3D420CF8" w14:textId="3CFEABEB" w:rsidR="00920F2C" w:rsidRPr="00704001" w:rsidRDefault="00920F2C" w:rsidP="00FD64CC">
      <w:pPr>
        <w:pStyle w:val="SingleTxtG"/>
        <w:tabs>
          <w:tab w:val="clear" w:pos="1701"/>
        </w:tabs>
        <w:ind w:left="1985" w:hanging="851"/>
      </w:pPr>
      <w:r>
        <w:t>9.4</w:t>
      </w:r>
      <w:r>
        <w:tab/>
        <w:t>Caractéristiques des orifices de vidange par le bas, s’ils existent</w:t>
      </w:r>
    </w:p>
    <w:p w14:paraId="29F86062" w14:textId="19672EC3" w:rsidR="00920F2C" w:rsidRPr="00704001" w:rsidRDefault="00920F2C" w:rsidP="00C22E78">
      <w:pPr>
        <w:pStyle w:val="SingleTxtG"/>
        <w:tabs>
          <w:tab w:val="clear" w:pos="1701"/>
        </w:tabs>
        <w:ind w:left="1985" w:hanging="851"/>
        <w:rPr>
          <w:b/>
        </w:rPr>
      </w:pPr>
      <w:r>
        <w:t>9.5</w:t>
      </w:r>
      <w:r>
        <w:tab/>
        <w:t>Dispositifs de décompression</w:t>
      </w:r>
    </w:p>
    <w:p w14:paraId="389664B9" w14:textId="123988AA" w:rsidR="00920F2C" w:rsidRPr="00704001" w:rsidRDefault="00920F2C" w:rsidP="00B077E6">
      <w:pPr>
        <w:pStyle w:val="SingleTxtG"/>
        <w:tabs>
          <w:tab w:val="clear" w:pos="1701"/>
          <w:tab w:val="right" w:leader="dot" w:pos="8505"/>
        </w:tabs>
        <w:ind w:left="1985" w:hanging="851"/>
      </w:pPr>
      <w:r>
        <w:t>9.6</w:t>
      </w:r>
      <w:r>
        <w:tab/>
        <w:t xml:space="preserve">Taux de remplissage </w:t>
      </w:r>
      <w:r w:rsidR="00B077E6">
        <w:tab/>
      </w:r>
    </w:p>
    <w:p w14:paraId="7CA2CDDE" w14:textId="58A2AB6F" w:rsidR="00920F2C" w:rsidRPr="00704001" w:rsidRDefault="00920F2C" w:rsidP="00B077E6">
      <w:pPr>
        <w:pStyle w:val="SingleTxtG"/>
        <w:tabs>
          <w:tab w:val="clear" w:pos="1701"/>
          <w:tab w:val="right" w:leader="dot" w:pos="8505"/>
        </w:tabs>
        <w:ind w:left="1985" w:hanging="851"/>
      </w:pPr>
      <w:r w:rsidRPr="00704001">
        <w:t>9.7</w:t>
      </w:r>
      <w:r w:rsidRPr="00704001">
        <w:tab/>
      </w:r>
      <w:r>
        <w:t>Matériaux à ne pas utiliser pour la</w:t>
      </w:r>
      <w:r w:rsidR="00FD64CC">
        <w:t xml:space="preserve"> </w:t>
      </w:r>
      <w:r>
        <w:t>construction</w:t>
      </w:r>
      <w:r w:rsidR="00B077E6">
        <w:t xml:space="preserve"> </w:t>
      </w:r>
      <w:r w:rsidR="00B077E6">
        <w:tab/>
      </w:r>
    </w:p>
    <w:p w14:paraId="47CB4634" w14:textId="77777777" w:rsidR="00905E3B" w:rsidRDefault="00905E3B" w:rsidP="00920F2C">
      <w:pPr>
        <w:suppressAutoHyphens w:val="0"/>
        <w:kinsoku/>
        <w:overflowPunct/>
        <w:autoSpaceDE/>
        <w:autoSpaceDN/>
        <w:adjustRightInd/>
        <w:snapToGrid/>
        <w:spacing w:after="200" w:line="276" w:lineRule="auto"/>
        <w:rPr>
          <w:u w:val="single"/>
        </w:rPr>
      </w:pPr>
    </w:p>
    <w:p w14:paraId="5D323564" w14:textId="0B293B0E" w:rsidR="00A837A9" w:rsidRDefault="00A837A9" w:rsidP="00920F2C">
      <w:pPr>
        <w:suppressAutoHyphens w:val="0"/>
        <w:kinsoku/>
        <w:overflowPunct/>
        <w:autoSpaceDE/>
        <w:autoSpaceDN/>
        <w:adjustRightInd/>
        <w:snapToGrid/>
        <w:spacing w:after="200" w:line="276" w:lineRule="auto"/>
        <w:rPr>
          <w:u w:val="single"/>
        </w:rPr>
        <w:sectPr w:rsidR="00A837A9" w:rsidSect="00710121">
          <w:headerReference w:type="even" r:id="rId29"/>
          <w:headerReference w:type="first" r:id="rId30"/>
          <w:footnotePr>
            <w:numRestart w:val="eachSect"/>
          </w:footnotePr>
          <w:endnotePr>
            <w:numFmt w:val="decimal"/>
          </w:endnotePr>
          <w:pgSz w:w="11906" w:h="16838" w:code="9"/>
          <w:pgMar w:top="1417" w:right="1134" w:bottom="1134" w:left="1134" w:header="850" w:footer="567" w:gutter="0"/>
          <w:cols w:space="708"/>
          <w:docGrid w:linePitch="360"/>
        </w:sectPr>
      </w:pPr>
    </w:p>
    <w:p w14:paraId="57D8D62E" w14:textId="77777777" w:rsidR="00920F2C" w:rsidRPr="00704001" w:rsidRDefault="00920F2C" w:rsidP="00905E3B">
      <w:pPr>
        <w:pStyle w:val="HChG"/>
      </w:pPr>
      <w:r>
        <w:lastRenderedPageBreak/>
        <w:t>Annexe IV</w:t>
      </w:r>
    </w:p>
    <w:p w14:paraId="4924CAE4" w14:textId="77777777" w:rsidR="00CC515C" w:rsidRPr="009A78F1" w:rsidRDefault="00CC515C" w:rsidP="00CC515C">
      <w:pPr>
        <w:pStyle w:val="HChG"/>
      </w:pPr>
      <w:r>
        <w:tab/>
      </w:r>
      <w:r>
        <w:tab/>
        <w:t xml:space="preserve">Formule de renseignements à communiquer à l’ONU </w:t>
      </w:r>
      <w:r>
        <w:br/>
        <w:t>en vue du classement ou du reclassement d’une matière</w:t>
      </w:r>
    </w:p>
    <w:p w14:paraId="23885FDA" w14:textId="77777777" w:rsidR="00CC515C" w:rsidRDefault="00CC515C" w:rsidP="00CC515C">
      <w:pPr>
        <w:pStyle w:val="SingleTxtG"/>
        <w:tabs>
          <w:tab w:val="left" w:pos="6523"/>
        </w:tabs>
        <w:rPr>
          <w:b/>
        </w:rPr>
      </w:pPr>
      <w:r>
        <w:t>Soumise par : SACHEM</w:t>
      </w:r>
      <w:r>
        <w:tab/>
        <w:t>Date : 2 novembre 2021</w:t>
      </w:r>
    </w:p>
    <w:p w14:paraId="4EB6D342" w14:textId="6F17A6DF" w:rsidR="00920F2C" w:rsidRDefault="00920F2C" w:rsidP="00CC515C">
      <w:pPr>
        <w:pStyle w:val="SingleTxtG"/>
      </w:pPr>
      <w:r>
        <w:t xml:space="preserve">Fournir tous les renseignements pertinents, y compris les sources des principales données relatives au classement. Les données doivent se rapporter au produit tel qu’il est présenté au transport. Indiquer les méthodes d’essai. Répondre à toutes les questions </w:t>
      </w:r>
      <w:r w:rsidR="006D5357">
        <w:t>−</w:t>
      </w:r>
      <w:r>
        <w:t xml:space="preserve"> le cas échéant, répondre « non connu » ou « sans objet » </w:t>
      </w:r>
      <w:r w:rsidR="006D5357">
        <w:t>−</w:t>
      </w:r>
      <w:r>
        <w:t xml:space="preserve"> Si les renseignements ne sont pas disponibles sous la forme requise, fournir toute autre information dont on dispose, avec les commentaires nécessaires. Biffer les mentions inutiles.</w:t>
      </w:r>
    </w:p>
    <w:p w14:paraId="56D3651D" w14:textId="0C66A4C0" w:rsidR="00920F2C" w:rsidRDefault="00D81C55" w:rsidP="00D81C55">
      <w:pPr>
        <w:pStyle w:val="H23G"/>
        <w:rPr>
          <w:bCs/>
        </w:rPr>
      </w:pPr>
      <w:r>
        <w:tab/>
      </w:r>
      <w:r>
        <w:tab/>
      </w:r>
      <w:r w:rsidR="00920F2C">
        <w:t>Section 1</w:t>
      </w:r>
      <w:r>
        <w:br/>
      </w:r>
      <w:r w:rsidR="00920F2C">
        <w:t>IDENTIFICATION DE LA MATIÈRE</w:t>
      </w:r>
    </w:p>
    <w:p w14:paraId="06DAF716" w14:textId="77777777" w:rsidR="00920F2C" w:rsidRPr="00704001" w:rsidRDefault="00920F2C" w:rsidP="00F80632">
      <w:pPr>
        <w:pStyle w:val="SingleTxtG"/>
        <w:tabs>
          <w:tab w:val="clear" w:pos="1701"/>
        </w:tabs>
        <w:ind w:left="1985" w:hanging="851"/>
      </w:pPr>
      <w:r w:rsidRPr="00704001">
        <w:t>1.4</w:t>
      </w:r>
      <w:r w:rsidRPr="00704001">
        <w:tab/>
      </w:r>
      <w:r>
        <w:t>Nom chimique</w:t>
      </w:r>
    </w:p>
    <w:p w14:paraId="1945A989" w14:textId="77777777" w:rsidR="00920F2C" w:rsidRPr="00704001" w:rsidRDefault="00920F2C" w:rsidP="00D81C55">
      <w:pPr>
        <w:pStyle w:val="SingleTxtG"/>
        <w:ind w:left="1985"/>
        <w:rPr>
          <w:b/>
        </w:rPr>
      </w:pPr>
      <w:r>
        <w:rPr>
          <w:b/>
        </w:rPr>
        <w:t xml:space="preserve">Hydroxyde de tétraméthylammonium en solution </w:t>
      </w:r>
    </w:p>
    <w:p w14:paraId="2085BC7F" w14:textId="58CB1937" w:rsidR="00920F2C" w:rsidRPr="00802DFB" w:rsidRDefault="00920F2C" w:rsidP="00F80632">
      <w:pPr>
        <w:pStyle w:val="SingleTxtG"/>
        <w:tabs>
          <w:tab w:val="clear" w:pos="1701"/>
        </w:tabs>
        <w:ind w:left="1985" w:hanging="851"/>
      </w:pPr>
      <w:r w:rsidRPr="00802DFB">
        <w:t>1.5</w:t>
      </w:r>
      <w:r w:rsidRPr="00802DFB">
        <w:tab/>
      </w:r>
      <w:r>
        <w:t xml:space="preserve">Formule chimique </w:t>
      </w:r>
    </w:p>
    <w:p w14:paraId="459D11CD" w14:textId="77777777" w:rsidR="00920F2C" w:rsidRPr="00C54DDF" w:rsidRDefault="00920F2C" w:rsidP="00D81C55">
      <w:pPr>
        <w:pStyle w:val="SingleTxtG"/>
        <w:ind w:left="1985"/>
        <w:rPr>
          <w:rFonts w:asciiTheme="majorBidi" w:hAnsiTheme="majorBidi" w:cstheme="majorBidi"/>
          <w:b/>
        </w:rPr>
      </w:pPr>
      <w:r>
        <w:rPr>
          <w:rFonts w:asciiTheme="majorBidi" w:hAnsiTheme="majorBidi"/>
          <w:b/>
        </w:rPr>
        <w:t>C4H12N.HO</w:t>
      </w:r>
    </w:p>
    <w:p w14:paraId="35C0D21F" w14:textId="77777777" w:rsidR="00920F2C" w:rsidRPr="00704001" w:rsidRDefault="00920F2C" w:rsidP="00F80632">
      <w:pPr>
        <w:pStyle w:val="SingleTxtG"/>
        <w:tabs>
          <w:tab w:val="clear" w:pos="1701"/>
        </w:tabs>
        <w:ind w:left="1985" w:hanging="851"/>
        <w:rPr>
          <w:b/>
        </w:rPr>
      </w:pPr>
      <w:r w:rsidRPr="00704001">
        <w:rPr>
          <w:b/>
        </w:rPr>
        <w:t>1.6</w:t>
      </w:r>
      <w:r w:rsidRPr="00704001">
        <w:rPr>
          <w:b/>
        </w:rPr>
        <w:tab/>
      </w:r>
      <w:r>
        <w:t>Autres noms/synonymes</w:t>
      </w:r>
    </w:p>
    <w:p w14:paraId="4149B146" w14:textId="77777777" w:rsidR="00920F2C" w:rsidRPr="00D81C55" w:rsidRDefault="00920F2C" w:rsidP="00D81C55">
      <w:pPr>
        <w:pStyle w:val="SingleTxtG"/>
        <w:ind w:left="1985"/>
        <w:rPr>
          <w:b/>
          <w:bCs/>
        </w:rPr>
      </w:pPr>
      <w:r w:rsidRPr="00D81C55">
        <w:rPr>
          <w:b/>
          <w:bCs/>
        </w:rPr>
        <w:t>Hydroxyde de tétraméthylazanium en solution</w:t>
      </w:r>
    </w:p>
    <w:p w14:paraId="4322A53E" w14:textId="77777777" w:rsidR="00920F2C" w:rsidRPr="00704001" w:rsidRDefault="00920F2C" w:rsidP="00E376F4">
      <w:pPr>
        <w:pStyle w:val="SingleTxtG"/>
        <w:tabs>
          <w:tab w:val="clear" w:pos="1701"/>
        </w:tabs>
        <w:ind w:left="1985" w:hanging="851"/>
      </w:pPr>
      <w:r>
        <w:t>1.4.1</w:t>
      </w:r>
      <w:r>
        <w:tab/>
        <w:t xml:space="preserve">Numéro ONU </w:t>
      </w:r>
    </w:p>
    <w:p w14:paraId="232A1B0F" w14:textId="2BB03399" w:rsidR="00920F2C" w:rsidRPr="00E376F4" w:rsidRDefault="00920F2C" w:rsidP="00E376F4">
      <w:pPr>
        <w:pStyle w:val="SingleTxtG"/>
        <w:ind w:left="1985"/>
        <w:rPr>
          <w:b/>
          <w:bCs/>
        </w:rPr>
      </w:pPr>
      <w:r w:rsidRPr="00E376F4">
        <w:rPr>
          <w:b/>
          <w:bCs/>
        </w:rPr>
        <w:t>1835</w:t>
      </w:r>
    </w:p>
    <w:p w14:paraId="215CD8A1" w14:textId="77777777" w:rsidR="00920F2C" w:rsidRPr="00704001" w:rsidRDefault="00920F2C" w:rsidP="00E376F4">
      <w:pPr>
        <w:pStyle w:val="SingleTxtG"/>
        <w:tabs>
          <w:tab w:val="clear" w:pos="1701"/>
        </w:tabs>
        <w:ind w:left="1985" w:hanging="851"/>
        <w:rPr>
          <w:b/>
        </w:rPr>
      </w:pPr>
      <w:r>
        <w:t>1.4.2</w:t>
      </w:r>
      <w:r>
        <w:tab/>
        <w:t xml:space="preserve">Numéro CAS </w:t>
      </w:r>
    </w:p>
    <w:p w14:paraId="01EF6B96" w14:textId="63000A49" w:rsidR="00920F2C" w:rsidRPr="00E376F4" w:rsidRDefault="00920F2C" w:rsidP="00E376F4">
      <w:pPr>
        <w:pStyle w:val="SingleTxtG"/>
        <w:ind w:left="1985"/>
        <w:rPr>
          <w:b/>
          <w:bCs/>
        </w:rPr>
      </w:pPr>
      <w:r w:rsidRPr="00E376F4">
        <w:rPr>
          <w:b/>
          <w:bCs/>
        </w:rPr>
        <w:t>75-59-2</w:t>
      </w:r>
    </w:p>
    <w:p w14:paraId="58FF1DD3" w14:textId="77777777" w:rsidR="00920F2C" w:rsidRPr="00704001" w:rsidRDefault="00920F2C" w:rsidP="00F80632">
      <w:pPr>
        <w:pStyle w:val="SingleTxtG"/>
        <w:tabs>
          <w:tab w:val="clear" w:pos="1701"/>
        </w:tabs>
        <w:ind w:left="1985" w:hanging="851"/>
        <w:rPr>
          <w:b/>
        </w:rPr>
      </w:pPr>
      <w:r>
        <w:t>1.5</w:t>
      </w:r>
      <w:r>
        <w:tab/>
        <w:t>Classement proposé dans les Recommandations</w:t>
      </w:r>
    </w:p>
    <w:p w14:paraId="4E281AAB" w14:textId="5993AC2F" w:rsidR="00920F2C" w:rsidRDefault="00920F2C" w:rsidP="00E376F4">
      <w:pPr>
        <w:pStyle w:val="SingleTxtG"/>
        <w:tabs>
          <w:tab w:val="right" w:leader="dot" w:pos="8505"/>
        </w:tabs>
        <w:ind w:left="2836" w:hanging="851"/>
      </w:pPr>
      <w:r>
        <w:t>1.5.1</w:t>
      </w:r>
      <w:r w:rsidR="00651412">
        <w:tab/>
      </w:r>
      <w:r>
        <w:t>Désignation officielle de transport (cf. 3.1.2</w:t>
      </w:r>
      <w:r w:rsidR="000558B7">
        <w:rPr>
          <w:rStyle w:val="FootnoteReference"/>
        </w:rPr>
        <w:footnoteReference w:id="10"/>
      </w:r>
      <w:r>
        <w:t xml:space="preserve">) </w:t>
      </w:r>
    </w:p>
    <w:p w14:paraId="7393FBFE" w14:textId="77777777" w:rsidR="00920F2C" w:rsidRPr="00651412" w:rsidRDefault="00920F2C" w:rsidP="00651412">
      <w:pPr>
        <w:pStyle w:val="SingleTxtG"/>
        <w:ind w:left="1985"/>
        <w:rPr>
          <w:b/>
          <w:bCs/>
        </w:rPr>
      </w:pPr>
      <w:r w:rsidRPr="00651412">
        <w:rPr>
          <w:b/>
          <w:bCs/>
        </w:rPr>
        <w:t>Hydroxyde de tétraméthylammonium en solution</w:t>
      </w:r>
    </w:p>
    <w:p w14:paraId="0F37325E" w14:textId="77777777" w:rsidR="00920F2C" w:rsidRDefault="00920F2C" w:rsidP="002A27D9">
      <w:pPr>
        <w:pStyle w:val="SingleTxtG"/>
        <w:tabs>
          <w:tab w:val="right" w:leader="dot" w:pos="8505"/>
        </w:tabs>
        <w:ind w:left="2836" w:hanging="851"/>
      </w:pPr>
      <w:r>
        <w:t>1.5.2</w:t>
      </w:r>
      <w:r>
        <w:tab/>
        <w:t xml:space="preserve">Classe/division et danger(s) subsidiaire(s)  </w:t>
      </w:r>
    </w:p>
    <w:p w14:paraId="5393F3A0" w14:textId="77777777" w:rsidR="00920F2C" w:rsidRPr="00651412" w:rsidRDefault="00920F2C" w:rsidP="00651412">
      <w:pPr>
        <w:pStyle w:val="SingleTxtG"/>
        <w:ind w:left="1985"/>
        <w:rPr>
          <w:b/>
          <w:bCs/>
        </w:rPr>
      </w:pPr>
      <w:r w:rsidRPr="00651412">
        <w:rPr>
          <w:b/>
          <w:bCs/>
        </w:rPr>
        <w:t>8, groupes d’emballage II et III</w:t>
      </w:r>
    </w:p>
    <w:p w14:paraId="6DF612CB" w14:textId="6ECB6D76" w:rsidR="00920F2C" w:rsidRPr="00704001" w:rsidRDefault="00920F2C" w:rsidP="002A27D9">
      <w:pPr>
        <w:pStyle w:val="SingleTxtG"/>
        <w:tabs>
          <w:tab w:val="right" w:leader="dot" w:pos="8505"/>
        </w:tabs>
        <w:ind w:left="2836" w:hanging="851"/>
      </w:pPr>
      <w:r>
        <w:t>1.5.3</w:t>
      </w:r>
      <w:r>
        <w:tab/>
        <w:t>Dispositions spéciales proposées, le cas échéant</w:t>
      </w:r>
    </w:p>
    <w:p w14:paraId="143BF580" w14:textId="6220EF1C" w:rsidR="00920F2C" w:rsidRDefault="00920F2C" w:rsidP="002A27D9">
      <w:pPr>
        <w:pStyle w:val="SingleTxtG"/>
        <w:tabs>
          <w:tab w:val="right" w:leader="dot" w:pos="8505"/>
        </w:tabs>
        <w:ind w:left="2836" w:hanging="851"/>
      </w:pPr>
      <w:r>
        <w:t>1.5.4</w:t>
      </w:r>
      <w:r>
        <w:tab/>
        <w:t>Méthode d’emballage proposée</w:t>
      </w:r>
    </w:p>
    <w:p w14:paraId="5B45FDCC" w14:textId="3CB2D746" w:rsidR="00920F2C" w:rsidRDefault="00196086" w:rsidP="00196086">
      <w:pPr>
        <w:pStyle w:val="H23G"/>
        <w:rPr>
          <w:bCs/>
        </w:rPr>
      </w:pPr>
      <w:r>
        <w:tab/>
      </w:r>
      <w:r>
        <w:tab/>
      </w:r>
      <w:r w:rsidR="00920F2C">
        <w:t>Section 2</w:t>
      </w:r>
      <w:r>
        <w:br/>
      </w:r>
      <w:r w:rsidR="00920F2C">
        <w:t>PROPRIÉTÉS PHYSIQUES</w:t>
      </w:r>
    </w:p>
    <w:p w14:paraId="27267432" w14:textId="7044767A" w:rsidR="00920F2C" w:rsidRPr="00704001" w:rsidRDefault="00920F2C" w:rsidP="0081107A">
      <w:pPr>
        <w:pStyle w:val="SingleTxtG"/>
        <w:tabs>
          <w:tab w:val="clear" w:pos="1701"/>
        </w:tabs>
        <w:ind w:left="1985" w:hanging="851"/>
      </w:pPr>
      <w:r>
        <w:t>2.1</w:t>
      </w:r>
      <w:r>
        <w:tab/>
        <w:t>Point ou plage de fusion ...........</w:t>
      </w:r>
      <w:r w:rsidR="0036240F">
        <w:t xml:space="preserve"> </w:t>
      </w:r>
      <w:r w:rsidRPr="00754CF9">
        <w:rPr>
          <w:b/>
          <w:bCs/>
        </w:rPr>
        <w:t>63 à 70 °C (solide)</w:t>
      </w:r>
    </w:p>
    <w:p w14:paraId="09446A06" w14:textId="0D82275A" w:rsidR="00920F2C" w:rsidRPr="00704001" w:rsidRDefault="00920F2C" w:rsidP="0081107A">
      <w:pPr>
        <w:pStyle w:val="SingleTxtG"/>
        <w:tabs>
          <w:tab w:val="clear" w:pos="1701"/>
        </w:tabs>
        <w:ind w:left="1985" w:hanging="851"/>
      </w:pPr>
      <w:r>
        <w:t>2.2</w:t>
      </w:r>
      <w:r>
        <w:tab/>
        <w:t>Point ou plage d</w:t>
      </w:r>
      <w:r>
        <w:rPr>
          <w:b/>
        </w:rPr>
        <w:t>’</w:t>
      </w:r>
      <w:r>
        <w:t>ébullition ...........</w:t>
      </w:r>
      <w:r w:rsidR="0036240F">
        <w:t xml:space="preserve"> </w:t>
      </w:r>
      <w:r w:rsidRPr="00754CF9">
        <w:rPr>
          <w:b/>
          <w:bCs/>
        </w:rPr>
        <w:t>environ 102 °C</w:t>
      </w:r>
    </w:p>
    <w:p w14:paraId="20A42313" w14:textId="643F6CF9" w:rsidR="00920F2C" w:rsidRPr="00704001" w:rsidRDefault="00920F2C" w:rsidP="0081107A">
      <w:pPr>
        <w:pStyle w:val="SingleTxtG"/>
        <w:tabs>
          <w:tab w:val="clear" w:pos="1701"/>
        </w:tabs>
        <w:ind w:left="1985" w:hanging="851"/>
      </w:pPr>
      <w:r>
        <w:t>2.3</w:t>
      </w:r>
      <w:r>
        <w:tab/>
        <w:t>Densité relative</w:t>
      </w:r>
      <w:r w:rsidR="003E3119">
        <w:t xml:space="preserve"> </w:t>
      </w:r>
      <w:r w:rsidR="0036240F">
        <w:t>…</w:t>
      </w:r>
      <w:r>
        <w:t xml:space="preserve"> </w:t>
      </w:r>
      <w:r>
        <w:rPr>
          <w:b/>
        </w:rPr>
        <w:t>Aucune information disponible</w:t>
      </w:r>
    </w:p>
    <w:p w14:paraId="53E260E6" w14:textId="77777777" w:rsidR="00920F2C" w:rsidRPr="00704001" w:rsidRDefault="00920F2C" w:rsidP="0081107A">
      <w:pPr>
        <w:pStyle w:val="SingleTxtG"/>
        <w:tabs>
          <w:tab w:val="clear" w:pos="1701"/>
        </w:tabs>
        <w:ind w:left="1985" w:hanging="851"/>
      </w:pPr>
      <w:r>
        <w:t>2.4</w:t>
      </w:r>
      <w:r>
        <w:tab/>
        <w:t>Pression de vapeur</w:t>
      </w:r>
    </w:p>
    <w:p w14:paraId="2EAC3EF5" w14:textId="6D7E4D76" w:rsidR="00920F2C" w:rsidRPr="00572C2C" w:rsidRDefault="00920F2C" w:rsidP="00754CF9">
      <w:pPr>
        <w:pStyle w:val="SingleTxtG"/>
        <w:tabs>
          <w:tab w:val="right" w:leader="dot" w:pos="8505"/>
        </w:tabs>
        <w:ind w:left="2836" w:hanging="851"/>
      </w:pPr>
      <w:r>
        <w:t>2.4.1</w:t>
      </w:r>
      <w:r w:rsidR="00754CF9">
        <w:tab/>
      </w:r>
      <w:r>
        <w:rPr>
          <w:rFonts w:asciiTheme="majorBidi" w:hAnsiTheme="majorBidi"/>
          <w:b/>
        </w:rPr>
        <w:t>16,0 mm Hg à 25 °C</w:t>
      </w:r>
      <w:r>
        <w:rPr>
          <w:b/>
        </w:rPr>
        <w:t xml:space="preserve"> </w:t>
      </w:r>
    </w:p>
    <w:p w14:paraId="20F809F5" w14:textId="6A330B53" w:rsidR="00920F2C" w:rsidRPr="00676F19" w:rsidRDefault="00920F2C" w:rsidP="0081107A">
      <w:pPr>
        <w:pStyle w:val="SingleTxtG"/>
        <w:tabs>
          <w:tab w:val="clear" w:pos="1701"/>
        </w:tabs>
        <w:ind w:left="1985" w:hanging="851"/>
        <w:rPr>
          <w:b/>
          <w:bCs/>
        </w:rPr>
      </w:pPr>
      <w:r>
        <w:lastRenderedPageBreak/>
        <w:t>2.5</w:t>
      </w:r>
      <w:r>
        <w:tab/>
        <w:t>Viscosité à 20 °C</w:t>
      </w:r>
      <w:r w:rsidR="00E96E30">
        <w:rPr>
          <w:rStyle w:val="FootnoteReference"/>
        </w:rPr>
        <w:footnoteReference w:id="11"/>
      </w:r>
      <w:r>
        <w:t xml:space="preserve"> ...................</w:t>
      </w:r>
      <w:r>
        <w:rPr>
          <w:rFonts w:asciiTheme="majorBidi" w:hAnsiTheme="majorBidi"/>
          <w:b/>
          <w:bCs/>
        </w:rPr>
        <w:t>3,13</w:t>
      </w:r>
      <w:r>
        <w:rPr>
          <w:rFonts w:asciiTheme="majorBidi" w:hAnsiTheme="majorBidi"/>
          <w:b/>
        </w:rPr>
        <w:t xml:space="preserve"> centipoises à 19 °C</w:t>
      </w:r>
    </w:p>
    <w:p w14:paraId="66A2C462" w14:textId="77777777" w:rsidR="00920F2C" w:rsidRPr="00754CF9" w:rsidRDefault="00920F2C" w:rsidP="0081107A">
      <w:pPr>
        <w:pStyle w:val="SingleTxtG"/>
        <w:tabs>
          <w:tab w:val="clear" w:pos="1701"/>
        </w:tabs>
        <w:ind w:left="1985" w:hanging="851"/>
        <w:rPr>
          <w:b/>
          <w:bCs/>
        </w:rPr>
      </w:pPr>
      <w:r>
        <w:t>2.6</w:t>
      </w:r>
      <w:r>
        <w:tab/>
        <w:t>Solubilité dans l</w:t>
      </w:r>
      <w:r>
        <w:rPr>
          <w:b/>
        </w:rPr>
        <w:t>’</w:t>
      </w:r>
      <w:r>
        <w:t xml:space="preserve">eau à 20 °C  </w:t>
      </w:r>
      <w:r w:rsidRPr="00754CF9">
        <w:rPr>
          <w:b/>
          <w:bCs/>
        </w:rPr>
        <w:t>(solide : 100 g/100 ml)</w:t>
      </w:r>
    </w:p>
    <w:p w14:paraId="0D54CF47" w14:textId="77777777" w:rsidR="00920F2C" w:rsidRPr="00676F19" w:rsidRDefault="00920F2C" w:rsidP="0081107A">
      <w:pPr>
        <w:pStyle w:val="SingleTxtG"/>
        <w:tabs>
          <w:tab w:val="clear" w:pos="1701"/>
        </w:tabs>
        <w:ind w:left="1985" w:hanging="851"/>
        <w:rPr>
          <w:b/>
          <w:bCs/>
        </w:rPr>
      </w:pPr>
      <w:r>
        <w:t>2.7</w:t>
      </w:r>
      <w:r>
        <w:tab/>
        <w:t>État physique à 20 °C (cf. 2.2.1.1)</w:t>
      </w:r>
      <w:r>
        <w:tab/>
      </w:r>
      <w:r>
        <w:rPr>
          <w:b/>
          <w:bCs/>
        </w:rPr>
        <w:t>liquide</w:t>
      </w:r>
    </w:p>
    <w:p w14:paraId="0D18CBED" w14:textId="77777777" w:rsidR="00102E12" w:rsidRDefault="00920F2C" w:rsidP="00102E12">
      <w:pPr>
        <w:pStyle w:val="SingleTxtG"/>
        <w:keepNext/>
        <w:tabs>
          <w:tab w:val="clear" w:pos="1701"/>
        </w:tabs>
        <w:ind w:left="1985" w:hanging="851"/>
        <w:jc w:val="left"/>
      </w:pPr>
      <w:r>
        <w:t>2.8</w:t>
      </w:r>
      <w:r>
        <w:tab/>
        <w:t>Aspect aux températures de transport normales, couleur, odeur, etc.</w:t>
      </w:r>
    </w:p>
    <w:p w14:paraId="09A08AF2" w14:textId="30E1E329" w:rsidR="00920F2C" w:rsidRPr="00102E12" w:rsidRDefault="00102E12" w:rsidP="00102E12">
      <w:pPr>
        <w:pStyle w:val="SingleTxtG"/>
        <w:tabs>
          <w:tab w:val="clear" w:pos="1701"/>
        </w:tabs>
        <w:ind w:left="1985" w:firstLine="3"/>
        <w:jc w:val="left"/>
        <w:rPr>
          <w:b/>
          <w:bCs/>
        </w:rPr>
      </w:pPr>
      <w:r w:rsidRPr="00102E12">
        <w:rPr>
          <w:b/>
          <w:bCs/>
        </w:rPr>
        <w:t>L</w:t>
      </w:r>
      <w:r w:rsidR="00920F2C" w:rsidRPr="00102E12">
        <w:rPr>
          <w:b/>
          <w:bCs/>
        </w:rPr>
        <w:t>iquide, incolore, jaune clair. Légère odeur d’amine.</w:t>
      </w:r>
    </w:p>
    <w:p w14:paraId="6EFF2992" w14:textId="77777777" w:rsidR="00920F2C" w:rsidRPr="00704001" w:rsidRDefault="00920F2C" w:rsidP="0081107A">
      <w:pPr>
        <w:pStyle w:val="SingleTxtG"/>
        <w:tabs>
          <w:tab w:val="clear" w:pos="1701"/>
        </w:tabs>
        <w:ind w:left="1985" w:hanging="851"/>
        <w:rPr>
          <w:b/>
        </w:rPr>
      </w:pPr>
      <w:r>
        <w:t>2.9</w:t>
      </w:r>
      <w:r>
        <w:tab/>
        <w:t xml:space="preserve">Autres propriétés physiques pertinentes </w:t>
      </w:r>
      <w:r w:rsidRPr="00102E12">
        <w:rPr>
          <w:b/>
          <w:bCs/>
        </w:rPr>
        <w:t>pH &gt; 13</w:t>
      </w:r>
    </w:p>
    <w:p w14:paraId="42E3A8EC" w14:textId="528D96CE" w:rsidR="00920F2C" w:rsidRPr="00704001" w:rsidRDefault="00F6769D" w:rsidP="00F6769D">
      <w:pPr>
        <w:pStyle w:val="H23G"/>
        <w:rPr>
          <w:bCs/>
        </w:rPr>
      </w:pPr>
      <w:r>
        <w:tab/>
      </w:r>
      <w:r>
        <w:tab/>
      </w:r>
      <w:r w:rsidR="00920F2C">
        <w:t>Section 3</w:t>
      </w:r>
      <w:r>
        <w:br/>
      </w:r>
      <w:r w:rsidR="00920F2C">
        <w:t xml:space="preserve">INFLAMMABILITÉ </w:t>
      </w:r>
      <w:r>
        <w:t>−</w:t>
      </w:r>
      <w:r w:rsidR="00920F2C">
        <w:t xml:space="preserve"> le produit n’est pas inflammable</w:t>
      </w:r>
    </w:p>
    <w:p w14:paraId="32D44618" w14:textId="77777777" w:rsidR="00920F2C" w:rsidRPr="00704001" w:rsidRDefault="00920F2C" w:rsidP="0081107A">
      <w:pPr>
        <w:pStyle w:val="SingleTxtG"/>
        <w:tabs>
          <w:tab w:val="clear" w:pos="1701"/>
        </w:tabs>
        <w:ind w:left="1985" w:hanging="851"/>
        <w:rPr>
          <w:b/>
        </w:rPr>
      </w:pPr>
      <w:r>
        <w:t>3.1</w:t>
      </w:r>
      <w:r>
        <w:tab/>
        <w:t>Vapeurs inflammables</w:t>
      </w:r>
    </w:p>
    <w:p w14:paraId="1491D0D3" w14:textId="207C06A0" w:rsidR="00920F2C" w:rsidRPr="00704001" w:rsidRDefault="00920F2C" w:rsidP="001A24A3">
      <w:pPr>
        <w:pStyle w:val="SingleTxtG"/>
        <w:ind w:left="2836" w:hanging="851"/>
        <w:rPr>
          <w:b/>
        </w:rPr>
      </w:pPr>
      <w:r>
        <w:t>3.1.1</w:t>
      </w:r>
      <w:r>
        <w:tab/>
        <w:t xml:space="preserve">Point d’éclair (cf. 2.3.3) </w:t>
      </w:r>
      <w:r>
        <w:rPr>
          <w:b/>
          <w:bCs/>
        </w:rPr>
        <w:t>&gt;</w:t>
      </w:r>
      <w:r w:rsidR="0036240F">
        <w:rPr>
          <w:b/>
          <w:bCs/>
        </w:rPr>
        <w:t xml:space="preserve"> </w:t>
      </w:r>
      <w:r>
        <w:rPr>
          <w:b/>
          <w:bCs/>
        </w:rPr>
        <w:t>95 °C</w:t>
      </w:r>
    </w:p>
    <w:p w14:paraId="3904FAC8" w14:textId="78578D8F" w:rsidR="00920F2C" w:rsidRPr="00704001" w:rsidRDefault="00920F2C" w:rsidP="001A24A3">
      <w:pPr>
        <w:pStyle w:val="SingleTxtG"/>
        <w:ind w:left="2836" w:hanging="851"/>
        <w:jc w:val="left"/>
      </w:pPr>
      <w:r>
        <w:t>3.1.2</w:t>
      </w:r>
      <w:r>
        <w:tab/>
        <w:t>La matière entretient-elle une combustion</w:t>
      </w:r>
      <w:r w:rsidR="0036240F">
        <w:t> </w:t>
      </w:r>
      <w:r>
        <w:t>? (cf. 2.3.1.3)</w:t>
      </w:r>
      <w:r w:rsidR="001A24A3">
        <w:rPr>
          <w:b/>
        </w:rPr>
        <w:br/>
      </w:r>
      <w:r>
        <w:rPr>
          <w:b/>
        </w:rPr>
        <w:t>Aucune information disponible</w:t>
      </w:r>
    </w:p>
    <w:p w14:paraId="0F15931D" w14:textId="77777777" w:rsidR="00920F2C" w:rsidRPr="00704001" w:rsidRDefault="00920F2C" w:rsidP="0081107A">
      <w:pPr>
        <w:pStyle w:val="SingleTxtG"/>
        <w:tabs>
          <w:tab w:val="clear" w:pos="1701"/>
        </w:tabs>
        <w:ind w:left="1985" w:hanging="851"/>
      </w:pPr>
      <w:r>
        <w:t>3.2</w:t>
      </w:r>
      <w:r>
        <w:tab/>
        <w:t>Température d</w:t>
      </w:r>
      <w:r>
        <w:rPr>
          <w:b/>
        </w:rPr>
        <w:t>’</w:t>
      </w:r>
      <w:r>
        <w:t xml:space="preserve">auto-inflammation </w:t>
      </w:r>
      <w:r>
        <w:tab/>
      </w:r>
      <w:r w:rsidRPr="001A24A3">
        <w:rPr>
          <w:b/>
          <w:bCs/>
        </w:rPr>
        <w:t>Aucune donnée disponible</w:t>
      </w:r>
    </w:p>
    <w:p w14:paraId="49B98BD0" w14:textId="77777777" w:rsidR="00920F2C" w:rsidRPr="00704001" w:rsidRDefault="00920F2C" w:rsidP="0081107A">
      <w:pPr>
        <w:pStyle w:val="SingleTxtG"/>
        <w:tabs>
          <w:tab w:val="clear" w:pos="1701"/>
        </w:tabs>
        <w:ind w:left="1985" w:hanging="851"/>
      </w:pPr>
      <w:r>
        <w:t>3.3</w:t>
      </w:r>
      <w:r>
        <w:tab/>
        <w:t>Limites d</w:t>
      </w:r>
      <w:r>
        <w:rPr>
          <w:b/>
        </w:rPr>
        <w:t>’</w:t>
      </w:r>
      <w:r>
        <w:t xml:space="preserve">inflammabilité (LII/LSI) </w:t>
      </w:r>
      <w:r>
        <w:tab/>
      </w:r>
      <w:r w:rsidRPr="001A24A3">
        <w:rPr>
          <w:b/>
          <w:bCs/>
        </w:rPr>
        <w:t>Aucune donnée disponible</w:t>
      </w:r>
    </w:p>
    <w:p w14:paraId="6E3580F4" w14:textId="262EBDC6" w:rsidR="00920F2C" w:rsidRPr="00704001" w:rsidRDefault="00920F2C" w:rsidP="0081107A">
      <w:pPr>
        <w:pStyle w:val="SingleTxtG"/>
        <w:tabs>
          <w:tab w:val="clear" w:pos="1701"/>
        </w:tabs>
        <w:ind w:left="1985" w:hanging="851"/>
      </w:pPr>
      <w:r>
        <w:t>3.4</w:t>
      </w:r>
      <w:r>
        <w:tab/>
        <w:t>La matière est-elle une matière solide inflammable ? (cf. 2.4.2</w:t>
      </w:r>
      <w:r w:rsidR="00E96E30" w:rsidRPr="00E96E30">
        <w:rPr>
          <w:b/>
          <w:bCs/>
          <w:sz w:val="18"/>
          <w:szCs w:val="18"/>
          <w:vertAlign w:val="superscript"/>
        </w:rPr>
        <w:t>1</w:t>
      </w:r>
      <w:r w:rsidR="00FE027C">
        <w:t>)</w:t>
      </w:r>
      <w:r>
        <w:tab/>
      </w:r>
    </w:p>
    <w:p w14:paraId="15A0FB0B" w14:textId="76D0B10D" w:rsidR="00920F2C" w:rsidRPr="00704001" w:rsidRDefault="00920F2C" w:rsidP="0007054F">
      <w:pPr>
        <w:pStyle w:val="SingleTxtG"/>
        <w:tabs>
          <w:tab w:val="right" w:leader="dot" w:pos="8505"/>
        </w:tabs>
        <w:ind w:left="2836" w:hanging="851"/>
      </w:pPr>
      <w:r>
        <w:t>3.4.1</w:t>
      </w:r>
      <w:r w:rsidR="001A24A3">
        <w:tab/>
      </w:r>
      <w:r>
        <w:t>Dans l’affirmative, donner des précisions</w:t>
      </w:r>
      <w:r>
        <w:tab/>
      </w:r>
    </w:p>
    <w:p w14:paraId="5BCB85C6" w14:textId="0B082A26" w:rsidR="00920F2C" w:rsidRPr="00704001" w:rsidRDefault="00F72309" w:rsidP="00F72309">
      <w:pPr>
        <w:pStyle w:val="H23G"/>
      </w:pPr>
      <w:r>
        <w:tab/>
      </w:r>
      <w:r>
        <w:tab/>
      </w:r>
      <w:r w:rsidR="00920F2C">
        <w:t>Section 4</w:t>
      </w:r>
      <w:r>
        <w:br/>
      </w:r>
      <w:r w:rsidR="00920F2C">
        <w:t>PROPRIÉTÉS CHIMIQUES</w:t>
      </w:r>
    </w:p>
    <w:p w14:paraId="29D7E049" w14:textId="453B2762" w:rsidR="00920F2C" w:rsidRDefault="00920F2C" w:rsidP="0081107A">
      <w:pPr>
        <w:pStyle w:val="SingleTxtG"/>
        <w:tabs>
          <w:tab w:val="clear" w:pos="1701"/>
        </w:tabs>
        <w:ind w:left="1985" w:hanging="851"/>
        <w:rPr>
          <w:b/>
        </w:rPr>
      </w:pPr>
      <w:r>
        <w:t>4.1</w:t>
      </w:r>
      <w:r>
        <w:tab/>
        <w:t>La matière nécessite-t-elle une inhibition/stabilisation ou un autre traitement (transport sous atmosphère d’azote par exemple) pour empêcher des réactions dangereuses ?</w:t>
      </w:r>
      <w:r>
        <w:tab/>
      </w:r>
      <w:r>
        <w:rPr>
          <w:b/>
        </w:rPr>
        <w:t>Non</w:t>
      </w:r>
      <w:r>
        <w:t xml:space="preserve"> </w:t>
      </w:r>
    </w:p>
    <w:p w14:paraId="59C424D0" w14:textId="77777777" w:rsidR="00920F2C" w:rsidRPr="00704001" w:rsidRDefault="00920F2C" w:rsidP="00F72309">
      <w:pPr>
        <w:pStyle w:val="SingleTxtG"/>
        <w:keepNext/>
        <w:ind w:left="2836" w:hanging="851"/>
        <w:jc w:val="left"/>
      </w:pPr>
      <w:r>
        <w:t>Dans l’affirmative, indiquer :</w:t>
      </w:r>
    </w:p>
    <w:p w14:paraId="54C526AA" w14:textId="3E9442D1" w:rsidR="00920F2C" w:rsidRDefault="00920F2C" w:rsidP="00F72309">
      <w:pPr>
        <w:pStyle w:val="SingleTxtG"/>
        <w:tabs>
          <w:tab w:val="right" w:leader="dot" w:pos="8505"/>
        </w:tabs>
        <w:ind w:left="2836" w:hanging="851"/>
      </w:pPr>
      <w:r>
        <w:t>4.1.1</w:t>
      </w:r>
      <w:r>
        <w:tab/>
        <w:t xml:space="preserve">L’inhibiteur/le stabilisant utilisé </w:t>
      </w:r>
      <w:r>
        <w:tab/>
      </w:r>
      <w:r>
        <w:tab/>
      </w:r>
    </w:p>
    <w:p w14:paraId="58D42CA8" w14:textId="5D0665A9" w:rsidR="00DE53DE" w:rsidRPr="00704001" w:rsidRDefault="00DE53DE" w:rsidP="00F72309">
      <w:pPr>
        <w:pStyle w:val="SingleTxtG"/>
        <w:tabs>
          <w:tab w:val="right" w:leader="dot" w:pos="8505"/>
        </w:tabs>
        <w:ind w:left="2836" w:hanging="851"/>
      </w:pPr>
      <w:r>
        <w:tab/>
      </w:r>
      <w:r>
        <w:tab/>
      </w:r>
      <w:r>
        <w:tab/>
      </w:r>
      <w:r>
        <w:tab/>
      </w:r>
    </w:p>
    <w:p w14:paraId="2A691F33" w14:textId="5976E6D9" w:rsidR="00920F2C" w:rsidRDefault="00920F2C" w:rsidP="00F72309">
      <w:pPr>
        <w:pStyle w:val="SingleTxtG"/>
        <w:tabs>
          <w:tab w:val="right" w:leader="dot" w:pos="8505"/>
        </w:tabs>
        <w:ind w:left="2836" w:hanging="851"/>
      </w:pPr>
      <w:r>
        <w:t>4.1.2</w:t>
      </w:r>
      <w:r>
        <w:tab/>
        <w:t xml:space="preserve">Autre méthode </w:t>
      </w:r>
      <w:r>
        <w:tab/>
      </w:r>
      <w:r>
        <w:tab/>
      </w:r>
    </w:p>
    <w:p w14:paraId="41830699" w14:textId="4A53D0CB" w:rsidR="00DE53DE" w:rsidRPr="00704001" w:rsidRDefault="00DE53DE" w:rsidP="00F72309">
      <w:pPr>
        <w:pStyle w:val="SingleTxtG"/>
        <w:tabs>
          <w:tab w:val="right" w:leader="dot" w:pos="8505"/>
        </w:tabs>
        <w:ind w:left="2836" w:hanging="851"/>
      </w:pPr>
      <w:r>
        <w:tab/>
      </w:r>
      <w:r>
        <w:tab/>
      </w:r>
      <w:r>
        <w:tab/>
      </w:r>
      <w:r>
        <w:tab/>
      </w:r>
    </w:p>
    <w:p w14:paraId="1DDEC065" w14:textId="77777777" w:rsidR="00920F2C" w:rsidRPr="00704001" w:rsidRDefault="00920F2C" w:rsidP="00F72309">
      <w:pPr>
        <w:pStyle w:val="SingleTxtG"/>
        <w:tabs>
          <w:tab w:val="right" w:leader="dot" w:pos="8505"/>
        </w:tabs>
        <w:ind w:left="2836" w:hanging="851"/>
      </w:pPr>
      <w:r>
        <w:t>4.1.3</w:t>
      </w:r>
      <w:r>
        <w:tab/>
        <w:t>Durée d’efficacité à 55 °C</w:t>
      </w:r>
      <w:r>
        <w:tab/>
      </w:r>
    </w:p>
    <w:p w14:paraId="0587A681" w14:textId="0C7DCDF2" w:rsidR="00920F2C" w:rsidRDefault="00920F2C" w:rsidP="00F72309">
      <w:pPr>
        <w:pStyle w:val="SingleTxtG"/>
        <w:tabs>
          <w:tab w:val="right" w:leader="dot" w:pos="8505"/>
        </w:tabs>
        <w:ind w:left="2836" w:hanging="851"/>
      </w:pPr>
      <w:r>
        <w:t>4.1.4</w:t>
      </w:r>
      <w:r>
        <w:tab/>
        <w:t>Conditions dans lesquelles la méthode est inefficace</w:t>
      </w:r>
      <w:r>
        <w:tab/>
      </w:r>
    </w:p>
    <w:p w14:paraId="51527A5B" w14:textId="3FEA306A" w:rsidR="00DE53DE" w:rsidRPr="00704001" w:rsidRDefault="00DE53DE" w:rsidP="00F72309">
      <w:pPr>
        <w:pStyle w:val="SingleTxtG"/>
        <w:tabs>
          <w:tab w:val="right" w:leader="dot" w:pos="8505"/>
        </w:tabs>
        <w:ind w:left="2836" w:hanging="851"/>
      </w:pPr>
      <w:r>
        <w:tab/>
      </w:r>
      <w:r>
        <w:tab/>
      </w:r>
      <w:r>
        <w:tab/>
      </w:r>
      <w:r>
        <w:tab/>
      </w:r>
    </w:p>
    <w:p w14:paraId="400B651A" w14:textId="77777777" w:rsidR="00920F2C" w:rsidRPr="00704001" w:rsidRDefault="00920F2C" w:rsidP="0081107A">
      <w:pPr>
        <w:pStyle w:val="SingleTxtG"/>
        <w:tabs>
          <w:tab w:val="clear" w:pos="1701"/>
        </w:tabs>
        <w:ind w:left="1985" w:hanging="851"/>
      </w:pPr>
      <w:r>
        <w:t>4.2</w:t>
      </w:r>
      <w:r>
        <w:tab/>
        <w:t>La matière est-elle une matière explosible au sens du paragraphe 2.1.1.1 ? (cf. 2.1</w:t>
      </w:r>
      <w:r>
        <w:rPr>
          <w:b/>
          <w:vertAlign w:val="superscript"/>
        </w:rPr>
        <w:t>1</w:t>
      </w:r>
      <w:r>
        <w:t xml:space="preserve">) </w:t>
      </w:r>
      <w:r>
        <w:rPr>
          <w:b/>
        </w:rPr>
        <w:t>Non</w:t>
      </w:r>
    </w:p>
    <w:p w14:paraId="10325FCE" w14:textId="77777777" w:rsidR="00920F2C" w:rsidRPr="00704001" w:rsidRDefault="00920F2C" w:rsidP="00F72309">
      <w:pPr>
        <w:pStyle w:val="SingleTxtG"/>
        <w:tabs>
          <w:tab w:val="right" w:leader="dot" w:pos="8505"/>
        </w:tabs>
        <w:ind w:left="2836" w:hanging="851"/>
      </w:pPr>
      <w:r>
        <w:t>4.2.1</w:t>
      </w:r>
      <w:r>
        <w:tab/>
        <w:t>Dans l’affirmative, donner des précisions</w:t>
      </w:r>
      <w:r>
        <w:tab/>
      </w:r>
    </w:p>
    <w:p w14:paraId="77920EA4" w14:textId="77777777" w:rsidR="00920F2C" w:rsidRPr="001856EA" w:rsidRDefault="00920F2C" w:rsidP="0081107A">
      <w:pPr>
        <w:pStyle w:val="SingleTxtG"/>
        <w:tabs>
          <w:tab w:val="clear" w:pos="1701"/>
        </w:tabs>
        <w:ind w:left="1985" w:hanging="851"/>
      </w:pPr>
      <w:r w:rsidRPr="001856EA">
        <w:t>4.3</w:t>
      </w:r>
      <w:r w:rsidRPr="001856EA">
        <w:tab/>
        <w:t>La matière est-elle une matière explosible désensibilisée ? (cf. 2.4.2.4</w:t>
      </w:r>
      <w:r w:rsidRPr="00CA558D">
        <w:rPr>
          <w:b/>
          <w:sz w:val="18"/>
          <w:szCs w:val="18"/>
          <w:vertAlign w:val="superscript"/>
        </w:rPr>
        <w:t>1</w:t>
      </w:r>
      <w:r w:rsidRPr="001856EA">
        <w:t xml:space="preserve">) </w:t>
      </w:r>
      <w:r w:rsidRPr="001856EA">
        <w:rPr>
          <w:b/>
        </w:rPr>
        <w:t>Non</w:t>
      </w:r>
    </w:p>
    <w:p w14:paraId="39489B3F" w14:textId="77777777" w:rsidR="00920F2C" w:rsidRPr="001856EA" w:rsidRDefault="00920F2C" w:rsidP="00F72309">
      <w:pPr>
        <w:pStyle w:val="SingleTxtG"/>
        <w:tabs>
          <w:tab w:val="right" w:leader="dot" w:pos="8505"/>
        </w:tabs>
        <w:ind w:left="2836" w:hanging="851"/>
      </w:pPr>
      <w:r w:rsidRPr="001856EA">
        <w:t>4.3.1</w:t>
      </w:r>
      <w:r w:rsidRPr="001856EA">
        <w:tab/>
        <w:t>Dans l’affirmative, donner des précisions</w:t>
      </w:r>
      <w:r w:rsidRPr="001856EA">
        <w:tab/>
      </w:r>
    </w:p>
    <w:p w14:paraId="3178887E" w14:textId="77777777" w:rsidR="00920F2C" w:rsidRPr="001856EA" w:rsidRDefault="00920F2C" w:rsidP="0081107A">
      <w:pPr>
        <w:pStyle w:val="SingleTxtG"/>
        <w:tabs>
          <w:tab w:val="clear" w:pos="1701"/>
        </w:tabs>
        <w:ind w:left="1985" w:hanging="851"/>
      </w:pPr>
      <w:r w:rsidRPr="001856EA">
        <w:t>4.4</w:t>
      </w:r>
      <w:r w:rsidRPr="001856EA">
        <w:tab/>
        <w:t>La matière est-elle une matière autoréactive ? (cf. 2.4.1</w:t>
      </w:r>
      <w:r w:rsidRPr="00CA558D">
        <w:rPr>
          <w:b/>
          <w:sz w:val="18"/>
          <w:szCs w:val="18"/>
          <w:vertAlign w:val="superscript"/>
        </w:rPr>
        <w:t>1</w:t>
      </w:r>
      <w:r w:rsidRPr="001856EA">
        <w:t xml:space="preserve">)  </w:t>
      </w:r>
      <w:r w:rsidRPr="001856EA">
        <w:rPr>
          <w:b/>
        </w:rPr>
        <w:t>Non</w:t>
      </w:r>
    </w:p>
    <w:p w14:paraId="781923FC" w14:textId="77777777" w:rsidR="00920F2C" w:rsidRPr="001856EA" w:rsidRDefault="00920F2C" w:rsidP="00CA558D">
      <w:pPr>
        <w:pStyle w:val="SingleTxtG"/>
        <w:keepNext/>
        <w:ind w:left="2836" w:hanging="851"/>
        <w:jc w:val="left"/>
      </w:pPr>
      <w:r w:rsidRPr="001856EA">
        <w:t>Dans l’affirmative, indiquer :</w:t>
      </w:r>
    </w:p>
    <w:p w14:paraId="77866F0F" w14:textId="77777777" w:rsidR="00920F2C" w:rsidRPr="001856EA" w:rsidRDefault="00920F2C" w:rsidP="00F72309">
      <w:pPr>
        <w:pStyle w:val="SingleTxtG"/>
        <w:tabs>
          <w:tab w:val="right" w:leader="dot" w:pos="8505"/>
        </w:tabs>
        <w:ind w:left="2836" w:hanging="851"/>
      </w:pPr>
      <w:r w:rsidRPr="001856EA">
        <w:t>4.4.1</w:t>
      </w:r>
      <w:r w:rsidRPr="001856EA">
        <w:tab/>
        <w:t>La case de sortie du diagramme de décision</w:t>
      </w:r>
      <w:r w:rsidRPr="001856EA">
        <w:tab/>
      </w:r>
    </w:p>
    <w:p w14:paraId="7B5F7DAB" w14:textId="279755A3" w:rsidR="00920F2C" w:rsidRPr="001856EA" w:rsidRDefault="00920F2C" w:rsidP="0036240F">
      <w:pPr>
        <w:pStyle w:val="SingleTxtG"/>
        <w:tabs>
          <w:tab w:val="right" w:leader="dot" w:pos="8505"/>
        </w:tabs>
        <w:ind w:left="2835"/>
        <w:jc w:val="left"/>
      </w:pPr>
      <w:r w:rsidRPr="001856EA">
        <w:lastRenderedPageBreak/>
        <w:t>Quelle est la température de décomposition auto-accélérée (TDAA) (point de décomposition exothermique) pour un colis de 50 kg</w:t>
      </w:r>
      <w:r w:rsidR="009D1BF3">
        <w:t> </w:t>
      </w:r>
      <w:r w:rsidRPr="001856EA">
        <w:t xml:space="preserve">? </w:t>
      </w:r>
      <w:r w:rsidR="00C87D13">
        <w:tab/>
      </w:r>
      <w:r w:rsidR="009D1BF3">
        <w:br/>
      </w:r>
      <w:r w:rsidR="009D1BF3">
        <w:tab/>
      </w:r>
      <w:r w:rsidRPr="001856EA">
        <w:t>°C</w:t>
      </w:r>
    </w:p>
    <w:p w14:paraId="196506A1" w14:textId="77777777" w:rsidR="00920F2C" w:rsidRPr="001856EA" w:rsidRDefault="00920F2C" w:rsidP="009D1BF3">
      <w:pPr>
        <w:pStyle w:val="SingleTxtG"/>
        <w:tabs>
          <w:tab w:val="right" w:leader="dot" w:pos="8505"/>
        </w:tabs>
        <w:ind w:left="2835"/>
      </w:pPr>
      <w:r w:rsidRPr="001856EA">
        <w:t>La température doit-elle être régulée ? (cf. 2.4.2.3.4</w:t>
      </w:r>
      <w:r w:rsidRPr="001856EA">
        <w:rPr>
          <w:b/>
          <w:vertAlign w:val="superscript"/>
        </w:rPr>
        <w:t>1</w:t>
      </w:r>
      <w:r w:rsidRPr="001856EA">
        <w:t xml:space="preserve">) </w:t>
      </w:r>
      <w:r w:rsidRPr="001856EA">
        <w:tab/>
        <w:t>oui/non</w:t>
      </w:r>
    </w:p>
    <w:p w14:paraId="53BC0B8E" w14:textId="3561FE92" w:rsidR="00920F2C" w:rsidRPr="001856EA" w:rsidRDefault="00920F2C" w:rsidP="00F72309">
      <w:pPr>
        <w:pStyle w:val="SingleTxtG"/>
        <w:tabs>
          <w:tab w:val="right" w:leader="dot" w:pos="8505"/>
        </w:tabs>
        <w:ind w:left="2836" w:hanging="851"/>
      </w:pPr>
      <w:r w:rsidRPr="001856EA">
        <w:t>4.4.2</w:t>
      </w:r>
      <w:r w:rsidRPr="001856EA">
        <w:tab/>
        <w:t>Température de régulation proposée pour un colis de 50 kg</w:t>
      </w:r>
      <w:r w:rsidR="00E64CDA">
        <w:tab/>
        <w:t>°C</w:t>
      </w:r>
    </w:p>
    <w:p w14:paraId="701421D9" w14:textId="4FC28ED5" w:rsidR="00920F2C" w:rsidRPr="001856EA" w:rsidRDefault="00920F2C" w:rsidP="00F72309">
      <w:pPr>
        <w:pStyle w:val="SingleTxtG"/>
        <w:tabs>
          <w:tab w:val="right" w:leader="dot" w:pos="8505"/>
        </w:tabs>
        <w:ind w:left="2836" w:hanging="851"/>
      </w:pPr>
      <w:r w:rsidRPr="001856EA">
        <w:t>4.4.3</w:t>
      </w:r>
      <w:r w:rsidRPr="001856EA">
        <w:tab/>
        <w:t>Température critique proposée pour un colis de 50 kg</w:t>
      </w:r>
      <w:r w:rsidR="00B53056">
        <w:tab/>
        <w:t>°C</w:t>
      </w:r>
    </w:p>
    <w:p w14:paraId="4F6364D0" w14:textId="77777777" w:rsidR="00920F2C" w:rsidRPr="00704001" w:rsidRDefault="00920F2C" w:rsidP="0081107A">
      <w:pPr>
        <w:pStyle w:val="SingleTxtG"/>
        <w:tabs>
          <w:tab w:val="clear" w:pos="1701"/>
        </w:tabs>
        <w:ind w:left="1985" w:hanging="851"/>
      </w:pPr>
      <w:r>
        <w:t>4.5</w:t>
      </w:r>
      <w:r>
        <w:tab/>
        <w:t>La matière est-elle pyrophorique ? (2.4.3</w:t>
      </w:r>
      <w:r w:rsidRPr="00552903">
        <w:rPr>
          <w:b/>
          <w:bCs/>
          <w:sz w:val="18"/>
          <w:szCs w:val="18"/>
          <w:vertAlign w:val="superscript"/>
        </w:rPr>
        <w:t>1</w:t>
      </w:r>
      <w:r>
        <w:t xml:space="preserve">) </w:t>
      </w:r>
      <w:r>
        <w:tab/>
      </w:r>
      <w:r>
        <w:rPr>
          <w:b/>
        </w:rPr>
        <w:t>Non</w:t>
      </w:r>
    </w:p>
    <w:p w14:paraId="331F5774" w14:textId="73BD1193" w:rsidR="00920F2C" w:rsidRDefault="00920F2C" w:rsidP="00F72309">
      <w:pPr>
        <w:pStyle w:val="SingleTxtG"/>
        <w:tabs>
          <w:tab w:val="right" w:leader="dot" w:pos="8505"/>
        </w:tabs>
        <w:ind w:left="2836" w:hanging="851"/>
      </w:pPr>
      <w:r>
        <w:t>4.5.1</w:t>
      </w:r>
      <w:r>
        <w:tab/>
        <w:t>Dans l’affirmative, donner des précisions</w:t>
      </w:r>
      <w:r>
        <w:tab/>
      </w:r>
    </w:p>
    <w:p w14:paraId="546AD974" w14:textId="176AC646" w:rsidR="00920F2C" w:rsidRPr="00704001" w:rsidRDefault="00920F2C" w:rsidP="0081107A">
      <w:pPr>
        <w:pStyle w:val="SingleTxtG"/>
        <w:tabs>
          <w:tab w:val="clear" w:pos="1701"/>
        </w:tabs>
        <w:ind w:left="1985" w:hanging="851"/>
      </w:pPr>
      <w:r>
        <w:t>4.6</w:t>
      </w:r>
      <w:r>
        <w:tab/>
        <w:t>La matière est-elle sujette à l’auto-échauffement ? (cf. 2.4.3</w:t>
      </w:r>
      <w:r w:rsidR="00FD417D" w:rsidRPr="00FD417D">
        <w:rPr>
          <w:b/>
          <w:bCs/>
          <w:sz w:val="18"/>
          <w:szCs w:val="18"/>
          <w:vertAlign w:val="superscript"/>
        </w:rPr>
        <w:t>1</w:t>
      </w:r>
      <w:r>
        <w:t xml:space="preserve">) </w:t>
      </w:r>
      <w:r>
        <w:tab/>
      </w:r>
      <w:r>
        <w:rPr>
          <w:b/>
        </w:rPr>
        <w:t>Non</w:t>
      </w:r>
    </w:p>
    <w:p w14:paraId="22250897" w14:textId="1DC7BAEE" w:rsidR="00920F2C" w:rsidRPr="00704001" w:rsidRDefault="00920F2C" w:rsidP="00B2696D">
      <w:pPr>
        <w:pStyle w:val="SingleTxtG"/>
        <w:tabs>
          <w:tab w:val="right" w:leader="dot" w:pos="8505"/>
        </w:tabs>
        <w:ind w:left="2836" w:hanging="851"/>
      </w:pPr>
      <w:r>
        <w:t>4.6.1</w:t>
      </w:r>
      <w:r>
        <w:tab/>
        <w:t xml:space="preserve">Dans l’affirmative, donner des précisions </w:t>
      </w:r>
    </w:p>
    <w:p w14:paraId="01C74D58" w14:textId="45ADDC1E" w:rsidR="00920F2C" w:rsidRPr="00704001" w:rsidRDefault="00920F2C" w:rsidP="0081107A">
      <w:pPr>
        <w:pStyle w:val="SingleTxtG"/>
        <w:tabs>
          <w:tab w:val="clear" w:pos="1701"/>
        </w:tabs>
        <w:ind w:left="1985" w:hanging="851"/>
      </w:pPr>
      <w:r>
        <w:t>4.7</w:t>
      </w:r>
      <w:r>
        <w:tab/>
        <w:t xml:space="preserve">La matière est-elle un peroxyde organique ? (cf. 2.5.1) </w:t>
      </w:r>
      <w:r>
        <w:tab/>
      </w:r>
      <w:r>
        <w:rPr>
          <w:b/>
        </w:rPr>
        <w:t>Non</w:t>
      </w:r>
    </w:p>
    <w:p w14:paraId="55EEDD31" w14:textId="77777777" w:rsidR="00920F2C" w:rsidRPr="00704001" w:rsidRDefault="00920F2C" w:rsidP="00B2696D">
      <w:pPr>
        <w:pStyle w:val="SingleTxtG"/>
        <w:keepNext/>
        <w:ind w:left="2836" w:hanging="851"/>
        <w:jc w:val="left"/>
      </w:pPr>
      <w:r>
        <w:t xml:space="preserve">Dans l’affirmative, indiquer : </w:t>
      </w:r>
    </w:p>
    <w:p w14:paraId="47A891CB" w14:textId="77777777" w:rsidR="00920F2C" w:rsidRPr="00704001" w:rsidRDefault="00920F2C" w:rsidP="00B2696D">
      <w:pPr>
        <w:pStyle w:val="SingleTxtG"/>
        <w:tabs>
          <w:tab w:val="right" w:leader="dot" w:pos="8505"/>
        </w:tabs>
        <w:ind w:left="2836" w:hanging="851"/>
      </w:pPr>
      <w:r>
        <w:t>4.7.1</w:t>
      </w:r>
      <w:r>
        <w:tab/>
        <w:t>La case de sortie du diagramme de décision</w:t>
      </w:r>
      <w:r>
        <w:tab/>
      </w:r>
    </w:p>
    <w:p w14:paraId="28EE064B" w14:textId="3FB8F149" w:rsidR="00920F2C" w:rsidRPr="00704001" w:rsidRDefault="00920F2C" w:rsidP="00EF7261">
      <w:pPr>
        <w:pStyle w:val="SingleTxtG"/>
        <w:tabs>
          <w:tab w:val="right" w:leader="dot" w:pos="8505"/>
        </w:tabs>
        <w:ind w:left="2835"/>
      </w:pPr>
      <w:r>
        <w:t>Quelle est la température de décomposition auto-accélérée (TDAA) (point de décomposition exothermique) pour un colis de 50 kg</w:t>
      </w:r>
      <w:r w:rsidR="00EF7261">
        <w:t> </w:t>
      </w:r>
      <w:r>
        <w:t>? </w:t>
      </w:r>
      <w:r w:rsidR="00EF7261">
        <w:tab/>
      </w:r>
      <w:r w:rsidR="00EF7261">
        <w:br/>
      </w:r>
      <w:r w:rsidR="00EF7261">
        <w:tab/>
      </w:r>
      <w:r>
        <w:t>..................°C</w:t>
      </w:r>
    </w:p>
    <w:p w14:paraId="4E743427" w14:textId="77777777" w:rsidR="00920F2C" w:rsidRPr="00704001" w:rsidRDefault="00920F2C" w:rsidP="00EF7261">
      <w:pPr>
        <w:pStyle w:val="SingleTxtG"/>
        <w:tabs>
          <w:tab w:val="right" w:leader="dot" w:pos="8505"/>
        </w:tabs>
        <w:ind w:left="2835"/>
      </w:pPr>
      <w:r>
        <w:t>La température doit-elle être régulée ? (cf. 2.5.3.4.1</w:t>
      </w:r>
      <w:r>
        <w:rPr>
          <w:b/>
          <w:vertAlign w:val="superscript"/>
        </w:rPr>
        <w:t>1</w:t>
      </w:r>
      <w:r>
        <w:t xml:space="preserve">) </w:t>
      </w:r>
      <w:r>
        <w:tab/>
        <w:t>oui/non</w:t>
      </w:r>
    </w:p>
    <w:p w14:paraId="5B018BE4" w14:textId="350D417B" w:rsidR="00920F2C" w:rsidRPr="00704001" w:rsidRDefault="00920F2C" w:rsidP="00B2696D">
      <w:pPr>
        <w:pStyle w:val="SingleTxtG"/>
        <w:tabs>
          <w:tab w:val="right" w:leader="dot" w:pos="8505"/>
        </w:tabs>
        <w:ind w:left="2836" w:hanging="851"/>
      </w:pPr>
      <w:r>
        <w:t>4.7.2</w:t>
      </w:r>
      <w:r>
        <w:tab/>
        <w:t>Température de régulation proposée pour un colis de 50 kg</w:t>
      </w:r>
      <w:r>
        <w:tab/>
        <w:t>°C</w:t>
      </w:r>
    </w:p>
    <w:p w14:paraId="65608DDB" w14:textId="5895DBDB" w:rsidR="00920F2C" w:rsidRPr="00704001" w:rsidRDefault="00920F2C" w:rsidP="00B2696D">
      <w:pPr>
        <w:pStyle w:val="SingleTxtG"/>
        <w:tabs>
          <w:tab w:val="right" w:leader="dot" w:pos="8505"/>
        </w:tabs>
        <w:ind w:left="2836" w:hanging="851"/>
      </w:pPr>
      <w:r>
        <w:t>4.7.3</w:t>
      </w:r>
      <w:r>
        <w:tab/>
        <w:t>Température critique proposée pour un colis de 50 kg</w:t>
      </w:r>
      <w:r>
        <w:tab/>
        <w:t>°C</w:t>
      </w:r>
    </w:p>
    <w:p w14:paraId="442EF734" w14:textId="77777777" w:rsidR="00920F2C" w:rsidRPr="00704001" w:rsidRDefault="00920F2C" w:rsidP="0081107A">
      <w:pPr>
        <w:pStyle w:val="SingleTxtG"/>
        <w:tabs>
          <w:tab w:val="clear" w:pos="1701"/>
        </w:tabs>
        <w:ind w:left="1985" w:hanging="851"/>
      </w:pPr>
      <w:r>
        <w:t>4.8</w:t>
      </w:r>
      <w:r>
        <w:tab/>
        <w:t>La matière dégage-t-elle des gaz inflammables au contact de l’eau ? (cf. 2.4.4</w:t>
      </w:r>
      <w:r w:rsidRPr="00B21E55">
        <w:rPr>
          <w:b/>
          <w:bCs/>
          <w:sz w:val="18"/>
          <w:szCs w:val="18"/>
          <w:vertAlign w:val="superscript"/>
        </w:rPr>
        <w:t>1</w:t>
      </w:r>
      <w:r>
        <w:t xml:space="preserve">) </w:t>
      </w:r>
      <w:r>
        <w:rPr>
          <w:b/>
        </w:rPr>
        <w:t>Non</w:t>
      </w:r>
    </w:p>
    <w:p w14:paraId="58CE6E44" w14:textId="59AFB5A0" w:rsidR="00920F2C" w:rsidRDefault="00920F2C" w:rsidP="00B2696D">
      <w:pPr>
        <w:pStyle w:val="SingleTxtG"/>
        <w:tabs>
          <w:tab w:val="right" w:leader="dot" w:pos="8505"/>
        </w:tabs>
        <w:ind w:left="2836" w:hanging="851"/>
      </w:pPr>
      <w:r>
        <w:t>4.8.1</w:t>
      </w:r>
      <w:r>
        <w:tab/>
        <w:t>Dans l’affirmative, donner des précisions</w:t>
      </w:r>
      <w:r>
        <w:tab/>
      </w:r>
    </w:p>
    <w:p w14:paraId="44D793D7" w14:textId="0D3BA973" w:rsidR="00ED49A7" w:rsidRPr="00704001" w:rsidRDefault="00ED49A7" w:rsidP="00B2696D">
      <w:pPr>
        <w:pStyle w:val="SingleTxtG"/>
        <w:tabs>
          <w:tab w:val="right" w:leader="dot" w:pos="8505"/>
        </w:tabs>
        <w:ind w:left="2836" w:hanging="851"/>
      </w:pPr>
      <w:r>
        <w:tab/>
      </w:r>
      <w:r>
        <w:tab/>
      </w:r>
      <w:r>
        <w:tab/>
      </w:r>
      <w:r>
        <w:tab/>
      </w:r>
    </w:p>
    <w:p w14:paraId="02690185" w14:textId="77777777" w:rsidR="00920F2C" w:rsidRPr="00676F19" w:rsidRDefault="00920F2C" w:rsidP="0081107A">
      <w:pPr>
        <w:pStyle w:val="SingleTxtG"/>
        <w:tabs>
          <w:tab w:val="clear" w:pos="1701"/>
        </w:tabs>
        <w:ind w:left="1985" w:hanging="851"/>
        <w:rPr>
          <w:b/>
          <w:bCs/>
        </w:rPr>
      </w:pPr>
      <w:r>
        <w:t>4.9</w:t>
      </w:r>
      <w:r>
        <w:tab/>
        <w:t>La matière a-t-elle des propriétés comburantes ? (cf. 2.5.1</w:t>
      </w:r>
      <w:r w:rsidRPr="00B21E55">
        <w:rPr>
          <w:b/>
          <w:bCs/>
          <w:sz w:val="18"/>
          <w:szCs w:val="18"/>
          <w:vertAlign w:val="superscript"/>
        </w:rPr>
        <w:t>1</w:t>
      </w:r>
      <w:r>
        <w:t>)</w:t>
      </w:r>
      <w:r>
        <w:rPr>
          <w:b/>
        </w:rPr>
        <w:t xml:space="preserve"> Non</w:t>
      </w:r>
    </w:p>
    <w:p w14:paraId="77F4F997" w14:textId="233A5614" w:rsidR="00920F2C" w:rsidRDefault="00920F2C" w:rsidP="00D623A4">
      <w:pPr>
        <w:pStyle w:val="SingleTxtG"/>
        <w:tabs>
          <w:tab w:val="right" w:leader="dot" w:pos="8505"/>
        </w:tabs>
        <w:ind w:left="2836" w:hanging="851"/>
      </w:pPr>
      <w:r>
        <w:t>4.9.1</w:t>
      </w:r>
      <w:r>
        <w:tab/>
        <w:t>Dans l’affirmative, donner des précisions</w:t>
      </w:r>
      <w:r w:rsidR="00ED49A7">
        <w:tab/>
      </w:r>
    </w:p>
    <w:p w14:paraId="10050221" w14:textId="5303CEB0" w:rsidR="00ED49A7" w:rsidRPr="00704001" w:rsidRDefault="00ED49A7" w:rsidP="00D623A4">
      <w:pPr>
        <w:pStyle w:val="SingleTxtG"/>
        <w:tabs>
          <w:tab w:val="right" w:leader="dot" w:pos="8505"/>
        </w:tabs>
        <w:ind w:left="2836" w:hanging="851"/>
      </w:pPr>
      <w:r>
        <w:tab/>
      </w:r>
      <w:r>
        <w:tab/>
      </w:r>
      <w:r>
        <w:tab/>
      </w:r>
      <w:r>
        <w:tab/>
      </w:r>
    </w:p>
    <w:p w14:paraId="0C17FFF5" w14:textId="77777777" w:rsidR="00920F2C" w:rsidRPr="00704001" w:rsidRDefault="00920F2C" w:rsidP="00D623A4">
      <w:pPr>
        <w:pStyle w:val="SingleTxtG"/>
        <w:tabs>
          <w:tab w:val="clear" w:pos="1701"/>
        </w:tabs>
        <w:ind w:left="1985" w:hanging="851"/>
      </w:pPr>
      <w:r>
        <w:t>4.10</w:t>
      </w:r>
      <w:r>
        <w:tab/>
        <w:t>Action corrosive sur le matériau des emballages (cf. 2.8</w:t>
      </w:r>
      <w:r w:rsidRPr="00B21E55">
        <w:rPr>
          <w:b/>
          <w:bCs/>
          <w:sz w:val="18"/>
          <w:szCs w:val="18"/>
          <w:vertAlign w:val="superscript"/>
        </w:rPr>
        <w:t>1</w:t>
      </w:r>
      <w:r>
        <w:t xml:space="preserve">) </w:t>
      </w:r>
    </w:p>
    <w:p w14:paraId="0FC31547" w14:textId="77777777" w:rsidR="00920F2C" w:rsidRPr="00676F19" w:rsidRDefault="00920F2C" w:rsidP="00D623A4">
      <w:pPr>
        <w:pStyle w:val="SingleTxtG"/>
        <w:ind w:left="2836" w:hanging="851"/>
        <w:rPr>
          <w:b/>
          <w:bCs/>
        </w:rPr>
      </w:pPr>
      <w:r>
        <w:t>4.10.1</w:t>
      </w:r>
      <w:r>
        <w:tab/>
        <w:t>Acier doux</w:t>
      </w:r>
      <w:r>
        <w:tab/>
      </w:r>
      <w:r>
        <w:rPr>
          <w:b/>
          <w:bCs/>
        </w:rPr>
        <w:t>oui</w:t>
      </w:r>
    </w:p>
    <w:p w14:paraId="511190CB" w14:textId="40AFBFD7" w:rsidR="008A456C" w:rsidRPr="00704001" w:rsidRDefault="008A456C" w:rsidP="008A456C">
      <w:pPr>
        <w:pStyle w:val="SingleTxtG"/>
        <w:ind w:left="2836" w:hanging="851"/>
      </w:pPr>
      <w:r>
        <w:t>4.10.2</w:t>
      </w:r>
      <w:r>
        <w:tab/>
        <w:t>Aluminium</w:t>
      </w:r>
      <w:r>
        <w:tab/>
      </w:r>
      <w:r>
        <w:rPr>
          <w:b/>
          <w:bCs/>
        </w:rPr>
        <w:t>oui</w:t>
      </w:r>
      <w:r>
        <w:tab/>
      </w:r>
      <w:r>
        <w:tab/>
        <w:t>mm/an</w:t>
      </w:r>
      <w:r>
        <w:tab/>
      </w:r>
      <w:r>
        <w:tab/>
        <w:t xml:space="preserve"> à</w:t>
      </w:r>
      <w:r>
        <w:tab/>
        <w:t>………………….°C</w:t>
      </w:r>
    </w:p>
    <w:p w14:paraId="794DF613" w14:textId="77777777" w:rsidR="00920F2C" w:rsidRPr="00704001" w:rsidRDefault="00920F2C" w:rsidP="00B2696D">
      <w:pPr>
        <w:pStyle w:val="SingleTxtG"/>
        <w:tabs>
          <w:tab w:val="right" w:leader="dot" w:pos="8505"/>
        </w:tabs>
        <w:ind w:left="2836" w:hanging="851"/>
      </w:pPr>
      <w:r>
        <w:t>4.10.3</w:t>
      </w:r>
      <w:r>
        <w:tab/>
        <w:t>Autres matériaux d’emballage (à préciser)</w:t>
      </w:r>
    </w:p>
    <w:p w14:paraId="3EE62C17" w14:textId="77777777" w:rsidR="00920F2C" w:rsidRDefault="00920F2C" w:rsidP="0081107A">
      <w:pPr>
        <w:pStyle w:val="SingleTxtG"/>
        <w:tabs>
          <w:tab w:val="clear" w:pos="1701"/>
        </w:tabs>
        <w:ind w:left="1985" w:hanging="851"/>
        <w:rPr>
          <w:b/>
        </w:rPr>
      </w:pPr>
      <w:r>
        <w:t>4.11</w:t>
      </w:r>
      <w:r>
        <w:tab/>
        <w:t xml:space="preserve">Autres propriétés chimiques pertinentes  </w:t>
      </w:r>
    </w:p>
    <w:p w14:paraId="1F364B7E" w14:textId="6C332E5C" w:rsidR="00920F2C" w:rsidRDefault="00753C8E" w:rsidP="00753C8E">
      <w:pPr>
        <w:pStyle w:val="H23G"/>
      </w:pPr>
      <w:r>
        <w:tab/>
      </w:r>
      <w:r>
        <w:tab/>
      </w:r>
      <w:r w:rsidR="00920F2C">
        <w:t>Section 5</w:t>
      </w:r>
      <w:r>
        <w:br/>
      </w:r>
      <w:r w:rsidR="00920F2C">
        <w:t>EFFETS BIOLOGIQUES NOCIFS</w:t>
      </w:r>
    </w:p>
    <w:p w14:paraId="00FAF226" w14:textId="7A42ECAB" w:rsidR="00920F2C" w:rsidRPr="00704001" w:rsidRDefault="00920F2C" w:rsidP="00753C8E">
      <w:pPr>
        <w:pStyle w:val="SingleTxtG"/>
        <w:tabs>
          <w:tab w:val="clear" w:pos="1701"/>
        </w:tabs>
        <w:ind w:left="1985" w:hanging="851"/>
        <w:jc w:val="left"/>
      </w:pPr>
      <w:r>
        <w:t>5.1</w:t>
      </w:r>
      <w:r>
        <w:tab/>
        <w:t>DL</w:t>
      </w:r>
      <w:r>
        <w:rPr>
          <w:vertAlign w:val="subscript"/>
        </w:rPr>
        <w:t>50</w:t>
      </w:r>
      <w:r>
        <w:t xml:space="preserve"> à l’ingestion (cf. 2.6.2.1.1</w:t>
      </w:r>
      <w:r w:rsidR="00BC4990" w:rsidRPr="00F308D9">
        <w:rPr>
          <w:sz w:val="18"/>
          <w:szCs w:val="18"/>
          <w:vertAlign w:val="superscript"/>
        </w:rPr>
        <w:t>1</w:t>
      </w:r>
      <w:r>
        <w:t>)</w:t>
      </w:r>
      <w:r w:rsidR="00753C8E">
        <w:br/>
      </w:r>
      <w:r>
        <w:rPr>
          <w:b/>
        </w:rPr>
        <w:t>DL</w:t>
      </w:r>
      <w:r>
        <w:rPr>
          <w:b/>
          <w:vertAlign w:val="subscript"/>
        </w:rPr>
        <w:t>50</w:t>
      </w:r>
      <w:r>
        <w:rPr>
          <w:b/>
        </w:rPr>
        <w:t xml:space="preserve"> à l’ingestion comprise entre 50 et 300 mg/kg p.c. chez le rat</w:t>
      </w:r>
    </w:p>
    <w:p w14:paraId="36285952" w14:textId="2D8671F7" w:rsidR="00920F2C" w:rsidRPr="00704001" w:rsidRDefault="00920F2C" w:rsidP="00753C8E">
      <w:pPr>
        <w:pStyle w:val="SingleTxtG"/>
        <w:tabs>
          <w:tab w:val="clear" w:pos="1701"/>
        </w:tabs>
        <w:ind w:left="1985" w:hanging="851"/>
        <w:jc w:val="left"/>
      </w:pPr>
      <w:r>
        <w:t>5.2</w:t>
      </w:r>
      <w:r>
        <w:tab/>
        <w:t>DL</w:t>
      </w:r>
      <w:r>
        <w:rPr>
          <w:vertAlign w:val="subscript"/>
        </w:rPr>
        <w:t>50</w:t>
      </w:r>
      <w:r>
        <w:t xml:space="preserve"> à l’absorption cutanée (cf. 2.6.2.1.2</w:t>
      </w:r>
      <w:r w:rsidRPr="00F308D9">
        <w:rPr>
          <w:sz w:val="18"/>
          <w:szCs w:val="18"/>
          <w:vertAlign w:val="superscript"/>
        </w:rPr>
        <w:t>1</w:t>
      </w:r>
      <w:r>
        <w:t>)</w:t>
      </w:r>
      <w:r w:rsidR="00753C8E">
        <w:br/>
      </w:r>
      <w:r>
        <w:rPr>
          <w:b/>
        </w:rPr>
        <w:t>DL</w:t>
      </w:r>
      <w:r>
        <w:rPr>
          <w:b/>
          <w:vertAlign w:val="subscript"/>
        </w:rPr>
        <w:t>50</w:t>
      </w:r>
      <w:r>
        <w:rPr>
          <w:b/>
        </w:rPr>
        <w:t xml:space="preserve"> à l’absorption cutanée de 28,7 mg/kg p.c. chez le rat</w:t>
      </w:r>
    </w:p>
    <w:p w14:paraId="44F77D80" w14:textId="00B6CF2E" w:rsidR="00920F2C" w:rsidRPr="00704001" w:rsidRDefault="00920F2C" w:rsidP="0081107A">
      <w:pPr>
        <w:pStyle w:val="SingleTxtG"/>
        <w:tabs>
          <w:tab w:val="clear" w:pos="1701"/>
        </w:tabs>
        <w:ind w:left="1985" w:hanging="851"/>
      </w:pPr>
      <w:r>
        <w:t>5.3</w:t>
      </w:r>
      <w:r>
        <w:tab/>
        <w:t>CL</w:t>
      </w:r>
      <w:r>
        <w:rPr>
          <w:vertAlign w:val="subscript"/>
        </w:rPr>
        <w:t>50</w:t>
      </w:r>
      <w:r>
        <w:t xml:space="preserve"> à l’inhalation (cf. 2.6.2.1.3</w:t>
      </w:r>
      <w:r w:rsidRPr="00F308D9">
        <w:rPr>
          <w:sz w:val="18"/>
          <w:szCs w:val="18"/>
          <w:vertAlign w:val="superscript"/>
        </w:rPr>
        <w:t>1</w:t>
      </w:r>
      <w:r>
        <w:t>)</w:t>
      </w:r>
      <w:r w:rsidR="003B011B">
        <w:t xml:space="preserve"> …...</w:t>
      </w:r>
      <w:r>
        <w:tab/>
        <w:t>mg/l</w:t>
      </w:r>
      <w:r>
        <w:tab/>
        <w:t>Durée d’exposition</w:t>
      </w:r>
      <w:r>
        <w:tab/>
        <w:t xml:space="preserve"> heures  </w:t>
      </w:r>
      <w:r>
        <w:rPr>
          <w:b/>
          <w:bCs/>
        </w:rPr>
        <w:t>Aucune information disponible</w:t>
      </w:r>
    </w:p>
    <w:p w14:paraId="78FBFA07" w14:textId="5C67DCA9" w:rsidR="00BA76B9" w:rsidRPr="00704001" w:rsidRDefault="00BA76B9" w:rsidP="00D05516">
      <w:pPr>
        <w:tabs>
          <w:tab w:val="left" w:pos="851"/>
          <w:tab w:val="left" w:pos="3686"/>
          <w:tab w:val="left" w:pos="4536"/>
          <w:tab w:val="right" w:leader="dot" w:pos="8504"/>
        </w:tabs>
        <w:spacing w:line="360" w:lineRule="auto"/>
        <w:ind w:left="2836" w:right="1134" w:hanging="851"/>
      </w:pPr>
      <w:r>
        <w:t>ou……………….</w:t>
      </w:r>
      <w:r>
        <w:tab/>
        <w:t>ml/m</w:t>
      </w:r>
      <w:r>
        <w:rPr>
          <w:vertAlign w:val="superscript"/>
        </w:rPr>
        <w:t>3</w:t>
      </w:r>
      <w:r>
        <w:t xml:space="preserve"> </w:t>
      </w:r>
      <w:r w:rsidR="00D05516">
        <w:tab/>
      </w:r>
      <w:r>
        <w:t xml:space="preserve">Animal </w:t>
      </w:r>
      <w:r>
        <w:tab/>
      </w:r>
    </w:p>
    <w:p w14:paraId="56E8CF64" w14:textId="01263983" w:rsidR="00920F2C" w:rsidRPr="00704001" w:rsidRDefault="00920F2C" w:rsidP="00BA76B9">
      <w:pPr>
        <w:pStyle w:val="SingleTxtG"/>
        <w:tabs>
          <w:tab w:val="clear" w:pos="1701"/>
        </w:tabs>
        <w:ind w:left="1985" w:hanging="851"/>
        <w:jc w:val="left"/>
      </w:pPr>
      <w:r>
        <w:t>5.4</w:t>
      </w:r>
      <w:r>
        <w:tab/>
        <w:t>Concentration de vapeur saturée à 20 °C (cf. 2.6.2.2.4.3</w:t>
      </w:r>
      <w:r w:rsidRPr="00F308D9">
        <w:rPr>
          <w:sz w:val="18"/>
          <w:szCs w:val="18"/>
          <w:vertAlign w:val="superscript"/>
        </w:rPr>
        <w:t>1</w:t>
      </w:r>
      <w:r>
        <w:t xml:space="preserve">) </w:t>
      </w:r>
      <w:r w:rsidR="00BA76B9">
        <w:br/>
      </w:r>
      <w:r>
        <w:rPr>
          <w:b/>
          <w:bCs/>
        </w:rPr>
        <w:t>Aucune information disponible</w:t>
      </w:r>
    </w:p>
    <w:p w14:paraId="3C690532" w14:textId="77777777" w:rsidR="00920F2C" w:rsidRPr="00572C2C" w:rsidRDefault="00920F2C" w:rsidP="0081107A">
      <w:pPr>
        <w:pStyle w:val="SingleTxtG"/>
        <w:tabs>
          <w:tab w:val="clear" w:pos="1701"/>
        </w:tabs>
        <w:ind w:left="1985" w:hanging="851"/>
      </w:pPr>
      <w:r>
        <w:t>5.5</w:t>
      </w:r>
      <w:r>
        <w:tab/>
        <w:t>Résultats des essais cutanés (cf. 2.8</w:t>
      </w:r>
      <w:r w:rsidRPr="00F308D9">
        <w:rPr>
          <w:sz w:val="18"/>
          <w:szCs w:val="18"/>
          <w:vertAlign w:val="superscript"/>
        </w:rPr>
        <w:t>1</w:t>
      </w:r>
      <w:r>
        <w:t xml:space="preserve">)   </w:t>
      </w:r>
    </w:p>
    <w:p w14:paraId="23F92F26" w14:textId="1ABB75D7" w:rsidR="00920F2C" w:rsidRPr="00C54DDF" w:rsidRDefault="00BA76B9" w:rsidP="00BA76B9">
      <w:pPr>
        <w:pStyle w:val="H23G"/>
        <w:keepNext w:val="0"/>
        <w:rPr>
          <w:rFonts w:cstheme="majorBidi"/>
        </w:rPr>
      </w:pPr>
      <w:r>
        <w:lastRenderedPageBreak/>
        <w:tab/>
      </w:r>
      <w:r>
        <w:tab/>
      </w:r>
      <w:r w:rsidR="00920F2C">
        <w:t>Irritation/corrosion de la peau</w:t>
      </w:r>
    </w:p>
    <w:p w14:paraId="2992926F" w14:textId="5D41D585" w:rsidR="00920F2C" w:rsidRDefault="00920F2C" w:rsidP="00BA76B9">
      <w:pPr>
        <w:pStyle w:val="SingleTxtG"/>
        <w:keepNext/>
        <w:keepLines/>
        <w:rPr>
          <w:rFonts w:cstheme="majorBidi"/>
        </w:rPr>
      </w:pPr>
      <w:r>
        <w:t>Un essai destiné à déterminer l’effet irritant ou corrosif aigu sur la peau d’une solution à 2,38 % de TMAH a été effectué conformément à la Ligne directrice de l’OCDE pour les essais de produits chimiques n</w:t>
      </w:r>
      <w:r>
        <w:rPr>
          <w:vertAlign w:val="superscript"/>
        </w:rPr>
        <w:t>o</w:t>
      </w:r>
      <w:r>
        <w:t> 404 et aux bonnes pratiques de laboratoire. Aucune irritation cutanée n’a été observée après une application de 3 minutes. Une application d’une heure a provoqué une irritation cutanée bien définie. Une application pendant une période de 4 heures a entraîné une irritation cutanée bien définie à sévère chez tous les animaux, avec nécrose chez un animal. En raison de la gravité et de l’irréversibilité des lésions, la solution à 2,38 % de TMAH est classée comme corrosive pour la peau, catégorie</w:t>
      </w:r>
      <w:r w:rsidR="002057E2">
        <w:t> </w:t>
      </w:r>
      <w:r>
        <w:t xml:space="preserve">1C, conformément au Règlement (CE) </w:t>
      </w:r>
      <w:r w:rsidR="002057E2">
        <w:rPr>
          <w:rFonts w:eastAsia="MS Mincho"/>
        </w:rPr>
        <w:t>n</w:t>
      </w:r>
      <w:r w:rsidR="002057E2">
        <w:rPr>
          <w:rFonts w:eastAsia="MS Mincho"/>
          <w:vertAlign w:val="superscript"/>
        </w:rPr>
        <w:t>o</w:t>
      </w:r>
      <w:r w:rsidR="002057E2">
        <w:t> </w:t>
      </w:r>
      <w:r>
        <w:t xml:space="preserve">1272/2008.  </w:t>
      </w:r>
    </w:p>
    <w:p w14:paraId="770866B1" w14:textId="77777777" w:rsidR="00920F2C" w:rsidRDefault="00920F2C" w:rsidP="0080165A">
      <w:pPr>
        <w:pStyle w:val="SingleTxtG"/>
        <w:rPr>
          <w:rFonts w:cstheme="majorBidi"/>
        </w:rPr>
      </w:pPr>
      <w:r>
        <w:t xml:space="preserve">Le pH d’une solution aqueuse à 10 % de TMAH est de 13,6.  </w:t>
      </w:r>
    </w:p>
    <w:p w14:paraId="18588140" w14:textId="162EA092" w:rsidR="00920F2C" w:rsidRPr="00C54DDF" w:rsidRDefault="00920F2C" w:rsidP="0080165A">
      <w:pPr>
        <w:pStyle w:val="SingleTxtG"/>
        <w:rPr>
          <w:rFonts w:cstheme="majorBidi"/>
        </w:rPr>
      </w:pPr>
      <w:r>
        <w:t>Selon la méthode d’essai Corrositex, le pentahydrate de TMAH doit être classé dans le groupe d’emballage II pour le transport (ADR/DOT). (Les critères de classement dans le groupe d’emballage II étant identiques aux critères de classement de la Ligne directrice de l’OCDE n</w:t>
      </w:r>
      <w:r>
        <w:rPr>
          <w:vertAlign w:val="superscript"/>
        </w:rPr>
        <w:t>o</w:t>
      </w:r>
      <w:r>
        <w:t> 435 s’agissant de la corrosivité, le pentahydrate de TMAH est classé comme corrosif pour la peau, catégorie</w:t>
      </w:r>
      <w:r w:rsidR="002057E2">
        <w:t> </w:t>
      </w:r>
      <w:r>
        <w:t>1B.)</w:t>
      </w:r>
    </w:p>
    <w:p w14:paraId="16632BED" w14:textId="77777777" w:rsidR="00920F2C" w:rsidRPr="00572C2C" w:rsidRDefault="00920F2C" w:rsidP="00851B32">
      <w:pPr>
        <w:pStyle w:val="SingleTxtG"/>
        <w:tabs>
          <w:tab w:val="clear" w:pos="1701"/>
        </w:tabs>
        <w:ind w:left="1985" w:hanging="851"/>
        <w:rPr>
          <w:b/>
        </w:rPr>
      </w:pPr>
      <w:r>
        <w:t>5.6</w:t>
      </w:r>
      <w:r>
        <w:tab/>
        <w:t>Autres données</w:t>
      </w:r>
    </w:p>
    <w:p w14:paraId="7598D4FF" w14:textId="77777777" w:rsidR="00920F2C" w:rsidRPr="00572C2C" w:rsidRDefault="00920F2C" w:rsidP="002057E2">
      <w:pPr>
        <w:pStyle w:val="SingleTxtG"/>
        <w:keepNext/>
        <w:tabs>
          <w:tab w:val="clear" w:pos="1701"/>
        </w:tabs>
        <w:ind w:left="1985" w:hanging="851"/>
      </w:pPr>
      <w:r>
        <w:t>5.7</w:t>
      </w:r>
      <w:r>
        <w:tab/>
        <w:t xml:space="preserve">Effets sur l’homme </w:t>
      </w:r>
    </w:p>
    <w:p w14:paraId="033039CB" w14:textId="77777777" w:rsidR="00920F2C" w:rsidRDefault="00920F2C" w:rsidP="002057E2">
      <w:pPr>
        <w:pStyle w:val="SingleTxtG"/>
        <w:ind w:left="1985"/>
      </w:pPr>
      <w:r>
        <w:t xml:space="preserve">Plusieurs incidents mortels impliquant le TMAH ont été signalés. </w:t>
      </w:r>
    </w:p>
    <w:p w14:paraId="6C25DDA9" w14:textId="77777777" w:rsidR="00920F2C" w:rsidRPr="00572C2C" w:rsidRDefault="00920F2C" w:rsidP="002057E2">
      <w:pPr>
        <w:pStyle w:val="SingleTxtG"/>
        <w:keepNext/>
        <w:tabs>
          <w:tab w:val="clear" w:pos="1701"/>
        </w:tabs>
        <w:ind w:left="1985" w:hanging="851"/>
        <w:rPr>
          <w:b/>
        </w:rPr>
      </w:pPr>
      <w:r>
        <w:t>6.1</w:t>
      </w:r>
      <w:r>
        <w:tab/>
        <w:t>Mesures recommandées en cas d</w:t>
      </w:r>
      <w:r>
        <w:rPr>
          <w:b/>
        </w:rPr>
        <w:t>’</w:t>
      </w:r>
      <w:r>
        <w:t>urgence</w:t>
      </w:r>
    </w:p>
    <w:p w14:paraId="03B59017" w14:textId="7E320689" w:rsidR="00920F2C" w:rsidRDefault="00920F2C" w:rsidP="0080165A">
      <w:pPr>
        <w:pStyle w:val="SingleTxtG"/>
        <w:tabs>
          <w:tab w:val="right" w:leader="dot" w:pos="8505"/>
        </w:tabs>
        <w:ind w:left="2836" w:hanging="851"/>
        <w:jc w:val="left"/>
      </w:pPr>
      <w:r>
        <w:t>6.1.1</w:t>
      </w:r>
      <w:r>
        <w:tab/>
        <w:t xml:space="preserve">Incendie (indiquer les agents d’extinction appropriés </w:t>
      </w:r>
      <w:r w:rsidR="0080165A">
        <w:br/>
      </w:r>
      <w:r>
        <w:t>et ceux à ne pas utiliser)</w:t>
      </w:r>
    </w:p>
    <w:p w14:paraId="676577ED" w14:textId="6C92350C" w:rsidR="00920F2C" w:rsidRPr="00572C2C" w:rsidRDefault="0080165A" w:rsidP="0080165A">
      <w:pPr>
        <w:pStyle w:val="H23G"/>
      </w:pPr>
      <w:r>
        <w:tab/>
      </w:r>
      <w:r>
        <w:tab/>
      </w:r>
      <w:r w:rsidR="00920F2C">
        <w:t>Agents extincteurs appropriés</w:t>
      </w:r>
    </w:p>
    <w:p w14:paraId="3AB6BA6E" w14:textId="77777777" w:rsidR="00920F2C" w:rsidRDefault="00920F2C" w:rsidP="0080165A">
      <w:pPr>
        <w:pStyle w:val="SingleTxtG"/>
      </w:pPr>
      <w:r>
        <w:t>Eau pulvérisée, dioxyde de carbone (CO</w:t>
      </w:r>
      <w:r>
        <w:rPr>
          <w:vertAlign w:val="subscript"/>
        </w:rPr>
        <w:t>2</w:t>
      </w:r>
      <w:r>
        <w:t>), mousse, produit chimique sec.</w:t>
      </w:r>
    </w:p>
    <w:p w14:paraId="0F1AE70E" w14:textId="5CAE7F5F" w:rsidR="00920F2C" w:rsidRPr="00572C2C" w:rsidRDefault="0080165A" w:rsidP="0080165A">
      <w:pPr>
        <w:pStyle w:val="H23G"/>
      </w:pPr>
      <w:r>
        <w:tab/>
      </w:r>
      <w:r>
        <w:tab/>
      </w:r>
      <w:r w:rsidR="00920F2C">
        <w:t>Dangers spécifiques du produit</w:t>
      </w:r>
    </w:p>
    <w:p w14:paraId="161EB671" w14:textId="77777777" w:rsidR="00920F2C" w:rsidRDefault="00920F2C" w:rsidP="0080165A">
      <w:pPr>
        <w:pStyle w:val="SingleTxtG"/>
      </w:pPr>
      <w:r>
        <w:t>Provoque de graves brûlures. Produits de décomposition dangereux. Monoxyde de carbone. Peut brûler violemment. Peut subir une décomposition auto-accélérée et produire de grandes quantités de gaz. Peut être mortel par inhalation, par contact cutané ou par ingestion. Peut se décomposer en triméthylamine, qui est un gaz inflammable, et en méthanol, susceptible de produire des vapeurs inflammables.</w:t>
      </w:r>
    </w:p>
    <w:p w14:paraId="3349C2ED" w14:textId="54C30ECE" w:rsidR="00920F2C" w:rsidRPr="00572C2C" w:rsidRDefault="0080165A" w:rsidP="0080165A">
      <w:pPr>
        <w:pStyle w:val="H23G"/>
      </w:pPr>
      <w:r>
        <w:tab/>
      </w:r>
      <w:r>
        <w:tab/>
      </w:r>
      <w:r w:rsidR="00920F2C">
        <w:t>Équipements de protection spéciaux et précautions spéciales pour les pompiers</w:t>
      </w:r>
    </w:p>
    <w:p w14:paraId="2FC7C894" w14:textId="2CB5D5A1" w:rsidR="00920F2C" w:rsidRDefault="00920F2C" w:rsidP="0080165A">
      <w:pPr>
        <w:pStyle w:val="SingleTxtG"/>
      </w:pPr>
      <w:r>
        <w:t>En cas d’incendie ou d’explosion, ne pas respirer les fumées. En cas d’incendie</w:t>
      </w:r>
      <w:r w:rsidR="000022C3">
        <w:t> </w:t>
      </w:r>
      <w:r>
        <w:t>: Porter un appareil respiratoire autonome. Porter des vêtements de protection. Éviter tout contact avec les yeux, la peau et les vêtements.</w:t>
      </w:r>
    </w:p>
    <w:p w14:paraId="50BD033C" w14:textId="77777777" w:rsidR="0080165A" w:rsidRDefault="00920F2C" w:rsidP="000022C3">
      <w:pPr>
        <w:pStyle w:val="SingleTxtG"/>
        <w:tabs>
          <w:tab w:val="right" w:leader="dot" w:pos="8505"/>
        </w:tabs>
        <w:ind w:left="1985" w:hanging="851"/>
      </w:pPr>
      <w:r>
        <w:t>6.1.2</w:t>
      </w:r>
      <w:r>
        <w:tab/>
        <w:t>Fuite de matière</w:t>
      </w:r>
    </w:p>
    <w:p w14:paraId="1E669E60" w14:textId="60039A21" w:rsidR="00920F2C" w:rsidRPr="00572C2C" w:rsidRDefault="0019602F" w:rsidP="0019602F">
      <w:pPr>
        <w:pStyle w:val="H23G"/>
      </w:pPr>
      <w:r>
        <w:tab/>
      </w:r>
      <w:r>
        <w:tab/>
      </w:r>
      <w:r>
        <w:tab/>
      </w:r>
      <w:r w:rsidR="00920F2C">
        <w:t>Précautions individuelles, équipement de protection et procédures d’urgence</w:t>
      </w:r>
    </w:p>
    <w:p w14:paraId="61D67CB9" w14:textId="082E4EF6" w:rsidR="00920F2C" w:rsidRDefault="00920F2C" w:rsidP="0019602F">
      <w:pPr>
        <w:pStyle w:val="SingleTxtG"/>
      </w:pPr>
      <w:r>
        <w:t>Ne pas respirer les vapeurs ou les brouillards. Ne pas ingérer. Éviter tout contact avec les yeux, la peau ou les vêtements. Porter des vêtements de protection individuelle (voir sect</w:t>
      </w:r>
      <w:r w:rsidR="00E23858">
        <w:t>. </w:t>
      </w:r>
      <w:r>
        <w:t xml:space="preserve">8). </w:t>
      </w:r>
    </w:p>
    <w:p w14:paraId="7C7BB9B8" w14:textId="23EBD43E" w:rsidR="00920F2C" w:rsidRPr="00572C2C" w:rsidRDefault="0019602F" w:rsidP="0019602F">
      <w:pPr>
        <w:pStyle w:val="H23G"/>
      </w:pPr>
      <w:r>
        <w:tab/>
      </w:r>
      <w:r>
        <w:tab/>
      </w:r>
      <w:r w:rsidR="00920F2C">
        <w:t>Précautions relatives à l’environnement</w:t>
      </w:r>
    </w:p>
    <w:p w14:paraId="3190B2FE" w14:textId="77777777" w:rsidR="00920F2C" w:rsidRDefault="00920F2C" w:rsidP="0019602F">
      <w:pPr>
        <w:pStyle w:val="SingleTxtG"/>
      </w:pPr>
      <w:r>
        <w:t>Empêcher toute autre fuite ou tout autre déversement s’il est possible de le faire en toute sécurité. Empêcher le produit de pénétrer dans les conduits d’écoulement. Les autorités locales doivent être informées en cas de déversements importants impossibles à confiner. Ne pas évacuer vers les eaux de surface ou le réseau d’égouts. Ne pas déverser dans les cours d’eau ou les systèmes aquatiques.</w:t>
      </w:r>
    </w:p>
    <w:p w14:paraId="172F8A86" w14:textId="32853F00" w:rsidR="00920F2C" w:rsidRPr="00572C2C" w:rsidRDefault="0019602F" w:rsidP="0019602F">
      <w:pPr>
        <w:pStyle w:val="H23G"/>
      </w:pPr>
      <w:r>
        <w:lastRenderedPageBreak/>
        <w:tab/>
      </w:r>
      <w:r>
        <w:tab/>
      </w:r>
      <w:r w:rsidR="00920F2C">
        <w:t>Méthodes et matériaux pour l’isolation et le nettoyage</w:t>
      </w:r>
    </w:p>
    <w:p w14:paraId="15E1FEC3" w14:textId="7A49BCD0" w:rsidR="00920F2C" w:rsidRDefault="00920F2C" w:rsidP="0019602F">
      <w:pPr>
        <w:pStyle w:val="SingleTxtG"/>
      </w:pPr>
      <w:r>
        <w:t>Confiner et recueillir le produit répandu avec un matériau absorbant non combustible (par exemple, du sable, de la terre, de la terre de diatomées, de la vermiculite). Placer dans un récipient et éliminer conformément aux réglementations locales ou nationales (voir sect</w:t>
      </w:r>
      <w:r w:rsidR="00E23858">
        <w:t>. </w:t>
      </w:r>
      <w:r>
        <w:t>13).</w:t>
      </w:r>
    </w:p>
    <w:p w14:paraId="19F74EA4" w14:textId="7F4F97D1" w:rsidR="00920F2C" w:rsidRPr="00C54DDF" w:rsidRDefault="0019602F" w:rsidP="0019602F">
      <w:pPr>
        <w:pStyle w:val="H23G"/>
        <w:rPr>
          <w:rFonts w:cstheme="majorBidi"/>
        </w:rPr>
      </w:pPr>
      <w:r>
        <w:tab/>
      </w:r>
      <w:r>
        <w:tab/>
      </w:r>
      <w:r w:rsidR="00920F2C">
        <w:t>Méthodes de nettoyage</w:t>
      </w:r>
    </w:p>
    <w:p w14:paraId="3F90AE36" w14:textId="77777777" w:rsidR="00920F2C" w:rsidRDefault="00920F2C" w:rsidP="0019602F">
      <w:pPr>
        <w:pStyle w:val="SingleTxtG"/>
        <w:rPr>
          <w:rFonts w:cstheme="majorBidi"/>
        </w:rPr>
      </w:pPr>
      <w:r>
        <w:t>Éponger avec un matériau absorbant inerte. Nettoyer soigneusement la surface contaminée. Conserver les eaux de lavage au même titre que les déchets contaminés. Peut se décomposer en triméthylamine, qui est un gaz inflammable, et en méthanol, susceptible de produire des vapeurs inflammables. Les conteneurs vides peuvent contenir un ou deux gaz inflammables et doivent être manipulés de manière adaptée. Tous les équipements utilisés pour le nettoyage des conteneurs ainsi que les conteneurs doivent être mis à la terre et reliés entre eux pour assurer la continuité de masse, afin d’éviter l’accumulation de charges électriques et les décharges d’électricité statique qui pourraient provoquer un incendie ou une explosion.</w:t>
      </w:r>
    </w:p>
    <w:p w14:paraId="2C783625" w14:textId="561EC4F6" w:rsidR="00920F2C" w:rsidRPr="00765086" w:rsidRDefault="00920F2C" w:rsidP="00E23858">
      <w:pPr>
        <w:pStyle w:val="SingleTxtG"/>
        <w:keepNext/>
        <w:tabs>
          <w:tab w:val="clear" w:pos="1701"/>
        </w:tabs>
        <w:ind w:left="1985" w:hanging="851"/>
        <w:rPr>
          <w:rFonts w:ascii="Arial" w:hAnsi="Arial" w:cs="Arial"/>
          <w:sz w:val="18"/>
          <w:szCs w:val="18"/>
        </w:rPr>
      </w:pPr>
      <w:r>
        <w:t>6.2</w:t>
      </w:r>
      <w:r>
        <w:tab/>
        <w:t>Est-il prévu de transporter la matière en</w:t>
      </w:r>
      <w:r w:rsidR="00E23858">
        <w:t> :</w:t>
      </w:r>
    </w:p>
    <w:p w14:paraId="1AC1EBD5" w14:textId="7EFEDA3D" w:rsidR="00920F2C" w:rsidRPr="00704001" w:rsidRDefault="00920F2C" w:rsidP="0019602F">
      <w:pPr>
        <w:pStyle w:val="SingleTxtG"/>
        <w:tabs>
          <w:tab w:val="right" w:leader="dot" w:pos="8505"/>
        </w:tabs>
        <w:ind w:left="2836" w:hanging="851"/>
        <w:rPr>
          <w:strike/>
        </w:rPr>
      </w:pPr>
      <w:r>
        <w:t>6.2.1</w:t>
      </w:r>
      <w:r>
        <w:tab/>
        <w:t>Conteneurs pour vrac (cf. 6.8</w:t>
      </w:r>
      <w:r w:rsidRPr="0019602F">
        <w:rPr>
          <w:b/>
          <w:sz w:val="18"/>
          <w:szCs w:val="18"/>
          <w:vertAlign w:val="superscript"/>
        </w:rPr>
        <w:t>1</w:t>
      </w:r>
      <w:r>
        <w:t>)</w:t>
      </w:r>
      <w:r w:rsidR="0019602F">
        <w:t> </w:t>
      </w:r>
      <w:r>
        <w:t xml:space="preserve">? </w:t>
      </w:r>
      <w:r>
        <w:tab/>
      </w:r>
    </w:p>
    <w:p w14:paraId="1C80FB4F" w14:textId="12075F5B" w:rsidR="00920F2C" w:rsidRPr="00704001" w:rsidRDefault="00920F2C" w:rsidP="0019602F">
      <w:pPr>
        <w:pStyle w:val="SingleTxtG"/>
        <w:tabs>
          <w:tab w:val="right" w:leader="dot" w:pos="8505"/>
        </w:tabs>
        <w:ind w:left="2836" w:hanging="851"/>
      </w:pPr>
      <w:r>
        <w:t>6.2.2</w:t>
      </w:r>
      <w:r>
        <w:tab/>
        <w:t>Grands récipients pour vrac (cf. 6.5</w:t>
      </w:r>
      <w:r w:rsidRPr="0019602F">
        <w:rPr>
          <w:b/>
          <w:sz w:val="18"/>
          <w:szCs w:val="18"/>
          <w:vertAlign w:val="superscript"/>
        </w:rPr>
        <w:t>1</w:t>
      </w:r>
      <w:r>
        <w:t>)</w:t>
      </w:r>
      <w:r w:rsidR="0019602F">
        <w:t> </w:t>
      </w:r>
      <w:r>
        <w:t xml:space="preserve">? </w:t>
      </w:r>
    </w:p>
    <w:p w14:paraId="1B35D0A1" w14:textId="3FE1F003" w:rsidR="00920F2C" w:rsidRPr="00704001" w:rsidRDefault="00920F2C" w:rsidP="0019602F">
      <w:pPr>
        <w:pStyle w:val="SingleTxtG"/>
        <w:tabs>
          <w:tab w:val="right" w:leader="dot" w:pos="8505"/>
        </w:tabs>
        <w:ind w:left="2836" w:hanging="851"/>
        <w:rPr>
          <w:strike/>
        </w:rPr>
      </w:pPr>
      <w:r>
        <w:t>6.2.3</w:t>
      </w:r>
      <w:r>
        <w:tab/>
        <w:t>Citernes mobiles (6.7</w:t>
      </w:r>
      <w:r w:rsidRPr="0019602F">
        <w:rPr>
          <w:sz w:val="18"/>
          <w:szCs w:val="18"/>
          <w:vertAlign w:val="superscript"/>
        </w:rPr>
        <w:t>1</w:t>
      </w:r>
      <w:r>
        <w:t>)</w:t>
      </w:r>
      <w:r w:rsidR="0019602F">
        <w:t> </w:t>
      </w:r>
      <w:r>
        <w:t>?</w:t>
      </w:r>
      <w:r>
        <w:tab/>
      </w:r>
    </w:p>
    <w:p w14:paraId="7A917C8A" w14:textId="56A83266" w:rsidR="00920F2C" w:rsidRDefault="00920F2C" w:rsidP="00E23858">
      <w:pPr>
        <w:pStyle w:val="SingleTxtG"/>
        <w:tabs>
          <w:tab w:val="right" w:leader="dot" w:pos="8505"/>
        </w:tabs>
        <w:ind w:left="1985"/>
      </w:pPr>
      <w:r>
        <w:t>Si la réponse est affirmative, donner des précisions dans les sections</w:t>
      </w:r>
      <w:r w:rsidR="00F21755">
        <w:t> </w:t>
      </w:r>
      <w:r>
        <w:t>7, 8 ou 9 ci</w:t>
      </w:r>
      <w:r w:rsidR="00F21755">
        <w:noBreakHyphen/>
      </w:r>
      <w:r>
        <w:t>dessous, respectivement.</w:t>
      </w:r>
    </w:p>
    <w:p w14:paraId="3A63A1FC" w14:textId="6FADFC78" w:rsidR="00920F2C" w:rsidRDefault="00E23858" w:rsidP="00E23858">
      <w:pPr>
        <w:pStyle w:val="H23G"/>
      </w:pPr>
      <w:r>
        <w:tab/>
      </w:r>
      <w:r>
        <w:tab/>
      </w:r>
      <w:r w:rsidR="00920F2C">
        <w:t>Section 7</w:t>
      </w:r>
      <w:r>
        <w:br/>
      </w:r>
      <w:r w:rsidR="00920F2C">
        <w:t xml:space="preserve">CONTENEURS POUR VRAC </w:t>
      </w:r>
      <w:r>
        <w:br/>
      </w:r>
      <w:r w:rsidR="00920F2C">
        <w:t>(à ne remplir que si la réponse sous 6.2.1 est « oui »)</w:t>
      </w:r>
    </w:p>
    <w:p w14:paraId="1B4A1119" w14:textId="77777777" w:rsidR="00920F2C" w:rsidRDefault="00920F2C" w:rsidP="00851B32">
      <w:pPr>
        <w:pStyle w:val="SingleTxtG"/>
        <w:tabs>
          <w:tab w:val="clear" w:pos="1701"/>
        </w:tabs>
        <w:ind w:left="1985" w:hanging="851"/>
      </w:pPr>
      <w:r>
        <w:t>7.1</w:t>
      </w:r>
      <w:r>
        <w:tab/>
        <w:t xml:space="preserve">Type(s) proposé(s)  </w:t>
      </w:r>
    </w:p>
    <w:p w14:paraId="037EA9AD" w14:textId="1865EB9D" w:rsidR="00920F2C" w:rsidRDefault="00E23858" w:rsidP="00E23858">
      <w:pPr>
        <w:pStyle w:val="H23G"/>
      </w:pPr>
      <w:r>
        <w:tab/>
      </w:r>
      <w:r>
        <w:tab/>
      </w:r>
      <w:r w:rsidR="00920F2C">
        <w:t>Section 8</w:t>
      </w:r>
      <w:r w:rsidR="00A140EA">
        <w:br/>
      </w:r>
      <w:r w:rsidR="00920F2C">
        <w:t xml:space="preserve">TRANSPORT EN GRANDS RÉCIPIENTS POUR VRAC (GRV) </w:t>
      </w:r>
      <w:r w:rsidR="00A140EA">
        <w:br/>
      </w:r>
      <w:r w:rsidR="00920F2C">
        <w:t>(à ne remplir que si la réponse sous 6.2.2 est « oui »)</w:t>
      </w:r>
    </w:p>
    <w:p w14:paraId="2D40112A" w14:textId="2ACAEC8F" w:rsidR="00920F2C" w:rsidRDefault="00920F2C" w:rsidP="00851B32">
      <w:pPr>
        <w:pStyle w:val="SingleTxtG"/>
        <w:tabs>
          <w:tab w:val="clear" w:pos="1701"/>
        </w:tabs>
        <w:ind w:left="1985" w:hanging="851"/>
      </w:pPr>
      <w:r>
        <w:t>8.1</w:t>
      </w:r>
      <w:r>
        <w:tab/>
        <w:t>Type(s) proposé(s)</w:t>
      </w:r>
    </w:p>
    <w:p w14:paraId="0DDF3E65" w14:textId="0FD08F17" w:rsidR="00920F2C" w:rsidRDefault="00E23858" w:rsidP="00E23858">
      <w:pPr>
        <w:pStyle w:val="H23G"/>
      </w:pPr>
      <w:r>
        <w:tab/>
      </w:r>
      <w:r>
        <w:tab/>
      </w:r>
      <w:r w:rsidR="00920F2C">
        <w:t>Section 9</w:t>
      </w:r>
      <w:r w:rsidR="00A140EA">
        <w:br/>
      </w:r>
      <w:r w:rsidR="00920F2C">
        <w:t xml:space="preserve">TRANSPORT EN CITERNES MOBILES </w:t>
      </w:r>
      <w:r w:rsidR="00A140EA">
        <w:br/>
      </w:r>
      <w:r w:rsidR="00920F2C">
        <w:t>(à ne remplir que si la réponse sous 6.2.3 est « oui »)</w:t>
      </w:r>
    </w:p>
    <w:p w14:paraId="48695CC4" w14:textId="66D126BF" w:rsidR="00920F2C" w:rsidRPr="00704001" w:rsidRDefault="00920F2C" w:rsidP="00851B32">
      <w:pPr>
        <w:pStyle w:val="SingleTxtG"/>
        <w:tabs>
          <w:tab w:val="clear" w:pos="1701"/>
        </w:tabs>
        <w:ind w:left="1985" w:hanging="851"/>
      </w:pPr>
      <w:r>
        <w:t>9.1</w:t>
      </w:r>
      <w:r>
        <w:tab/>
        <w:t>Description de la citerne mobile prévue (y compris le type de citerne OMI s’il est connu)</w:t>
      </w:r>
    </w:p>
    <w:p w14:paraId="0D18AE43" w14:textId="6DC487CC" w:rsidR="00920F2C" w:rsidRPr="00704001" w:rsidRDefault="00920F2C" w:rsidP="00851B32">
      <w:pPr>
        <w:pStyle w:val="SingleTxtG"/>
        <w:tabs>
          <w:tab w:val="clear" w:pos="1701"/>
        </w:tabs>
        <w:ind w:left="1985" w:hanging="851"/>
      </w:pPr>
      <w:r>
        <w:t>9.2</w:t>
      </w:r>
      <w:r>
        <w:tab/>
        <w:t>Pression minimale d’épreuve</w:t>
      </w:r>
    </w:p>
    <w:p w14:paraId="06E1F8C4" w14:textId="284C7B32" w:rsidR="00920F2C" w:rsidRPr="00704001" w:rsidRDefault="00920F2C" w:rsidP="00851B32">
      <w:pPr>
        <w:pStyle w:val="SingleTxtG"/>
        <w:tabs>
          <w:tab w:val="clear" w:pos="1701"/>
        </w:tabs>
        <w:ind w:left="1985" w:hanging="851"/>
      </w:pPr>
      <w:r>
        <w:t>9.3</w:t>
      </w:r>
      <w:r>
        <w:tab/>
        <w:t>Épaisseur minimale du réservoir</w:t>
      </w:r>
    </w:p>
    <w:p w14:paraId="26112210" w14:textId="6F307339" w:rsidR="00920F2C" w:rsidRPr="00704001" w:rsidRDefault="00920F2C" w:rsidP="00851B32">
      <w:pPr>
        <w:pStyle w:val="SingleTxtG"/>
        <w:tabs>
          <w:tab w:val="clear" w:pos="1701"/>
        </w:tabs>
        <w:ind w:left="1985" w:hanging="851"/>
      </w:pPr>
      <w:r>
        <w:t>9.4</w:t>
      </w:r>
      <w:r>
        <w:tab/>
        <w:t xml:space="preserve">Caractéristiques des orifices de vidange par le bas, s’ils existent </w:t>
      </w:r>
    </w:p>
    <w:p w14:paraId="7A5495C1" w14:textId="77777777" w:rsidR="00920F2C" w:rsidRPr="00704001" w:rsidRDefault="00920F2C" w:rsidP="00851B32">
      <w:pPr>
        <w:pStyle w:val="SingleTxtG"/>
        <w:tabs>
          <w:tab w:val="clear" w:pos="1701"/>
        </w:tabs>
        <w:ind w:left="1985" w:hanging="851"/>
        <w:rPr>
          <w:b/>
        </w:rPr>
      </w:pPr>
      <w:r>
        <w:t>9.5</w:t>
      </w:r>
      <w:r>
        <w:tab/>
        <w:t xml:space="preserve">Dispositifs de décompression  </w:t>
      </w:r>
    </w:p>
    <w:p w14:paraId="1A01F411" w14:textId="00C852C5" w:rsidR="00920F2C" w:rsidRPr="00704001" w:rsidRDefault="00920F2C" w:rsidP="00A140EA">
      <w:pPr>
        <w:pStyle w:val="SingleTxtG"/>
        <w:tabs>
          <w:tab w:val="clear" w:pos="1701"/>
          <w:tab w:val="right" w:leader="dot" w:pos="8505"/>
        </w:tabs>
        <w:ind w:left="1985" w:hanging="851"/>
      </w:pPr>
      <w:r>
        <w:t>9.6</w:t>
      </w:r>
      <w:r>
        <w:tab/>
        <w:t>Taux de remplissage</w:t>
      </w:r>
      <w:r>
        <w:tab/>
      </w:r>
    </w:p>
    <w:p w14:paraId="57FCF9D4" w14:textId="631FF41C" w:rsidR="00920F2C" w:rsidRDefault="00920F2C" w:rsidP="00A140EA">
      <w:pPr>
        <w:pStyle w:val="SingleTxtG"/>
        <w:tabs>
          <w:tab w:val="clear" w:pos="1701"/>
          <w:tab w:val="right" w:leader="dot" w:pos="8505"/>
        </w:tabs>
        <w:ind w:left="1985" w:hanging="851"/>
      </w:pPr>
      <w:r w:rsidRPr="00704001">
        <w:t>9.8</w:t>
      </w:r>
      <w:r w:rsidRPr="00704001">
        <w:tab/>
      </w:r>
      <w:r>
        <w:t>Matériaux à ne pas utiliser pour la construction</w:t>
      </w:r>
      <w:r w:rsidR="00B305A8">
        <w:tab/>
      </w:r>
    </w:p>
    <w:p w14:paraId="5BE4CDE8" w14:textId="66A343D9" w:rsidR="00B305A8" w:rsidRPr="00704001" w:rsidRDefault="00B305A8" w:rsidP="00B305A8">
      <w:pPr>
        <w:pStyle w:val="SingleTxtG"/>
        <w:tabs>
          <w:tab w:val="clear" w:pos="1701"/>
          <w:tab w:val="clear" w:pos="2268"/>
          <w:tab w:val="clear" w:pos="2835"/>
          <w:tab w:val="right" w:leader="dot" w:pos="8505"/>
        </w:tabs>
        <w:ind w:left="1985"/>
      </w:pPr>
      <w:r>
        <w:tab/>
      </w:r>
      <w:r>
        <w:tab/>
      </w:r>
    </w:p>
    <w:p w14:paraId="7951A1B0" w14:textId="07D5FDD8" w:rsidR="00446FE5" w:rsidRPr="00020A2D" w:rsidRDefault="00020A2D" w:rsidP="00020A2D">
      <w:pPr>
        <w:pStyle w:val="SingleTxtG"/>
        <w:spacing w:before="240" w:after="0"/>
        <w:jc w:val="center"/>
        <w:rPr>
          <w:u w:val="single"/>
        </w:rPr>
      </w:pPr>
      <w:r>
        <w:rPr>
          <w:u w:val="single"/>
        </w:rPr>
        <w:tab/>
      </w:r>
      <w:r>
        <w:rPr>
          <w:u w:val="single"/>
        </w:rPr>
        <w:tab/>
      </w:r>
      <w:r>
        <w:rPr>
          <w:u w:val="single"/>
        </w:rPr>
        <w:tab/>
      </w:r>
    </w:p>
    <w:sectPr w:rsidR="00446FE5" w:rsidRPr="00020A2D" w:rsidSect="00710121">
      <w:headerReference w:type="default" r:id="rId31"/>
      <w:footerReference w:type="default" r:id="rId32"/>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0BE1A" w14:textId="77777777" w:rsidR="00AB16EF" w:rsidRDefault="00AB16EF" w:rsidP="00F95C08">
      <w:pPr>
        <w:spacing w:line="240" w:lineRule="auto"/>
      </w:pPr>
    </w:p>
  </w:endnote>
  <w:endnote w:type="continuationSeparator" w:id="0">
    <w:p w14:paraId="375A5111" w14:textId="77777777" w:rsidR="00AB16EF" w:rsidRPr="00AC3823" w:rsidRDefault="00AB16EF" w:rsidP="00AC3823">
      <w:pPr>
        <w:pStyle w:val="Footer"/>
      </w:pPr>
    </w:p>
  </w:endnote>
  <w:endnote w:type="continuationNotice" w:id="1">
    <w:p w14:paraId="4A5DBF30" w14:textId="77777777" w:rsidR="00AB16EF" w:rsidRDefault="00AB16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AFCF" w14:textId="111EAADF" w:rsidR="00A1078B" w:rsidRPr="00A1078B" w:rsidRDefault="00A1078B" w:rsidP="00A1078B">
    <w:pPr>
      <w:pStyle w:val="Footer"/>
      <w:tabs>
        <w:tab w:val="right" w:pos="9638"/>
      </w:tabs>
    </w:pPr>
    <w:r w:rsidRPr="00A1078B">
      <w:rPr>
        <w:b/>
        <w:sz w:val="18"/>
      </w:rPr>
      <w:fldChar w:fldCharType="begin"/>
    </w:r>
    <w:r w:rsidRPr="00A1078B">
      <w:rPr>
        <w:b/>
        <w:sz w:val="18"/>
      </w:rPr>
      <w:instrText xml:space="preserve"> PAGE  \* MERGEFORMAT </w:instrText>
    </w:r>
    <w:r w:rsidRPr="00A1078B">
      <w:rPr>
        <w:b/>
        <w:sz w:val="18"/>
      </w:rPr>
      <w:fldChar w:fldCharType="separate"/>
    </w:r>
    <w:r w:rsidRPr="00A1078B">
      <w:rPr>
        <w:b/>
        <w:noProof/>
        <w:sz w:val="18"/>
      </w:rPr>
      <w:t>2</w:t>
    </w:r>
    <w:r w:rsidRPr="00A1078B">
      <w:rPr>
        <w:b/>
        <w:sz w:val="18"/>
      </w:rPr>
      <w:fldChar w:fldCharType="end"/>
    </w:r>
    <w:r>
      <w:rPr>
        <w:b/>
        <w:sz w:val="18"/>
      </w:rPr>
      <w:tab/>
    </w:r>
    <w:r>
      <w:t>GE.22-05156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2E9A" w14:textId="184EB7DC" w:rsidR="00A1078B" w:rsidRPr="00A1078B" w:rsidRDefault="00A1078B" w:rsidP="00A1078B">
    <w:pPr>
      <w:pStyle w:val="Footer"/>
      <w:tabs>
        <w:tab w:val="right" w:pos="9638"/>
      </w:tabs>
      <w:rPr>
        <w:b/>
        <w:sz w:val="18"/>
      </w:rPr>
    </w:pPr>
    <w:r>
      <w:t>GE.22-05156</w:t>
    </w:r>
    <w:r>
      <w:tab/>
    </w:r>
    <w:r w:rsidRPr="00A1078B">
      <w:rPr>
        <w:b/>
        <w:sz w:val="18"/>
      </w:rPr>
      <w:fldChar w:fldCharType="begin"/>
    </w:r>
    <w:r w:rsidRPr="00A1078B">
      <w:rPr>
        <w:b/>
        <w:sz w:val="18"/>
      </w:rPr>
      <w:instrText xml:space="preserve"> PAGE  \* MERGEFORMAT </w:instrText>
    </w:r>
    <w:r w:rsidRPr="00A1078B">
      <w:rPr>
        <w:b/>
        <w:sz w:val="18"/>
      </w:rPr>
      <w:fldChar w:fldCharType="separate"/>
    </w:r>
    <w:r w:rsidRPr="00A1078B">
      <w:rPr>
        <w:b/>
        <w:noProof/>
        <w:sz w:val="18"/>
      </w:rPr>
      <w:t>3</w:t>
    </w:r>
    <w:r w:rsidRPr="00A1078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D634" w14:textId="47E5BC2D" w:rsidR="0068456F" w:rsidRPr="00A1078B" w:rsidRDefault="00A1078B" w:rsidP="00A1078B">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5D831409" wp14:editId="6DD1CB91">
          <wp:simplePos x="0" y="0"/>
          <wp:positionH relativeFrom="margin">
            <wp:posOffset>4319905</wp:posOffset>
          </wp:positionH>
          <wp:positionV relativeFrom="margin">
            <wp:posOffset>9144000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22-05156  (F)</w:t>
    </w:r>
    <w:r>
      <w:rPr>
        <w:noProof/>
        <w:sz w:val="20"/>
      </w:rPr>
      <w:drawing>
        <wp:anchor distT="0" distB="0" distL="114300" distR="114300" simplePos="0" relativeHeight="251660288" behindDoc="0" locked="0" layoutInCell="1" allowOverlap="1" wp14:anchorId="4C9AB91E" wp14:editId="25811843">
          <wp:simplePos x="0" y="0"/>
          <wp:positionH relativeFrom="margin">
            <wp:posOffset>5489575</wp:posOffset>
          </wp:positionH>
          <wp:positionV relativeFrom="margin">
            <wp:posOffset>8891905</wp:posOffset>
          </wp:positionV>
          <wp:extent cx="638175" cy="638175"/>
          <wp:effectExtent l="0" t="0" r="9525" b="952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060522    </w:t>
    </w:r>
    <w:r w:rsidR="00D36859">
      <w:rPr>
        <w:sz w:val="20"/>
      </w:rPr>
      <w:t>090522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6F16" w14:textId="77777777" w:rsidR="00905E3B" w:rsidRPr="00A1078B" w:rsidRDefault="00905E3B" w:rsidP="00A1078B">
    <w:pPr>
      <w:pStyle w:val="Footer"/>
      <w:tabs>
        <w:tab w:val="right" w:pos="9638"/>
      </w:tabs>
      <w:rPr>
        <w:b/>
        <w:sz w:val="18"/>
      </w:rPr>
    </w:pPr>
    <w:r>
      <w:t>GE.22-05156</w:t>
    </w:r>
    <w:r>
      <w:tab/>
    </w:r>
    <w:r w:rsidRPr="00A1078B">
      <w:rPr>
        <w:b/>
        <w:sz w:val="18"/>
      </w:rPr>
      <w:fldChar w:fldCharType="begin"/>
    </w:r>
    <w:r w:rsidRPr="00A1078B">
      <w:rPr>
        <w:b/>
        <w:sz w:val="18"/>
      </w:rPr>
      <w:instrText xml:space="preserve"> PAGE  \* MERGEFORMAT </w:instrText>
    </w:r>
    <w:r w:rsidRPr="00A1078B">
      <w:rPr>
        <w:b/>
        <w:sz w:val="18"/>
      </w:rPr>
      <w:fldChar w:fldCharType="separate"/>
    </w:r>
    <w:r w:rsidRPr="00A1078B">
      <w:rPr>
        <w:b/>
        <w:noProof/>
        <w:sz w:val="18"/>
      </w:rPr>
      <w:t>3</w:t>
    </w:r>
    <w:r w:rsidRPr="00A1078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27846" w14:textId="77777777" w:rsidR="00AB16EF" w:rsidRPr="00AC3823" w:rsidRDefault="00AB16EF" w:rsidP="00AC3823">
      <w:pPr>
        <w:pStyle w:val="Footer"/>
        <w:tabs>
          <w:tab w:val="right" w:pos="2155"/>
        </w:tabs>
        <w:spacing w:after="80" w:line="240" w:lineRule="atLeast"/>
        <w:ind w:left="680"/>
        <w:rPr>
          <w:u w:val="single"/>
        </w:rPr>
      </w:pPr>
      <w:r>
        <w:rPr>
          <w:u w:val="single"/>
        </w:rPr>
        <w:tab/>
      </w:r>
    </w:p>
  </w:footnote>
  <w:footnote w:type="continuationSeparator" w:id="0">
    <w:p w14:paraId="1A6E9D6C" w14:textId="77777777" w:rsidR="00AB16EF" w:rsidRPr="00AC3823" w:rsidRDefault="00AB16EF" w:rsidP="00AC3823">
      <w:pPr>
        <w:pStyle w:val="Footer"/>
        <w:tabs>
          <w:tab w:val="right" w:pos="2155"/>
        </w:tabs>
        <w:spacing w:after="80" w:line="240" w:lineRule="atLeast"/>
        <w:ind w:left="680"/>
        <w:rPr>
          <w:u w:val="single"/>
        </w:rPr>
      </w:pPr>
      <w:r>
        <w:rPr>
          <w:u w:val="single"/>
        </w:rPr>
        <w:tab/>
      </w:r>
    </w:p>
  </w:footnote>
  <w:footnote w:type="continuationNotice" w:id="1">
    <w:p w14:paraId="4E2ABD50" w14:textId="77777777" w:rsidR="00AB16EF" w:rsidRPr="00AC3823" w:rsidRDefault="00AB16EF">
      <w:pPr>
        <w:spacing w:line="240" w:lineRule="auto"/>
        <w:rPr>
          <w:sz w:val="2"/>
          <w:szCs w:val="2"/>
        </w:rPr>
      </w:pPr>
    </w:p>
  </w:footnote>
  <w:footnote w:id="2">
    <w:p w14:paraId="0EADE555" w14:textId="5108B297" w:rsidR="0024276D" w:rsidRPr="0025638E" w:rsidRDefault="005118A7" w:rsidP="005118A7">
      <w:pPr>
        <w:pStyle w:val="FootnoteText"/>
      </w:pPr>
      <w:r>
        <w:tab/>
      </w:r>
      <w:r w:rsidR="0024276D">
        <w:t>*</w:t>
      </w:r>
      <w:r>
        <w:tab/>
      </w:r>
      <w:r w:rsidR="0024276D">
        <w:t>A/75/6 (Sect.</w:t>
      </w:r>
      <w:r w:rsidR="00D56880">
        <w:t> </w:t>
      </w:r>
      <w:r w:rsidR="0024276D">
        <w:t>20), par. 20.51</w:t>
      </w:r>
    </w:p>
  </w:footnote>
  <w:footnote w:id="3">
    <w:p w14:paraId="19F9648A" w14:textId="082E2684" w:rsidR="00E919B7" w:rsidRDefault="00E919B7">
      <w:pPr>
        <w:pStyle w:val="FootnoteText"/>
      </w:pPr>
      <w:r>
        <w:tab/>
      </w:r>
      <w:r>
        <w:rPr>
          <w:rStyle w:val="FootnoteReference"/>
        </w:rPr>
        <w:footnoteRef/>
      </w:r>
      <w:r>
        <w:tab/>
      </w:r>
      <w:hyperlink r:id="rId1" w:history="1">
        <w:r w:rsidRPr="00E919B7">
          <w:rPr>
            <w:rStyle w:val="Hyperlink"/>
          </w:rPr>
          <w:t>https://pubchem.ncbi.nlm.nih.gov/compound/Tetramethylammonium-hydroxide</w:t>
        </w:r>
      </w:hyperlink>
      <w:r>
        <w:rPr>
          <w:rStyle w:val="Hyperlink"/>
          <w:color w:val="0070C0"/>
        </w:rPr>
        <w:t>.</w:t>
      </w:r>
    </w:p>
  </w:footnote>
  <w:footnote w:id="4">
    <w:p w14:paraId="0074B07F" w14:textId="6BE4FC56" w:rsidR="0024276D" w:rsidRPr="009C32D3" w:rsidRDefault="00B97070" w:rsidP="00B97070">
      <w:pPr>
        <w:pStyle w:val="FootnoteText"/>
        <w:rPr>
          <w:lang w:val="en-US"/>
        </w:rPr>
      </w:pPr>
      <w:r>
        <w:tab/>
      </w:r>
      <w:r>
        <w:rPr>
          <w:rStyle w:val="FootnoteReference"/>
        </w:rPr>
        <w:footnoteRef/>
      </w:r>
      <w:r w:rsidRPr="00967CFD">
        <w:rPr>
          <w:lang w:val="en-US"/>
        </w:rPr>
        <w:tab/>
      </w:r>
      <w:r w:rsidR="0024276D" w:rsidRPr="009C32D3">
        <w:rPr>
          <w:shd w:val="clear" w:color="auto" w:fill="FFFFFF"/>
          <w:lang w:val="en-US"/>
        </w:rPr>
        <w:t>Chun-Chi Lin, Chen-Chang Yang, Jiin Ger, Jou-Fang Deng &amp; Dong-Zong Hung (2010) Tetramethylammonium hydroxide poisoning, Clinical Toxicology, 48:3, 213-217, DOI: 10.3109/15563651003627777.</w:t>
      </w:r>
    </w:p>
  </w:footnote>
  <w:footnote w:id="5">
    <w:p w14:paraId="17A3BA3A" w14:textId="682C3B3B" w:rsidR="0024276D" w:rsidRPr="009C32D3" w:rsidRDefault="00B97070" w:rsidP="00B97070">
      <w:pPr>
        <w:pStyle w:val="FootnoteText"/>
        <w:rPr>
          <w:lang w:val="en-US"/>
        </w:rPr>
      </w:pPr>
      <w:r w:rsidRPr="00967CFD">
        <w:rPr>
          <w:lang w:val="en-US"/>
        </w:rPr>
        <w:tab/>
      </w:r>
      <w:r>
        <w:rPr>
          <w:rStyle w:val="FootnoteReference"/>
        </w:rPr>
        <w:footnoteRef/>
      </w:r>
      <w:r w:rsidRPr="00693469">
        <w:rPr>
          <w:lang w:val="en-US"/>
        </w:rPr>
        <w:tab/>
      </w:r>
      <w:r w:rsidR="0024276D" w:rsidRPr="009C32D3">
        <w:rPr>
          <w:lang w:val="en-US"/>
        </w:rPr>
        <w:t xml:space="preserve">Park SH, Park J, You KH, Shin HC, Kim HO. </w:t>
      </w:r>
      <w:r w:rsidR="0024276D" w:rsidRPr="00270C5C">
        <w:rPr>
          <w:lang w:val="en-US"/>
        </w:rPr>
        <w:t xml:space="preserve">Tetramethylammonium hydroxide poisoning during a pallet cleaning demonstration. </w:t>
      </w:r>
      <w:r w:rsidR="0024276D" w:rsidRPr="009C32D3">
        <w:rPr>
          <w:lang w:val="en-US"/>
        </w:rPr>
        <w:t>J Occup Health. 2013;55(2):120-4. doi: 10.1539/joh.12-0143-cs. Epub 2013 Jan 18. PMID: 23327884.</w:t>
      </w:r>
    </w:p>
  </w:footnote>
  <w:footnote w:id="6">
    <w:p w14:paraId="7F2BFE7C" w14:textId="6D883F3C" w:rsidR="0024276D" w:rsidRPr="009C32D3" w:rsidRDefault="00B97070" w:rsidP="00B97070">
      <w:pPr>
        <w:pStyle w:val="FootnoteText"/>
        <w:rPr>
          <w:lang w:val="en-US"/>
        </w:rPr>
      </w:pPr>
      <w:r w:rsidRPr="00693469">
        <w:rPr>
          <w:lang w:val="en-US"/>
        </w:rPr>
        <w:tab/>
      </w:r>
      <w:r>
        <w:rPr>
          <w:rStyle w:val="FootnoteReference"/>
        </w:rPr>
        <w:footnoteRef/>
      </w:r>
      <w:r w:rsidRPr="00693469">
        <w:rPr>
          <w:lang w:val="en-US"/>
        </w:rPr>
        <w:tab/>
      </w:r>
      <w:r w:rsidR="0024276D" w:rsidRPr="009C32D3">
        <w:rPr>
          <w:lang w:val="en-US"/>
        </w:rPr>
        <w:t xml:space="preserve">Huang, CK., Hall, A.H., Wu, ML. </w:t>
      </w:r>
      <w:r w:rsidR="0024276D" w:rsidRPr="009C32D3">
        <w:rPr>
          <w:i/>
          <w:lang w:val="en-US"/>
        </w:rPr>
        <w:t>et al.</w:t>
      </w:r>
      <w:r w:rsidR="0024276D" w:rsidRPr="009C32D3">
        <w:rPr>
          <w:lang w:val="en-US"/>
        </w:rPr>
        <w:t xml:space="preserve"> </w:t>
      </w:r>
      <w:r w:rsidR="0024276D" w:rsidRPr="00270C5C">
        <w:rPr>
          <w:lang w:val="en-US"/>
        </w:rPr>
        <w:t xml:space="preserve">Presentations of tetramethylammonium hydroxide dermal exposure and the valuable potential of diphoterine solution in decontamination: a retrospective observational study. </w:t>
      </w:r>
      <w:r w:rsidR="0024276D" w:rsidRPr="009C32D3">
        <w:rPr>
          <w:i/>
          <w:lang w:val="en-US"/>
        </w:rPr>
        <w:t>BMC Pharmacol Toxicol</w:t>
      </w:r>
      <w:r w:rsidR="0024276D" w:rsidRPr="009C32D3">
        <w:rPr>
          <w:lang w:val="en-US"/>
        </w:rPr>
        <w:t xml:space="preserve"> 21, 83 (2020). </w:t>
      </w:r>
      <w:hyperlink r:id="rId2" w:history="1">
        <w:r w:rsidR="0024276D" w:rsidRPr="00967CFD">
          <w:rPr>
            <w:rStyle w:val="Hyperlink"/>
            <w:lang w:val="en-US"/>
          </w:rPr>
          <w:t>https://doi.org/10.1186/s40360-020-00465-8</w:t>
        </w:r>
      </w:hyperlink>
      <w:r w:rsidR="0024276D" w:rsidRPr="009C32D3">
        <w:rPr>
          <w:rStyle w:val="Hyperlink"/>
          <w:lang w:val="en-US"/>
        </w:rPr>
        <w:t>.</w:t>
      </w:r>
    </w:p>
  </w:footnote>
  <w:footnote w:id="7">
    <w:p w14:paraId="46BEBE16" w14:textId="1EEEE439" w:rsidR="00225435" w:rsidRPr="00225435" w:rsidRDefault="00225435">
      <w:pPr>
        <w:pStyle w:val="FootnoteText"/>
        <w:rPr>
          <w:lang w:val="en-US"/>
        </w:rPr>
      </w:pPr>
      <w:r w:rsidRPr="00693469">
        <w:rPr>
          <w:lang w:val="en-US"/>
        </w:rPr>
        <w:tab/>
      </w:r>
      <w:r>
        <w:rPr>
          <w:rStyle w:val="FootnoteReference"/>
        </w:rPr>
        <w:footnoteRef/>
      </w:r>
      <w:r w:rsidRPr="00225435">
        <w:rPr>
          <w:lang w:val="en-US"/>
        </w:rPr>
        <w:tab/>
      </w:r>
      <w:r w:rsidRPr="009C32D3">
        <w:rPr>
          <w:lang w:val="en-US"/>
        </w:rPr>
        <w:t xml:space="preserve">HEEG OPINION </w:t>
      </w:r>
      <w:r w:rsidR="00967CFD">
        <w:rPr>
          <w:lang w:val="en-US"/>
        </w:rPr>
        <w:t>−</w:t>
      </w:r>
      <w:r w:rsidRPr="009C32D3">
        <w:rPr>
          <w:lang w:val="en-US"/>
        </w:rPr>
        <w:t xml:space="preserve"> Biocidal products: model for dipping of hands/forearms in a diluted solution (</w:t>
      </w:r>
      <w:hyperlink r:id="rId3" w:history="1">
        <w:r w:rsidRPr="00967CFD">
          <w:rPr>
            <w:rStyle w:val="Hyperlink"/>
            <w:lang w:val="en-US"/>
          </w:rPr>
          <w:t>https://echa.europa.eu/documents/10162/19680902/heeg_opinion_16_dipping_of_hands_forearms</w:t>
        </w:r>
        <w:r w:rsidR="00967CFD">
          <w:rPr>
            <w:rStyle w:val="Hyperlink"/>
            <w:lang w:val="en-US"/>
          </w:rPr>
          <w:t xml:space="preserve"> </w:t>
        </w:r>
        <w:r w:rsidRPr="00967CFD">
          <w:rPr>
            <w:rStyle w:val="Hyperlink"/>
            <w:lang w:val="en-US"/>
          </w:rPr>
          <w:t>_en.pdf/471333fe-84d3-4601-b7cf-89881c5a2cff</w:t>
        </w:r>
      </w:hyperlink>
      <w:r w:rsidRPr="009C32D3">
        <w:rPr>
          <w:lang w:val="en-US"/>
        </w:rPr>
        <w:t>)</w:t>
      </w:r>
      <w:r w:rsidR="00E50E92">
        <w:rPr>
          <w:lang w:val="en-US"/>
        </w:rPr>
        <w:t>.</w:t>
      </w:r>
    </w:p>
  </w:footnote>
  <w:footnote w:id="8">
    <w:p w14:paraId="48326F22" w14:textId="1E101031" w:rsidR="00851A53" w:rsidRDefault="00851A53">
      <w:pPr>
        <w:pStyle w:val="FootnoteText"/>
      </w:pPr>
      <w:r w:rsidRPr="00FD417D">
        <w:rPr>
          <w:lang w:val="en-US"/>
        </w:rPr>
        <w:tab/>
      </w:r>
      <w:r>
        <w:rPr>
          <w:rStyle w:val="FootnoteReference"/>
        </w:rPr>
        <w:footnoteRef/>
      </w:r>
      <w:r>
        <w:tab/>
        <w:t>Ces références renvoient aux chapitres, sections et paragraphes du Règlement type pour le transport des marchandises dangereuses.</w:t>
      </w:r>
    </w:p>
  </w:footnote>
  <w:footnote w:id="9">
    <w:p w14:paraId="736A3801" w14:textId="228FCAA5" w:rsidR="00F72DD3" w:rsidRDefault="00F72DD3">
      <w:pPr>
        <w:pStyle w:val="FootnoteText"/>
      </w:pPr>
      <w:r>
        <w:tab/>
      </w:r>
      <w:r>
        <w:rPr>
          <w:rStyle w:val="FootnoteReference"/>
        </w:rPr>
        <w:footnoteRef/>
      </w:r>
      <w:r>
        <w:tab/>
      </w:r>
      <w:r w:rsidR="00851A53">
        <w:t>Voir la définition de « liquide » au 1.2.1 du Règlement type pour le transport des marchandises dangereuses.</w:t>
      </w:r>
    </w:p>
  </w:footnote>
  <w:footnote w:id="10">
    <w:p w14:paraId="11416B8E" w14:textId="4AAFD9F6" w:rsidR="000558B7" w:rsidRDefault="000558B7">
      <w:pPr>
        <w:pStyle w:val="FootnoteText"/>
      </w:pPr>
      <w:r>
        <w:tab/>
      </w:r>
      <w:r>
        <w:rPr>
          <w:rStyle w:val="FootnoteReference"/>
        </w:rPr>
        <w:footnoteRef/>
      </w:r>
      <w:r>
        <w:tab/>
      </w:r>
      <w:r w:rsidRPr="00FE027C">
        <w:rPr>
          <w:rStyle w:val="FootnoteTextChar"/>
        </w:rPr>
        <w:t>Ces références renvoient aux chapitres, sections et paragraphes du Règlement type pour le transport des marchandises dangereuses.</w:t>
      </w:r>
    </w:p>
  </w:footnote>
  <w:footnote w:id="11">
    <w:p w14:paraId="43466A69" w14:textId="1E679E25" w:rsidR="00E96E30" w:rsidRDefault="00E96E30">
      <w:pPr>
        <w:pStyle w:val="FootnoteText"/>
      </w:pPr>
      <w:r>
        <w:tab/>
      </w:r>
      <w:r>
        <w:rPr>
          <w:rStyle w:val="FootnoteReference"/>
        </w:rPr>
        <w:footnoteRef/>
      </w:r>
      <w:r>
        <w:tab/>
        <w:t>Voir la définition de « liquide » au 1.2.1 du Règlement type pour le transport des marchandises dangereuses.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5552" w14:textId="18291B3E" w:rsidR="00A1078B" w:rsidRPr="00A1078B" w:rsidRDefault="00FD417D">
    <w:pPr>
      <w:pStyle w:val="Header"/>
    </w:pPr>
    <w:fldSimple w:instr=" TITLE  \* MERGEFORMAT ">
      <w:r w:rsidR="007B2D18">
        <w:t>ST/SG/AC.10/C.3/2022/24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3DF7" w14:textId="2B946EF1" w:rsidR="00A1078B" w:rsidRPr="00A1078B" w:rsidRDefault="00FD417D" w:rsidP="00A1078B">
    <w:pPr>
      <w:pStyle w:val="Header"/>
      <w:jc w:val="right"/>
    </w:pPr>
    <w:fldSimple w:instr=" TITLE  \* MERGEFORMAT ">
      <w:r w:rsidR="007B2D18">
        <w:t>ST/SG/AC.10/C.3/2022/24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6EEC" w14:textId="1CA3C5C8" w:rsidR="00710121" w:rsidRPr="00A1078B" w:rsidRDefault="00FD417D">
    <w:pPr>
      <w:pStyle w:val="Header"/>
    </w:pPr>
    <w:fldSimple w:instr=" TITLE  \* MERGEFORMAT ">
      <w:r w:rsidR="007B2D18">
        <w:t>ST/SG/AC.10/C.3/2022/24</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78EC" w14:textId="77777777" w:rsidR="00710121" w:rsidRDefault="007101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F779" w14:textId="32516E4C" w:rsidR="00905E3B" w:rsidRPr="00A1078B" w:rsidRDefault="00FD417D" w:rsidP="00A1078B">
    <w:pPr>
      <w:pStyle w:val="Header"/>
      <w:jc w:val="right"/>
    </w:pPr>
    <w:fldSimple w:instr=" TITLE  \* MERGEFORMAT ">
      <w:r w:rsidR="007B2D18">
        <w:t>ST/SG/AC.10/C.3/2022/24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410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F822F3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F1112B7"/>
    <w:multiLevelType w:val="multilevel"/>
    <w:tmpl w:val="79308EC2"/>
    <w:lvl w:ilvl="0">
      <w:start w:val="1"/>
      <w:numFmt w:val="decimal"/>
      <w:lvlText w:val="%1"/>
      <w:lvlJc w:val="left"/>
      <w:pPr>
        <w:ind w:left="852" w:hanging="852"/>
      </w:pPr>
      <w:rPr>
        <w:rFonts w:hint="default"/>
      </w:rPr>
    </w:lvl>
    <w:lvl w:ilvl="1">
      <w:start w:val="1"/>
      <w:numFmt w:val="decimal"/>
      <w:lvlText w:val="%1.%2"/>
      <w:lvlJc w:val="left"/>
      <w:pPr>
        <w:ind w:left="852" w:hanging="852"/>
      </w:pPr>
      <w:rPr>
        <w:rFonts w:hint="default"/>
      </w:rPr>
    </w:lvl>
    <w:lvl w:ilvl="2">
      <w:start w:val="1"/>
      <w:numFmt w:val="decimal"/>
      <w:lvlText w:val="%1.%2.%3"/>
      <w:lvlJc w:val="left"/>
      <w:pPr>
        <w:ind w:left="852" w:hanging="852"/>
      </w:pPr>
      <w:rPr>
        <w:rFonts w:hint="default"/>
      </w:rPr>
    </w:lvl>
    <w:lvl w:ilvl="3">
      <w:start w:val="1"/>
      <w:numFmt w:val="decimal"/>
      <w:lvlText w:val="%1.%2.%3.%4"/>
      <w:lvlJc w:val="left"/>
      <w:pPr>
        <w:ind w:left="852" w:hanging="852"/>
      </w:pPr>
      <w:rPr>
        <w:rFonts w:hint="default"/>
      </w:rPr>
    </w:lvl>
    <w:lvl w:ilvl="4">
      <w:start w:val="1"/>
      <w:numFmt w:val="decimal"/>
      <w:lvlText w:val="%1.%2.%3.%4.%5"/>
      <w:lvlJc w:val="left"/>
      <w:pPr>
        <w:ind w:left="852" w:hanging="852"/>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426B33"/>
    <w:multiLevelType w:val="hybridMultilevel"/>
    <w:tmpl w:val="C3148D8E"/>
    <w:lvl w:ilvl="0" w:tplc="AE72E752">
      <w:start w:val="1"/>
      <w:numFmt w:val="decimal"/>
      <w:lvlText w:val="%1."/>
      <w:lvlJc w:val="left"/>
      <w:pPr>
        <w:ind w:left="1689" w:hanging="555"/>
      </w:pPr>
    </w:lvl>
    <w:lvl w:ilvl="1" w:tplc="0C0A0019">
      <w:start w:val="1"/>
      <w:numFmt w:val="lowerLetter"/>
      <w:lvlText w:val="%2."/>
      <w:lvlJc w:val="left"/>
      <w:pPr>
        <w:ind w:left="2497" w:hanging="360"/>
      </w:pPr>
    </w:lvl>
    <w:lvl w:ilvl="2" w:tplc="0C0A001B">
      <w:start w:val="1"/>
      <w:numFmt w:val="lowerRoman"/>
      <w:lvlText w:val="%3."/>
      <w:lvlJc w:val="right"/>
      <w:pPr>
        <w:ind w:left="3217" w:hanging="180"/>
      </w:pPr>
    </w:lvl>
    <w:lvl w:ilvl="3" w:tplc="0C0A000F">
      <w:start w:val="1"/>
      <w:numFmt w:val="decimal"/>
      <w:lvlText w:val="%4."/>
      <w:lvlJc w:val="left"/>
      <w:pPr>
        <w:ind w:left="3937" w:hanging="360"/>
      </w:pPr>
    </w:lvl>
    <w:lvl w:ilvl="4" w:tplc="0C0A0019">
      <w:start w:val="1"/>
      <w:numFmt w:val="lowerLetter"/>
      <w:lvlText w:val="%5."/>
      <w:lvlJc w:val="left"/>
      <w:pPr>
        <w:ind w:left="4657" w:hanging="360"/>
      </w:pPr>
    </w:lvl>
    <w:lvl w:ilvl="5" w:tplc="0C0A001B">
      <w:start w:val="1"/>
      <w:numFmt w:val="lowerRoman"/>
      <w:lvlText w:val="%6."/>
      <w:lvlJc w:val="right"/>
      <w:pPr>
        <w:ind w:left="5377" w:hanging="180"/>
      </w:pPr>
    </w:lvl>
    <w:lvl w:ilvl="6" w:tplc="0C0A000F">
      <w:start w:val="1"/>
      <w:numFmt w:val="decimal"/>
      <w:lvlText w:val="%7."/>
      <w:lvlJc w:val="left"/>
      <w:pPr>
        <w:ind w:left="6097" w:hanging="360"/>
      </w:pPr>
    </w:lvl>
    <w:lvl w:ilvl="7" w:tplc="0C0A0019">
      <w:start w:val="1"/>
      <w:numFmt w:val="lowerLetter"/>
      <w:lvlText w:val="%8."/>
      <w:lvlJc w:val="left"/>
      <w:pPr>
        <w:ind w:left="6817" w:hanging="360"/>
      </w:pPr>
    </w:lvl>
    <w:lvl w:ilvl="8" w:tplc="0C0A001B">
      <w:start w:val="1"/>
      <w:numFmt w:val="lowerRoman"/>
      <w:lvlText w:val="%9."/>
      <w:lvlJc w:val="right"/>
      <w:pPr>
        <w:ind w:left="7537" w:hanging="180"/>
      </w:pPr>
    </w:lvl>
  </w:abstractNum>
  <w:abstractNum w:abstractNumId="22" w15:restartNumberingAfterBreak="0">
    <w:nsid w:val="62192432"/>
    <w:multiLevelType w:val="multilevel"/>
    <w:tmpl w:val="78946848"/>
    <w:lvl w:ilvl="0">
      <w:start w:val="9"/>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6AC30B1A"/>
    <w:multiLevelType w:val="hybridMultilevel"/>
    <w:tmpl w:val="398034E2"/>
    <w:lvl w:ilvl="0" w:tplc="51C8EC14">
      <w:start w:val="1"/>
      <w:numFmt w:val="decimal"/>
      <w:lvlText w:val="%1."/>
      <w:lvlJc w:val="left"/>
      <w:pPr>
        <w:ind w:left="1260" w:hanging="360"/>
      </w:pPr>
      <w:rPr>
        <w:rFonts w:hint="default"/>
        <w:vertAlign w:val="superscrip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6" w15:restartNumberingAfterBreak="0">
    <w:nsid w:val="7BE71048"/>
    <w:multiLevelType w:val="hybridMultilevel"/>
    <w:tmpl w:val="E7787752"/>
    <w:lvl w:ilvl="0" w:tplc="DEA60A20">
      <w:start w:val="1"/>
      <w:numFmt w:val="decimal"/>
      <w:lvlText w:val="%1."/>
      <w:lvlJc w:val="left"/>
      <w:pPr>
        <w:ind w:left="1260" w:hanging="360"/>
      </w:pPr>
      <w:rPr>
        <w:rFonts w:hint="default"/>
        <w:vertAlign w:val="superscrip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num w:numId="1">
    <w:abstractNumId w:val="24"/>
  </w:num>
  <w:num w:numId="2">
    <w:abstractNumId w:val="17"/>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17"/>
  </w:num>
  <w:num w:numId="16">
    <w:abstractNumId w:val="13"/>
  </w:num>
  <w:num w:numId="17">
    <w:abstractNumId w:val="16"/>
  </w:num>
  <w:num w:numId="18">
    <w:abstractNumId w:val="15"/>
  </w:num>
  <w:num w:numId="19">
    <w:abstractNumId w:val="11"/>
  </w:num>
  <w:num w:numId="20">
    <w:abstractNumId w:val="20"/>
  </w:num>
  <w:num w:numId="21">
    <w:abstractNumId w:val="18"/>
  </w:num>
  <w:num w:numId="22">
    <w:abstractNumId w:val="10"/>
  </w:num>
  <w:num w:numId="23">
    <w:abstractNumId w:val="14"/>
  </w:num>
  <w:num w:numId="24">
    <w:abstractNumId w:val="12"/>
  </w:num>
  <w:num w:numId="25">
    <w:abstractNumId w:val="2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9"/>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567"/>
  <w:hyphenationZone w:val="425"/>
  <w:evenAndOddHeaders/>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EF"/>
    <w:rsid w:val="000022C3"/>
    <w:rsid w:val="00007331"/>
    <w:rsid w:val="00013DAE"/>
    <w:rsid w:val="0001457D"/>
    <w:rsid w:val="00017F94"/>
    <w:rsid w:val="00020A2D"/>
    <w:rsid w:val="00022763"/>
    <w:rsid w:val="00023842"/>
    <w:rsid w:val="000305D3"/>
    <w:rsid w:val="000334F9"/>
    <w:rsid w:val="000533AB"/>
    <w:rsid w:val="000558B7"/>
    <w:rsid w:val="00062517"/>
    <w:rsid w:val="0006332A"/>
    <w:rsid w:val="0007054F"/>
    <w:rsid w:val="0007137F"/>
    <w:rsid w:val="0007141E"/>
    <w:rsid w:val="0007796D"/>
    <w:rsid w:val="000917D0"/>
    <w:rsid w:val="000A0933"/>
    <w:rsid w:val="000A7982"/>
    <w:rsid w:val="000B7790"/>
    <w:rsid w:val="000C0C21"/>
    <w:rsid w:val="000D1349"/>
    <w:rsid w:val="000D20D4"/>
    <w:rsid w:val="000E01D8"/>
    <w:rsid w:val="000E0AA1"/>
    <w:rsid w:val="000F008E"/>
    <w:rsid w:val="00102E12"/>
    <w:rsid w:val="00111F2F"/>
    <w:rsid w:val="001276D2"/>
    <w:rsid w:val="00132EA9"/>
    <w:rsid w:val="00141C5F"/>
    <w:rsid w:val="0014365E"/>
    <w:rsid w:val="00145446"/>
    <w:rsid w:val="00172E49"/>
    <w:rsid w:val="00176178"/>
    <w:rsid w:val="001856EA"/>
    <w:rsid w:val="0019602F"/>
    <w:rsid w:val="00196086"/>
    <w:rsid w:val="001A24A3"/>
    <w:rsid w:val="001C362E"/>
    <w:rsid w:val="001D7CD1"/>
    <w:rsid w:val="001F2BF6"/>
    <w:rsid w:val="001F525A"/>
    <w:rsid w:val="001F5E2E"/>
    <w:rsid w:val="00204596"/>
    <w:rsid w:val="002057E2"/>
    <w:rsid w:val="00206665"/>
    <w:rsid w:val="00215C10"/>
    <w:rsid w:val="00223272"/>
    <w:rsid w:val="00225435"/>
    <w:rsid w:val="0024276D"/>
    <w:rsid w:val="00244204"/>
    <w:rsid w:val="0024779E"/>
    <w:rsid w:val="00270698"/>
    <w:rsid w:val="00277065"/>
    <w:rsid w:val="00283190"/>
    <w:rsid w:val="002832AC"/>
    <w:rsid w:val="002A269B"/>
    <w:rsid w:val="002A27D9"/>
    <w:rsid w:val="002B26D6"/>
    <w:rsid w:val="002D7C93"/>
    <w:rsid w:val="002E08E0"/>
    <w:rsid w:val="00305AE7"/>
    <w:rsid w:val="00321A17"/>
    <w:rsid w:val="00357BDC"/>
    <w:rsid w:val="00357DF2"/>
    <w:rsid w:val="0036219D"/>
    <w:rsid w:val="0036240F"/>
    <w:rsid w:val="00365F60"/>
    <w:rsid w:val="003700E4"/>
    <w:rsid w:val="003B011B"/>
    <w:rsid w:val="003D2BE3"/>
    <w:rsid w:val="003D5C31"/>
    <w:rsid w:val="003D65BD"/>
    <w:rsid w:val="003E3119"/>
    <w:rsid w:val="00421B7C"/>
    <w:rsid w:val="00441C3B"/>
    <w:rsid w:val="00446FE5"/>
    <w:rsid w:val="00452396"/>
    <w:rsid w:val="00467561"/>
    <w:rsid w:val="00485E80"/>
    <w:rsid w:val="004974A1"/>
    <w:rsid w:val="004A459F"/>
    <w:rsid w:val="004B067B"/>
    <w:rsid w:val="004B2DD5"/>
    <w:rsid w:val="004B44CF"/>
    <w:rsid w:val="004E468C"/>
    <w:rsid w:val="004E7552"/>
    <w:rsid w:val="005118A7"/>
    <w:rsid w:val="005157BC"/>
    <w:rsid w:val="00546A81"/>
    <w:rsid w:val="005505B7"/>
    <w:rsid w:val="00552903"/>
    <w:rsid w:val="00563405"/>
    <w:rsid w:val="00573BE5"/>
    <w:rsid w:val="0057408F"/>
    <w:rsid w:val="00584DC4"/>
    <w:rsid w:val="00586ED3"/>
    <w:rsid w:val="00596AA9"/>
    <w:rsid w:val="005A0131"/>
    <w:rsid w:val="005A3CF6"/>
    <w:rsid w:val="005A65CA"/>
    <w:rsid w:val="005C42BE"/>
    <w:rsid w:val="00651202"/>
    <w:rsid w:val="00651412"/>
    <w:rsid w:val="00676179"/>
    <w:rsid w:val="0068456F"/>
    <w:rsid w:val="00685B67"/>
    <w:rsid w:val="00693469"/>
    <w:rsid w:val="006D43F3"/>
    <w:rsid w:val="006D45A5"/>
    <w:rsid w:val="006D5357"/>
    <w:rsid w:val="006E5CAA"/>
    <w:rsid w:val="006F2EDA"/>
    <w:rsid w:val="006F4A9C"/>
    <w:rsid w:val="00710121"/>
    <w:rsid w:val="007128E8"/>
    <w:rsid w:val="0071601D"/>
    <w:rsid w:val="00744658"/>
    <w:rsid w:val="00745A2D"/>
    <w:rsid w:val="00752E4F"/>
    <w:rsid w:val="00753C8E"/>
    <w:rsid w:val="00754CF9"/>
    <w:rsid w:val="0075602A"/>
    <w:rsid w:val="00767603"/>
    <w:rsid w:val="00790D75"/>
    <w:rsid w:val="007929CA"/>
    <w:rsid w:val="007A62E6"/>
    <w:rsid w:val="007A7176"/>
    <w:rsid w:val="007B2D18"/>
    <w:rsid w:val="007C56FE"/>
    <w:rsid w:val="007C5D36"/>
    <w:rsid w:val="007F1CC9"/>
    <w:rsid w:val="0080165A"/>
    <w:rsid w:val="00802642"/>
    <w:rsid w:val="0080684C"/>
    <w:rsid w:val="0081107A"/>
    <w:rsid w:val="008123E0"/>
    <w:rsid w:val="008146E7"/>
    <w:rsid w:val="008250C4"/>
    <w:rsid w:val="00842336"/>
    <w:rsid w:val="00851A53"/>
    <w:rsid w:val="00851B32"/>
    <w:rsid w:val="0086758D"/>
    <w:rsid w:val="00871C75"/>
    <w:rsid w:val="008776DC"/>
    <w:rsid w:val="008810CD"/>
    <w:rsid w:val="00881794"/>
    <w:rsid w:val="00884200"/>
    <w:rsid w:val="008A456C"/>
    <w:rsid w:val="008B40CD"/>
    <w:rsid w:val="009002DA"/>
    <w:rsid w:val="00905E3B"/>
    <w:rsid w:val="009109FC"/>
    <w:rsid w:val="00920F2C"/>
    <w:rsid w:val="00922673"/>
    <w:rsid w:val="00924C48"/>
    <w:rsid w:val="009352E6"/>
    <w:rsid w:val="009460EC"/>
    <w:rsid w:val="00967CFD"/>
    <w:rsid w:val="009705C8"/>
    <w:rsid w:val="00976EE2"/>
    <w:rsid w:val="00977C92"/>
    <w:rsid w:val="00984407"/>
    <w:rsid w:val="009A78F1"/>
    <w:rsid w:val="009B75A8"/>
    <w:rsid w:val="009C1CF4"/>
    <w:rsid w:val="009C5F40"/>
    <w:rsid w:val="009C7CE6"/>
    <w:rsid w:val="009D1BF3"/>
    <w:rsid w:val="009E41B3"/>
    <w:rsid w:val="00A0153F"/>
    <w:rsid w:val="00A1078B"/>
    <w:rsid w:val="00A140EA"/>
    <w:rsid w:val="00A30353"/>
    <w:rsid w:val="00A4269C"/>
    <w:rsid w:val="00A45664"/>
    <w:rsid w:val="00A54566"/>
    <w:rsid w:val="00A6798F"/>
    <w:rsid w:val="00A81281"/>
    <w:rsid w:val="00A837A9"/>
    <w:rsid w:val="00A97849"/>
    <w:rsid w:val="00A97A4E"/>
    <w:rsid w:val="00AA28C9"/>
    <w:rsid w:val="00AB16EF"/>
    <w:rsid w:val="00AC3823"/>
    <w:rsid w:val="00AC5EC1"/>
    <w:rsid w:val="00AD4997"/>
    <w:rsid w:val="00AD6F77"/>
    <w:rsid w:val="00AE0079"/>
    <w:rsid w:val="00AE323C"/>
    <w:rsid w:val="00B00181"/>
    <w:rsid w:val="00B00B0D"/>
    <w:rsid w:val="00B077E6"/>
    <w:rsid w:val="00B211A2"/>
    <w:rsid w:val="00B21E55"/>
    <w:rsid w:val="00B2696D"/>
    <w:rsid w:val="00B305A8"/>
    <w:rsid w:val="00B34705"/>
    <w:rsid w:val="00B53056"/>
    <w:rsid w:val="00B765F7"/>
    <w:rsid w:val="00B91DEB"/>
    <w:rsid w:val="00B97070"/>
    <w:rsid w:val="00BA0CA9"/>
    <w:rsid w:val="00BA32A6"/>
    <w:rsid w:val="00BA76B9"/>
    <w:rsid w:val="00BC4990"/>
    <w:rsid w:val="00BC5E89"/>
    <w:rsid w:val="00C02897"/>
    <w:rsid w:val="00C22E78"/>
    <w:rsid w:val="00C25794"/>
    <w:rsid w:val="00C51C71"/>
    <w:rsid w:val="00C745F7"/>
    <w:rsid w:val="00C7521F"/>
    <w:rsid w:val="00C82D1A"/>
    <w:rsid w:val="00C868C8"/>
    <w:rsid w:val="00C87D13"/>
    <w:rsid w:val="00C90ACC"/>
    <w:rsid w:val="00CA558D"/>
    <w:rsid w:val="00CA64B9"/>
    <w:rsid w:val="00CC515C"/>
    <w:rsid w:val="00CD2F79"/>
    <w:rsid w:val="00CE11D0"/>
    <w:rsid w:val="00CE4D25"/>
    <w:rsid w:val="00CF1BAF"/>
    <w:rsid w:val="00D0286B"/>
    <w:rsid w:val="00D05516"/>
    <w:rsid w:val="00D2489C"/>
    <w:rsid w:val="00D3439C"/>
    <w:rsid w:val="00D36859"/>
    <w:rsid w:val="00D43DF5"/>
    <w:rsid w:val="00D56880"/>
    <w:rsid w:val="00D5780E"/>
    <w:rsid w:val="00D623A4"/>
    <w:rsid w:val="00D62580"/>
    <w:rsid w:val="00D65132"/>
    <w:rsid w:val="00D66E80"/>
    <w:rsid w:val="00D81C55"/>
    <w:rsid w:val="00D90CD9"/>
    <w:rsid w:val="00DB1831"/>
    <w:rsid w:val="00DC2FE7"/>
    <w:rsid w:val="00DD3BFD"/>
    <w:rsid w:val="00DE53DE"/>
    <w:rsid w:val="00DF6678"/>
    <w:rsid w:val="00E23858"/>
    <w:rsid w:val="00E23FA9"/>
    <w:rsid w:val="00E3196D"/>
    <w:rsid w:val="00E376F4"/>
    <w:rsid w:val="00E438D1"/>
    <w:rsid w:val="00E46170"/>
    <w:rsid w:val="00E50E92"/>
    <w:rsid w:val="00E55CC9"/>
    <w:rsid w:val="00E64CDA"/>
    <w:rsid w:val="00E854C1"/>
    <w:rsid w:val="00E919B7"/>
    <w:rsid w:val="00E95B77"/>
    <w:rsid w:val="00E96E30"/>
    <w:rsid w:val="00EB5303"/>
    <w:rsid w:val="00ED49A7"/>
    <w:rsid w:val="00EF1DA8"/>
    <w:rsid w:val="00EF2E22"/>
    <w:rsid w:val="00EF7261"/>
    <w:rsid w:val="00F01738"/>
    <w:rsid w:val="00F21755"/>
    <w:rsid w:val="00F24DFB"/>
    <w:rsid w:val="00F308D9"/>
    <w:rsid w:val="00F34E19"/>
    <w:rsid w:val="00F464C8"/>
    <w:rsid w:val="00F657FA"/>
    <w:rsid w:val="00F660DF"/>
    <w:rsid w:val="00F6769D"/>
    <w:rsid w:val="00F72309"/>
    <w:rsid w:val="00F72DD3"/>
    <w:rsid w:val="00F730C8"/>
    <w:rsid w:val="00F7563B"/>
    <w:rsid w:val="00F75A8A"/>
    <w:rsid w:val="00F80632"/>
    <w:rsid w:val="00F83843"/>
    <w:rsid w:val="00F920D3"/>
    <w:rsid w:val="00F93DE4"/>
    <w:rsid w:val="00F95C08"/>
    <w:rsid w:val="00FA688A"/>
    <w:rsid w:val="00FB7993"/>
    <w:rsid w:val="00FC3EB3"/>
    <w:rsid w:val="00FD417D"/>
    <w:rsid w:val="00FD5E69"/>
    <w:rsid w:val="00FD64CC"/>
    <w:rsid w:val="00FE027C"/>
    <w:rsid w:val="00FE6003"/>
    <w:rsid w:val="00FF427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98119D"/>
  <w15:docId w15:val="{401FEBC0-9379-460A-83C6-0876A588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F24DFB"/>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qFormat/>
    <w:rsid w:val="0024276D"/>
    <w:rPr>
      <w:rFonts w:ascii="Times New Roman" w:eastAsiaTheme="minorHAnsi" w:hAnsi="Times New Roman" w:cs="Times New Roman"/>
      <w:sz w:val="20"/>
      <w:szCs w:val="20"/>
      <w:lang w:eastAsia="en-US"/>
    </w:rPr>
  </w:style>
  <w:style w:type="character" w:customStyle="1" w:styleId="HChGChar">
    <w:name w:val="_ H _Ch_G Char"/>
    <w:link w:val="HChG"/>
    <w:rsid w:val="0024276D"/>
    <w:rPr>
      <w:rFonts w:ascii="Times New Roman" w:eastAsiaTheme="minorHAnsi" w:hAnsi="Times New Roman" w:cs="Times New Roman"/>
      <w:b/>
      <w:sz w:val="28"/>
      <w:szCs w:val="20"/>
      <w:lang w:eastAsia="en-US"/>
    </w:rPr>
  </w:style>
  <w:style w:type="character" w:customStyle="1" w:styleId="H1GChar">
    <w:name w:val="_ H_1_G Char"/>
    <w:link w:val="H1G"/>
    <w:rsid w:val="0024276D"/>
    <w:rPr>
      <w:rFonts w:ascii="Times New Roman" w:eastAsiaTheme="minorHAnsi" w:hAnsi="Times New Roman" w:cs="Times New Roman"/>
      <w:b/>
      <w:sz w:val="24"/>
      <w:szCs w:val="20"/>
      <w:lang w:eastAsia="en-US"/>
    </w:rPr>
  </w:style>
  <w:style w:type="character" w:styleId="Strong">
    <w:name w:val="Strong"/>
    <w:uiPriority w:val="22"/>
    <w:qFormat/>
    <w:rsid w:val="0024276D"/>
    <w:rPr>
      <w:b/>
      <w:bCs/>
    </w:rPr>
  </w:style>
  <w:style w:type="paragraph" w:styleId="NoSpacing">
    <w:name w:val="No Spacing"/>
    <w:uiPriority w:val="1"/>
    <w:qFormat/>
    <w:rsid w:val="0024276D"/>
    <w:pPr>
      <w:spacing w:after="0" w:line="240" w:lineRule="auto"/>
    </w:pPr>
    <w:rPr>
      <w:rFonts w:ascii="Calibri" w:eastAsia="Calibri" w:hAnsi="Calibri" w:cs="Times New Roman"/>
      <w:lang w:val="fr-FR" w:eastAsia="en-US"/>
    </w:rPr>
  </w:style>
  <w:style w:type="paragraph" w:customStyle="1" w:styleId="Default">
    <w:name w:val="Default"/>
    <w:rsid w:val="0024276D"/>
    <w:pPr>
      <w:autoSpaceDE w:val="0"/>
      <w:autoSpaceDN w:val="0"/>
      <w:adjustRightInd w:val="0"/>
      <w:spacing w:after="0" w:line="240" w:lineRule="auto"/>
    </w:pPr>
    <w:rPr>
      <w:rFonts w:ascii="Times New Roman" w:hAnsi="Times New Roman" w:cs="Times New Roman"/>
      <w:color w:val="000000"/>
      <w:sz w:val="24"/>
      <w:szCs w:val="24"/>
      <w:lang w:val="fr-FR" w:eastAsia="sv-SE"/>
    </w:rPr>
  </w:style>
  <w:style w:type="table" w:customStyle="1" w:styleId="TableGrid1">
    <w:name w:val="Table Grid1"/>
    <w:basedOn w:val="TableNormal"/>
    <w:next w:val="TableGrid"/>
    <w:uiPriority w:val="39"/>
    <w:rsid w:val="0024276D"/>
    <w:pPr>
      <w:suppressAutoHyphens/>
      <w:spacing w:after="0" w:line="240" w:lineRule="atLeast"/>
    </w:pPr>
    <w:rPr>
      <w:rFonts w:ascii="Times New Roman" w:hAnsi="Times New Roman" w:cs="Times New Roman"/>
      <w:sz w:val="20"/>
      <w:szCs w:val="20"/>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Normal"/>
    <w:next w:val="TableGrid"/>
    <w:uiPriority w:val="39"/>
    <w:rsid w:val="0024276D"/>
    <w:pPr>
      <w:suppressAutoHyphens/>
      <w:spacing w:after="0" w:line="240" w:lineRule="atLeast"/>
    </w:pPr>
    <w:rPr>
      <w:rFonts w:ascii="Times New Roman" w:hAnsi="Times New Roman" w:cs="Times New Roman"/>
      <w:sz w:val="20"/>
      <w:szCs w:val="20"/>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
    <w:name w:val="Table Grid3"/>
    <w:basedOn w:val="TableNormal"/>
    <w:next w:val="TableGrid"/>
    <w:uiPriority w:val="39"/>
    <w:rsid w:val="0024276D"/>
    <w:pPr>
      <w:suppressAutoHyphens/>
      <w:spacing w:after="0" w:line="240" w:lineRule="atLeast"/>
    </w:pPr>
    <w:rPr>
      <w:rFonts w:ascii="Times New Roman" w:hAnsi="Times New Roman" w:cs="Times New Roman"/>
      <w:sz w:val="20"/>
      <w:szCs w:val="20"/>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
    <w:name w:val="Table Grid4"/>
    <w:basedOn w:val="TableNormal"/>
    <w:next w:val="TableGrid"/>
    <w:uiPriority w:val="39"/>
    <w:rsid w:val="0024276D"/>
    <w:pPr>
      <w:suppressAutoHyphens/>
      <w:spacing w:after="0" w:line="240" w:lineRule="atLeast"/>
    </w:pPr>
    <w:rPr>
      <w:rFonts w:ascii="Times New Roman" w:hAnsi="Times New Roman" w:cs="Times New Roman"/>
      <w:sz w:val="20"/>
      <w:szCs w:val="20"/>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5">
    <w:name w:val="Table Grid5"/>
    <w:basedOn w:val="TableNormal"/>
    <w:next w:val="TableGrid"/>
    <w:uiPriority w:val="39"/>
    <w:rsid w:val="0024276D"/>
    <w:pPr>
      <w:suppressAutoHyphens/>
      <w:spacing w:after="0" w:line="240" w:lineRule="atLeast"/>
    </w:pPr>
    <w:rPr>
      <w:rFonts w:ascii="Times New Roman" w:hAnsi="Times New Roman" w:cs="Times New Roman"/>
      <w:sz w:val="20"/>
      <w:szCs w:val="20"/>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6">
    <w:name w:val="Table Grid6"/>
    <w:basedOn w:val="TableNormal"/>
    <w:next w:val="TableGrid"/>
    <w:uiPriority w:val="39"/>
    <w:rsid w:val="0024276D"/>
    <w:pPr>
      <w:suppressAutoHyphens/>
      <w:spacing w:after="0" w:line="240" w:lineRule="atLeast"/>
    </w:pPr>
    <w:rPr>
      <w:rFonts w:ascii="Times New Roman" w:hAnsi="Times New Roman" w:cs="Times New Roman"/>
      <w:sz w:val="20"/>
      <w:szCs w:val="20"/>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7">
    <w:name w:val="Table Grid7"/>
    <w:basedOn w:val="TableNormal"/>
    <w:next w:val="TableGrid"/>
    <w:uiPriority w:val="39"/>
    <w:rsid w:val="0024276D"/>
    <w:pPr>
      <w:suppressAutoHyphens/>
      <w:spacing w:after="0" w:line="240" w:lineRule="atLeast"/>
    </w:pPr>
    <w:rPr>
      <w:rFonts w:ascii="Times New Roman" w:hAnsi="Times New Roman" w:cs="Times New Roman"/>
      <w:sz w:val="20"/>
      <w:szCs w:val="20"/>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8">
    <w:name w:val="Table Grid8"/>
    <w:basedOn w:val="TableNormal"/>
    <w:next w:val="TableGrid"/>
    <w:uiPriority w:val="39"/>
    <w:rsid w:val="0024276D"/>
    <w:pPr>
      <w:suppressAutoHyphens/>
      <w:spacing w:after="0" w:line="240" w:lineRule="atLeast"/>
    </w:pPr>
    <w:rPr>
      <w:rFonts w:ascii="Times New Roman" w:hAnsi="Times New Roman" w:cs="Times New Roman"/>
      <w:sz w:val="20"/>
      <w:szCs w:val="20"/>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link w:val="BodyTextChar"/>
    <w:rsid w:val="0024276D"/>
    <w:pPr>
      <w:tabs>
        <w:tab w:val="left" w:pos="1418"/>
        <w:tab w:val="left" w:pos="1985"/>
        <w:tab w:val="left" w:pos="2552"/>
        <w:tab w:val="left" w:pos="3119"/>
        <w:tab w:val="left" w:pos="3686"/>
        <w:tab w:val="left" w:pos="4253"/>
        <w:tab w:val="left" w:pos="4820"/>
      </w:tabs>
      <w:suppressAutoHyphens w:val="0"/>
      <w:kinsoku/>
      <w:overflowPunct/>
      <w:autoSpaceDE/>
      <w:autoSpaceDN/>
      <w:adjustRightInd/>
      <w:snapToGrid/>
      <w:spacing w:line="240" w:lineRule="auto"/>
      <w:jc w:val="both"/>
    </w:pPr>
    <w:rPr>
      <w:rFonts w:eastAsia="Times New Roman"/>
      <w:sz w:val="22"/>
    </w:rPr>
  </w:style>
  <w:style w:type="character" w:customStyle="1" w:styleId="BodyTextChar">
    <w:name w:val="Body Text Char"/>
    <w:basedOn w:val="DefaultParagraphFont"/>
    <w:link w:val="BodyText"/>
    <w:rsid w:val="0024276D"/>
    <w:rPr>
      <w:rFonts w:ascii="Times New Roman" w:hAnsi="Times New Roman" w:cs="Times New Roman"/>
      <w:szCs w:val="20"/>
      <w:lang w:eastAsia="en-US"/>
    </w:rPr>
  </w:style>
  <w:style w:type="character" w:styleId="CommentReference">
    <w:name w:val="annotation reference"/>
    <w:basedOn w:val="DefaultParagraphFont"/>
    <w:uiPriority w:val="99"/>
    <w:semiHidden/>
    <w:unhideWhenUsed/>
    <w:rsid w:val="0024276D"/>
    <w:rPr>
      <w:sz w:val="16"/>
      <w:szCs w:val="16"/>
    </w:rPr>
  </w:style>
  <w:style w:type="character" w:styleId="UnresolvedMention">
    <w:name w:val="Unresolved Mention"/>
    <w:basedOn w:val="DefaultParagraphFont"/>
    <w:uiPriority w:val="99"/>
    <w:semiHidden/>
    <w:unhideWhenUsed/>
    <w:rsid w:val="00967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ha.europa.eu/registration-dossier/-/registered-dossier/14295/7/3/4/?documentUUID=51d64548-5ca0-41d2-8c10-e89bbaa9f54a" TargetMode="External"/><Relationship Id="rId18" Type="http://schemas.openxmlformats.org/officeDocument/2006/relationships/hyperlink" Target="https://echa.europa.eu/registration-dossier/-/registered-dossier/14295/7/4/2/?documentUUID=803ad984-f2c4-4804-b90e-4a4534a8806c" TargetMode="External"/><Relationship Id="rId26" Type="http://schemas.openxmlformats.org/officeDocument/2006/relationships/footer" Target="footer1.xml"/><Relationship Id="rId21" Type="http://schemas.openxmlformats.org/officeDocument/2006/relationships/hyperlink" Target="https://echa.europa.eu/registration-dossier/-/registered-dossier/14295/7/3/4/?documentUUID=bbb4ce5a-d439-4078-9287-49656ba91ab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ubmed.ncbi.nlm.nih.gov/21310775/" TargetMode="External"/><Relationship Id="rId17" Type="http://schemas.openxmlformats.org/officeDocument/2006/relationships/hyperlink" Target="https://pubmed.ncbi.nlm.nih.gov/21310775/"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ha.europa.eu/registration-dossier/-/registered-dossier/14295/7/3/4/?documentUUID=02eaa4c8-2487-4c07-b2a6-dea7706fb090" TargetMode="External"/><Relationship Id="rId20" Type="http://schemas.openxmlformats.org/officeDocument/2006/relationships/hyperlink" Target="https://echa.europa.eu/registration-dossier/-/registered-dossier/14295/7/3/4/?documentUUID=51d64548-5ca0-41d2-8c10-e89bbaa9f54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ha.europa.eu/registration-dossier/-/registered-dossier/14295/7/3/2/?documentUUID=e864d832-06d8-46e8-8a4f-fac7a93605e3" TargetMode="External"/><Relationship Id="rId24" Type="http://schemas.openxmlformats.org/officeDocument/2006/relationships/header" Target="header1.xml"/><Relationship Id="rId32" Type="http://schemas.openxmlformats.org/officeDocument/2006/relationships/footer" Target="footer4.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echa.europa.eu/registration-dossier/-/registered-dossier/14295/7/3/4/?documentUUID=644286ad-1b78-4a56-b774-66f48d0adb96" TargetMode="External"/><Relationship Id="rId23" Type="http://schemas.openxmlformats.org/officeDocument/2006/relationships/hyperlink" Target="https://hpvchemicals.oecd.org/UI/SIDS_Details.aspx?key=05f8249f-1562-4e9f-950c-2ac1b42e7b20&amp;idx=0" TargetMode="External"/><Relationship Id="rId28" Type="http://schemas.openxmlformats.org/officeDocument/2006/relationships/footer" Target="footer3.xml"/><Relationship Id="rId36" Type="http://schemas.openxmlformats.org/officeDocument/2006/relationships/customXml" Target="../customXml/item3.xml"/><Relationship Id="rId10" Type="http://schemas.openxmlformats.org/officeDocument/2006/relationships/hyperlink" Target="https://echa.europa.eu/registration-dossier/-/registered-dossier/14295/7/3/2/?documentUUID=5567b827-5f89-4158-bb92-05dcb8fec961" TargetMode="External"/><Relationship Id="rId19" Type="http://schemas.openxmlformats.org/officeDocument/2006/relationships/hyperlink" Target="https://echa.europa.eu/registration-dossier/-/registered-dossier/14295/7/4/2/?documentUUID=60d2e288-0a41-4843-861e-8d72b1575014"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echa.europa.eu/registration-dossier/-/registered-dossier/14295/7/3/2" TargetMode="External"/><Relationship Id="rId14" Type="http://schemas.openxmlformats.org/officeDocument/2006/relationships/hyperlink" Target="https://echa.europa.eu/registration-dossier/-/registered-dossier/14295/7/3/4/?documentUUID=bbb4ce5a-d439-4078-9287-49656ba91ab6" TargetMode="External"/><Relationship Id="rId22" Type="http://schemas.openxmlformats.org/officeDocument/2006/relationships/hyperlink" Target="https://echa.europa.eu/registration-dossier/-/registered-dossier/14295/7/3/4/?documentUUID=644286ad-1b78-4a56-b774-66f48d0adb96"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customXml" Target="../customXml/item2.xml"/><Relationship Id="rId8" Type="http://schemas.openxmlformats.org/officeDocument/2006/relationships/image" Target="media/image1.wmf"/><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echa.europa.eu/documents/10162/19680902/heeg_opinion_16_dipping_of_hands_forearms_en.pdf/471333fe-84d3-4601-b7cf-89881c5a2cff" TargetMode="External"/><Relationship Id="rId2" Type="http://schemas.openxmlformats.org/officeDocument/2006/relationships/hyperlink" Target="https://doi.org/10.1186/s40360-020-00465-8" TargetMode="External"/><Relationship Id="rId1" Type="http://schemas.openxmlformats.org/officeDocument/2006/relationships/hyperlink" Target="https://pubchem.ncbi.nlm.nih.gov/comp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BA46C6-B8DE-4DED-9777-5E810E4EF0A5}">
  <ds:schemaRefs>
    <ds:schemaRef ds:uri="http://schemas.openxmlformats.org/officeDocument/2006/bibliography"/>
  </ds:schemaRefs>
</ds:datastoreItem>
</file>

<file path=customXml/itemProps2.xml><?xml version="1.0" encoding="utf-8"?>
<ds:datastoreItem xmlns:ds="http://schemas.openxmlformats.org/officeDocument/2006/customXml" ds:itemID="{1613D670-2120-4E70-83B2-502FBCEC41F1}"/>
</file>

<file path=customXml/itemProps3.xml><?xml version="1.0" encoding="utf-8"?>
<ds:datastoreItem xmlns:ds="http://schemas.openxmlformats.org/officeDocument/2006/customXml" ds:itemID="{A090A180-7C84-499C-A8D9-6AC9440D4BA1}"/>
</file>

<file path=customXml/itemProps4.xml><?xml version="1.0" encoding="utf-8"?>
<ds:datastoreItem xmlns:ds="http://schemas.openxmlformats.org/officeDocument/2006/customXml" ds:itemID="{203B10F2-8353-4FDE-982C-2EB2C6B5EDCC}"/>
</file>

<file path=docProps/app.xml><?xml version="1.0" encoding="utf-8"?>
<Properties xmlns="http://schemas.openxmlformats.org/officeDocument/2006/extended-properties" xmlns:vt="http://schemas.openxmlformats.org/officeDocument/2006/docPropsVTypes">
  <Template>Normal.dotm</Template>
  <TotalTime>1</TotalTime>
  <Pages>23</Pages>
  <Words>8431</Words>
  <Characters>48060</Characters>
  <Application>Microsoft Office Word</Application>
  <DocSecurity>0</DocSecurity>
  <Lines>400</Lines>
  <Paragraphs>112</Paragraphs>
  <ScaleCrop>false</ScaleCrop>
  <HeadingPairs>
    <vt:vector size="2" baseType="variant">
      <vt:variant>
        <vt:lpstr>Titre</vt:lpstr>
      </vt:variant>
      <vt:variant>
        <vt:i4>1</vt:i4>
      </vt:variant>
    </vt:vector>
  </HeadingPairs>
  <TitlesOfParts>
    <vt:vector size="1" baseType="lpstr">
      <vt:lpstr>ST/SG/AC.10/C.3/2022/24</vt:lpstr>
    </vt:vector>
  </TitlesOfParts>
  <Company>DCM</Company>
  <LinksUpToDate>false</LinksUpToDate>
  <CharactersWithSpaces>56379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ST/SG/AC.10/C.3/2022/24</dc:title>
  <dc:subject/>
  <dc:creator>Nathalie VITTOZ</dc:creator>
  <cp:keywords/>
  <cp:lastModifiedBy>Laurence Berthet</cp:lastModifiedBy>
  <cp:revision>3</cp:revision>
  <cp:lastPrinted>2022-05-09T16:15:00Z</cp:lastPrinted>
  <dcterms:created xsi:type="dcterms:W3CDTF">2022-05-09T16:14:00Z</dcterms:created>
  <dcterms:modified xsi:type="dcterms:W3CDTF">2022-05-09T16:15:00Z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