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EC1F91" w14:paraId="6D669C51" w14:textId="77777777" w:rsidTr="00F01738">
        <w:trPr>
          <w:trHeight w:hRule="exact" w:val="851"/>
        </w:trPr>
        <w:tc>
          <w:tcPr>
            <w:tcW w:w="1276" w:type="dxa"/>
            <w:tcBorders>
              <w:bottom w:val="single" w:sz="4" w:space="0" w:color="auto"/>
            </w:tcBorders>
          </w:tcPr>
          <w:p w14:paraId="78EF528C" w14:textId="77777777" w:rsidR="00132EA9" w:rsidRPr="00DB58B5" w:rsidRDefault="00132EA9" w:rsidP="00EC1F91"/>
        </w:tc>
        <w:tc>
          <w:tcPr>
            <w:tcW w:w="2268" w:type="dxa"/>
            <w:tcBorders>
              <w:bottom w:val="single" w:sz="4" w:space="0" w:color="auto"/>
            </w:tcBorders>
            <w:vAlign w:val="bottom"/>
          </w:tcPr>
          <w:p w14:paraId="103EB1F5"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03DC976" w14:textId="21A3781B" w:rsidR="00EC1F91" w:rsidRPr="00EC1F91" w:rsidRDefault="00EC1F91" w:rsidP="00EC1F91">
            <w:pPr>
              <w:jc w:val="right"/>
              <w:rPr>
                <w:lang w:val="en-US"/>
              </w:rPr>
            </w:pPr>
            <w:r w:rsidRPr="00EC1F91">
              <w:rPr>
                <w:sz w:val="40"/>
                <w:lang w:val="en-US"/>
              </w:rPr>
              <w:t>ST</w:t>
            </w:r>
            <w:r w:rsidRPr="00EC1F91">
              <w:rPr>
                <w:lang w:val="en-US"/>
              </w:rPr>
              <w:t>/SG/AC.10/C.3/2022/21−</w:t>
            </w:r>
            <w:r w:rsidRPr="00EC1F91">
              <w:rPr>
                <w:sz w:val="40"/>
                <w:lang w:val="en-US"/>
              </w:rPr>
              <w:t>ST</w:t>
            </w:r>
            <w:r w:rsidRPr="00EC1F91">
              <w:rPr>
                <w:lang w:val="en-US"/>
              </w:rPr>
              <w:t>/SG/AC.10/C.4/2022/3</w:t>
            </w:r>
          </w:p>
        </w:tc>
      </w:tr>
      <w:tr w:rsidR="00132EA9" w:rsidRPr="00DB58B5" w14:paraId="37FC4950" w14:textId="77777777" w:rsidTr="00F01738">
        <w:trPr>
          <w:trHeight w:hRule="exact" w:val="2835"/>
        </w:trPr>
        <w:tc>
          <w:tcPr>
            <w:tcW w:w="1276" w:type="dxa"/>
            <w:tcBorders>
              <w:top w:val="single" w:sz="4" w:space="0" w:color="auto"/>
              <w:bottom w:val="single" w:sz="12" w:space="0" w:color="auto"/>
            </w:tcBorders>
          </w:tcPr>
          <w:p w14:paraId="1487B136" w14:textId="77777777" w:rsidR="00132EA9" w:rsidRPr="00DB58B5" w:rsidRDefault="00132EA9" w:rsidP="00F01738">
            <w:pPr>
              <w:spacing w:before="120"/>
              <w:jc w:val="center"/>
            </w:pPr>
            <w:r>
              <w:rPr>
                <w:noProof/>
                <w:lang w:eastAsia="fr-CH"/>
              </w:rPr>
              <w:drawing>
                <wp:inline distT="0" distB="0" distL="0" distR="0" wp14:anchorId="50722469" wp14:editId="45EBA32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A619BE"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3D41579F" w14:textId="77777777" w:rsidR="00132EA9" w:rsidRDefault="00EC1F91" w:rsidP="00F01738">
            <w:pPr>
              <w:spacing w:before="240"/>
            </w:pPr>
            <w:r>
              <w:t xml:space="preserve">Distr. </w:t>
            </w:r>
            <w:proofErr w:type="gramStart"/>
            <w:r>
              <w:t>générale</w:t>
            </w:r>
            <w:proofErr w:type="gramEnd"/>
          </w:p>
          <w:p w14:paraId="38CD2A48" w14:textId="77777777" w:rsidR="00EC1F91" w:rsidRDefault="00EC1F91" w:rsidP="00EC1F91">
            <w:pPr>
              <w:spacing w:line="240" w:lineRule="exact"/>
            </w:pPr>
            <w:r>
              <w:t>6 avril 2022</w:t>
            </w:r>
          </w:p>
          <w:p w14:paraId="2C1F69D4" w14:textId="77777777" w:rsidR="00EC1F91" w:rsidRDefault="00EC1F91" w:rsidP="00EC1F91">
            <w:pPr>
              <w:spacing w:line="240" w:lineRule="exact"/>
            </w:pPr>
            <w:r>
              <w:t>Français</w:t>
            </w:r>
          </w:p>
          <w:p w14:paraId="63365F8B" w14:textId="42AA00E6" w:rsidR="00EC1F91" w:rsidRPr="00DB58B5" w:rsidRDefault="00EC1F91" w:rsidP="00EC1F91">
            <w:pPr>
              <w:spacing w:line="240" w:lineRule="exact"/>
            </w:pPr>
            <w:r>
              <w:t>Original : anglais</w:t>
            </w:r>
          </w:p>
        </w:tc>
      </w:tr>
    </w:tbl>
    <w:p w14:paraId="0F7A10BD" w14:textId="46C59D4D" w:rsidR="00EC1F91" w:rsidRPr="002B6255" w:rsidRDefault="00EC1F91" w:rsidP="002B6255">
      <w:pPr>
        <w:spacing w:before="120"/>
        <w:rPr>
          <w:b/>
          <w:sz w:val="32"/>
          <w:szCs w:val="32"/>
          <w:lang w:val="fr-FR"/>
        </w:rPr>
      </w:pPr>
      <w:r w:rsidRPr="002B6255">
        <w:rPr>
          <w:b/>
          <w:bCs/>
          <w:sz w:val="24"/>
          <w:szCs w:val="24"/>
          <w:lang w:val="fr-FR"/>
        </w:rPr>
        <w:t xml:space="preserve">Comité d’experts du transport des marchandises dangereuses </w:t>
      </w:r>
      <w:r w:rsidR="002B6255">
        <w:rPr>
          <w:b/>
          <w:bCs/>
          <w:sz w:val="24"/>
          <w:szCs w:val="24"/>
          <w:lang w:val="fr-FR"/>
        </w:rPr>
        <w:br/>
      </w:r>
      <w:proofErr w:type="gramStart"/>
      <w:r w:rsidRPr="002B6255">
        <w:rPr>
          <w:b/>
          <w:bCs/>
          <w:sz w:val="24"/>
          <w:szCs w:val="24"/>
          <w:lang w:val="fr-FR"/>
        </w:rPr>
        <w:t>et</w:t>
      </w:r>
      <w:proofErr w:type="gramEnd"/>
      <w:r w:rsidRPr="002B6255">
        <w:rPr>
          <w:b/>
          <w:bCs/>
          <w:sz w:val="24"/>
          <w:szCs w:val="24"/>
          <w:lang w:val="fr-FR"/>
        </w:rPr>
        <w:t xml:space="preserve"> du Système général harmonisé de classification </w:t>
      </w:r>
      <w:r w:rsidR="002B6255">
        <w:rPr>
          <w:b/>
          <w:bCs/>
          <w:sz w:val="24"/>
          <w:szCs w:val="24"/>
          <w:lang w:val="fr-FR"/>
        </w:rPr>
        <w:br/>
      </w:r>
      <w:r w:rsidRPr="002B6255">
        <w:rPr>
          <w:b/>
          <w:bCs/>
          <w:sz w:val="24"/>
          <w:szCs w:val="24"/>
          <w:lang w:val="fr-FR"/>
        </w:rPr>
        <w:t>et d’étiquetage des produits chimiques</w:t>
      </w:r>
    </w:p>
    <w:tbl>
      <w:tblPr>
        <w:tblW w:w="9639" w:type="dxa"/>
        <w:tblLayout w:type="fixed"/>
        <w:tblCellMar>
          <w:left w:w="0" w:type="dxa"/>
          <w:right w:w="0" w:type="dxa"/>
        </w:tblCellMar>
        <w:tblLook w:val="01E0" w:firstRow="1" w:lastRow="1" w:firstColumn="1" w:lastColumn="1" w:noHBand="0" w:noVBand="0"/>
      </w:tblPr>
      <w:tblGrid>
        <w:gridCol w:w="4820"/>
        <w:gridCol w:w="4819"/>
      </w:tblGrid>
      <w:tr w:rsidR="00EC1F91" w:rsidRPr="002B6255" w14:paraId="2C9556BE" w14:textId="77777777" w:rsidTr="002B6255">
        <w:tc>
          <w:tcPr>
            <w:tcW w:w="4820" w:type="dxa"/>
            <w:shd w:val="clear" w:color="auto" w:fill="auto"/>
          </w:tcPr>
          <w:p w14:paraId="58E0EB1D" w14:textId="77777777" w:rsidR="00EC1F91" w:rsidRPr="002B6255" w:rsidRDefault="00EC1F91" w:rsidP="002B6255">
            <w:pPr>
              <w:spacing w:before="120" w:after="120"/>
              <w:rPr>
                <w:b/>
                <w:lang w:val="fr-FR"/>
              </w:rPr>
            </w:pPr>
            <w:r w:rsidRPr="002B6255">
              <w:rPr>
                <w:b/>
                <w:bCs/>
                <w:lang w:val="fr-FR"/>
              </w:rPr>
              <w:t>Sous-Comité d’experts du transport des marchandises dangereuses</w:t>
            </w:r>
            <w:r w:rsidRPr="002B6255">
              <w:rPr>
                <w:lang w:val="fr-FR"/>
              </w:rPr>
              <w:t xml:space="preserve"> </w:t>
            </w:r>
          </w:p>
        </w:tc>
        <w:tc>
          <w:tcPr>
            <w:tcW w:w="4819" w:type="dxa"/>
            <w:shd w:val="clear" w:color="auto" w:fill="auto"/>
          </w:tcPr>
          <w:p w14:paraId="47A8AA2D" w14:textId="77777777" w:rsidR="00EC1F91" w:rsidRPr="002B6255" w:rsidRDefault="00EC1F91" w:rsidP="002B6255">
            <w:pPr>
              <w:spacing w:before="120" w:after="120"/>
              <w:rPr>
                <w:b/>
                <w:lang w:val="fr-FR"/>
              </w:rPr>
            </w:pPr>
            <w:r w:rsidRPr="002B6255">
              <w:rPr>
                <w:b/>
                <w:bCs/>
                <w:lang w:val="fr-FR"/>
              </w:rPr>
              <w:t>Sous-Comité d’experts du Système général harmonisé de classification et d’étiquetage des produits chimiques</w:t>
            </w:r>
            <w:r w:rsidRPr="002B6255">
              <w:rPr>
                <w:lang w:val="fr-FR"/>
              </w:rPr>
              <w:t xml:space="preserve"> </w:t>
            </w:r>
          </w:p>
        </w:tc>
      </w:tr>
      <w:tr w:rsidR="00EC1F91" w:rsidRPr="002B6255" w14:paraId="61671549" w14:textId="77777777" w:rsidTr="002B6255">
        <w:tc>
          <w:tcPr>
            <w:tcW w:w="4820" w:type="dxa"/>
            <w:shd w:val="clear" w:color="auto" w:fill="auto"/>
          </w:tcPr>
          <w:p w14:paraId="782D7B0E" w14:textId="77777777" w:rsidR="00EC1F91" w:rsidRPr="002B6255" w:rsidRDefault="00EC1F91" w:rsidP="002B6255">
            <w:pPr>
              <w:rPr>
                <w:b/>
              </w:rPr>
            </w:pPr>
            <w:r w:rsidRPr="002B6255">
              <w:rPr>
                <w:b/>
                <w:bCs/>
                <w:lang w:val="fr-FR"/>
              </w:rPr>
              <w:t>Soixantième session</w:t>
            </w:r>
          </w:p>
        </w:tc>
        <w:tc>
          <w:tcPr>
            <w:tcW w:w="4819" w:type="dxa"/>
            <w:shd w:val="clear" w:color="auto" w:fill="auto"/>
          </w:tcPr>
          <w:p w14:paraId="03D6C598" w14:textId="77777777" w:rsidR="00EC1F91" w:rsidRPr="002B6255" w:rsidRDefault="00EC1F91" w:rsidP="002B6255">
            <w:pPr>
              <w:rPr>
                <w:b/>
              </w:rPr>
            </w:pPr>
            <w:r w:rsidRPr="002B6255">
              <w:rPr>
                <w:b/>
                <w:bCs/>
                <w:lang w:val="fr-FR"/>
              </w:rPr>
              <w:t>Quarante-deuxième session</w:t>
            </w:r>
          </w:p>
        </w:tc>
      </w:tr>
      <w:tr w:rsidR="00EC1F91" w:rsidRPr="002B6255" w14:paraId="6031A007" w14:textId="77777777" w:rsidTr="002B6255">
        <w:tc>
          <w:tcPr>
            <w:tcW w:w="4820" w:type="dxa"/>
            <w:shd w:val="clear" w:color="auto" w:fill="auto"/>
          </w:tcPr>
          <w:p w14:paraId="4AA86CC8" w14:textId="77777777" w:rsidR="00EC1F91" w:rsidRPr="002B6255" w:rsidRDefault="00EC1F91" w:rsidP="002B6255">
            <w:pPr>
              <w:rPr>
                <w:b/>
              </w:rPr>
            </w:pPr>
            <w:r w:rsidRPr="002B6255">
              <w:rPr>
                <w:lang w:val="fr-FR"/>
              </w:rPr>
              <w:t>Genève, 27 juin-6 juillet 2022</w:t>
            </w:r>
          </w:p>
        </w:tc>
        <w:tc>
          <w:tcPr>
            <w:tcW w:w="4819" w:type="dxa"/>
            <w:shd w:val="clear" w:color="auto" w:fill="auto"/>
          </w:tcPr>
          <w:p w14:paraId="3A6217A3" w14:textId="77777777" w:rsidR="00EC1F91" w:rsidRPr="002B6255" w:rsidRDefault="00EC1F91" w:rsidP="002B6255">
            <w:pPr>
              <w:rPr>
                <w:b/>
              </w:rPr>
            </w:pPr>
            <w:r w:rsidRPr="002B6255">
              <w:rPr>
                <w:lang w:val="fr-FR"/>
              </w:rPr>
              <w:t>Genève, 6-8 juillet 2022</w:t>
            </w:r>
          </w:p>
        </w:tc>
      </w:tr>
      <w:tr w:rsidR="00EC1F91" w:rsidRPr="002B6255" w14:paraId="5E3DE08C" w14:textId="77777777" w:rsidTr="002B6255">
        <w:tc>
          <w:tcPr>
            <w:tcW w:w="4820" w:type="dxa"/>
            <w:shd w:val="clear" w:color="auto" w:fill="auto"/>
          </w:tcPr>
          <w:p w14:paraId="6AD5283F" w14:textId="77777777" w:rsidR="00EC1F91" w:rsidRPr="002B6255" w:rsidRDefault="00EC1F91" w:rsidP="002B6255">
            <w:pPr>
              <w:rPr>
                <w:lang w:val="fr-FR"/>
              </w:rPr>
            </w:pPr>
            <w:r w:rsidRPr="002B6255">
              <w:rPr>
                <w:lang w:val="fr-FR"/>
              </w:rPr>
              <w:t>Point 10 c) de l’ordre du jour provisoire</w:t>
            </w:r>
          </w:p>
        </w:tc>
        <w:tc>
          <w:tcPr>
            <w:tcW w:w="4819" w:type="dxa"/>
            <w:shd w:val="clear" w:color="auto" w:fill="auto"/>
          </w:tcPr>
          <w:p w14:paraId="0E75F4D2" w14:textId="77777777" w:rsidR="00EC1F91" w:rsidRPr="002B6255" w:rsidRDefault="00EC1F91" w:rsidP="002B6255">
            <w:pPr>
              <w:rPr>
                <w:lang w:val="fr-FR"/>
              </w:rPr>
            </w:pPr>
            <w:r w:rsidRPr="002B6255">
              <w:rPr>
                <w:lang w:val="fr-FR"/>
              </w:rPr>
              <w:t>Point 2 f) de l’ordre du jour provisoire</w:t>
            </w:r>
          </w:p>
        </w:tc>
      </w:tr>
      <w:tr w:rsidR="00EC1F91" w:rsidRPr="002B6255" w14:paraId="490597D9" w14:textId="77777777" w:rsidTr="002B6255">
        <w:tc>
          <w:tcPr>
            <w:tcW w:w="4820" w:type="dxa"/>
            <w:shd w:val="clear" w:color="auto" w:fill="auto"/>
          </w:tcPr>
          <w:p w14:paraId="06DC46E9" w14:textId="46596F3D" w:rsidR="00EC1F91" w:rsidRPr="002B6255" w:rsidRDefault="00EC1F91" w:rsidP="002B6255">
            <w:pPr>
              <w:rPr>
                <w:b/>
                <w:bCs/>
                <w:lang w:val="fr-FR"/>
              </w:rPr>
            </w:pPr>
            <w:r w:rsidRPr="002B6255">
              <w:rPr>
                <w:b/>
                <w:bCs/>
                <w:lang w:val="fr-FR"/>
              </w:rPr>
              <w:t xml:space="preserve">Questions relatives au Système général harmonisé </w:t>
            </w:r>
            <w:r w:rsidRPr="002B6255">
              <w:rPr>
                <w:b/>
                <w:bCs/>
                <w:lang w:val="fr-FR"/>
              </w:rPr>
              <w:br/>
              <w:t xml:space="preserve">de classification et d’étiquetage des produits </w:t>
            </w:r>
            <w:r w:rsidRPr="002B6255">
              <w:rPr>
                <w:b/>
                <w:bCs/>
                <w:lang w:val="fr-FR"/>
              </w:rPr>
              <w:br/>
              <w:t>chimiques (SGH)</w:t>
            </w:r>
            <w:r w:rsidR="002B6255">
              <w:rPr>
                <w:b/>
                <w:bCs/>
                <w:lang w:val="fr-FR"/>
              </w:rPr>
              <w:t> </w:t>
            </w:r>
            <w:r w:rsidRPr="002B6255">
              <w:rPr>
                <w:b/>
                <w:bCs/>
                <w:lang w:val="fr-FR"/>
              </w:rPr>
              <w:t>: autres questions</w:t>
            </w:r>
          </w:p>
        </w:tc>
        <w:tc>
          <w:tcPr>
            <w:tcW w:w="4819" w:type="dxa"/>
            <w:shd w:val="clear" w:color="auto" w:fill="auto"/>
          </w:tcPr>
          <w:p w14:paraId="4B990946" w14:textId="4904AE10" w:rsidR="00EC1F91" w:rsidRPr="002B6255" w:rsidRDefault="00EC1F91" w:rsidP="002B6255">
            <w:pPr>
              <w:rPr>
                <w:b/>
                <w:bCs/>
                <w:lang w:val="fr-FR"/>
              </w:rPr>
            </w:pPr>
            <w:r w:rsidRPr="002B6255">
              <w:rPr>
                <w:b/>
                <w:bCs/>
                <w:lang w:val="fr-FR"/>
              </w:rPr>
              <w:t xml:space="preserve">Travaux relatifs au Système général harmonisé </w:t>
            </w:r>
            <w:r w:rsidR="002B6255">
              <w:rPr>
                <w:b/>
                <w:bCs/>
                <w:lang w:val="fr-FR"/>
              </w:rPr>
              <w:br/>
            </w:r>
            <w:r w:rsidRPr="002B6255">
              <w:rPr>
                <w:b/>
                <w:bCs/>
                <w:lang w:val="fr-FR"/>
              </w:rPr>
              <w:t>de classification et d’étiquetage des produits chimiques</w:t>
            </w:r>
            <w:r w:rsidR="002B6255">
              <w:rPr>
                <w:b/>
                <w:bCs/>
                <w:lang w:val="fr-FR"/>
              </w:rPr>
              <w:t> </w:t>
            </w:r>
            <w:r w:rsidRPr="002B6255">
              <w:rPr>
                <w:b/>
                <w:bCs/>
                <w:lang w:val="fr-FR"/>
              </w:rPr>
              <w:t xml:space="preserve">: questions pratiques de classification (amendements proposés au Système général harmonisé de classification </w:t>
            </w:r>
            <w:r w:rsidRPr="002B6255">
              <w:rPr>
                <w:b/>
                <w:bCs/>
                <w:lang w:val="fr-FR"/>
              </w:rPr>
              <w:br/>
              <w:t>et d’étiquetage des produits chimiques)</w:t>
            </w:r>
          </w:p>
        </w:tc>
      </w:tr>
    </w:tbl>
    <w:p w14:paraId="769F3C5E" w14:textId="5D337353" w:rsidR="00EC1F91" w:rsidRPr="000B5748" w:rsidRDefault="00EC1F91" w:rsidP="002B6255">
      <w:pPr>
        <w:pStyle w:val="HChG"/>
        <w:rPr>
          <w:rFonts w:eastAsia="MS Mincho"/>
          <w:lang w:val="fr-FR"/>
        </w:rPr>
      </w:pPr>
      <w:r>
        <w:rPr>
          <w:lang w:val="fr-FR"/>
        </w:rPr>
        <w:tab/>
      </w:r>
      <w:r>
        <w:rPr>
          <w:lang w:val="fr-FR"/>
        </w:rPr>
        <w:tab/>
        <w:t xml:space="preserve">Proposition tendant à régler des questions inscrites </w:t>
      </w:r>
      <w:r w:rsidR="002B6255">
        <w:rPr>
          <w:lang w:val="fr-FR"/>
        </w:rPr>
        <w:br/>
      </w:r>
      <w:r>
        <w:rPr>
          <w:lang w:val="fr-FR"/>
        </w:rPr>
        <w:t xml:space="preserve">au programme de travail du groupe de travail </w:t>
      </w:r>
      <w:r w:rsidR="002B6255">
        <w:rPr>
          <w:lang w:val="fr-FR"/>
        </w:rPr>
        <w:br/>
      </w:r>
      <w:r>
        <w:rPr>
          <w:lang w:val="fr-FR"/>
        </w:rPr>
        <w:t xml:space="preserve">informel par correspondance chargé </w:t>
      </w:r>
      <w:r w:rsidR="002B6255">
        <w:rPr>
          <w:lang w:val="fr-FR"/>
        </w:rPr>
        <w:br/>
      </w:r>
      <w:r>
        <w:rPr>
          <w:lang w:val="fr-FR"/>
        </w:rPr>
        <w:t>des questions pratiques de classification</w:t>
      </w:r>
    </w:p>
    <w:p w14:paraId="55DBC880" w14:textId="35B2E361" w:rsidR="00EC1F91" w:rsidRPr="000B5748" w:rsidRDefault="00EC1F91" w:rsidP="002B6255">
      <w:pPr>
        <w:pStyle w:val="H1G"/>
        <w:rPr>
          <w:lang w:val="fr-FR"/>
        </w:rPr>
      </w:pPr>
      <w:r>
        <w:rPr>
          <w:lang w:val="fr-FR"/>
        </w:rPr>
        <w:tab/>
      </w:r>
      <w:r>
        <w:rPr>
          <w:lang w:val="fr-FR"/>
        </w:rPr>
        <w:tab/>
        <w:t xml:space="preserve">Communication de l’expert des États-Unis d’Amérique </w:t>
      </w:r>
      <w:r w:rsidR="002B6255">
        <w:rPr>
          <w:lang w:val="fr-FR"/>
        </w:rPr>
        <w:br/>
      </w:r>
      <w:r>
        <w:rPr>
          <w:lang w:val="fr-FR"/>
        </w:rPr>
        <w:t xml:space="preserve">au nom du groupe de travail informel par correspondance </w:t>
      </w:r>
      <w:r w:rsidR="002B6255">
        <w:rPr>
          <w:lang w:val="fr-FR"/>
        </w:rPr>
        <w:br/>
      </w:r>
      <w:r>
        <w:rPr>
          <w:lang w:val="fr-FR"/>
        </w:rPr>
        <w:t>chargé des questions pratiques de classification</w:t>
      </w:r>
      <w:r w:rsidR="002B6255" w:rsidRPr="002B6255">
        <w:rPr>
          <w:rStyle w:val="FootnoteReference"/>
          <w:b w:val="0"/>
          <w:bCs/>
          <w:sz w:val="20"/>
          <w:vertAlign w:val="baseline"/>
        </w:rPr>
        <w:footnoteReference w:customMarkFollows="1" w:id="2"/>
        <w:t>*</w:t>
      </w:r>
    </w:p>
    <w:p w14:paraId="6BA7B522" w14:textId="77777777" w:rsidR="00EC1F91" w:rsidRPr="000B5748" w:rsidRDefault="00EC1F91" w:rsidP="002B6255">
      <w:pPr>
        <w:pStyle w:val="HChG"/>
        <w:rPr>
          <w:szCs w:val="28"/>
          <w:lang w:val="fr-FR"/>
        </w:rPr>
      </w:pPr>
      <w:r>
        <w:rPr>
          <w:lang w:val="fr-FR"/>
        </w:rPr>
        <w:tab/>
      </w:r>
      <w:r>
        <w:rPr>
          <w:lang w:val="fr-FR"/>
        </w:rPr>
        <w:tab/>
        <w:t>Objet</w:t>
      </w:r>
    </w:p>
    <w:p w14:paraId="1BDCC301" w14:textId="77777777" w:rsidR="00EC1F91" w:rsidRPr="000B5748" w:rsidRDefault="00EC1F91" w:rsidP="002B6255">
      <w:pPr>
        <w:pStyle w:val="SingleTxtG"/>
        <w:rPr>
          <w:lang w:val="fr-FR"/>
        </w:rPr>
      </w:pPr>
      <w:r>
        <w:rPr>
          <w:lang w:val="fr-FR"/>
        </w:rPr>
        <w:t>1.</w:t>
      </w:r>
      <w:r>
        <w:rPr>
          <w:lang w:val="fr-FR"/>
        </w:rPr>
        <w:tab/>
        <w:t>Le présent document de travail a été établi à l’issue des débats sur le point c) du programme de travail du groupe de travail informel par correspondance chargé des questions pratiques de classification (document informel INF.31 (trente-neuvième session)), concernant la nécessité d’ajouter au chapitre 3.1 des indications relatives à la conversion des valeurs de toxicité aiguë par inhalation pour les essais utilisant des durées d’exposition autres qu’une heure.</w:t>
      </w:r>
    </w:p>
    <w:p w14:paraId="7F31B555" w14:textId="77777777" w:rsidR="00EC1F91" w:rsidRPr="00223D89" w:rsidRDefault="00EC1F91" w:rsidP="002B6255">
      <w:pPr>
        <w:pStyle w:val="HChG"/>
        <w:rPr>
          <w:lang w:val="fr-FR"/>
        </w:rPr>
      </w:pPr>
      <w:r>
        <w:rPr>
          <w:lang w:val="fr-FR"/>
        </w:rPr>
        <w:tab/>
      </w:r>
      <w:r>
        <w:rPr>
          <w:lang w:val="fr-FR"/>
        </w:rPr>
        <w:tab/>
        <w:t xml:space="preserve">Contexte </w:t>
      </w:r>
    </w:p>
    <w:p w14:paraId="31067205" w14:textId="7F67E7E9" w:rsidR="00EC1F91" w:rsidRPr="000B5748" w:rsidRDefault="00EC1F91" w:rsidP="002B6255">
      <w:pPr>
        <w:pStyle w:val="SingleTxtG"/>
        <w:rPr>
          <w:lang w:val="fr-FR"/>
        </w:rPr>
      </w:pPr>
      <w:r>
        <w:rPr>
          <w:lang w:val="fr-FR"/>
        </w:rPr>
        <w:t>2.</w:t>
      </w:r>
      <w:r>
        <w:rPr>
          <w:lang w:val="fr-FR"/>
        </w:rPr>
        <w:tab/>
        <w:t>Le paragraphe</w:t>
      </w:r>
      <w:r w:rsidR="002B6255">
        <w:rPr>
          <w:lang w:val="fr-FR"/>
        </w:rPr>
        <w:t> </w:t>
      </w:r>
      <w:r>
        <w:rPr>
          <w:lang w:val="fr-FR"/>
        </w:rPr>
        <w:t>3.1.2.6.1 du Système général harmonisé de classification et d’étiquetage des produits chimiques (SGH) explique comment convertir les valeurs expérimentales de toxicité par inhalation obtenues à l’aide d’essais utilisant une durée d’exposition d’une heure en valeurs équivalentes à 4 heures pour les gaz, les vapeurs, les poussières et les brouillards. Toutefois, le SGH ne donne pas d’indications pour les essais utilisant d’autres durées d’exposition (par exemple, 3 ou 6 heures).</w:t>
      </w:r>
    </w:p>
    <w:p w14:paraId="5F50F245" w14:textId="2F795744" w:rsidR="00EC1F91" w:rsidRPr="000B5748" w:rsidRDefault="00EC1F91" w:rsidP="002B6255">
      <w:pPr>
        <w:pStyle w:val="SingleTxtG"/>
        <w:rPr>
          <w:lang w:val="fr-FR"/>
        </w:rPr>
      </w:pPr>
      <w:r>
        <w:rPr>
          <w:lang w:val="fr-FR"/>
        </w:rPr>
        <w:lastRenderedPageBreak/>
        <w:t>3.</w:t>
      </w:r>
      <w:r>
        <w:rPr>
          <w:lang w:val="fr-FR"/>
        </w:rPr>
        <w:tab/>
        <w:t>À la quarante et unième session du Sous-Comité d’experts du SGH, le groupe de travail informel par correspondance chargé des questions pratiques de classification a présenté (dans le document informel INF.15 (quarante et unième session)) des modifications d’ordre rédactionnel à apporter au chapitre 3.1 concernant la conversion des valeurs de toxicité par inhalation pour les essais utilisant des durées d’exposition autres qu’une heure. Le groupe de travail a repris l’examen de cette question lors d’une conférence en ligne le 22 février</w:t>
      </w:r>
      <w:r w:rsidR="002B6255">
        <w:rPr>
          <w:lang w:val="fr-FR"/>
        </w:rPr>
        <w:t xml:space="preserve"> </w:t>
      </w:r>
      <w:r>
        <w:rPr>
          <w:lang w:val="fr-FR"/>
        </w:rPr>
        <w:t>2022 et s’est mis d’accord sur la proposition définitive, qui figure en annexe au présent document.</w:t>
      </w:r>
    </w:p>
    <w:p w14:paraId="3F6B33B5" w14:textId="77777777" w:rsidR="00EC1F91" w:rsidRPr="000B5748" w:rsidRDefault="00EC1F91" w:rsidP="002B6255">
      <w:pPr>
        <w:pStyle w:val="SingleTxtG"/>
        <w:rPr>
          <w:lang w:val="fr-FR"/>
        </w:rPr>
      </w:pPr>
      <w:r>
        <w:rPr>
          <w:lang w:val="fr-FR"/>
        </w:rPr>
        <w:t>4.</w:t>
      </w:r>
      <w:r>
        <w:rPr>
          <w:lang w:val="fr-FR"/>
        </w:rPr>
        <w:tab/>
        <w:t xml:space="preserve">La proposition vise à ajouter une phrase à la fin du paragraphe 3.1.2.6.1, renvoyant au paragraphe 3.1.5.3 pour les indications relatives à la conversion des valeurs expérimentales pour les durées d’exposition autres qu’une heure, et à insérer ces nouvelles indications au paragraphe 3.1.5.3, après le diagramme de décision. </w:t>
      </w:r>
    </w:p>
    <w:p w14:paraId="0EAB7D26" w14:textId="77777777" w:rsidR="00EC1F91" w:rsidRPr="000B5748" w:rsidRDefault="00EC1F91" w:rsidP="002B6255">
      <w:pPr>
        <w:pStyle w:val="HChG"/>
        <w:rPr>
          <w:lang w:val="fr-FR"/>
        </w:rPr>
      </w:pPr>
      <w:r>
        <w:rPr>
          <w:lang w:val="fr-FR"/>
        </w:rPr>
        <w:tab/>
      </w:r>
      <w:r>
        <w:rPr>
          <w:lang w:val="fr-FR"/>
        </w:rPr>
        <w:tab/>
        <w:t>Proposition</w:t>
      </w:r>
    </w:p>
    <w:p w14:paraId="63ECDED6" w14:textId="77777777" w:rsidR="00EC1F91" w:rsidRDefault="00EC1F91" w:rsidP="002B6255">
      <w:pPr>
        <w:pStyle w:val="SingleTxtG"/>
        <w:rPr>
          <w:lang w:val="fr-FR"/>
        </w:rPr>
      </w:pPr>
      <w:r>
        <w:rPr>
          <w:lang w:val="fr-FR"/>
        </w:rPr>
        <w:t>5.</w:t>
      </w:r>
      <w:r>
        <w:rPr>
          <w:lang w:val="fr-FR"/>
        </w:rPr>
        <w:tab/>
        <w:t>Le groupe de travail informel par correspondance chargé des questions pratiques de classification invite le Sous-Comité à examiner les modifications d’ordre rédactionnel qu’il est recommandé d’apporter au SGH, telles qu’elles figurent dans l’annexe du présent document.</w:t>
      </w:r>
    </w:p>
    <w:p w14:paraId="112DB540" w14:textId="77777777" w:rsidR="00EC1F91" w:rsidRPr="000B5748" w:rsidRDefault="00EC1F91" w:rsidP="00EC1F91">
      <w:pPr>
        <w:rPr>
          <w:lang w:val="fr-FR"/>
        </w:rPr>
      </w:pPr>
      <w:r w:rsidRPr="000B5748">
        <w:rPr>
          <w:lang w:val="fr-FR"/>
        </w:rPr>
        <w:br w:type="page"/>
      </w:r>
    </w:p>
    <w:p w14:paraId="218F153E" w14:textId="77777777" w:rsidR="00EC1F91" w:rsidRPr="000B5748" w:rsidRDefault="00EC1F91" w:rsidP="002B6255">
      <w:pPr>
        <w:pStyle w:val="HChG"/>
        <w:rPr>
          <w:lang w:val="fr-FR"/>
        </w:rPr>
      </w:pPr>
      <w:r>
        <w:rPr>
          <w:lang w:val="fr-FR"/>
        </w:rPr>
        <w:t>Annexe</w:t>
      </w:r>
    </w:p>
    <w:p w14:paraId="092EBFD2" w14:textId="67FE912A" w:rsidR="00EC1F91" w:rsidRPr="000B5748" w:rsidRDefault="00EC1F91" w:rsidP="002B6255">
      <w:pPr>
        <w:pStyle w:val="HChG"/>
        <w:rPr>
          <w:lang w:val="fr-FR"/>
        </w:rPr>
      </w:pPr>
      <w:r>
        <w:rPr>
          <w:lang w:val="fr-FR"/>
        </w:rPr>
        <w:tab/>
      </w:r>
      <w:r>
        <w:rPr>
          <w:lang w:val="fr-FR"/>
        </w:rPr>
        <w:tab/>
        <w:t xml:space="preserve">Point c) du programme de travail du groupe de travail informel par correspondance chargé des questions </w:t>
      </w:r>
      <w:r w:rsidR="002B6255">
        <w:rPr>
          <w:lang w:val="fr-FR"/>
        </w:rPr>
        <w:br/>
      </w:r>
      <w:r>
        <w:rPr>
          <w:lang w:val="fr-FR"/>
        </w:rPr>
        <w:t>pratiques de classification (document informel INF.31 (trente-neuvième session))</w:t>
      </w:r>
    </w:p>
    <w:p w14:paraId="61819C06" w14:textId="115B64A4" w:rsidR="00EC1F91" w:rsidRPr="000B5748" w:rsidRDefault="00EC1F91" w:rsidP="002B6255">
      <w:pPr>
        <w:pStyle w:val="SingleTxtG"/>
        <w:rPr>
          <w:lang w:val="fr-FR"/>
        </w:rPr>
      </w:pPr>
      <w:r>
        <w:rPr>
          <w:lang w:val="fr-FR"/>
        </w:rPr>
        <w:t>Le paragraphe</w:t>
      </w:r>
      <w:r w:rsidR="002B6255">
        <w:rPr>
          <w:lang w:val="fr-FR"/>
        </w:rPr>
        <w:t> </w:t>
      </w:r>
      <w:r>
        <w:rPr>
          <w:lang w:val="fr-FR"/>
        </w:rPr>
        <w:t xml:space="preserve">3.1.2.6.1 du SGH explique comment convertir les valeurs expérimentales de toxicité par inhalation obtenues pour les essais utilisant une durée d’exposition d’une heure en valeurs équivalentes à 4 heures pour les gaz et vapeurs et les poussières et brouillards. Toutefois, le SGH ne donne pas d’indications pour les essais utilisant d’autres durées d’exposition (par exemple, 3 ou 6 heures). Envisager d’ajouter au paragraphe 3.1.2.6.1 des indications concernant la conversion des valeurs de toxicité par inhalation pour les essais utilisant des durées d’exposition autres qu’une heure. </w:t>
      </w:r>
    </w:p>
    <w:p w14:paraId="444B8FFC" w14:textId="77777777" w:rsidR="00EC1F91" w:rsidRPr="000B5748" w:rsidRDefault="00EC1F91" w:rsidP="002B6255">
      <w:pPr>
        <w:pStyle w:val="H1G"/>
        <w:rPr>
          <w:lang w:val="fr-FR"/>
        </w:rPr>
      </w:pPr>
      <w:r>
        <w:rPr>
          <w:lang w:val="fr-FR"/>
        </w:rPr>
        <w:tab/>
      </w:r>
      <w:r>
        <w:rPr>
          <w:lang w:val="fr-FR"/>
        </w:rPr>
        <w:tab/>
        <w:t>Proposition</w:t>
      </w:r>
    </w:p>
    <w:p w14:paraId="21DF8F6A" w14:textId="77777777" w:rsidR="00EC1F91" w:rsidRPr="000B5748" w:rsidRDefault="00EC1F91" w:rsidP="002B6255">
      <w:pPr>
        <w:pStyle w:val="H23G"/>
        <w:rPr>
          <w:lang w:val="fr-FR"/>
        </w:rPr>
      </w:pPr>
      <w:r>
        <w:rPr>
          <w:lang w:val="fr-FR"/>
        </w:rPr>
        <w:tab/>
      </w:r>
      <w:r>
        <w:rPr>
          <w:lang w:val="fr-FR"/>
        </w:rPr>
        <w:tab/>
        <w:t>Modification à apporter au chapitre 3.1 (les ajouts figurent en caractères soulignés)</w:t>
      </w:r>
    </w:p>
    <w:p w14:paraId="188D9952" w14:textId="77777777" w:rsidR="00EC1F91" w:rsidRPr="00843451" w:rsidRDefault="00EC1F91" w:rsidP="002B6255">
      <w:pPr>
        <w:pStyle w:val="SingleTxtG"/>
        <w:rPr>
          <w:color w:val="000000"/>
          <w:szCs w:val="22"/>
          <w:lang w:val="fr-FR"/>
        </w:rPr>
      </w:pPr>
      <w:r w:rsidRPr="00582234">
        <w:rPr>
          <w:lang w:val="fr-FR"/>
        </w:rPr>
        <w:t>« </w:t>
      </w:r>
      <w:r w:rsidRPr="002B6255">
        <w:rPr>
          <w:b/>
          <w:bCs/>
          <w:lang w:val="fr-FR"/>
        </w:rPr>
        <w:t>3.1.2.6</w:t>
      </w:r>
      <w:r>
        <w:rPr>
          <w:lang w:val="fr-FR"/>
        </w:rPr>
        <w:tab/>
      </w:r>
      <w:r w:rsidRPr="002B6255">
        <w:rPr>
          <w:b/>
          <w:bCs/>
          <w:i/>
          <w:iCs/>
          <w:lang w:val="fr-FR"/>
        </w:rPr>
        <w:t>Toxicité par inhalation</w:t>
      </w:r>
    </w:p>
    <w:p w14:paraId="0B3FA107" w14:textId="67900898" w:rsidR="00EC1F91" w:rsidRPr="000B5748" w:rsidRDefault="00EC1F91" w:rsidP="002B6255">
      <w:pPr>
        <w:pStyle w:val="SingleTxtG"/>
        <w:ind w:left="2268" w:hanging="1134"/>
        <w:rPr>
          <w:bCs/>
          <w:u w:val="single"/>
          <w:lang w:val="fr-FR"/>
        </w:rPr>
      </w:pPr>
      <w:r>
        <w:rPr>
          <w:lang w:val="fr-FR"/>
        </w:rPr>
        <w:t>3.1.2.6.1</w:t>
      </w:r>
      <w:r>
        <w:rPr>
          <w:lang w:val="fr-FR"/>
        </w:rPr>
        <w:tab/>
        <w:t xml:space="preserve">Les valeurs de toxicité par inhalation sont basées sur des essais de 4 heures sur animaux de laboratoire. Quand les valeurs expérimentales résultent de tests d’exposition d’une heure, elles peuvent être converties en valeurs équivalentes à 4 heures en les divisant par 2 pour les gaz et vapeurs et par 4 pour les poussières et brouillards. </w:t>
      </w:r>
      <w:r>
        <w:rPr>
          <w:u w:val="single"/>
          <w:lang w:val="fr-FR"/>
        </w:rPr>
        <w:t xml:space="preserve">Des indications concernant la conversion des valeurs expérimentales pour les essais utilisant des durées d’exposition autres qu’une heure </w:t>
      </w:r>
      <w:proofErr w:type="gramStart"/>
      <w:r>
        <w:rPr>
          <w:u w:val="single"/>
          <w:lang w:val="fr-FR"/>
        </w:rPr>
        <w:t>figurent</w:t>
      </w:r>
      <w:proofErr w:type="gramEnd"/>
      <w:r>
        <w:rPr>
          <w:u w:val="single"/>
          <w:lang w:val="fr-FR"/>
        </w:rPr>
        <w:t xml:space="preserve"> au 3.1.5.3.</w:t>
      </w:r>
      <w:r>
        <w:rPr>
          <w:lang w:val="fr-FR"/>
        </w:rPr>
        <w:t> »</w:t>
      </w:r>
      <w:r w:rsidR="002B6255">
        <w:rPr>
          <w:lang w:val="fr-FR"/>
        </w:rPr>
        <w:t>.</w:t>
      </w:r>
    </w:p>
    <w:p w14:paraId="231152E6" w14:textId="77777777" w:rsidR="00EC1F91" w:rsidRPr="000B5748" w:rsidRDefault="00EC1F91" w:rsidP="002B6255">
      <w:pPr>
        <w:pStyle w:val="H23G"/>
        <w:rPr>
          <w:lang w:val="fr-FR"/>
        </w:rPr>
      </w:pPr>
      <w:r>
        <w:rPr>
          <w:lang w:val="fr-FR"/>
        </w:rPr>
        <w:tab/>
      </w:r>
      <w:r>
        <w:rPr>
          <w:lang w:val="fr-FR"/>
        </w:rPr>
        <w:tab/>
        <w:t>Texte nouveau à insérer après le diagramme de décision</w:t>
      </w:r>
    </w:p>
    <w:p w14:paraId="6AA614B9" w14:textId="77777777" w:rsidR="00EC1F91" w:rsidRPr="0026009D" w:rsidRDefault="00EC1F91" w:rsidP="002B6255">
      <w:pPr>
        <w:pStyle w:val="SingleTxtG"/>
        <w:rPr>
          <w:lang w:val="fr-FR"/>
        </w:rPr>
      </w:pPr>
      <w:r w:rsidRPr="00582234">
        <w:rPr>
          <w:lang w:val="fr-FR"/>
        </w:rPr>
        <w:t>« </w:t>
      </w:r>
      <w:r>
        <w:rPr>
          <w:b/>
          <w:bCs/>
          <w:lang w:val="fr-FR"/>
        </w:rPr>
        <w:t>3.1.5.3</w:t>
      </w:r>
      <w:r>
        <w:rPr>
          <w:lang w:val="fr-FR"/>
        </w:rPr>
        <w:tab/>
      </w:r>
      <w:r>
        <w:rPr>
          <w:b/>
          <w:bCs/>
          <w:i/>
          <w:iCs/>
          <w:lang w:val="fr-FR"/>
        </w:rPr>
        <w:t>Indications</w:t>
      </w:r>
    </w:p>
    <w:p w14:paraId="0075EEE1" w14:textId="77777777" w:rsidR="00EC1F91" w:rsidRPr="000B5748" w:rsidRDefault="00EC1F91" w:rsidP="002B6255">
      <w:pPr>
        <w:pStyle w:val="SingleTxtG"/>
        <w:ind w:left="2268" w:hanging="1134"/>
        <w:rPr>
          <w:u w:val="single"/>
          <w:lang w:val="fr-FR"/>
        </w:rPr>
      </w:pPr>
      <w:r>
        <w:rPr>
          <w:lang w:val="fr-FR"/>
        </w:rPr>
        <w:t>3.1.5.3.1</w:t>
      </w:r>
      <w:r>
        <w:rPr>
          <w:lang w:val="fr-FR"/>
        </w:rPr>
        <w:tab/>
        <w:t>Les valeurs des estimations de toxicité aiguë (ETA) servant au classement en fonction de la toxicité par inhalation dans le tableau 3.1.1 sont basées sur des essais utilisant une durée d’exposition de 4 heures sur des animaux de laboratoire (3.1.2.6.1). Les valeurs existantes de CL</w:t>
      </w:r>
      <w:r>
        <w:rPr>
          <w:vertAlign w:val="subscript"/>
          <w:lang w:val="fr-FR"/>
        </w:rPr>
        <w:t>50</w:t>
      </w:r>
      <w:r>
        <w:rPr>
          <w:lang w:val="fr-FR"/>
        </w:rPr>
        <w:t xml:space="preserve"> par inhalation obtenues dans le cadre d’études utilisant des durées d’exposition autres qu’une heure (3.1.2.6.1) </w:t>
      </w:r>
      <w:proofErr w:type="gramStart"/>
      <w:r>
        <w:rPr>
          <w:lang w:val="fr-FR"/>
        </w:rPr>
        <w:t>peuvent</w:t>
      </w:r>
      <w:proofErr w:type="gramEnd"/>
      <w:r>
        <w:rPr>
          <w:lang w:val="fr-FR"/>
        </w:rPr>
        <w:t xml:space="preserve"> être ajustées pour correspondre à une durée d’exposition de 4 heures à l’aide de l’équation de ten Berge (C</w:t>
      </w:r>
      <w:r>
        <w:rPr>
          <w:vertAlign w:val="superscript"/>
          <w:lang w:val="fr-FR"/>
        </w:rPr>
        <w:t>n</w:t>
      </w:r>
      <w:r>
        <w:rPr>
          <w:lang w:val="fr-FR"/>
        </w:rPr>
        <w:t> x t = k) pour les gaz et vapeurs et de la règle de Haber (C x t = k) pour les poussières et brouillards, comme suit :</w:t>
      </w:r>
    </w:p>
    <w:p w14:paraId="4759CFE8" w14:textId="77777777" w:rsidR="00EC1F91" w:rsidRPr="000B5748" w:rsidRDefault="00EC1F91" w:rsidP="002B6255">
      <w:pPr>
        <w:pStyle w:val="SingleTxtG"/>
        <w:ind w:left="2268"/>
        <w:rPr>
          <w:u w:val="single"/>
          <w:lang w:val="fr-FR"/>
        </w:rPr>
      </w:pPr>
      <w:r>
        <w:rPr>
          <w:u w:val="single"/>
          <w:lang w:val="fr-FR"/>
        </w:rPr>
        <w:t>Formule à utiliser pour les gaz et vapeurs</w:t>
      </w:r>
    </w:p>
    <w:p w14:paraId="5B89CA87" w14:textId="77777777" w:rsidR="00EC1F91" w:rsidRDefault="00BC0A46" w:rsidP="00EC1F91">
      <w:pPr>
        <w:rPr>
          <w:u w:val="single"/>
        </w:rPr>
      </w:pPr>
      <m:oMathPara>
        <m:oMath>
          <m:sSub>
            <m:sSubPr>
              <m:ctrlPr>
                <w:rPr>
                  <w:rFonts w:ascii="Cambria Math" w:eastAsia="Times New Roman" w:hAnsi="Cambria Math"/>
                  <w:bCs/>
                  <w:iCs/>
                </w:rPr>
              </m:ctrlPr>
            </m:sSubPr>
            <m:e>
              <m:r>
                <m:rPr>
                  <m:sty m:val="p"/>
                </m:rPr>
                <w:rPr>
                  <w:rFonts w:ascii="Cambria Math" w:hAnsi="Cambria Math"/>
                </w:rPr>
                <m:t>CL</m:t>
              </m:r>
            </m:e>
            <m:sub>
              <m:r>
                <m:rPr>
                  <m:sty m:val="p"/>
                </m:rPr>
                <w:rPr>
                  <w:rFonts w:ascii="Cambria Math" w:hAnsi="Cambria Math"/>
                </w:rPr>
                <m:t>50</m:t>
              </m:r>
            </m:sub>
          </m:sSub>
          <m:r>
            <m:rPr>
              <m:sty m:val="p"/>
            </m:rPr>
            <w:rPr>
              <w:rFonts w:ascii="Cambria Math" w:hAnsi="Cambria Math"/>
            </w:rPr>
            <m:t>(4 heures)</m:t>
          </m:r>
          <m:r>
            <m:rPr>
              <m:sty m:val="bi"/>
            </m:rPr>
            <w:rPr>
              <w:rFonts w:ascii="Cambria Math" w:hAnsi="Cambria Math"/>
            </w:rPr>
            <m:t xml:space="preserve">= </m:t>
          </m:r>
          <m:sSup>
            <m:sSupPr>
              <m:ctrlPr>
                <w:rPr>
                  <w:rFonts w:ascii="Cambria Math" w:eastAsia="Times New Roman" w:hAnsi="Cambria Math"/>
                  <w:b/>
                  <w:i/>
                </w:rPr>
              </m:ctrlPr>
            </m:sSupPr>
            <m:e>
              <m:d>
                <m:dPr>
                  <m:ctrlPr>
                    <w:rPr>
                      <w:rFonts w:ascii="Cambria Math" w:eastAsia="Times New Roman" w:hAnsi="Cambria Math"/>
                      <w:b/>
                      <w:i/>
                    </w:rPr>
                  </m:ctrlPr>
                </m:dPr>
                <m:e>
                  <m:f>
                    <m:fPr>
                      <m:ctrlPr>
                        <w:rPr>
                          <w:rFonts w:ascii="Cambria Math" w:eastAsia="Times New Roman" w:hAnsi="Cambria Math"/>
                        </w:rPr>
                      </m:ctrlPr>
                    </m:fPr>
                    <m:num>
                      <m:sSup>
                        <m:sSupPr>
                          <m:ctrlPr>
                            <w:rPr>
                              <w:rFonts w:ascii="Cambria Math" w:eastAsia="Times New Roman" w:hAnsi="Cambria Math" w:cs="Cambria Math"/>
                            </w:rPr>
                          </m:ctrlPr>
                        </m:sSupPr>
                        <m:e>
                          <m:r>
                            <w:rPr>
                              <w:rFonts w:ascii="Cambria Math" w:hAnsi="Cambria Math" w:cs="Cambria Math"/>
                            </w:rPr>
                            <m:t>C</m:t>
                          </m:r>
                        </m:e>
                        <m:sup>
                          <m:r>
                            <w:rPr>
                              <w:rFonts w:ascii="Cambria Math" w:hAnsi="Cambria Math" w:cs="Cambria Math"/>
                            </w:rPr>
                            <m:t>n</m:t>
                          </m:r>
                        </m:sup>
                      </m:sSup>
                      <m:r>
                        <w:rPr>
                          <w:rFonts w:ascii="Cambria Math" w:hAnsi="Cambria Math" w:cs="Cambria Math"/>
                        </w:rPr>
                        <m:t xml:space="preserve"> x t</m:t>
                      </m:r>
                    </m:num>
                    <m:den>
                      <m:r>
                        <m:rPr>
                          <m:sty m:val="p"/>
                        </m:rPr>
                        <w:rPr>
                          <w:rFonts w:ascii="Cambria Math" w:hAnsi="Cambria Math" w:cs="Cambria Math"/>
                        </w:rPr>
                        <m:t>4</m:t>
                      </m:r>
                    </m:den>
                  </m:f>
                </m:e>
              </m:d>
            </m:e>
            <m:sup>
              <m:r>
                <m:rPr>
                  <m:sty m:val="bi"/>
                </m:rPr>
                <w:rPr>
                  <w:rFonts w:ascii="Cambria Math" w:hAnsi="Cambria Math"/>
                </w:rPr>
                <m:t>1/n</m:t>
              </m:r>
            </m:sup>
          </m:sSup>
        </m:oMath>
      </m:oMathPara>
    </w:p>
    <w:p w14:paraId="502B7AC7" w14:textId="3219903F" w:rsidR="00EC1F91" w:rsidRPr="000B5748" w:rsidRDefault="00EC1F91" w:rsidP="002B6255">
      <w:pPr>
        <w:pStyle w:val="SingleTxtG"/>
        <w:ind w:left="2268"/>
        <w:rPr>
          <w:lang w:val="fr-FR"/>
        </w:rPr>
      </w:pPr>
      <w:proofErr w:type="gramStart"/>
      <w:r>
        <w:rPr>
          <w:lang w:val="fr-FR"/>
        </w:rPr>
        <w:t>où</w:t>
      </w:r>
      <w:proofErr w:type="gramEnd"/>
      <w:r>
        <w:rPr>
          <w:lang w:val="fr-FR"/>
        </w:rPr>
        <w:t> :</w:t>
      </w:r>
    </w:p>
    <w:p w14:paraId="2F12070D" w14:textId="77777777" w:rsidR="00EC1F91" w:rsidRPr="000B5748" w:rsidRDefault="00EC1F91" w:rsidP="002B6255">
      <w:pPr>
        <w:pStyle w:val="SingleTxtG"/>
        <w:ind w:left="2268"/>
        <w:rPr>
          <w:lang w:val="fr-FR"/>
        </w:rPr>
      </w:pPr>
      <w:r>
        <w:rPr>
          <w:lang w:val="fr-FR"/>
        </w:rPr>
        <w:t>C</w:t>
      </w:r>
      <w:r>
        <w:rPr>
          <w:lang w:val="fr-FR"/>
        </w:rPr>
        <w:tab/>
        <w:t>=</w:t>
      </w:r>
      <w:r>
        <w:rPr>
          <w:lang w:val="fr-FR"/>
        </w:rPr>
        <w:tab/>
        <w:t>CL</w:t>
      </w:r>
      <w:r>
        <w:rPr>
          <w:vertAlign w:val="subscript"/>
          <w:lang w:val="fr-FR"/>
        </w:rPr>
        <w:t>50</w:t>
      </w:r>
      <w:r>
        <w:rPr>
          <w:lang w:val="fr-FR"/>
        </w:rPr>
        <w:t xml:space="preserve"> pour la durée d’exposition t</w:t>
      </w:r>
    </w:p>
    <w:p w14:paraId="61A540A2" w14:textId="77777777" w:rsidR="00EC1F91" w:rsidRPr="000B5748" w:rsidRDefault="00EC1F91" w:rsidP="002B6255">
      <w:pPr>
        <w:pStyle w:val="SingleTxtG"/>
        <w:ind w:left="2268"/>
        <w:rPr>
          <w:lang w:val="fr-FR"/>
        </w:rPr>
      </w:pPr>
      <w:proofErr w:type="gramStart"/>
      <w:r>
        <w:rPr>
          <w:lang w:val="fr-FR"/>
        </w:rPr>
        <w:t>n</w:t>
      </w:r>
      <w:proofErr w:type="gramEnd"/>
      <w:r>
        <w:rPr>
          <w:lang w:val="fr-FR"/>
        </w:rPr>
        <w:tab/>
        <w:t>=</w:t>
      </w:r>
      <w:r>
        <w:rPr>
          <w:lang w:val="fr-FR"/>
        </w:rPr>
        <w:tab/>
        <w:t>exposant propre à chaque produit chimique</w:t>
      </w:r>
    </w:p>
    <w:p w14:paraId="1BAD6890" w14:textId="77777777" w:rsidR="00EC1F91" w:rsidRPr="000B5748" w:rsidRDefault="00EC1F91" w:rsidP="002B6255">
      <w:pPr>
        <w:pStyle w:val="SingleTxtG"/>
        <w:ind w:left="2268"/>
        <w:rPr>
          <w:lang w:val="fr-FR"/>
        </w:rPr>
      </w:pPr>
      <w:proofErr w:type="gramStart"/>
      <w:r>
        <w:rPr>
          <w:lang w:val="fr-FR"/>
        </w:rPr>
        <w:t>t</w:t>
      </w:r>
      <w:proofErr w:type="gramEnd"/>
      <w:r>
        <w:rPr>
          <w:lang w:val="fr-FR"/>
        </w:rPr>
        <w:tab/>
        <w:t>=</w:t>
      </w:r>
      <w:r>
        <w:rPr>
          <w:lang w:val="fr-FR"/>
        </w:rPr>
        <w:tab/>
        <w:t>durée d’exposition pour la concentration C</w:t>
      </w:r>
    </w:p>
    <w:p w14:paraId="66910A64" w14:textId="77777777" w:rsidR="00EC1F91" w:rsidRPr="000B5748" w:rsidRDefault="00EC1F91" w:rsidP="002B6255">
      <w:pPr>
        <w:pStyle w:val="SingleTxtG"/>
        <w:ind w:left="2268"/>
        <w:rPr>
          <w:u w:val="single"/>
          <w:lang w:val="fr-FR"/>
        </w:rPr>
      </w:pPr>
      <w:r>
        <w:rPr>
          <w:u w:val="single"/>
          <w:lang w:val="fr-FR"/>
        </w:rPr>
        <w:t>Formule à utiliser pour les poussières et brouillards</w:t>
      </w:r>
    </w:p>
    <w:p w14:paraId="6548935D" w14:textId="77777777" w:rsidR="00EC1F91" w:rsidRDefault="00BC0A46" w:rsidP="00EC1F91">
      <w:pPr>
        <w:rPr>
          <w:u w:val="single"/>
        </w:rPr>
      </w:pPr>
      <m:oMathPara>
        <m:oMath>
          <m:sSub>
            <m:sSubPr>
              <m:ctrlPr>
                <w:rPr>
                  <w:rFonts w:ascii="Cambria Math" w:eastAsia="Times New Roman" w:hAnsi="Cambria Math"/>
                  <w:bCs/>
                  <w:iCs/>
                </w:rPr>
              </m:ctrlPr>
            </m:sSubPr>
            <m:e>
              <m:r>
                <m:rPr>
                  <m:sty m:val="p"/>
                </m:rPr>
                <w:rPr>
                  <w:rFonts w:ascii="Cambria Math" w:hAnsi="Cambria Math"/>
                </w:rPr>
                <m:t>CL</m:t>
              </m:r>
            </m:e>
            <m:sub>
              <m:r>
                <m:rPr>
                  <m:sty m:val="p"/>
                </m:rPr>
                <w:rPr>
                  <w:rFonts w:ascii="Cambria Math" w:hAnsi="Cambria Math"/>
                </w:rPr>
                <m:t>50</m:t>
              </m:r>
            </m:sub>
          </m:sSub>
          <m:r>
            <m:rPr>
              <m:sty m:val="p"/>
            </m:rPr>
            <w:rPr>
              <w:rFonts w:ascii="Cambria Math" w:hAnsi="Cambria Math"/>
            </w:rPr>
            <m:t>(4 heures)</m:t>
          </m:r>
          <m:r>
            <m:rPr>
              <m:sty m:val="bi"/>
            </m:rPr>
            <w:rPr>
              <w:rFonts w:ascii="Cambria Math" w:hAnsi="Cambria Math"/>
            </w:rPr>
            <m:t xml:space="preserve">= </m:t>
          </m:r>
          <m:f>
            <m:fPr>
              <m:ctrlPr>
                <w:rPr>
                  <w:rFonts w:ascii="Cambria Math" w:eastAsia="Times New Roman" w:hAnsi="Cambria Math"/>
                  <w:iCs/>
                </w:rPr>
              </m:ctrlPr>
            </m:fPr>
            <m:num>
              <m:r>
                <m:rPr>
                  <m:sty m:val="p"/>
                </m:rPr>
                <w:rPr>
                  <w:rFonts w:ascii="Cambria Math" w:hAnsi="Cambria Math" w:cs="Cambria Math"/>
                </w:rPr>
                <m:t>C x  t</m:t>
              </m:r>
            </m:num>
            <m:den>
              <m:r>
                <m:rPr>
                  <m:sty m:val="p"/>
                </m:rPr>
                <w:rPr>
                  <w:rFonts w:ascii="Cambria Math" w:hAnsi="Cambria Math" w:cs="Cambria Math"/>
                </w:rPr>
                <m:t>4</m:t>
              </m:r>
            </m:den>
          </m:f>
        </m:oMath>
      </m:oMathPara>
    </w:p>
    <w:p w14:paraId="2C4A4C59" w14:textId="122B7938" w:rsidR="00EC1F91" w:rsidRPr="000B5748" w:rsidRDefault="00EC1F91" w:rsidP="002B6255">
      <w:pPr>
        <w:pStyle w:val="SingleTxtG"/>
        <w:keepNext/>
        <w:ind w:left="2268"/>
        <w:rPr>
          <w:lang w:val="fr-FR"/>
        </w:rPr>
      </w:pPr>
      <w:proofErr w:type="gramStart"/>
      <w:r>
        <w:rPr>
          <w:lang w:val="fr-FR"/>
        </w:rPr>
        <w:t>où</w:t>
      </w:r>
      <w:proofErr w:type="gramEnd"/>
      <w:r>
        <w:rPr>
          <w:lang w:val="fr-FR"/>
        </w:rPr>
        <w:t xml:space="preserve"> :</w:t>
      </w:r>
    </w:p>
    <w:p w14:paraId="395FCBF2" w14:textId="77777777" w:rsidR="00EC1F91" w:rsidRPr="000B5748" w:rsidRDefault="00EC1F91" w:rsidP="002B6255">
      <w:pPr>
        <w:pStyle w:val="SingleTxtG"/>
        <w:keepNext/>
        <w:ind w:left="2268"/>
        <w:rPr>
          <w:lang w:val="fr-FR"/>
        </w:rPr>
      </w:pPr>
      <w:r>
        <w:rPr>
          <w:lang w:val="fr-FR"/>
        </w:rPr>
        <w:t>C</w:t>
      </w:r>
      <w:r>
        <w:rPr>
          <w:lang w:val="fr-FR"/>
        </w:rPr>
        <w:tab/>
        <w:t>=</w:t>
      </w:r>
      <w:r>
        <w:rPr>
          <w:lang w:val="fr-FR"/>
        </w:rPr>
        <w:tab/>
        <w:t>CL</w:t>
      </w:r>
      <w:r>
        <w:rPr>
          <w:vertAlign w:val="subscript"/>
          <w:lang w:val="fr-FR"/>
        </w:rPr>
        <w:t>50</w:t>
      </w:r>
      <w:r>
        <w:rPr>
          <w:lang w:val="fr-FR"/>
        </w:rPr>
        <w:t xml:space="preserve"> pour la durée d’exposition t</w:t>
      </w:r>
    </w:p>
    <w:p w14:paraId="2B1FE60C" w14:textId="77777777" w:rsidR="00EC1F91" w:rsidRPr="000B5748" w:rsidRDefault="00EC1F91" w:rsidP="002B6255">
      <w:pPr>
        <w:pStyle w:val="SingleTxtG"/>
        <w:ind w:left="2268"/>
        <w:rPr>
          <w:lang w:val="fr-FR"/>
        </w:rPr>
      </w:pPr>
      <w:proofErr w:type="gramStart"/>
      <w:r>
        <w:rPr>
          <w:lang w:val="fr-FR"/>
        </w:rPr>
        <w:t>t</w:t>
      </w:r>
      <w:proofErr w:type="gramEnd"/>
      <w:r>
        <w:rPr>
          <w:lang w:val="fr-FR"/>
        </w:rPr>
        <w:tab/>
        <w:t>=</w:t>
      </w:r>
      <w:r>
        <w:rPr>
          <w:lang w:val="fr-FR"/>
        </w:rPr>
        <w:tab/>
        <w:t>durée d’exposition pour la concentration C</w:t>
      </w:r>
    </w:p>
    <w:p w14:paraId="01C919C1" w14:textId="07352152" w:rsidR="00EC1F91" w:rsidRPr="000B5748" w:rsidRDefault="00EC1F91" w:rsidP="002B6255">
      <w:pPr>
        <w:pStyle w:val="SingleTxtG"/>
        <w:ind w:left="2268" w:hanging="1134"/>
        <w:rPr>
          <w:lang w:val="fr-FR"/>
        </w:rPr>
      </w:pPr>
      <w:r>
        <w:rPr>
          <w:lang w:val="fr-FR"/>
        </w:rPr>
        <w:t>3.1.5.3.2</w:t>
      </w:r>
      <w:r>
        <w:rPr>
          <w:lang w:val="fr-FR"/>
        </w:rPr>
        <w:tab/>
        <w:t>Une valeur par défaut de 2 est utilisée pour l’exposant n, sauf s’il existe des données concluantes indiquant qu’une valeur différente est plus appropriée. Les durées d’exposition pouvant être converties vont de 30 minutes à 8 heures. Une autorité compétente peut décider s’il est acceptable de convertir d’autres durées d’exposition. Les données obtenues à partir d’une exposition de longue durée ne doivent pas être converties, car la classe de danger visée ici concerne la toxicité aiguë. On trouvera dans le document d’orientation 39 de l’OCDE (section 4.1, Outline of the exposure methodology) des indications sur la durée d’exposition pour l’évaluation de la toxicité aiguë par inhalation. »</w:t>
      </w:r>
      <w:r w:rsidR="002B6255">
        <w:rPr>
          <w:lang w:val="fr-FR"/>
        </w:rPr>
        <w:t>.</w:t>
      </w:r>
    </w:p>
    <w:p w14:paraId="1AEDA7DB" w14:textId="37A66B2C" w:rsidR="00EC1F91" w:rsidRPr="000B5748" w:rsidRDefault="00EC1F91" w:rsidP="002B6255">
      <w:pPr>
        <w:pStyle w:val="H1G"/>
        <w:rPr>
          <w:lang w:val="fr-FR"/>
        </w:rPr>
      </w:pPr>
      <w:r>
        <w:rPr>
          <w:lang w:val="fr-FR"/>
        </w:rPr>
        <w:tab/>
      </w:r>
      <w:r>
        <w:rPr>
          <w:lang w:val="fr-FR"/>
        </w:rPr>
        <w:tab/>
        <w:t>Exemples : classement en fonction de la valeur de CL</w:t>
      </w:r>
      <w:r>
        <w:rPr>
          <w:vertAlign w:val="subscript"/>
          <w:lang w:val="fr-FR"/>
        </w:rPr>
        <w:t>50</w:t>
      </w:r>
      <w:r>
        <w:rPr>
          <w:lang w:val="fr-FR"/>
        </w:rPr>
        <w:t xml:space="preserve"> calculée</w:t>
      </w:r>
      <w:r w:rsidR="002B6255">
        <w:rPr>
          <w:lang w:val="fr-FR"/>
        </w:rPr>
        <w:t xml:space="preserve"> </w:t>
      </w:r>
      <w:r w:rsidR="002B6255">
        <w:rPr>
          <w:lang w:val="fr-FR"/>
        </w:rPr>
        <w:br/>
      </w:r>
      <w:r>
        <w:rPr>
          <w:lang w:val="fr-FR"/>
        </w:rPr>
        <w:t>pour 4 heures</w:t>
      </w:r>
    </w:p>
    <w:p w14:paraId="2A4D2C84" w14:textId="1D82CEA0" w:rsidR="00EC1F91" w:rsidRPr="002B6255" w:rsidRDefault="002B6255" w:rsidP="002B6255">
      <w:pPr>
        <w:pStyle w:val="H23G"/>
        <w:rPr>
          <w:u w:val="single"/>
          <w:lang w:val="fr-FR"/>
        </w:rPr>
      </w:pPr>
      <w:r>
        <w:rPr>
          <w:lang w:val="fr-FR"/>
        </w:rPr>
        <w:tab/>
      </w:r>
      <w:r>
        <w:rPr>
          <w:lang w:val="fr-FR"/>
        </w:rPr>
        <w:tab/>
      </w:r>
      <w:r w:rsidR="00EC1F91" w:rsidRPr="002B6255">
        <w:rPr>
          <w:u w:val="single"/>
          <w:lang w:val="fr-FR"/>
        </w:rPr>
        <w:t>Exemple 1</w:t>
      </w:r>
    </w:p>
    <w:p w14:paraId="6DB19805" w14:textId="77777777" w:rsidR="00EC1F91" w:rsidRPr="002B6255" w:rsidRDefault="00EC1F91" w:rsidP="002B6255">
      <w:pPr>
        <w:pStyle w:val="SingleTxtG"/>
        <w:rPr>
          <w:b/>
          <w:bCs/>
          <w:u w:val="single"/>
          <w:lang w:val="fr-FR"/>
        </w:rPr>
      </w:pPr>
      <w:r w:rsidRPr="002B6255">
        <w:rPr>
          <w:b/>
          <w:bCs/>
          <w:u w:val="single"/>
          <w:lang w:val="fr-FR"/>
        </w:rPr>
        <w:t>Substance (liquide)</w:t>
      </w:r>
    </w:p>
    <w:p w14:paraId="5121F060" w14:textId="77777777" w:rsidR="00EC1F91" w:rsidRPr="000B5748" w:rsidRDefault="00EC1F91" w:rsidP="002B6255">
      <w:pPr>
        <w:pStyle w:val="SingleTxtG"/>
        <w:rPr>
          <w:lang w:val="fr-FR"/>
        </w:rPr>
      </w:pPr>
      <w:r>
        <w:rPr>
          <w:lang w:val="fr-FR"/>
        </w:rPr>
        <w:t>1.</w:t>
      </w:r>
      <w:r>
        <w:rPr>
          <w:lang w:val="fr-FR"/>
        </w:rPr>
        <w:tab/>
        <w:t>Dans cet exemple, la valeur expérimentale de la CL</w:t>
      </w:r>
      <w:r>
        <w:rPr>
          <w:vertAlign w:val="subscript"/>
          <w:lang w:val="fr-FR"/>
        </w:rPr>
        <w:t>50</w:t>
      </w:r>
      <w:r>
        <w:rPr>
          <w:lang w:val="fr-FR"/>
        </w:rPr>
        <w:t xml:space="preserve"> pour une exposition de 6 heures aux vapeurs de la substance est de 13,6 mg/l.</w:t>
      </w:r>
    </w:p>
    <w:p w14:paraId="1E0F76C2" w14:textId="77777777" w:rsidR="00EC1F91" w:rsidRPr="000B5748" w:rsidRDefault="00EC1F91" w:rsidP="002B6255">
      <w:pPr>
        <w:pStyle w:val="SingleTxtG"/>
        <w:rPr>
          <w:lang w:val="fr-FR"/>
        </w:rPr>
      </w:pPr>
      <w:r>
        <w:rPr>
          <w:lang w:val="fr-FR"/>
        </w:rPr>
        <w:t>2.</w:t>
      </w:r>
      <w:r>
        <w:rPr>
          <w:lang w:val="fr-FR"/>
        </w:rPr>
        <w:tab/>
        <w:t>En l’absence d’autre information sur l’exposant n, la valeur par défaut (n = 2) sera utilisée.</w:t>
      </w:r>
    </w:p>
    <w:p w14:paraId="524BA8D2" w14:textId="77777777" w:rsidR="00EC1F91" w:rsidRDefault="00EC1F91" w:rsidP="002B6255">
      <w:pPr>
        <w:pStyle w:val="SingleTxtG"/>
        <w:rPr>
          <w:u w:val="single"/>
        </w:rPr>
      </w:pPr>
      <w:r>
        <w:rPr>
          <w:u w:val="single"/>
          <w:lang w:val="fr-FR"/>
        </w:rPr>
        <w:t>Critère :</w:t>
      </w:r>
    </w:p>
    <w:p w14:paraId="3B9870E8" w14:textId="77777777" w:rsidR="00EC1F91" w:rsidRDefault="00BC0A46" w:rsidP="002B6255">
      <w:pPr>
        <w:spacing w:after="120"/>
        <w:rPr>
          <w:u w:val="single"/>
        </w:rPr>
      </w:pPr>
      <m:oMathPara>
        <m:oMath>
          <m:sSub>
            <m:sSubPr>
              <m:ctrlPr>
                <w:rPr>
                  <w:rFonts w:ascii="Cambria Math" w:eastAsia="Times New Roman" w:hAnsi="Cambria Math"/>
                  <w:bCs/>
                  <w:iCs/>
                </w:rPr>
              </m:ctrlPr>
            </m:sSubPr>
            <m:e>
              <m:r>
                <m:rPr>
                  <m:sty m:val="p"/>
                </m:rPr>
                <w:rPr>
                  <w:rFonts w:ascii="Cambria Math" w:hAnsi="Cambria Math"/>
                </w:rPr>
                <m:t>CL</m:t>
              </m:r>
            </m:e>
            <m:sub>
              <m:r>
                <m:rPr>
                  <m:sty m:val="p"/>
                </m:rPr>
                <w:rPr>
                  <w:rFonts w:ascii="Cambria Math" w:hAnsi="Cambria Math"/>
                </w:rPr>
                <m:t>50</m:t>
              </m:r>
            </m:sub>
          </m:sSub>
          <m:r>
            <m:rPr>
              <m:sty m:val="p"/>
            </m:rPr>
            <w:rPr>
              <w:rFonts w:ascii="Cambria Math" w:hAnsi="Cambria Math"/>
            </w:rPr>
            <m:t>(4 heures)</m:t>
          </m:r>
          <m:r>
            <m:rPr>
              <m:sty m:val="bi"/>
            </m:rPr>
            <w:rPr>
              <w:rFonts w:ascii="Cambria Math" w:hAnsi="Cambria Math"/>
            </w:rPr>
            <m:t xml:space="preserve">= </m:t>
          </m:r>
          <m:sSup>
            <m:sSupPr>
              <m:ctrlPr>
                <w:rPr>
                  <w:rFonts w:ascii="Cambria Math" w:eastAsia="Times New Roman" w:hAnsi="Cambria Math"/>
                  <w:b/>
                  <w:i/>
                </w:rPr>
              </m:ctrlPr>
            </m:sSupPr>
            <m:e>
              <m:d>
                <m:dPr>
                  <m:ctrlPr>
                    <w:rPr>
                      <w:rFonts w:ascii="Cambria Math" w:eastAsia="Times New Roman" w:hAnsi="Cambria Math"/>
                      <w:b/>
                      <w:i/>
                    </w:rPr>
                  </m:ctrlPr>
                </m:dPr>
                <m:e>
                  <m:f>
                    <m:fPr>
                      <m:ctrlPr>
                        <w:rPr>
                          <w:rFonts w:ascii="Cambria Math" w:eastAsia="Times New Roman" w:hAnsi="Cambria Math"/>
                        </w:rPr>
                      </m:ctrlPr>
                    </m:fPr>
                    <m:num>
                      <m:sSup>
                        <m:sSupPr>
                          <m:ctrlPr>
                            <w:rPr>
                              <w:rFonts w:ascii="Cambria Math" w:eastAsia="Times New Roman" w:hAnsi="Cambria Math" w:cs="Cambria Math"/>
                            </w:rPr>
                          </m:ctrlPr>
                        </m:sSupPr>
                        <m:e>
                          <m:r>
                            <w:rPr>
                              <w:rFonts w:ascii="Cambria Math" w:hAnsi="Cambria Math" w:cs="Cambria Math"/>
                            </w:rPr>
                            <m:t>C</m:t>
                          </m:r>
                        </m:e>
                        <m:sup>
                          <m:r>
                            <w:rPr>
                              <w:rFonts w:ascii="Cambria Math" w:hAnsi="Cambria Math" w:cs="Cambria Math"/>
                            </w:rPr>
                            <m:t>n</m:t>
                          </m:r>
                        </m:sup>
                      </m:sSup>
                      <m:r>
                        <w:rPr>
                          <w:rFonts w:ascii="Cambria Math" w:hAnsi="Cambria Math" w:cs="Cambria Math"/>
                        </w:rPr>
                        <m:t xml:space="preserve"> x t</m:t>
                      </m:r>
                    </m:num>
                    <m:den>
                      <m:r>
                        <m:rPr>
                          <m:sty m:val="p"/>
                        </m:rPr>
                        <w:rPr>
                          <w:rFonts w:ascii="Cambria Math" w:hAnsi="Cambria Math" w:cs="Cambria Math"/>
                        </w:rPr>
                        <m:t>4</m:t>
                      </m:r>
                    </m:den>
                  </m:f>
                </m:e>
              </m:d>
            </m:e>
            <m:sup>
              <m:r>
                <m:rPr>
                  <m:sty m:val="bi"/>
                </m:rPr>
                <w:rPr>
                  <w:rFonts w:ascii="Cambria Math" w:hAnsi="Cambria Math"/>
                </w:rPr>
                <m:t>1/n</m:t>
              </m:r>
            </m:sup>
          </m:sSup>
        </m:oMath>
      </m:oMathPara>
    </w:p>
    <w:p w14:paraId="62304E58" w14:textId="77777777" w:rsidR="00EC1F91" w:rsidRDefault="00EC1F91" w:rsidP="002B6255">
      <w:pPr>
        <w:pStyle w:val="SingleTxtG"/>
        <w:rPr>
          <w:u w:val="single"/>
        </w:rPr>
      </w:pPr>
      <w:r>
        <w:rPr>
          <w:u w:val="single"/>
          <w:lang w:val="fr-FR"/>
        </w:rPr>
        <w:t>Calcul</w:t>
      </w:r>
    </w:p>
    <w:p w14:paraId="723A6C8B" w14:textId="77777777" w:rsidR="00EC1F91" w:rsidRDefault="00BC0A46" w:rsidP="002B6255">
      <w:pPr>
        <w:spacing w:after="120"/>
        <w:rPr>
          <w:rFonts w:ascii="Cambria Math" w:hAnsi="Cambria Math"/>
          <w:b/>
        </w:rPr>
      </w:pPr>
      <m:oMathPara>
        <m:oMath>
          <m:sSub>
            <m:sSubPr>
              <m:ctrlPr>
                <w:rPr>
                  <w:rFonts w:ascii="Cambria Math" w:eastAsia="Times New Roman" w:hAnsi="Cambria Math"/>
                  <w:bCs/>
                  <w:iCs/>
                </w:rPr>
              </m:ctrlPr>
            </m:sSubPr>
            <m:e>
              <m:r>
                <m:rPr>
                  <m:sty m:val="p"/>
                </m:rPr>
                <w:rPr>
                  <w:rFonts w:ascii="Cambria Math" w:hAnsi="Cambria Math"/>
                </w:rPr>
                <m:t>CL</m:t>
              </m:r>
            </m:e>
            <m:sub>
              <m:r>
                <m:rPr>
                  <m:sty m:val="p"/>
                </m:rPr>
                <w:rPr>
                  <w:rFonts w:ascii="Cambria Math" w:hAnsi="Cambria Math"/>
                </w:rPr>
                <m:t>50</m:t>
              </m:r>
            </m:sub>
          </m:sSub>
          <m:d>
            <m:dPr>
              <m:ctrlPr>
                <w:rPr>
                  <w:rFonts w:ascii="Cambria Math" w:eastAsia="Times New Roman" w:hAnsi="Cambria Math"/>
                </w:rPr>
              </m:ctrlPr>
            </m:dPr>
            <m:e>
              <m:r>
                <m:rPr>
                  <m:sty m:val="p"/>
                </m:rPr>
                <w:rPr>
                  <w:rFonts w:ascii="Cambria Math" w:hAnsi="Cambria Math"/>
                </w:rPr>
                <m:t>4 heures</m:t>
              </m:r>
            </m:e>
          </m:d>
          <m:r>
            <m:rPr>
              <m:sty m:val="bi"/>
            </m:rPr>
            <w:rPr>
              <w:rFonts w:ascii="Cambria Math" w:hAnsi="Cambria Math"/>
            </w:rPr>
            <m:t xml:space="preserve">= </m:t>
          </m:r>
          <m:sSup>
            <m:sSupPr>
              <m:ctrlPr>
                <w:rPr>
                  <w:rFonts w:ascii="Cambria Math" w:eastAsia="Times New Roman" w:hAnsi="Cambria Math"/>
                  <w:b/>
                  <w:i/>
                </w:rPr>
              </m:ctrlPr>
            </m:sSupPr>
            <m:e>
              <m:d>
                <m:dPr>
                  <m:ctrlPr>
                    <w:rPr>
                      <w:rFonts w:ascii="Cambria Math" w:eastAsia="Times New Roman" w:hAnsi="Cambria Math"/>
                      <w:b/>
                      <w:i/>
                    </w:rPr>
                  </m:ctrlPr>
                </m:dPr>
                <m:e>
                  <m:f>
                    <m:fPr>
                      <m:ctrlPr>
                        <w:rPr>
                          <w:rFonts w:ascii="Cambria Math" w:eastAsia="Times New Roman" w:hAnsi="Cambria Math"/>
                        </w:rPr>
                      </m:ctrlPr>
                    </m:fPr>
                    <m:num>
                      <m:sSup>
                        <m:sSupPr>
                          <m:ctrlPr>
                            <w:rPr>
                              <w:rFonts w:ascii="Cambria Math" w:eastAsia="Times New Roman" w:hAnsi="Cambria Math" w:cs="Cambria Math"/>
                            </w:rPr>
                          </m:ctrlPr>
                        </m:sSupPr>
                        <m:e>
                          <m:r>
                            <w:rPr>
                              <w:rFonts w:ascii="Cambria Math" w:hAnsi="Cambria Math" w:cs="Cambria Math"/>
                            </w:rPr>
                            <m:t>C</m:t>
                          </m:r>
                        </m:e>
                        <m:sup>
                          <m:r>
                            <w:rPr>
                              <w:rFonts w:ascii="Cambria Math" w:hAnsi="Cambria Math" w:cs="Cambria Math"/>
                            </w:rPr>
                            <m:t>n</m:t>
                          </m:r>
                        </m:sup>
                      </m:sSup>
                      <m:r>
                        <w:rPr>
                          <w:rFonts w:ascii="Cambria Math" w:hAnsi="Cambria Math" w:cs="Cambria Math"/>
                        </w:rPr>
                        <m:t xml:space="preserve"> x t</m:t>
                      </m:r>
                    </m:num>
                    <m:den>
                      <m:r>
                        <m:rPr>
                          <m:sty m:val="p"/>
                        </m:rPr>
                        <w:rPr>
                          <w:rFonts w:ascii="Cambria Math" w:hAnsi="Cambria Math" w:cs="Cambria Math"/>
                        </w:rPr>
                        <m:t>4</m:t>
                      </m:r>
                    </m:den>
                  </m:f>
                </m:e>
              </m:d>
            </m:e>
            <m:sup>
              <m:f>
                <m:fPr>
                  <m:ctrlPr>
                    <w:rPr>
                      <w:rFonts w:ascii="Cambria Math" w:eastAsia="Times New Roman" w:hAnsi="Cambria Math"/>
                      <w:b/>
                      <w:i/>
                    </w:rPr>
                  </m:ctrlPr>
                </m:fPr>
                <m:num>
                  <m:r>
                    <m:rPr>
                      <m:sty m:val="bi"/>
                    </m:rPr>
                    <w:rPr>
                      <w:rFonts w:ascii="Cambria Math" w:hAnsi="Cambria Math"/>
                    </w:rPr>
                    <m:t>1</m:t>
                  </m:r>
                </m:num>
                <m:den>
                  <m:r>
                    <m:rPr>
                      <m:sty m:val="bi"/>
                    </m:rPr>
                    <w:rPr>
                      <w:rFonts w:ascii="Cambria Math" w:hAnsi="Cambria Math"/>
                    </w:rPr>
                    <m:t>n</m:t>
                  </m:r>
                </m:den>
              </m:f>
            </m:sup>
          </m:sSup>
          <m:r>
            <m:rPr>
              <m:sty m:val="bi"/>
            </m:rPr>
            <w:rPr>
              <w:rFonts w:ascii="Cambria Math" w:hAnsi="Cambria Math"/>
            </w:rPr>
            <m:t xml:space="preserve">=  </m:t>
          </m:r>
          <m:sSup>
            <m:sSupPr>
              <m:ctrlPr>
                <w:rPr>
                  <w:rFonts w:ascii="Cambria Math" w:eastAsia="Times New Roman" w:hAnsi="Cambria Math"/>
                  <w:b/>
                  <w:i/>
                </w:rPr>
              </m:ctrlPr>
            </m:sSupPr>
            <m:e>
              <m:d>
                <m:dPr>
                  <m:ctrlPr>
                    <w:rPr>
                      <w:rFonts w:ascii="Cambria Math" w:eastAsia="Times New Roman" w:hAnsi="Cambria Math"/>
                      <w:b/>
                      <w:i/>
                    </w:rPr>
                  </m:ctrlPr>
                </m:dPr>
                <m:e>
                  <m:f>
                    <m:fPr>
                      <m:ctrlPr>
                        <w:rPr>
                          <w:rFonts w:ascii="Cambria Math" w:eastAsia="Times New Roman" w:hAnsi="Cambria Math"/>
                        </w:rPr>
                      </m:ctrlPr>
                    </m:fPr>
                    <m:num>
                      <m:sSup>
                        <m:sSupPr>
                          <m:ctrlPr>
                            <w:rPr>
                              <w:rFonts w:ascii="Cambria Math" w:eastAsia="Times New Roman" w:hAnsi="Cambria Math" w:cs="Cambria Math"/>
                            </w:rPr>
                          </m:ctrlPr>
                        </m:sSupPr>
                        <m:e>
                          <m:r>
                            <w:rPr>
                              <w:rFonts w:ascii="Cambria Math" w:hAnsi="Cambria Math" w:cs="Cambria Math"/>
                            </w:rPr>
                            <m:t>13,6</m:t>
                          </m:r>
                        </m:e>
                        <m:sup>
                          <m:r>
                            <w:rPr>
                              <w:rFonts w:ascii="Cambria Math" w:hAnsi="Cambria Math" w:cs="Cambria Math"/>
                            </w:rPr>
                            <m:t>2</m:t>
                          </m:r>
                        </m:sup>
                      </m:sSup>
                      <m:r>
                        <w:rPr>
                          <w:rFonts w:ascii="Cambria Math" w:hAnsi="Cambria Math" w:cs="Cambria Math"/>
                        </w:rPr>
                        <m:t xml:space="preserve"> x 6</m:t>
                      </m:r>
                    </m:num>
                    <m:den>
                      <m:r>
                        <m:rPr>
                          <m:sty m:val="p"/>
                        </m:rPr>
                        <w:rPr>
                          <w:rFonts w:ascii="Cambria Math" w:hAnsi="Cambria Math" w:cs="Cambria Math"/>
                        </w:rPr>
                        <m:t>4</m:t>
                      </m:r>
                    </m:den>
                  </m:f>
                </m:e>
              </m:d>
            </m:e>
            <m:sup>
              <m:f>
                <m:fPr>
                  <m:ctrlPr>
                    <w:rPr>
                      <w:rFonts w:ascii="Cambria Math" w:eastAsia="Times New Roman" w:hAnsi="Cambria Math"/>
                      <w:b/>
                      <w:i/>
                    </w:rPr>
                  </m:ctrlPr>
                </m:fPr>
                <m:num>
                  <m:r>
                    <m:rPr>
                      <m:sty m:val="bi"/>
                    </m:rPr>
                    <w:rPr>
                      <w:rFonts w:ascii="Cambria Math" w:hAnsi="Cambria Math"/>
                    </w:rPr>
                    <m:t>1</m:t>
                  </m:r>
                </m:num>
                <m:den>
                  <m:r>
                    <m:rPr>
                      <m:sty m:val="bi"/>
                    </m:rPr>
                    <w:rPr>
                      <w:rFonts w:ascii="Cambria Math" w:hAnsi="Cambria Math"/>
                    </w:rPr>
                    <m:t xml:space="preserve">2 </m:t>
                  </m:r>
                </m:den>
              </m:f>
            </m:sup>
          </m:sSup>
          <m:r>
            <m:rPr>
              <m:sty m:val="bi"/>
            </m:rPr>
            <w:rPr>
              <w:rFonts w:ascii="Cambria Math" w:hAnsi="Cambria Math"/>
            </w:rPr>
            <m:t>=16,7</m:t>
          </m:r>
        </m:oMath>
      </m:oMathPara>
    </w:p>
    <w:p w14:paraId="466303E3" w14:textId="77777777" w:rsidR="00EC1F91" w:rsidRPr="009D7E70" w:rsidRDefault="00EC1F91" w:rsidP="002B6255">
      <w:pPr>
        <w:pStyle w:val="SingleTxtG"/>
        <w:rPr>
          <w:rFonts w:asciiTheme="majorBidi" w:hAnsiTheme="majorBidi" w:cstheme="majorBidi"/>
          <w:sz w:val="16"/>
          <w:szCs w:val="16"/>
          <w:lang w:val="fr-FR"/>
        </w:rPr>
      </w:pPr>
      <w:r w:rsidRPr="009D7E70">
        <w:rPr>
          <w:lang w:val="fr-FR"/>
        </w:rPr>
        <w:t>3.</w:t>
      </w:r>
      <w:r w:rsidRPr="009D7E70">
        <w:rPr>
          <w:lang w:val="fr-FR"/>
        </w:rPr>
        <w:tab/>
        <w:t>Par conséquent, la substance est classée dans la catégorie 4 selon les critères indiqués pour les vapeurs dans le tableau 3.1.1 (catégorie 4 : 10,0 &lt; ETA ≤ 20,0).</w:t>
      </w:r>
    </w:p>
    <w:p w14:paraId="5F98EAD0" w14:textId="470D8708" w:rsidR="00EC1F91" w:rsidRPr="00843451" w:rsidRDefault="002B6255" w:rsidP="002B6255">
      <w:pPr>
        <w:pStyle w:val="H23G"/>
        <w:rPr>
          <w:bCs/>
          <w:u w:val="single"/>
          <w:lang w:val="fr-FR"/>
        </w:rPr>
      </w:pPr>
      <w:r w:rsidRPr="002B6255">
        <w:rPr>
          <w:bCs/>
          <w:lang w:val="fr-FR"/>
        </w:rPr>
        <w:tab/>
      </w:r>
      <w:r w:rsidRPr="002B6255">
        <w:rPr>
          <w:bCs/>
          <w:lang w:val="fr-FR"/>
        </w:rPr>
        <w:tab/>
      </w:r>
      <w:r w:rsidR="00EC1F91">
        <w:rPr>
          <w:bCs/>
          <w:u w:val="single"/>
          <w:lang w:val="fr-FR"/>
        </w:rPr>
        <w:t>Exemple 2</w:t>
      </w:r>
    </w:p>
    <w:p w14:paraId="0875151E" w14:textId="6D73ADFF" w:rsidR="00EC1F91" w:rsidRPr="00843451" w:rsidRDefault="00EC1F91" w:rsidP="002B6255">
      <w:pPr>
        <w:pStyle w:val="SingleTxtG"/>
        <w:rPr>
          <w:b/>
          <w:bCs/>
          <w:u w:val="single"/>
          <w:lang w:val="fr-FR"/>
        </w:rPr>
      </w:pPr>
      <w:r>
        <w:rPr>
          <w:b/>
          <w:bCs/>
          <w:u w:val="single"/>
          <w:lang w:val="fr-FR"/>
        </w:rPr>
        <w:t>Substance (solide)</w:t>
      </w:r>
    </w:p>
    <w:p w14:paraId="0EB7D46D" w14:textId="77777777" w:rsidR="00EC1F91" w:rsidRPr="000B5748" w:rsidRDefault="00EC1F91" w:rsidP="002B6255">
      <w:pPr>
        <w:pStyle w:val="SingleTxtG"/>
        <w:rPr>
          <w:lang w:val="fr-FR"/>
        </w:rPr>
      </w:pPr>
      <w:r>
        <w:rPr>
          <w:lang w:val="fr-FR"/>
        </w:rPr>
        <w:t>4.</w:t>
      </w:r>
      <w:r>
        <w:rPr>
          <w:lang w:val="fr-FR"/>
        </w:rPr>
        <w:tab/>
        <w:t>Dans cet exemple, la valeur expérimentale de la CL</w:t>
      </w:r>
      <w:r>
        <w:rPr>
          <w:vertAlign w:val="subscript"/>
          <w:lang w:val="fr-FR"/>
        </w:rPr>
        <w:t>50</w:t>
      </w:r>
      <w:r>
        <w:rPr>
          <w:lang w:val="fr-FR"/>
        </w:rPr>
        <w:t xml:space="preserve"> pour une exposition de 2 heures aux poussières de la substance est de 0,26 mg/l.</w:t>
      </w:r>
    </w:p>
    <w:p w14:paraId="3D5D19BD" w14:textId="77777777" w:rsidR="00EC1F91" w:rsidRDefault="00EC1F91" w:rsidP="002B6255">
      <w:pPr>
        <w:pStyle w:val="SingleTxtG"/>
        <w:rPr>
          <w:u w:val="single"/>
        </w:rPr>
      </w:pPr>
      <w:r>
        <w:rPr>
          <w:u w:val="single"/>
          <w:lang w:val="fr-FR"/>
        </w:rPr>
        <w:t>Critère :</w:t>
      </w:r>
    </w:p>
    <w:p w14:paraId="37B12DB8" w14:textId="77777777" w:rsidR="00EC1F91" w:rsidRDefault="00BC0A46" w:rsidP="002B6255">
      <w:pPr>
        <w:spacing w:after="120"/>
        <w:rPr>
          <w:u w:val="single"/>
        </w:rPr>
      </w:pPr>
      <m:oMathPara>
        <m:oMath>
          <m:sSub>
            <m:sSubPr>
              <m:ctrlPr>
                <w:rPr>
                  <w:rFonts w:ascii="Cambria Math" w:eastAsia="Times New Roman" w:hAnsi="Cambria Math"/>
                  <w:bCs/>
                  <w:iCs/>
                </w:rPr>
              </m:ctrlPr>
            </m:sSubPr>
            <m:e>
              <m:r>
                <m:rPr>
                  <m:sty m:val="p"/>
                </m:rPr>
                <w:rPr>
                  <w:rFonts w:ascii="Cambria Math" w:hAnsi="Cambria Math"/>
                </w:rPr>
                <m:t>CL</m:t>
              </m:r>
            </m:e>
            <m:sub>
              <m:r>
                <m:rPr>
                  <m:sty m:val="p"/>
                </m:rPr>
                <w:rPr>
                  <w:rFonts w:ascii="Cambria Math" w:hAnsi="Cambria Math"/>
                </w:rPr>
                <m:t>50</m:t>
              </m:r>
            </m:sub>
          </m:sSub>
          <m:r>
            <m:rPr>
              <m:sty m:val="p"/>
            </m:rPr>
            <w:rPr>
              <w:rFonts w:ascii="Cambria Math" w:hAnsi="Cambria Math"/>
            </w:rPr>
            <m:t>(4 heures)</m:t>
          </m:r>
          <m:r>
            <m:rPr>
              <m:sty m:val="bi"/>
            </m:rPr>
            <w:rPr>
              <w:rFonts w:ascii="Cambria Math" w:hAnsi="Cambria Math"/>
            </w:rPr>
            <m:t xml:space="preserve">= </m:t>
          </m:r>
          <m:f>
            <m:fPr>
              <m:ctrlPr>
                <w:rPr>
                  <w:rFonts w:ascii="Cambria Math" w:eastAsia="Times New Roman" w:hAnsi="Cambria Math"/>
                  <w:iCs/>
                </w:rPr>
              </m:ctrlPr>
            </m:fPr>
            <m:num>
              <m:r>
                <m:rPr>
                  <m:sty m:val="p"/>
                </m:rPr>
                <w:rPr>
                  <w:rFonts w:ascii="Cambria Math" w:hAnsi="Cambria Math" w:cs="Cambria Math"/>
                </w:rPr>
                <m:t>C x  t</m:t>
              </m:r>
            </m:num>
            <m:den>
              <m:r>
                <m:rPr>
                  <m:sty m:val="p"/>
                </m:rPr>
                <w:rPr>
                  <w:rFonts w:ascii="Cambria Math" w:hAnsi="Cambria Math" w:cs="Cambria Math"/>
                </w:rPr>
                <m:t>4</m:t>
              </m:r>
            </m:den>
          </m:f>
        </m:oMath>
      </m:oMathPara>
    </w:p>
    <w:p w14:paraId="2333BF51" w14:textId="77777777" w:rsidR="00EC1F91" w:rsidRDefault="00EC1F91" w:rsidP="002B6255">
      <w:pPr>
        <w:pStyle w:val="SingleTxtG"/>
        <w:rPr>
          <w:u w:val="single"/>
        </w:rPr>
      </w:pPr>
      <w:r>
        <w:rPr>
          <w:u w:val="single"/>
          <w:lang w:val="fr-FR"/>
        </w:rPr>
        <w:t>Calcul</w:t>
      </w:r>
    </w:p>
    <w:p w14:paraId="133F473E" w14:textId="77777777" w:rsidR="00EC1F91" w:rsidRDefault="00BC0A46" w:rsidP="002B6255">
      <w:pPr>
        <w:spacing w:after="120"/>
      </w:pPr>
      <m:oMathPara>
        <m:oMath>
          <m:sSub>
            <m:sSubPr>
              <m:ctrlPr>
                <w:rPr>
                  <w:rFonts w:ascii="Cambria Math" w:eastAsia="Times New Roman" w:hAnsi="Cambria Math"/>
                  <w:bCs/>
                  <w:iCs/>
                </w:rPr>
              </m:ctrlPr>
            </m:sSubPr>
            <m:e>
              <m:r>
                <m:rPr>
                  <m:sty m:val="p"/>
                </m:rPr>
                <w:rPr>
                  <w:rFonts w:ascii="Cambria Math" w:hAnsi="Cambria Math"/>
                </w:rPr>
                <m:t>CL</m:t>
              </m:r>
            </m:e>
            <m:sub>
              <m:r>
                <m:rPr>
                  <m:sty m:val="p"/>
                </m:rPr>
                <w:rPr>
                  <w:rFonts w:ascii="Cambria Math" w:hAnsi="Cambria Math"/>
                </w:rPr>
                <m:t>50</m:t>
              </m:r>
            </m:sub>
          </m:sSub>
          <m:d>
            <m:dPr>
              <m:ctrlPr>
                <w:rPr>
                  <w:rFonts w:ascii="Cambria Math" w:eastAsia="Times New Roman" w:hAnsi="Cambria Math"/>
                </w:rPr>
              </m:ctrlPr>
            </m:dPr>
            <m:e>
              <m:r>
                <m:rPr>
                  <m:sty m:val="p"/>
                </m:rPr>
                <w:rPr>
                  <w:rFonts w:ascii="Cambria Math" w:hAnsi="Cambria Math"/>
                </w:rPr>
                <m:t>4 heures</m:t>
              </m:r>
            </m:e>
          </m:d>
          <m:r>
            <m:rPr>
              <m:sty m:val="bi"/>
            </m:rPr>
            <w:rPr>
              <w:rFonts w:ascii="Cambria Math" w:hAnsi="Cambria Math"/>
            </w:rPr>
            <m:t xml:space="preserve">= </m:t>
          </m:r>
          <m:f>
            <m:fPr>
              <m:ctrlPr>
                <w:rPr>
                  <w:rFonts w:ascii="Cambria Math" w:eastAsia="Times New Roman" w:hAnsi="Cambria Math"/>
                  <w:iCs/>
                </w:rPr>
              </m:ctrlPr>
            </m:fPr>
            <m:num>
              <m:r>
                <m:rPr>
                  <m:sty m:val="p"/>
                </m:rPr>
                <w:rPr>
                  <w:rFonts w:ascii="Cambria Math" w:hAnsi="Cambria Math" w:cs="Cambria Math"/>
                </w:rPr>
                <m:t>C x  t</m:t>
              </m:r>
            </m:num>
            <m:den>
              <m:r>
                <m:rPr>
                  <m:sty m:val="p"/>
                </m:rPr>
                <w:rPr>
                  <w:rFonts w:ascii="Cambria Math" w:hAnsi="Cambria Math" w:cs="Cambria Math"/>
                </w:rPr>
                <m:t>4</m:t>
              </m:r>
            </m:den>
          </m:f>
          <m:r>
            <w:rPr>
              <w:rFonts w:ascii="Cambria Math" w:hAnsi="Cambria Math"/>
            </w:rPr>
            <m:t xml:space="preserve">= </m:t>
          </m:r>
          <m:f>
            <m:fPr>
              <m:ctrlPr>
                <w:rPr>
                  <w:rFonts w:ascii="Cambria Math" w:eastAsia="Times New Roman" w:hAnsi="Cambria Math"/>
                  <w:iCs/>
                </w:rPr>
              </m:ctrlPr>
            </m:fPr>
            <m:num>
              <m:r>
                <m:rPr>
                  <m:sty m:val="p"/>
                </m:rPr>
                <w:rPr>
                  <w:rFonts w:ascii="Cambria Math" w:hAnsi="Cambria Math" w:cs="Cambria Math"/>
                </w:rPr>
                <m:t>0,26 x  2</m:t>
              </m:r>
            </m:num>
            <m:den>
              <m:r>
                <m:rPr>
                  <m:sty m:val="p"/>
                </m:rPr>
                <w:rPr>
                  <w:rFonts w:ascii="Cambria Math" w:hAnsi="Cambria Math" w:cs="Cambria Math"/>
                </w:rPr>
                <m:t>4</m:t>
              </m:r>
            </m:den>
          </m:f>
          <m:r>
            <w:rPr>
              <w:rFonts w:ascii="Cambria Math" w:hAnsi="Cambria Math"/>
            </w:rPr>
            <m:t xml:space="preserve">=0,13 </m:t>
          </m:r>
        </m:oMath>
      </m:oMathPara>
    </w:p>
    <w:p w14:paraId="7D9CCD91" w14:textId="54E6042E" w:rsidR="00EC1F91" w:rsidRDefault="00EC1F91" w:rsidP="00A06E39">
      <w:pPr>
        <w:pStyle w:val="SingleTxtG"/>
        <w:rPr>
          <w:lang w:val="fr-FR"/>
        </w:rPr>
      </w:pPr>
      <w:r w:rsidRPr="009D7E70">
        <w:rPr>
          <w:lang w:val="fr-FR"/>
        </w:rPr>
        <w:t>5.</w:t>
      </w:r>
      <w:r w:rsidRPr="009D7E70">
        <w:rPr>
          <w:lang w:val="fr-FR"/>
        </w:rPr>
        <w:tab/>
        <w:t>Par conséquent, la substance est classée dans la catégorie 2 selon les critères indiqués pour les poussières et brouillards dans le tableau 3.1.1 (catégorie 2 : 0,05 &lt; ETA ≤ 0,5).</w:t>
      </w:r>
    </w:p>
    <w:p w14:paraId="173B321A" w14:textId="54FDDDAB" w:rsidR="00A06E39" w:rsidRPr="00A06E39" w:rsidRDefault="00A06E39" w:rsidP="00A06E39">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A06E39" w:rsidRPr="00A06E39" w:rsidSect="00EC1F9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1FDCB" w14:textId="77777777" w:rsidR="00BC0A46" w:rsidRDefault="00BC0A46" w:rsidP="00F95C08">
      <w:pPr>
        <w:spacing w:line="240" w:lineRule="auto"/>
      </w:pPr>
    </w:p>
  </w:endnote>
  <w:endnote w:type="continuationSeparator" w:id="0">
    <w:p w14:paraId="1076425F" w14:textId="77777777" w:rsidR="00BC0A46" w:rsidRPr="00AC3823" w:rsidRDefault="00BC0A46" w:rsidP="00AC3823">
      <w:pPr>
        <w:pStyle w:val="Footer"/>
      </w:pPr>
    </w:p>
  </w:endnote>
  <w:endnote w:type="continuationNotice" w:id="1">
    <w:p w14:paraId="6B8831E9" w14:textId="77777777" w:rsidR="00BC0A46" w:rsidRDefault="00BC0A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6F50" w14:textId="1B40C24A" w:rsidR="00EC1F91" w:rsidRPr="00EC1F91" w:rsidRDefault="00EC1F91" w:rsidP="00EC1F91">
    <w:pPr>
      <w:pStyle w:val="Footer"/>
      <w:tabs>
        <w:tab w:val="right" w:pos="9638"/>
      </w:tabs>
    </w:pPr>
    <w:r w:rsidRPr="00EC1F91">
      <w:rPr>
        <w:b/>
        <w:sz w:val="18"/>
      </w:rPr>
      <w:fldChar w:fldCharType="begin"/>
    </w:r>
    <w:r w:rsidRPr="00EC1F91">
      <w:rPr>
        <w:b/>
        <w:sz w:val="18"/>
      </w:rPr>
      <w:instrText xml:space="preserve"> PAGE  \* MERGEFORMAT </w:instrText>
    </w:r>
    <w:r w:rsidRPr="00EC1F91">
      <w:rPr>
        <w:b/>
        <w:sz w:val="18"/>
      </w:rPr>
      <w:fldChar w:fldCharType="separate"/>
    </w:r>
    <w:r w:rsidRPr="00EC1F91">
      <w:rPr>
        <w:b/>
        <w:noProof/>
        <w:sz w:val="18"/>
      </w:rPr>
      <w:t>2</w:t>
    </w:r>
    <w:r w:rsidRPr="00EC1F91">
      <w:rPr>
        <w:b/>
        <w:sz w:val="18"/>
      </w:rPr>
      <w:fldChar w:fldCharType="end"/>
    </w:r>
    <w:r>
      <w:rPr>
        <w:b/>
        <w:sz w:val="18"/>
      </w:rPr>
      <w:tab/>
    </w:r>
    <w:r>
      <w:t>GE.22-05107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896C" w14:textId="66A07040" w:rsidR="00EC1F91" w:rsidRPr="00EC1F91" w:rsidRDefault="00EC1F91" w:rsidP="00EC1F91">
    <w:pPr>
      <w:pStyle w:val="Footer"/>
      <w:tabs>
        <w:tab w:val="right" w:pos="9638"/>
      </w:tabs>
      <w:rPr>
        <w:b/>
        <w:sz w:val="18"/>
      </w:rPr>
    </w:pPr>
    <w:r>
      <w:t>GE.22-05107</w:t>
    </w:r>
    <w:r>
      <w:tab/>
    </w:r>
    <w:r w:rsidRPr="00EC1F91">
      <w:rPr>
        <w:b/>
        <w:sz w:val="18"/>
      </w:rPr>
      <w:fldChar w:fldCharType="begin"/>
    </w:r>
    <w:r w:rsidRPr="00EC1F91">
      <w:rPr>
        <w:b/>
        <w:sz w:val="18"/>
      </w:rPr>
      <w:instrText xml:space="preserve"> PAGE  \* MERGEFORMAT </w:instrText>
    </w:r>
    <w:r w:rsidRPr="00EC1F91">
      <w:rPr>
        <w:b/>
        <w:sz w:val="18"/>
      </w:rPr>
      <w:fldChar w:fldCharType="separate"/>
    </w:r>
    <w:r w:rsidRPr="00EC1F91">
      <w:rPr>
        <w:b/>
        <w:noProof/>
        <w:sz w:val="18"/>
      </w:rPr>
      <w:t>3</w:t>
    </w:r>
    <w:r w:rsidRPr="00EC1F9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D599" w14:textId="759281F3" w:rsidR="0068456F" w:rsidRPr="00EC1F91" w:rsidRDefault="00EC1F91" w:rsidP="00EC1F91">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2C429F40" wp14:editId="2404256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05107  (</w:t>
    </w:r>
    <w:proofErr w:type="gramEnd"/>
    <w:r>
      <w:rPr>
        <w:sz w:val="20"/>
      </w:rPr>
      <w:t>F)</w:t>
    </w:r>
    <w:r>
      <w:rPr>
        <w:noProof/>
        <w:sz w:val="20"/>
      </w:rPr>
      <w:drawing>
        <wp:anchor distT="0" distB="0" distL="114300" distR="114300" simplePos="0" relativeHeight="251660288" behindDoc="0" locked="0" layoutInCell="1" allowOverlap="1" wp14:anchorId="55F99684" wp14:editId="36E1318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090522    090522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5CDCF" w14:textId="77777777" w:rsidR="00BC0A46" w:rsidRPr="00AC3823" w:rsidRDefault="00BC0A46" w:rsidP="00AC3823">
      <w:pPr>
        <w:pStyle w:val="Footer"/>
        <w:tabs>
          <w:tab w:val="right" w:pos="2155"/>
        </w:tabs>
        <w:spacing w:after="80" w:line="240" w:lineRule="atLeast"/>
        <w:ind w:left="680"/>
        <w:rPr>
          <w:u w:val="single"/>
        </w:rPr>
      </w:pPr>
      <w:r>
        <w:rPr>
          <w:u w:val="single"/>
        </w:rPr>
        <w:tab/>
      </w:r>
    </w:p>
  </w:footnote>
  <w:footnote w:type="continuationSeparator" w:id="0">
    <w:p w14:paraId="77F2C082" w14:textId="77777777" w:rsidR="00BC0A46" w:rsidRPr="00AC3823" w:rsidRDefault="00BC0A46" w:rsidP="00AC3823">
      <w:pPr>
        <w:pStyle w:val="Footer"/>
        <w:tabs>
          <w:tab w:val="right" w:pos="2155"/>
        </w:tabs>
        <w:spacing w:after="80" w:line="240" w:lineRule="atLeast"/>
        <w:ind w:left="680"/>
        <w:rPr>
          <w:u w:val="single"/>
        </w:rPr>
      </w:pPr>
      <w:r>
        <w:rPr>
          <w:u w:val="single"/>
        </w:rPr>
        <w:tab/>
      </w:r>
    </w:p>
  </w:footnote>
  <w:footnote w:type="continuationNotice" w:id="1">
    <w:p w14:paraId="6BB311A8" w14:textId="77777777" w:rsidR="00BC0A46" w:rsidRPr="00AC3823" w:rsidRDefault="00BC0A46">
      <w:pPr>
        <w:spacing w:line="240" w:lineRule="auto"/>
        <w:rPr>
          <w:sz w:val="2"/>
          <w:szCs w:val="2"/>
        </w:rPr>
      </w:pPr>
    </w:p>
  </w:footnote>
  <w:footnote w:id="2">
    <w:p w14:paraId="2AC9DEF3" w14:textId="7B271813" w:rsidR="002B6255" w:rsidRPr="002B6255" w:rsidRDefault="002B6255">
      <w:pPr>
        <w:pStyle w:val="FootnoteText"/>
      </w:pPr>
      <w:r>
        <w:rPr>
          <w:rStyle w:val="FootnoteReference"/>
        </w:rPr>
        <w:tab/>
      </w:r>
      <w:r w:rsidRPr="002B6255">
        <w:rPr>
          <w:rStyle w:val="FootnoteReference"/>
          <w:sz w:val="20"/>
          <w:vertAlign w:val="baseline"/>
        </w:rPr>
        <w:t>*</w:t>
      </w:r>
      <w:r>
        <w:rPr>
          <w:rStyle w:val="FootnoteReference"/>
          <w:sz w:val="20"/>
          <w:vertAlign w:val="baseline"/>
        </w:rPr>
        <w:tab/>
      </w:r>
      <w:r w:rsidRPr="002B6255">
        <w:rPr>
          <w:sz w:val="20"/>
        </w:rPr>
        <w:t>A/75/6 (Sect.</w:t>
      </w:r>
      <w:r>
        <w:rPr>
          <w:sz w:val="20"/>
        </w:rPr>
        <w:t> </w:t>
      </w:r>
      <w:r w:rsidRPr="002B6255">
        <w:rPr>
          <w:sz w:val="20"/>
        </w:rPr>
        <w:t>20), par.</w:t>
      </w:r>
      <w:r>
        <w:rPr>
          <w:sz w:val="20"/>
        </w:rPr>
        <w:t> </w:t>
      </w:r>
      <w:r w:rsidRPr="002B6255">
        <w:rPr>
          <w:sz w:val="20"/>
        </w:rPr>
        <w:t>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6230" w14:textId="2F5D59E4" w:rsidR="00EC1F91" w:rsidRPr="00EC1F91" w:rsidRDefault="00EC1F91">
    <w:pPr>
      <w:pStyle w:val="Header"/>
      <w:rPr>
        <w:lang w:val="en-US"/>
      </w:rPr>
    </w:pPr>
    <w:r>
      <w:fldChar w:fldCharType="begin"/>
    </w:r>
    <w:r w:rsidRPr="00EC1F91">
      <w:rPr>
        <w:lang w:val="en-US"/>
      </w:rPr>
      <w:instrText xml:space="preserve"> TITLE  \* MERGEFORMAT </w:instrText>
    </w:r>
    <w:r>
      <w:fldChar w:fldCharType="separate"/>
    </w:r>
    <w:r w:rsidR="001D543C">
      <w:rPr>
        <w:lang w:val="en-US"/>
      </w:rPr>
      <w:t>ST/SG/AC.10/C.3/2022/21</w:t>
    </w:r>
    <w:r>
      <w:fldChar w:fldCharType="end"/>
    </w:r>
    <w:r w:rsidRPr="00EC1F91">
      <w:rPr>
        <w:lang w:val="en-US"/>
      </w:rPr>
      <w:br/>
    </w:r>
    <w:r>
      <w:fldChar w:fldCharType="begin"/>
    </w:r>
    <w:r w:rsidRPr="00EC1F91">
      <w:rPr>
        <w:lang w:val="en-US"/>
      </w:rPr>
      <w:instrText xml:space="preserve"> KEYWORDS  \* MERGEFORMAT </w:instrText>
    </w:r>
    <w:r>
      <w:fldChar w:fldCharType="separate"/>
    </w:r>
    <w:r w:rsidR="001D543C">
      <w:rPr>
        <w:lang w:val="en-US"/>
      </w:rPr>
      <w:t>ST/SG/AC.10/C.4/2022/3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C75" w14:textId="14B5B863" w:rsidR="00EC1F91" w:rsidRPr="00EC1F91" w:rsidRDefault="00EC1F91" w:rsidP="00EC1F91">
    <w:pPr>
      <w:pStyle w:val="Header"/>
      <w:jc w:val="right"/>
      <w:rPr>
        <w:lang w:val="en-US"/>
      </w:rPr>
    </w:pPr>
    <w:r>
      <w:fldChar w:fldCharType="begin"/>
    </w:r>
    <w:r w:rsidRPr="00EC1F91">
      <w:rPr>
        <w:lang w:val="en-US"/>
      </w:rPr>
      <w:instrText xml:space="preserve"> TITLE  \* MERGEFORMAT </w:instrText>
    </w:r>
    <w:r>
      <w:fldChar w:fldCharType="separate"/>
    </w:r>
    <w:r w:rsidR="001D543C">
      <w:rPr>
        <w:lang w:val="en-US"/>
      </w:rPr>
      <w:t>ST/SG/AC.10/C.3/2022/21</w:t>
    </w:r>
    <w:r>
      <w:fldChar w:fldCharType="end"/>
    </w:r>
    <w:r w:rsidRPr="00EC1F91">
      <w:rPr>
        <w:lang w:val="en-US"/>
      </w:rPr>
      <w:br/>
    </w:r>
    <w:r>
      <w:fldChar w:fldCharType="begin"/>
    </w:r>
    <w:r w:rsidRPr="00EC1F91">
      <w:rPr>
        <w:lang w:val="en-US"/>
      </w:rPr>
      <w:instrText xml:space="preserve"> KEYWORDS  \* MERGEFORMAT </w:instrText>
    </w:r>
    <w:r>
      <w:fldChar w:fldCharType="separate"/>
    </w:r>
    <w:r w:rsidR="001D543C">
      <w:rPr>
        <w:lang w:val="en-US"/>
      </w:rPr>
      <w:t>ST/SG/AC.10/C.4/2022/3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FC"/>
    <w:rsid w:val="00017F94"/>
    <w:rsid w:val="00023842"/>
    <w:rsid w:val="000305D3"/>
    <w:rsid w:val="000334F9"/>
    <w:rsid w:val="0007796D"/>
    <w:rsid w:val="000B7790"/>
    <w:rsid w:val="00111F2F"/>
    <w:rsid w:val="00132EA9"/>
    <w:rsid w:val="0014365E"/>
    <w:rsid w:val="00172E49"/>
    <w:rsid w:val="00176178"/>
    <w:rsid w:val="001D543C"/>
    <w:rsid w:val="001F525A"/>
    <w:rsid w:val="00223272"/>
    <w:rsid w:val="0024779E"/>
    <w:rsid w:val="00283190"/>
    <w:rsid w:val="002832AC"/>
    <w:rsid w:val="002B6255"/>
    <w:rsid w:val="002D7C93"/>
    <w:rsid w:val="00441C3B"/>
    <w:rsid w:val="00446FE5"/>
    <w:rsid w:val="00452396"/>
    <w:rsid w:val="004E468C"/>
    <w:rsid w:val="005505B7"/>
    <w:rsid w:val="00573BE5"/>
    <w:rsid w:val="00584DC4"/>
    <w:rsid w:val="00586ED3"/>
    <w:rsid w:val="00596AA9"/>
    <w:rsid w:val="005A4EB9"/>
    <w:rsid w:val="0068456F"/>
    <w:rsid w:val="0071601D"/>
    <w:rsid w:val="007A62E6"/>
    <w:rsid w:val="0080684C"/>
    <w:rsid w:val="008117C7"/>
    <w:rsid w:val="008123E0"/>
    <w:rsid w:val="00871C75"/>
    <w:rsid w:val="008776DC"/>
    <w:rsid w:val="008B40CD"/>
    <w:rsid w:val="009167FC"/>
    <w:rsid w:val="009705C8"/>
    <w:rsid w:val="009C1CF4"/>
    <w:rsid w:val="00A06E39"/>
    <w:rsid w:val="00A30353"/>
    <w:rsid w:val="00A81281"/>
    <w:rsid w:val="00AC3823"/>
    <w:rsid w:val="00AE323C"/>
    <w:rsid w:val="00B00181"/>
    <w:rsid w:val="00B00B0D"/>
    <w:rsid w:val="00B765F7"/>
    <w:rsid w:val="00BA0CA9"/>
    <w:rsid w:val="00BC0A46"/>
    <w:rsid w:val="00C02897"/>
    <w:rsid w:val="00C44FB1"/>
    <w:rsid w:val="00D3439C"/>
    <w:rsid w:val="00DB1831"/>
    <w:rsid w:val="00DD3BFD"/>
    <w:rsid w:val="00DF6678"/>
    <w:rsid w:val="00EC1F91"/>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649E8"/>
  <w15:docId w15:val="{AEBF8047-FA55-4E65-95F6-B9125405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4FF51E-B837-4AAD-8D38-2DA710B4ABBC}"/>
</file>

<file path=customXml/itemProps2.xml><?xml version="1.0" encoding="utf-8"?>
<ds:datastoreItem xmlns:ds="http://schemas.openxmlformats.org/officeDocument/2006/customXml" ds:itemID="{6EFD34E8-758B-46EB-A5D3-8766B465730E}"/>
</file>

<file path=customXml/itemProps3.xml><?xml version="1.0" encoding="utf-8"?>
<ds:datastoreItem xmlns:ds="http://schemas.openxmlformats.org/officeDocument/2006/customXml" ds:itemID="{8AA305C0-6444-41C1-A8EF-83B1FAAA7A6B}"/>
</file>

<file path=docProps/app.xml><?xml version="1.0" encoding="utf-8"?>
<Properties xmlns="http://schemas.openxmlformats.org/officeDocument/2006/extended-properties" xmlns:vt="http://schemas.openxmlformats.org/officeDocument/2006/docPropsVTypes">
  <Template>Normal.dotm</Template>
  <TotalTime>1</TotalTime>
  <Pages>4</Pages>
  <Words>1196</Words>
  <Characters>6823</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ST/SG/AC.10/C.3/2022/21</vt:lpstr>
    </vt:vector>
  </TitlesOfParts>
  <Company>DCM</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ST/SG/AC.10/C.3/2022/21</dc:title>
  <dc:creator>Christine CHAUTAGNAT</dc:creator>
  <cp:keywords>ST/SG/AC.10/C.4/2022/3</cp:keywords>
  <cp:lastModifiedBy>Laurence Berthet</cp:lastModifiedBy>
  <cp:revision>3</cp:revision>
  <cp:lastPrinted>2022-05-09T16:04:00Z</cp:lastPrinted>
  <dcterms:created xsi:type="dcterms:W3CDTF">2022-05-09T16:04:00Z</dcterms:created>
  <dcterms:modified xsi:type="dcterms:W3CDTF">2022-05-09T16:04:00Z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