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D0AB" w14:textId="6B2B9C35" w:rsidR="005123F9" w:rsidRPr="00BE271F" w:rsidRDefault="000E33D7" w:rsidP="00017E6A">
      <w:pPr>
        <w:keepNext/>
        <w:tabs>
          <w:tab w:val="left" w:pos="567"/>
          <w:tab w:val="left" w:pos="1134"/>
        </w:tabs>
        <w:suppressAutoHyphens/>
        <w:spacing w:before="240" w:after="120" w:line="240" w:lineRule="auto"/>
        <w:ind w:left="567"/>
        <w:jc w:val="center"/>
        <w:rPr>
          <w:rFonts w:ascii="Times New Roman" w:eastAsia="Times New Roman" w:hAnsi="Times New Roman" w:cs="Times New Roman"/>
          <w:b/>
          <w:sz w:val="28"/>
          <w:szCs w:val="20"/>
          <w:lang w:val="en-GB"/>
        </w:rPr>
      </w:pPr>
      <w:r w:rsidRPr="00BE271F">
        <w:rPr>
          <w:rFonts w:ascii="Times New Roman" w:eastAsia="Times New Roman" w:hAnsi="Times New Roman" w:cs="Times New Roman"/>
          <w:b/>
          <w:sz w:val="28"/>
          <w:szCs w:val="20"/>
          <w:lang w:val="en-GB"/>
        </w:rPr>
        <w:t>Handling access to in-vehicle data at the GRVA</w:t>
      </w:r>
    </w:p>
    <w:p w14:paraId="0C63E626" w14:textId="63C80A35" w:rsidR="005123F9" w:rsidRPr="00BE271F" w:rsidRDefault="005123F9" w:rsidP="005123F9">
      <w:pPr>
        <w:keepNext/>
        <w:tabs>
          <w:tab w:val="left" w:pos="567"/>
          <w:tab w:val="left" w:pos="1134"/>
        </w:tabs>
        <w:suppressAutoHyphens/>
        <w:spacing w:before="240" w:after="120" w:line="240" w:lineRule="auto"/>
        <w:ind w:left="567"/>
        <w:rPr>
          <w:rFonts w:ascii="Times New Roman" w:eastAsia="Times New Roman" w:hAnsi="Times New Roman" w:cs="Times New Roman"/>
          <w:b/>
          <w:sz w:val="28"/>
          <w:szCs w:val="20"/>
          <w:lang w:val="en-GB"/>
        </w:rPr>
      </w:pPr>
      <w:r w:rsidRPr="00BE271F">
        <w:rPr>
          <w:rFonts w:ascii="Times New Roman" w:eastAsia="Times New Roman" w:hAnsi="Times New Roman" w:cs="Times New Roman"/>
          <w:b/>
          <w:sz w:val="28"/>
          <w:szCs w:val="20"/>
          <w:lang w:val="en-GB"/>
        </w:rPr>
        <w:t>I.</w:t>
      </w:r>
      <w:r w:rsidRPr="00BE271F">
        <w:rPr>
          <w:rFonts w:ascii="Times New Roman" w:eastAsia="Times New Roman" w:hAnsi="Times New Roman" w:cs="Times New Roman"/>
          <w:b/>
          <w:sz w:val="28"/>
          <w:szCs w:val="20"/>
          <w:lang w:val="en-GB"/>
        </w:rPr>
        <w:tab/>
      </w:r>
      <w:r w:rsidR="00AC1B92" w:rsidRPr="00BE271F">
        <w:rPr>
          <w:rFonts w:ascii="Times New Roman" w:eastAsia="Times New Roman" w:hAnsi="Times New Roman" w:cs="Times New Roman"/>
          <w:b/>
          <w:sz w:val="28"/>
          <w:szCs w:val="20"/>
          <w:lang w:val="en-GB"/>
        </w:rPr>
        <w:t>Context</w:t>
      </w:r>
    </w:p>
    <w:p w14:paraId="40CB4549" w14:textId="59807E94" w:rsidR="00CF63AE" w:rsidRPr="00BE271F" w:rsidRDefault="00CF63AE" w:rsidP="001F6815">
      <w:pPr>
        <w:pStyle w:val="SingleTxtG"/>
        <w:numPr>
          <w:ilvl w:val="0"/>
          <w:numId w:val="5"/>
        </w:numPr>
        <w:tabs>
          <w:tab w:val="left" w:pos="1701"/>
        </w:tabs>
        <w:rPr>
          <w:lang w:val="en-GB"/>
        </w:rPr>
      </w:pPr>
      <w:r w:rsidRPr="00BE271F">
        <w:rPr>
          <w:lang w:val="en-GB"/>
        </w:rPr>
        <w:t>Contracting parties have full latitude to regulate the access to the vehicle data independently. This would raise the issue of harmonization between the contracting parties.</w:t>
      </w:r>
    </w:p>
    <w:p w14:paraId="512DDC8F" w14:textId="108A780E" w:rsidR="00CF63AE" w:rsidRPr="00BE271F" w:rsidRDefault="00CF63AE" w:rsidP="001F6815">
      <w:pPr>
        <w:pStyle w:val="SingleTxtG"/>
        <w:numPr>
          <w:ilvl w:val="0"/>
          <w:numId w:val="5"/>
        </w:numPr>
        <w:tabs>
          <w:tab w:val="left" w:pos="1701"/>
        </w:tabs>
        <w:rPr>
          <w:lang w:val="en-GB"/>
        </w:rPr>
      </w:pPr>
      <w:r w:rsidRPr="00BE271F">
        <w:rPr>
          <w:lang w:val="en-GB"/>
        </w:rPr>
        <w:t xml:space="preserve">In the international arena, UNECE’ WP.29 has the tools to regulate and harmonize access to vehicle data. </w:t>
      </w:r>
    </w:p>
    <w:p w14:paraId="67732806" w14:textId="7AD643D9" w:rsidR="000E38BE" w:rsidRPr="00BE271F" w:rsidRDefault="000E38BE" w:rsidP="001F6815">
      <w:pPr>
        <w:pStyle w:val="SingleTxtG"/>
        <w:numPr>
          <w:ilvl w:val="0"/>
          <w:numId w:val="5"/>
        </w:numPr>
        <w:tabs>
          <w:tab w:val="left" w:pos="1701"/>
        </w:tabs>
        <w:rPr>
          <w:lang w:val="en-GB"/>
        </w:rPr>
      </w:pPr>
      <w:r w:rsidRPr="00BE271F">
        <w:rPr>
          <w:lang w:val="en-GB"/>
        </w:rPr>
        <w:t>GRVA, as part of WP.29, is addressing the international harmonization of technical aspects of vehicles. The vehicles which are currently coming to the market and used on the roads create an amount of in-vehicle data. It should be of global interest to have a discussion on this global level on how to handle these data (</w:t>
      </w:r>
      <w:proofErr w:type="gramStart"/>
      <w:r w:rsidRPr="00BE271F">
        <w:rPr>
          <w:lang w:val="en-GB"/>
        </w:rPr>
        <w:t>e.g.</w:t>
      </w:r>
      <w:proofErr w:type="gramEnd"/>
      <w:r w:rsidRPr="00BE271F">
        <w:rPr>
          <w:lang w:val="en-GB"/>
        </w:rPr>
        <w:t xml:space="preserve"> "How is a sufficient way to store what data?") in front of different use cases (B2B or B2G). It may also be of interest for the industry to have as far as possible a kind of global harmonization on how to go on with the in-vehicle data. Otherwise, they may have to adapt their vehicle configuration to several different acting markets. These discussions may result in a regulation concerning this topic. </w:t>
      </w:r>
    </w:p>
    <w:p w14:paraId="08F5DCB6" w14:textId="35647496" w:rsidR="00AC1B92" w:rsidRPr="00BE271F" w:rsidRDefault="00AC1B92" w:rsidP="00AC1B92">
      <w:pPr>
        <w:keepNext/>
        <w:tabs>
          <w:tab w:val="left" w:pos="567"/>
          <w:tab w:val="left" w:pos="1134"/>
        </w:tabs>
        <w:suppressAutoHyphens/>
        <w:spacing w:before="240" w:after="120" w:line="240" w:lineRule="auto"/>
        <w:ind w:left="567"/>
        <w:rPr>
          <w:rFonts w:ascii="Times New Roman" w:eastAsia="Times New Roman" w:hAnsi="Times New Roman" w:cs="Times New Roman"/>
          <w:b/>
          <w:sz w:val="28"/>
          <w:szCs w:val="20"/>
          <w:lang w:val="en-GB"/>
        </w:rPr>
      </w:pPr>
      <w:r w:rsidRPr="00BE271F">
        <w:rPr>
          <w:rFonts w:ascii="Times New Roman" w:eastAsia="Times New Roman" w:hAnsi="Times New Roman" w:cs="Times New Roman"/>
          <w:b/>
          <w:sz w:val="28"/>
          <w:szCs w:val="20"/>
          <w:lang w:val="en-GB"/>
        </w:rPr>
        <w:t>II.</w:t>
      </w:r>
      <w:r w:rsidRPr="00BE271F">
        <w:rPr>
          <w:rFonts w:ascii="Times New Roman" w:eastAsia="Times New Roman" w:hAnsi="Times New Roman" w:cs="Times New Roman"/>
          <w:b/>
          <w:sz w:val="28"/>
          <w:szCs w:val="20"/>
          <w:lang w:val="en-GB"/>
        </w:rPr>
        <w:tab/>
        <w:t>Way forward</w:t>
      </w:r>
    </w:p>
    <w:p w14:paraId="514B3689" w14:textId="49E1773A" w:rsidR="005123F9" w:rsidRPr="00BE271F" w:rsidRDefault="000E38BE" w:rsidP="001F6815">
      <w:pPr>
        <w:pStyle w:val="SingleTxtG"/>
        <w:numPr>
          <w:ilvl w:val="0"/>
          <w:numId w:val="5"/>
        </w:numPr>
        <w:tabs>
          <w:tab w:val="left" w:pos="1134"/>
        </w:tabs>
        <w:rPr>
          <w:lang w:val="en-GB"/>
        </w:rPr>
      </w:pPr>
      <w:r w:rsidRPr="00BE271F">
        <w:rPr>
          <w:lang w:val="en-GB"/>
        </w:rPr>
        <w:t xml:space="preserve">Currently, there are different possible ways (models) how to handle in-vehicle data. Every model which proposes to handle the in-vehicle data includes its own advantages and disadvantages. The diversity of the models creates an overview of the different possibilities. Therefore, an evaluation covering a wide range of different items may be helpful to realize what model includes what. The evaluation of existing models will create knowledge concerning the necessities and the challenges of a harmonized way to handle in-vehicle data. </w:t>
      </w:r>
    </w:p>
    <w:p w14:paraId="11E5FAB5" w14:textId="76225CB9" w:rsidR="005123F9" w:rsidRPr="00BE271F" w:rsidRDefault="005123F9" w:rsidP="001F6815">
      <w:pPr>
        <w:pStyle w:val="SingleTxtG"/>
        <w:numPr>
          <w:ilvl w:val="0"/>
          <w:numId w:val="5"/>
        </w:numPr>
        <w:tabs>
          <w:tab w:val="left" w:pos="1134"/>
        </w:tabs>
        <w:rPr>
          <w:lang w:val="en-GB"/>
        </w:rPr>
      </w:pPr>
      <w:r w:rsidRPr="00BE271F">
        <w:rPr>
          <w:lang w:val="en-GB"/>
        </w:rPr>
        <w:t>GRVA should work on minimum requirements for each of the systems and each of the use cases. The GRVA has instruments that can ease regulating the access to the vehicle data:</w:t>
      </w:r>
    </w:p>
    <w:p w14:paraId="3ECF9FD6" w14:textId="77777777" w:rsidR="005123F9" w:rsidRPr="00BE271F" w:rsidRDefault="005123F9" w:rsidP="005123F9">
      <w:pPr>
        <w:pStyle w:val="ListParagraph"/>
        <w:numPr>
          <w:ilvl w:val="0"/>
          <w:numId w:val="1"/>
        </w:numPr>
        <w:tabs>
          <w:tab w:val="left" w:pos="1701"/>
        </w:tabs>
        <w:suppressAutoHyphens/>
        <w:spacing w:after="120" w:line="240" w:lineRule="atLeast"/>
        <w:ind w:right="1134" w:hanging="357"/>
        <w:contextualSpacing w:val="0"/>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UN Regs, UN Rules and UN GTRs</w:t>
      </w:r>
    </w:p>
    <w:p w14:paraId="3E33A36B" w14:textId="77777777" w:rsidR="005123F9" w:rsidRPr="00BE271F" w:rsidRDefault="005123F9" w:rsidP="005123F9">
      <w:pPr>
        <w:pStyle w:val="ListParagraph"/>
        <w:numPr>
          <w:ilvl w:val="0"/>
          <w:numId w:val="4"/>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GRVA shall regulate from the technical point of view all aspects needed, for instance:</w:t>
      </w:r>
    </w:p>
    <w:p w14:paraId="5E110F12" w14:textId="77777777" w:rsidR="005123F9" w:rsidRPr="00BE271F" w:rsidRDefault="005123F9" w:rsidP="005123F9">
      <w:pPr>
        <w:pStyle w:val="SingleTxtG"/>
        <w:numPr>
          <w:ilvl w:val="0"/>
          <w:numId w:val="2"/>
        </w:numPr>
        <w:tabs>
          <w:tab w:val="left" w:pos="1701"/>
        </w:tabs>
        <w:rPr>
          <w:lang w:val="en-GB"/>
        </w:rPr>
      </w:pPr>
      <w:r w:rsidRPr="00BE271F">
        <w:rPr>
          <w:lang w:val="en-GB"/>
        </w:rPr>
        <w:t>Data to be collected</w:t>
      </w:r>
    </w:p>
    <w:p w14:paraId="4F7BFF27" w14:textId="77777777" w:rsidR="005123F9" w:rsidRPr="00BE271F" w:rsidRDefault="005123F9" w:rsidP="005123F9">
      <w:pPr>
        <w:pStyle w:val="SingleTxtG"/>
        <w:numPr>
          <w:ilvl w:val="0"/>
          <w:numId w:val="2"/>
        </w:numPr>
        <w:tabs>
          <w:tab w:val="left" w:pos="1701"/>
        </w:tabs>
        <w:rPr>
          <w:lang w:val="en-GB"/>
        </w:rPr>
      </w:pPr>
      <w:r w:rsidRPr="00BE271F">
        <w:rPr>
          <w:lang w:val="en-GB"/>
        </w:rPr>
        <w:t xml:space="preserve">Transmission of data </w:t>
      </w:r>
    </w:p>
    <w:p w14:paraId="62F85E4C" w14:textId="77777777" w:rsidR="005123F9" w:rsidRPr="00BE271F" w:rsidRDefault="005123F9" w:rsidP="005123F9">
      <w:pPr>
        <w:pStyle w:val="ListParagraph"/>
        <w:numPr>
          <w:ilvl w:val="0"/>
          <w:numId w:val="2"/>
        </w:numPr>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Authenticity and non-repudiation of data.</w:t>
      </w:r>
    </w:p>
    <w:p w14:paraId="6D466F5C" w14:textId="77777777" w:rsidR="005123F9" w:rsidRPr="00BE271F" w:rsidRDefault="005123F9" w:rsidP="005123F9">
      <w:pPr>
        <w:pStyle w:val="SingleTxtG"/>
        <w:numPr>
          <w:ilvl w:val="0"/>
          <w:numId w:val="2"/>
        </w:numPr>
        <w:tabs>
          <w:tab w:val="left" w:pos="1701"/>
        </w:tabs>
        <w:rPr>
          <w:lang w:val="en-GB"/>
        </w:rPr>
      </w:pPr>
      <w:r w:rsidRPr="00BE271F">
        <w:rPr>
          <w:lang w:val="en-GB"/>
        </w:rPr>
        <w:t>Encryption requirements of data to be transmitted</w:t>
      </w:r>
    </w:p>
    <w:p w14:paraId="422B0FE3" w14:textId="77777777" w:rsidR="005123F9" w:rsidRPr="00BE271F" w:rsidRDefault="005123F9" w:rsidP="005123F9">
      <w:pPr>
        <w:pStyle w:val="SingleTxtG"/>
        <w:numPr>
          <w:ilvl w:val="0"/>
          <w:numId w:val="3"/>
        </w:numPr>
        <w:tabs>
          <w:tab w:val="left" w:pos="1701"/>
        </w:tabs>
        <w:rPr>
          <w:lang w:val="en-GB"/>
        </w:rPr>
      </w:pPr>
      <w:r w:rsidRPr="00BE271F">
        <w:rPr>
          <w:lang w:val="en-GB"/>
        </w:rPr>
        <w:t>Transmission control via trust centre</w:t>
      </w:r>
    </w:p>
    <w:p w14:paraId="090D4DDC" w14:textId="77777777" w:rsidR="005123F9" w:rsidRPr="00BE271F" w:rsidRDefault="005123F9" w:rsidP="005123F9">
      <w:pPr>
        <w:pStyle w:val="SingleTxtG"/>
        <w:numPr>
          <w:ilvl w:val="0"/>
          <w:numId w:val="3"/>
        </w:numPr>
        <w:tabs>
          <w:tab w:val="left" w:pos="1701"/>
        </w:tabs>
        <w:rPr>
          <w:lang w:val="en-GB"/>
        </w:rPr>
      </w:pPr>
      <w:r w:rsidRPr="00BE271F">
        <w:rPr>
          <w:lang w:val="en-GB"/>
        </w:rPr>
        <w:t>Conditions of transmission: Transmission only in compliance with rules for access to safety relevant and other sensitive data.</w:t>
      </w:r>
    </w:p>
    <w:p w14:paraId="5E70B4F5" w14:textId="77777777" w:rsidR="005123F9" w:rsidRPr="00BE271F" w:rsidRDefault="005123F9" w:rsidP="005123F9">
      <w:pPr>
        <w:pStyle w:val="ListParagraph"/>
        <w:numPr>
          <w:ilvl w:val="0"/>
          <w:numId w:val="4"/>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Identification of data that shall be available for sovereign tasks</w:t>
      </w:r>
    </w:p>
    <w:p w14:paraId="24DAF226" w14:textId="77777777" w:rsidR="005123F9" w:rsidRPr="00BE271F" w:rsidRDefault="005123F9" w:rsidP="005123F9">
      <w:pPr>
        <w:pStyle w:val="ListParagraph"/>
        <w:numPr>
          <w:ilvl w:val="0"/>
          <w:numId w:val="4"/>
        </w:numPr>
        <w:tabs>
          <w:tab w:val="left" w:pos="1701"/>
        </w:tabs>
        <w:suppressAutoHyphens/>
        <w:spacing w:after="120" w:line="240" w:lineRule="atLeast"/>
        <w:ind w:left="2517" w:right="1134" w:hanging="357"/>
        <w:contextualSpacing w:val="0"/>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Requirements to the stakeholders (Manufactures, Technical Services, Authorities, etc.) and auditing.</w:t>
      </w:r>
    </w:p>
    <w:p w14:paraId="7E8858CB" w14:textId="77777777" w:rsidR="005123F9" w:rsidRPr="00BE271F" w:rsidRDefault="005123F9" w:rsidP="005123F9">
      <w:pPr>
        <w:pStyle w:val="ListParagraph"/>
        <w:numPr>
          <w:ilvl w:val="0"/>
          <w:numId w:val="1"/>
        </w:numPr>
        <w:tabs>
          <w:tab w:val="left" w:pos="1701"/>
        </w:tabs>
        <w:suppressAutoHyphens/>
        <w:spacing w:before="120" w:after="120" w:line="240" w:lineRule="atLeast"/>
        <w:ind w:right="1134" w:hanging="357"/>
        <w:contextualSpacing w:val="0"/>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Recommendations</w:t>
      </w:r>
    </w:p>
    <w:p w14:paraId="4FC35E67" w14:textId="08993B0C" w:rsidR="005123F9" w:rsidRPr="00BE271F" w:rsidRDefault="005123F9" w:rsidP="005123F9">
      <w:pPr>
        <w:pStyle w:val="ListParagraph"/>
        <w:numPr>
          <w:ilvl w:val="0"/>
          <w:numId w:val="4"/>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lastRenderedPageBreak/>
        <w:t>Provide advice to Contracting Parties on the establishment of the national rules to provide access</w:t>
      </w:r>
      <w:r w:rsidR="001C3662">
        <w:rPr>
          <w:rFonts w:ascii="Times New Roman" w:eastAsia="Times New Roman" w:hAnsi="Times New Roman" w:cs="Times New Roman"/>
          <w:sz w:val="20"/>
          <w:szCs w:val="20"/>
          <w:lang w:val="en-GB"/>
        </w:rPr>
        <w:t>.</w:t>
      </w:r>
    </w:p>
    <w:p w14:paraId="15097C99" w14:textId="039A302A" w:rsidR="005123F9" w:rsidRPr="00BE271F" w:rsidRDefault="005123F9" w:rsidP="005123F9">
      <w:pPr>
        <w:pStyle w:val="ListParagraph"/>
        <w:numPr>
          <w:ilvl w:val="0"/>
          <w:numId w:val="4"/>
        </w:numPr>
        <w:tabs>
          <w:tab w:val="left" w:pos="1701"/>
        </w:tabs>
        <w:suppressAutoHyphens/>
        <w:spacing w:after="120" w:line="240" w:lineRule="atLeast"/>
        <w:ind w:right="1134"/>
        <w:jc w:val="both"/>
        <w:rPr>
          <w:rFonts w:ascii="Times New Roman" w:eastAsia="Times New Roman" w:hAnsi="Times New Roman" w:cs="Times New Roman"/>
          <w:sz w:val="20"/>
          <w:szCs w:val="20"/>
          <w:lang w:val="en-GB"/>
        </w:rPr>
      </w:pPr>
      <w:r w:rsidRPr="00BE271F">
        <w:rPr>
          <w:rFonts w:ascii="Times New Roman" w:eastAsia="Times New Roman" w:hAnsi="Times New Roman" w:cs="Times New Roman"/>
          <w:sz w:val="20"/>
          <w:szCs w:val="20"/>
          <w:lang w:val="en-GB"/>
        </w:rPr>
        <w:t>Advice on the penalties of non-compliance with the rules when it happens.</w:t>
      </w:r>
    </w:p>
    <w:p w14:paraId="6956CC4A" w14:textId="77777777" w:rsidR="00BE271F" w:rsidRPr="00BE271F" w:rsidRDefault="00BE271F" w:rsidP="00BE271F">
      <w:pPr>
        <w:pStyle w:val="SingleTxtG"/>
        <w:numPr>
          <w:ilvl w:val="0"/>
          <w:numId w:val="5"/>
        </w:numPr>
        <w:tabs>
          <w:tab w:val="left" w:pos="1701"/>
        </w:tabs>
        <w:rPr>
          <w:lang w:val="en-GB"/>
        </w:rPr>
      </w:pPr>
      <w:r w:rsidRPr="00BE271F">
        <w:rPr>
          <w:lang w:val="en-GB"/>
        </w:rPr>
        <w:t>A GRVA task force or informal working group should assess the existing access models, as stated in GRVA-12-11 Chapter D, regarding their readiness for sovereign tasks</w:t>
      </w:r>
      <w:r w:rsidRPr="00BE271F">
        <w:rPr>
          <w:rStyle w:val="FootnoteReference"/>
          <w:lang w:val="en-GB"/>
        </w:rPr>
        <w:footnoteReference w:id="1"/>
      </w:r>
      <w:r w:rsidRPr="00BE271F">
        <w:rPr>
          <w:lang w:val="en-GB"/>
        </w:rPr>
        <w:t xml:space="preserve"> (discuss if it is necessary to add more items to the structure, the </w:t>
      </w:r>
      <w:proofErr w:type="gramStart"/>
      <w:r w:rsidRPr="00BE271F">
        <w:rPr>
          <w:lang w:val="en-GB"/>
        </w:rPr>
        <w:t>subcategories</w:t>
      </w:r>
      <w:proofErr w:type="gramEnd"/>
      <w:r w:rsidRPr="00BE271F">
        <w:rPr>
          <w:lang w:val="en-GB"/>
        </w:rPr>
        <w:t xml:space="preserve"> or existing items; discuss and clarify how to handle proposed items and its answers).</w:t>
      </w:r>
    </w:p>
    <w:p w14:paraId="41E830C3" w14:textId="77777777" w:rsidR="00BE271F" w:rsidRPr="00BE271F" w:rsidRDefault="00BE271F" w:rsidP="00BE271F">
      <w:pPr>
        <w:pStyle w:val="SingleTxtG"/>
        <w:numPr>
          <w:ilvl w:val="0"/>
          <w:numId w:val="5"/>
        </w:numPr>
        <w:tabs>
          <w:tab w:val="left" w:pos="1134"/>
        </w:tabs>
        <w:rPr>
          <w:lang w:val="en-GB"/>
        </w:rPr>
      </w:pPr>
      <w:r w:rsidRPr="00BE271F">
        <w:rPr>
          <w:lang w:val="en-GB"/>
        </w:rPr>
        <w:t>Tasks of the informal working group:</w:t>
      </w:r>
    </w:p>
    <w:p w14:paraId="5E311D60" w14:textId="78432112" w:rsidR="0082769D" w:rsidRDefault="0082769D" w:rsidP="0082769D">
      <w:pPr>
        <w:pStyle w:val="SingleTxtG"/>
        <w:numPr>
          <w:ilvl w:val="0"/>
          <w:numId w:val="6"/>
        </w:numPr>
        <w:tabs>
          <w:tab w:val="left" w:pos="1134"/>
        </w:tabs>
        <w:rPr>
          <w:lang w:val="en-GB"/>
        </w:rPr>
      </w:pPr>
      <w:r w:rsidRPr="00BE271F">
        <w:rPr>
          <w:lang w:val="en-GB"/>
        </w:rPr>
        <w:t>Assessment of the importance to the access to the in-vehicle data for sovereign use cases, such as type approval and vehicle life cycle compliance.</w:t>
      </w:r>
    </w:p>
    <w:p w14:paraId="05FE9A93" w14:textId="5B4A78E2" w:rsidR="00290ADE" w:rsidRPr="00290ADE" w:rsidRDefault="00290ADE" w:rsidP="00290ADE">
      <w:pPr>
        <w:pStyle w:val="SingleTxtG"/>
        <w:numPr>
          <w:ilvl w:val="0"/>
          <w:numId w:val="6"/>
        </w:numPr>
        <w:tabs>
          <w:tab w:val="left" w:pos="1134"/>
        </w:tabs>
        <w:rPr>
          <w:lang w:val="en-GB"/>
        </w:rPr>
      </w:pPr>
      <w:r w:rsidRPr="00290ADE">
        <w:rPr>
          <w:lang w:val="en-GB"/>
        </w:rPr>
        <w:t>Defining the principles guiding t</w:t>
      </w:r>
      <w:r>
        <w:rPr>
          <w:lang w:val="en-GB"/>
        </w:rPr>
        <w:t>he</w:t>
      </w:r>
      <w:r w:rsidRPr="00290ADE">
        <w:rPr>
          <w:lang w:val="en-GB"/>
        </w:rPr>
        <w:t xml:space="preserve"> access to the in-vehicle data (</w:t>
      </w:r>
      <w:proofErr w:type="gramStart"/>
      <w:r w:rsidRPr="00290ADE">
        <w:rPr>
          <w:lang w:val="en-GB"/>
        </w:rPr>
        <w:t>e.g.</w:t>
      </w:r>
      <w:proofErr w:type="gramEnd"/>
      <w:r w:rsidRPr="00290ADE">
        <w:rPr>
          <w:lang w:val="en-GB"/>
        </w:rPr>
        <w:t xml:space="preserve"> Fair</w:t>
      </w:r>
      <w:r>
        <w:rPr>
          <w:lang w:val="en-GB"/>
        </w:rPr>
        <w:t>,</w:t>
      </w:r>
      <w:r w:rsidRPr="00290ADE">
        <w:rPr>
          <w:lang w:val="en-GB"/>
        </w:rPr>
        <w:t xml:space="preserve"> Non-discriminatory, Reasonable, Cybersecure</w:t>
      </w:r>
      <w:r>
        <w:rPr>
          <w:lang w:val="en-GB"/>
        </w:rPr>
        <w:t xml:space="preserve">, </w:t>
      </w:r>
      <w:r w:rsidRPr="00290ADE">
        <w:rPr>
          <w:lang w:val="en-GB"/>
        </w:rPr>
        <w:t>Trustworthy</w:t>
      </w:r>
      <w:r>
        <w:rPr>
          <w:lang w:val="en-GB"/>
        </w:rPr>
        <w:t>,</w:t>
      </w:r>
      <w:r w:rsidRPr="00290ADE">
        <w:rPr>
          <w:lang w:val="en-GB"/>
        </w:rPr>
        <w:t xml:space="preserve"> Independent</w:t>
      </w:r>
      <w:r>
        <w:rPr>
          <w:lang w:val="en-GB"/>
        </w:rPr>
        <w:t>,</w:t>
      </w:r>
      <w:r w:rsidRPr="00290ADE">
        <w:rPr>
          <w:lang w:val="en-GB"/>
        </w:rPr>
        <w:t xml:space="preserve"> Available for sovereign tasks</w:t>
      </w:r>
      <w:r>
        <w:rPr>
          <w:lang w:val="en-GB"/>
        </w:rPr>
        <w:t>).</w:t>
      </w:r>
    </w:p>
    <w:p w14:paraId="03A388AD" w14:textId="39FEACB0" w:rsidR="00BE271F" w:rsidRPr="00BE271F" w:rsidRDefault="00BE271F" w:rsidP="0082769D">
      <w:pPr>
        <w:pStyle w:val="SingleTxtG"/>
        <w:numPr>
          <w:ilvl w:val="0"/>
          <w:numId w:val="6"/>
        </w:numPr>
        <w:tabs>
          <w:tab w:val="left" w:pos="1134"/>
        </w:tabs>
        <w:rPr>
          <w:lang w:val="en-GB"/>
        </w:rPr>
      </w:pPr>
      <w:r w:rsidRPr="00BE271F">
        <w:rPr>
          <w:lang w:val="en-GB"/>
        </w:rPr>
        <w:t>Working on the different definitions (</w:t>
      </w:r>
      <w:proofErr w:type="gramStart"/>
      <w:r w:rsidRPr="00BE271F">
        <w:rPr>
          <w:lang w:val="en-GB"/>
        </w:rPr>
        <w:t>e.g.</w:t>
      </w:r>
      <w:proofErr w:type="gramEnd"/>
      <w:r w:rsidRPr="00BE271F">
        <w:rPr>
          <w:lang w:val="en-GB"/>
        </w:rPr>
        <w:t xml:space="preserve"> access to the </w:t>
      </w:r>
      <w:r w:rsidR="0082769D" w:rsidRPr="00BE271F">
        <w:rPr>
          <w:lang w:val="en-GB"/>
        </w:rPr>
        <w:t>in-vehicle</w:t>
      </w:r>
      <w:r w:rsidRPr="00BE271F">
        <w:rPr>
          <w:lang w:val="en-GB"/>
        </w:rPr>
        <w:t xml:space="preserve"> data, sovereign uses cases)</w:t>
      </w:r>
      <w:r w:rsidR="0082769D">
        <w:rPr>
          <w:lang w:val="en-GB"/>
        </w:rPr>
        <w:t>.</w:t>
      </w:r>
    </w:p>
    <w:p w14:paraId="6498D96A" w14:textId="06BE4998" w:rsidR="0082769D" w:rsidRDefault="0082769D" w:rsidP="0082769D">
      <w:pPr>
        <w:pStyle w:val="SingleTxtG"/>
        <w:numPr>
          <w:ilvl w:val="0"/>
          <w:numId w:val="6"/>
        </w:numPr>
        <w:tabs>
          <w:tab w:val="left" w:pos="1134"/>
        </w:tabs>
        <w:rPr>
          <w:lang w:val="en-GB"/>
        </w:rPr>
      </w:pPr>
      <w:r>
        <w:rPr>
          <w:lang w:val="en-GB"/>
        </w:rPr>
        <w:t xml:space="preserve">Review </w:t>
      </w:r>
      <w:r w:rsidR="00BE271F" w:rsidRPr="00BE271F">
        <w:rPr>
          <w:lang w:val="en-GB"/>
        </w:rPr>
        <w:t>of existing regulations and guiding principles</w:t>
      </w:r>
      <w:r>
        <w:rPr>
          <w:lang w:val="en-GB"/>
        </w:rPr>
        <w:t xml:space="preserve"> (at the national and the international level)</w:t>
      </w:r>
      <w:r w:rsidR="00BE271F" w:rsidRPr="00BE271F">
        <w:rPr>
          <w:lang w:val="en-GB"/>
        </w:rPr>
        <w:t xml:space="preserve"> regarding the access into vehicle data</w:t>
      </w:r>
      <w:r>
        <w:rPr>
          <w:lang w:val="en-GB"/>
        </w:rPr>
        <w:t>.</w:t>
      </w:r>
    </w:p>
    <w:p w14:paraId="33BF148A" w14:textId="64168D8D" w:rsidR="00BE271F" w:rsidRPr="00BE271F" w:rsidRDefault="0082769D" w:rsidP="0082769D">
      <w:pPr>
        <w:pStyle w:val="SingleTxtG"/>
        <w:numPr>
          <w:ilvl w:val="0"/>
          <w:numId w:val="6"/>
        </w:numPr>
        <w:tabs>
          <w:tab w:val="left" w:pos="1134"/>
        </w:tabs>
        <w:rPr>
          <w:lang w:val="en-GB"/>
        </w:rPr>
      </w:pPr>
      <w:r>
        <w:rPr>
          <w:lang w:val="en-GB"/>
        </w:rPr>
        <w:t xml:space="preserve">Assessment of the possibility of </w:t>
      </w:r>
      <w:r w:rsidR="00BE271F" w:rsidRPr="00BE271F">
        <w:rPr>
          <w:lang w:val="en-GB"/>
        </w:rPr>
        <w:t>harmoniz</w:t>
      </w:r>
      <w:r>
        <w:rPr>
          <w:lang w:val="en-GB"/>
        </w:rPr>
        <w:t>ing</w:t>
      </w:r>
      <w:r w:rsidR="00BE271F" w:rsidRPr="00BE271F">
        <w:rPr>
          <w:lang w:val="en-GB"/>
        </w:rPr>
        <w:t xml:space="preserve"> the different </w:t>
      </w:r>
      <w:r>
        <w:rPr>
          <w:lang w:val="en-GB"/>
        </w:rPr>
        <w:t>legislations</w:t>
      </w:r>
      <w:r w:rsidR="00BE271F" w:rsidRPr="00BE271F">
        <w:rPr>
          <w:lang w:val="en-GB"/>
        </w:rPr>
        <w:t>.</w:t>
      </w:r>
    </w:p>
    <w:p w14:paraId="0245C50B" w14:textId="4D48ADDF" w:rsidR="00290ADE" w:rsidRDefault="00BE271F" w:rsidP="00290ADE">
      <w:pPr>
        <w:pStyle w:val="SingleTxtG"/>
        <w:numPr>
          <w:ilvl w:val="0"/>
          <w:numId w:val="6"/>
        </w:numPr>
        <w:tabs>
          <w:tab w:val="left" w:pos="1134"/>
        </w:tabs>
        <w:rPr>
          <w:lang w:val="en-GB"/>
        </w:rPr>
      </w:pPr>
      <w:r w:rsidRPr="00BE271F">
        <w:rPr>
          <w:lang w:val="en-GB"/>
        </w:rPr>
        <w:t>Harmonize between the different access to the in-vehicle data models proposed by the different stake holders.</w:t>
      </w:r>
    </w:p>
    <w:p w14:paraId="790718C9" w14:textId="78403284" w:rsidR="00D332CE" w:rsidRPr="00D332CE" w:rsidRDefault="00D332CE" w:rsidP="00D332CE">
      <w:pPr>
        <w:pStyle w:val="SingleTxtG"/>
        <w:jc w:val="center"/>
      </w:pPr>
      <w:r w:rsidRPr="00D332CE">
        <w:t>__________________________</w:t>
      </w:r>
    </w:p>
    <w:sectPr w:rsidR="00D332CE" w:rsidRPr="00D332CE" w:rsidSect="009B3D7C">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23ED" w14:textId="77777777" w:rsidR="003D38CC" w:rsidRDefault="003D38CC" w:rsidP="000E38BE">
      <w:pPr>
        <w:spacing w:after="0" w:line="240" w:lineRule="auto"/>
      </w:pPr>
      <w:r>
        <w:separator/>
      </w:r>
    </w:p>
  </w:endnote>
  <w:endnote w:type="continuationSeparator" w:id="0">
    <w:p w14:paraId="231E7367" w14:textId="77777777" w:rsidR="003D38CC" w:rsidRDefault="003D38CC" w:rsidP="000E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EEAF" w14:textId="77777777" w:rsidR="003D38CC" w:rsidRDefault="003D38CC" w:rsidP="000E38BE">
      <w:pPr>
        <w:spacing w:after="0" w:line="240" w:lineRule="auto"/>
      </w:pPr>
      <w:r>
        <w:separator/>
      </w:r>
    </w:p>
  </w:footnote>
  <w:footnote w:type="continuationSeparator" w:id="0">
    <w:p w14:paraId="08445C1A" w14:textId="77777777" w:rsidR="003D38CC" w:rsidRDefault="003D38CC" w:rsidP="000E38BE">
      <w:pPr>
        <w:spacing w:after="0" w:line="240" w:lineRule="auto"/>
      </w:pPr>
      <w:r>
        <w:continuationSeparator/>
      </w:r>
    </w:p>
  </w:footnote>
  <w:footnote w:id="1">
    <w:p w14:paraId="71694E45" w14:textId="77777777" w:rsidR="00BE271F" w:rsidRPr="000E38BE" w:rsidRDefault="00BE271F" w:rsidP="00BE271F">
      <w:pPr>
        <w:pStyle w:val="FootnoteText"/>
        <w:rPr>
          <w:sz w:val="16"/>
          <w:szCs w:val="16"/>
          <w:lang w:val="en-GB"/>
        </w:rPr>
      </w:pPr>
      <w:r>
        <w:rPr>
          <w:rStyle w:val="FootnoteReference"/>
        </w:rPr>
        <w:footnoteRef/>
      </w:r>
      <w:r>
        <w:t xml:space="preserve"> </w:t>
      </w:r>
      <w:r w:rsidRPr="000E38BE">
        <w:rPr>
          <w:sz w:val="16"/>
          <w:szCs w:val="16"/>
          <w:lang w:val="en-GB"/>
        </w:rPr>
        <w:t>"</w:t>
      </w:r>
      <w:r w:rsidRPr="000E38BE">
        <w:rPr>
          <w:i/>
          <w:iCs/>
          <w:sz w:val="16"/>
          <w:szCs w:val="16"/>
          <w:lang w:val="en-GB"/>
        </w:rPr>
        <w:t>Sovereign tasks</w:t>
      </w:r>
      <w:r w:rsidRPr="000E38BE">
        <w:rPr>
          <w:sz w:val="16"/>
          <w:szCs w:val="16"/>
          <w:lang w:val="en-GB"/>
        </w:rPr>
        <w:t>": means tasks that are performed by sovereign public bodies and authorities. This could, for example, be in the field of roadworthiness testing, road safety and environmental compatibility.</w:t>
      </w:r>
    </w:p>
    <w:p w14:paraId="6FECA09A" w14:textId="77777777" w:rsidR="00BE271F" w:rsidRPr="000E38BE" w:rsidRDefault="00BE271F" w:rsidP="00BE271F">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592"/>
    </w:tblGrid>
    <w:tr w:rsidR="001E5D3F" w14:paraId="424B62FB" w14:textId="77777777" w:rsidTr="00F15091">
      <w:tc>
        <w:tcPr>
          <w:tcW w:w="4814" w:type="dxa"/>
        </w:tcPr>
        <w:p w14:paraId="10B18191" w14:textId="77777777" w:rsidR="009772B6" w:rsidRDefault="001E5D3F" w:rsidP="009772B6">
          <w:pPr>
            <w:pStyle w:val="Header"/>
            <w:rPr>
              <w:bCs/>
            </w:rPr>
          </w:pPr>
          <w:r>
            <w:rPr>
              <w:bCs/>
            </w:rPr>
            <w:t>Submitted by the expert</w:t>
          </w:r>
          <w:r w:rsidR="008848C2">
            <w:rPr>
              <w:bCs/>
            </w:rPr>
            <w:t>s</w:t>
          </w:r>
        </w:p>
        <w:p w14:paraId="3070A7ED" w14:textId="116AD4FA" w:rsidR="001E5D3F" w:rsidRPr="009772B6" w:rsidRDefault="009772B6" w:rsidP="009772B6">
          <w:pPr>
            <w:pStyle w:val="Header"/>
            <w:rPr>
              <w:bCs/>
            </w:rPr>
          </w:pPr>
          <w:r>
            <w:rPr>
              <w:bCs/>
            </w:rPr>
            <w:t>f</w:t>
          </w:r>
          <w:r w:rsidR="001E5D3F">
            <w:rPr>
              <w:bCs/>
            </w:rPr>
            <w:t>rom</w:t>
          </w:r>
          <w:r>
            <w:rPr>
              <w:bCs/>
            </w:rPr>
            <w:t xml:space="preserve"> </w:t>
          </w:r>
          <w:r w:rsidR="00DF75D5">
            <w:rPr>
              <w:bCs/>
            </w:rPr>
            <w:t>CITA</w:t>
          </w:r>
        </w:p>
      </w:tc>
      <w:tc>
        <w:tcPr>
          <w:tcW w:w="4815" w:type="dxa"/>
        </w:tcPr>
        <w:p w14:paraId="6CE70CE8" w14:textId="1A318BA6" w:rsidR="001E5D3F" w:rsidRDefault="001E5D3F" w:rsidP="001E5D3F">
          <w:pPr>
            <w:pStyle w:val="Header"/>
            <w:ind w:left="1568" w:right="-9"/>
          </w:pPr>
          <w:r w:rsidRPr="00882B34">
            <w:rPr>
              <w:bCs/>
              <w:u w:val="single"/>
            </w:rPr>
            <w:t>Informal document</w:t>
          </w:r>
          <w:r>
            <w:t xml:space="preserve"> GRVA-13-</w:t>
          </w:r>
          <w:r>
            <w:t>41</w:t>
          </w:r>
        </w:p>
        <w:p w14:paraId="76E70A01" w14:textId="77777777" w:rsidR="001E5D3F" w:rsidRPr="00882B34" w:rsidRDefault="001E5D3F" w:rsidP="001E5D3F">
          <w:pPr>
            <w:pStyle w:val="Header"/>
            <w:ind w:left="1568" w:right="-9"/>
            <w:rPr>
              <w:b/>
              <w:bCs/>
            </w:rPr>
          </w:pPr>
          <w:r w:rsidRPr="00882B34">
            <w:rPr>
              <w:bCs/>
            </w:rPr>
            <w:t>1</w:t>
          </w:r>
          <w:r>
            <w:rPr>
              <w:bCs/>
            </w:rPr>
            <w:t>3</w:t>
          </w:r>
          <w:r w:rsidRPr="00882B34">
            <w:rPr>
              <w:bCs/>
              <w:vertAlign w:val="superscript"/>
            </w:rPr>
            <w:t>th</w:t>
          </w:r>
          <w:r w:rsidRPr="00882B34">
            <w:rPr>
              <w:bCs/>
            </w:rPr>
            <w:t xml:space="preserve"> GRVA, 2</w:t>
          </w:r>
          <w:r>
            <w:rPr>
              <w:bCs/>
            </w:rPr>
            <w:t>3</w:t>
          </w:r>
          <w:r w:rsidRPr="00882B34">
            <w:rPr>
              <w:bCs/>
            </w:rPr>
            <w:t>-2</w:t>
          </w:r>
          <w:r>
            <w:rPr>
              <w:bCs/>
            </w:rPr>
            <w:t>7</w:t>
          </w:r>
          <w:r w:rsidRPr="00882B34">
            <w:rPr>
              <w:bCs/>
            </w:rPr>
            <w:t xml:space="preserve"> </w:t>
          </w:r>
          <w:r>
            <w:rPr>
              <w:bCs/>
            </w:rPr>
            <w:t>May</w:t>
          </w:r>
          <w:r w:rsidRPr="00882B34">
            <w:rPr>
              <w:bCs/>
            </w:rPr>
            <w:t xml:space="preserve"> 2022</w:t>
          </w:r>
        </w:p>
        <w:p w14:paraId="1877AD98" w14:textId="033F09C9" w:rsidR="001E5D3F" w:rsidRDefault="001E5D3F" w:rsidP="001E5D3F">
          <w:pPr>
            <w:pStyle w:val="Header"/>
            <w:ind w:left="1568"/>
          </w:pPr>
          <w:r w:rsidRPr="00882B34">
            <w:rPr>
              <w:bCs/>
            </w:rPr>
            <w:t xml:space="preserve">Provisional agenda item </w:t>
          </w:r>
          <w:r w:rsidR="00C96081">
            <w:rPr>
              <w:bCs/>
            </w:rPr>
            <w:t>5(c)</w:t>
          </w:r>
        </w:p>
      </w:tc>
    </w:tr>
    <w:tr w:rsidR="001E5D3F" w14:paraId="6F8ED770" w14:textId="77777777" w:rsidTr="00F15091">
      <w:tc>
        <w:tcPr>
          <w:tcW w:w="4814" w:type="dxa"/>
        </w:tcPr>
        <w:p w14:paraId="61210AF4" w14:textId="77777777" w:rsidR="001E5D3F" w:rsidRPr="0062551B" w:rsidRDefault="001E5D3F" w:rsidP="001E5D3F">
          <w:pPr>
            <w:pStyle w:val="Header"/>
            <w:rPr>
              <w:b/>
              <w:bCs/>
            </w:rPr>
          </w:pPr>
        </w:p>
      </w:tc>
      <w:tc>
        <w:tcPr>
          <w:tcW w:w="4815" w:type="dxa"/>
        </w:tcPr>
        <w:p w14:paraId="4BAE0F54" w14:textId="77777777" w:rsidR="001E5D3F" w:rsidRPr="00882B34" w:rsidRDefault="001E5D3F" w:rsidP="001E5D3F">
          <w:pPr>
            <w:pStyle w:val="Header"/>
            <w:ind w:left="1568" w:right="-9"/>
            <w:rPr>
              <w:b/>
              <w:bCs/>
              <w:u w:val="single"/>
            </w:rPr>
          </w:pPr>
        </w:p>
      </w:tc>
    </w:tr>
  </w:tbl>
  <w:p w14:paraId="2894639D" w14:textId="77777777" w:rsidR="009B3D7C" w:rsidRDefault="009B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54AC"/>
    <w:multiLevelType w:val="hybridMultilevel"/>
    <w:tmpl w:val="3C669BA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2D584B0C"/>
    <w:multiLevelType w:val="hybridMultilevel"/>
    <w:tmpl w:val="B3D6B9B8"/>
    <w:lvl w:ilvl="0" w:tplc="04070005">
      <w:start w:val="1"/>
      <w:numFmt w:val="bullet"/>
      <w:lvlText w:val=""/>
      <w:lvlJc w:val="left"/>
      <w:pPr>
        <w:ind w:left="2520" w:hanging="360"/>
      </w:pPr>
      <w:rPr>
        <w:rFonts w:ascii="Wingdings" w:hAnsi="Wingdings"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 w15:restartNumberingAfterBreak="0">
    <w:nsid w:val="3C1650CF"/>
    <w:multiLevelType w:val="hybridMultilevel"/>
    <w:tmpl w:val="9BCC8F9E"/>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15:restartNumberingAfterBreak="0">
    <w:nsid w:val="3CC922F1"/>
    <w:multiLevelType w:val="hybridMultilevel"/>
    <w:tmpl w:val="73EC8202"/>
    <w:lvl w:ilvl="0" w:tplc="0407001B">
      <w:start w:val="1"/>
      <w:numFmt w:val="lowerRoman"/>
      <w:lvlText w:val="%1."/>
      <w:lvlJc w:val="right"/>
      <w:pPr>
        <w:ind w:left="2884" w:hanging="360"/>
      </w:pPr>
    </w:lvl>
    <w:lvl w:ilvl="1" w:tplc="04070019" w:tentative="1">
      <w:start w:val="1"/>
      <w:numFmt w:val="lowerLetter"/>
      <w:lvlText w:val="%2."/>
      <w:lvlJc w:val="left"/>
      <w:pPr>
        <w:ind w:left="3604" w:hanging="360"/>
      </w:pPr>
    </w:lvl>
    <w:lvl w:ilvl="2" w:tplc="0407001B" w:tentative="1">
      <w:start w:val="1"/>
      <w:numFmt w:val="lowerRoman"/>
      <w:lvlText w:val="%3."/>
      <w:lvlJc w:val="right"/>
      <w:pPr>
        <w:ind w:left="4324" w:hanging="180"/>
      </w:pPr>
    </w:lvl>
    <w:lvl w:ilvl="3" w:tplc="0407000F" w:tentative="1">
      <w:start w:val="1"/>
      <w:numFmt w:val="decimal"/>
      <w:lvlText w:val="%4."/>
      <w:lvlJc w:val="left"/>
      <w:pPr>
        <w:ind w:left="5044" w:hanging="360"/>
      </w:pPr>
    </w:lvl>
    <w:lvl w:ilvl="4" w:tplc="04070019" w:tentative="1">
      <w:start w:val="1"/>
      <w:numFmt w:val="lowerLetter"/>
      <w:lvlText w:val="%5."/>
      <w:lvlJc w:val="left"/>
      <w:pPr>
        <w:ind w:left="5764" w:hanging="360"/>
      </w:pPr>
    </w:lvl>
    <w:lvl w:ilvl="5" w:tplc="0407001B" w:tentative="1">
      <w:start w:val="1"/>
      <w:numFmt w:val="lowerRoman"/>
      <w:lvlText w:val="%6."/>
      <w:lvlJc w:val="right"/>
      <w:pPr>
        <w:ind w:left="6484" w:hanging="180"/>
      </w:pPr>
    </w:lvl>
    <w:lvl w:ilvl="6" w:tplc="0407000F" w:tentative="1">
      <w:start w:val="1"/>
      <w:numFmt w:val="decimal"/>
      <w:lvlText w:val="%7."/>
      <w:lvlJc w:val="left"/>
      <w:pPr>
        <w:ind w:left="7204" w:hanging="360"/>
      </w:pPr>
    </w:lvl>
    <w:lvl w:ilvl="7" w:tplc="04070019" w:tentative="1">
      <w:start w:val="1"/>
      <w:numFmt w:val="lowerLetter"/>
      <w:lvlText w:val="%8."/>
      <w:lvlJc w:val="left"/>
      <w:pPr>
        <w:ind w:left="7924" w:hanging="360"/>
      </w:pPr>
    </w:lvl>
    <w:lvl w:ilvl="8" w:tplc="0407001B" w:tentative="1">
      <w:start w:val="1"/>
      <w:numFmt w:val="lowerRoman"/>
      <w:lvlText w:val="%9."/>
      <w:lvlJc w:val="right"/>
      <w:pPr>
        <w:ind w:left="8644" w:hanging="180"/>
      </w:pPr>
    </w:lvl>
  </w:abstractNum>
  <w:abstractNum w:abstractNumId="4" w15:restartNumberingAfterBreak="0">
    <w:nsid w:val="4F6A6C3C"/>
    <w:multiLevelType w:val="hybridMultilevel"/>
    <w:tmpl w:val="3566F510"/>
    <w:lvl w:ilvl="0" w:tplc="C70A6504">
      <w:start w:val="1"/>
      <w:numFmt w:val="lowerLetter"/>
      <w:lvlText w:val="(%1)"/>
      <w:lvlJc w:val="left"/>
      <w:pPr>
        <w:ind w:left="206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30C37F5"/>
    <w:multiLevelType w:val="hybridMultilevel"/>
    <w:tmpl w:val="EBB87208"/>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6" w15:restartNumberingAfterBreak="0">
    <w:nsid w:val="53511493"/>
    <w:multiLevelType w:val="hybridMultilevel"/>
    <w:tmpl w:val="EBB87208"/>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7" w15:restartNumberingAfterBreak="0">
    <w:nsid w:val="79395B28"/>
    <w:multiLevelType w:val="hybridMultilevel"/>
    <w:tmpl w:val="B16AB738"/>
    <w:lvl w:ilvl="0" w:tplc="04070003">
      <w:start w:val="1"/>
      <w:numFmt w:val="bullet"/>
      <w:lvlText w:val="o"/>
      <w:lvlJc w:val="left"/>
      <w:pPr>
        <w:ind w:left="2884" w:hanging="360"/>
      </w:pPr>
      <w:rPr>
        <w:rFonts w:ascii="Courier New" w:hAnsi="Courier New" w:cs="Courier New" w:hint="default"/>
      </w:rPr>
    </w:lvl>
    <w:lvl w:ilvl="1" w:tplc="04070003" w:tentative="1">
      <w:start w:val="1"/>
      <w:numFmt w:val="bullet"/>
      <w:lvlText w:val="o"/>
      <w:lvlJc w:val="left"/>
      <w:pPr>
        <w:ind w:left="3604" w:hanging="360"/>
      </w:pPr>
      <w:rPr>
        <w:rFonts w:ascii="Courier New" w:hAnsi="Courier New" w:cs="Courier New" w:hint="default"/>
      </w:rPr>
    </w:lvl>
    <w:lvl w:ilvl="2" w:tplc="04070005" w:tentative="1">
      <w:start w:val="1"/>
      <w:numFmt w:val="bullet"/>
      <w:lvlText w:val=""/>
      <w:lvlJc w:val="left"/>
      <w:pPr>
        <w:ind w:left="4324" w:hanging="360"/>
      </w:pPr>
      <w:rPr>
        <w:rFonts w:ascii="Wingdings" w:hAnsi="Wingdings" w:hint="default"/>
      </w:rPr>
    </w:lvl>
    <w:lvl w:ilvl="3" w:tplc="04070001" w:tentative="1">
      <w:start w:val="1"/>
      <w:numFmt w:val="bullet"/>
      <w:lvlText w:val=""/>
      <w:lvlJc w:val="left"/>
      <w:pPr>
        <w:ind w:left="5044" w:hanging="360"/>
      </w:pPr>
      <w:rPr>
        <w:rFonts w:ascii="Symbol" w:hAnsi="Symbol" w:hint="default"/>
      </w:rPr>
    </w:lvl>
    <w:lvl w:ilvl="4" w:tplc="04070003" w:tentative="1">
      <w:start w:val="1"/>
      <w:numFmt w:val="bullet"/>
      <w:lvlText w:val="o"/>
      <w:lvlJc w:val="left"/>
      <w:pPr>
        <w:ind w:left="5764" w:hanging="360"/>
      </w:pPr>
      <w:rPr>
        <w:rFonts w:ascii="Courier New" w:hAnsi="Courier New" w:cs="Courier New" w:hint="default"/>
      </w:rPr>
    </w:lvl>
    <w:lvl w:ilvl="5" w:tplc="04070005" w:tentative="1">
      <w:start w:val="1"/>
      <w:numFmt w:val="bullet"/>
      <w:lvlText w:val=""/>
      <w:lvlJc w:val="left"/>
      <w:pPr>
        <w:ind w:left="6484" w:hanging="360"/>
      </w:pPr>
      <w:rPr>
        <w:rFonts w:ascii="Wingdings" w:hAnsi="Wingdings" w:hint="default"/>
      </w:rPr>
    </w:lvl>
    <w:lvl w:ilvl="6" w:tplc="04070001" w:tentative="1">
      <w:start w:val="1"/>
      <w:numFmt w:val="bullet"/>
      <w:lvlText w:val=""/>
      <w:lvlJc w:val="left"/>
      <w:pPr>
        <w:ind w:left="7204" w:hanging="360"/>
      </w:pPr>
      <w:rPr>
        <w:rFonts w:ascii="Symbol" w:hAnsi="Symbol" w:hint="default"/>
      </w:rPr>
    </w:lvl>
    <w:lvl w:ilvl="7" w:tplc="04070003" w:tentative="1">
      <w:start w:val="1"/>
      <w:numFmt w:val="bullet"/>
      <w:lvlText w:val="o"/>
      <w:lvlJc w:val="left"/>
      <w:pPr>
        <w:ind w:left="7924" w:hanging="360"/>
      </w:pPr>
      <w:rPr>
        <w:rFonts w:ascii="Courier New" w:hAnsi="Courier New" w:cs="Courier New" w:hint="default"/>
      </w:rPr>
    </w:lvl>
    <w:lvl w:ilvl="8" w:tplc="04070005" w:tentative="1">
      <w:start w:val="1"/>
      <w:numFmt w:val="bullet"/>
      <w:lvlText w:val=""/>
      <w:lvlJc w:val="left"/>
      <w:pPr>
        <w:ind w:left="8644"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17"/>
    <w:rsid w:val="00017E6A"/>
    <w:rsid w:val="000E33D7"/>
    <w:rsid w:val="000E38BE"/>
    <w:rsid w:val="0010475F"/>
    <w:rsid w:val="001313EB"/>
    <w:rsid w:val="001703D2"/>
    <w:rsid w:val="00176CA3"/>
    <w:rsid w:val="001C3662"/>
    <w:rsid w:val="001E5D3F"/>
    <w:rsid w:val="001F6815"/>
    <w:rsid w:val="00244917"/>
    <w:rsid w:val="00290ADE"/>
    <w:rsid w:val="002B52A0"/>
    <w:rsid w:val="002C7FD5"/>
    <w:rsid w:val="003722DA"/>
    <w:rsid w:val="003D38CC"/>
    <w:rsid w:val="005123F9"/>
    <w:rsid w:val="005330E7"/>
    <w:rsid w:val="0063557C"/>
    <w:rsid w:val="006358B3"/>
    <w:rsid w:val="0082769D"/>
    <w:rsid w:val="008848C2"/>
    <w:rsid w:val="009772B6"/>
    <w:rsid w:val="009B3D7C"/>
    <w:rsid w:val="00A76EDC"/>
    <w:rsid w:val="00AC1B92"/>
    <w:rsid w:val="00BB6F08"/>
    <w:rsid w:val="00BE271F"/>
    <w:rsid w:val="00C96081"/>
    <w:rsid w:val="00CD4616"/>
    <w:rsid w:val="00CF63AE"/>
    <w:rsid w:val="00D32B5B"/>
    <w:rsid w:val="00D332CE"/>
    <w:rsid w:val="00D9325E"/>
    <w:rsid w:val="00DF75D5"/>
    <w:rsid w:val="00E718A6"/>
    <w:rsid w:val="00EC5507"/>
    <w:rsid w:val="00EE2B6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DAF10"/>
  <w15:chartTrackingRefBased/>
  <w15:docId w15:val="{D4236BE9-212B-41B0-9F78-9356FB6B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1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244917"/>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har">
    <w:name w:val="_ Single Txt_G Char"/>
    <w:link w:val="SingleTxtG"/>
    <w:qFormat/>
    <w:rsid w:val="00244917"/>
    <w:rPr>
      <w:rFonts w:ascii="Times New Roman" w:eastAsia="Times New Roman" w:hAnsi="Times New Roman" w:cs="Times New Roman"/>
      <w:sz w:val="20"/>
      <w:szCs w:val="20"/>
      <w:lang w:val="x-none"/>
    </w:rPr>
  </w:style>
  <w:style w:type="paragraph" w:styleId="ListParagraph">
    <w:name w:val="List Paragraph"/>
    <w:basedOn w:val="Normal"/>
    <w:rsid w:val="00244917"/>
    <w:pPr>
      <w:ind w:left="720"/>
      <w:contextualSpacing/>
    </w:pPr>
  </w:style>
  <w:style w:type="paragraph" w:customStyle="1" w:styleId="H1G">
    <w:name w:val="_ H_1_G"/>
    <w:basedOn w:val="Normal"/>
    <w:next w:val="Normal"/>
    <w:qFormat/>
    <w:rsid w:val="00244917"/>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Times New Roman" w:eastAsiaTheme="minorEastAsia" w:hAnsi="Times New Roman" w:cs="Times New Roman"/>
      <w:b/>
      <w:sz w:val="24"/>
      <w:szCs w:val="20"/>
      <w:lang w:val="fr-CH" w:eastAsia="zh-CN"/>
    </w:rPr>
  </w:style>
  <w:style w:type="paragraph" w:styleId="FootnoteText">
    <w:name w:val="footnote text"/>
    <w:aliases w:val="5_G,PP,5_G_6,5_GR,Fußnotentext"/>
    <w:basedOn w:val="Normal"/>
    <w:link w:val="FootnoteTextChar"/>
    <w:uiPriority w:val="99"/>
    <w:unhideWhenUsed/>
    <w:qFormat/>
    <w:rsid w:val="000E38BE"/>
    <w:pPr>
      <w:spacing w:after="0" w:line="240" w:lineRule="auto"/>
    </w:pPr>
    <w:rPr>
      <w:sz w:val="20"/>
      <w:szCs w:val="20"/>
    </w:rPr>
  </w:style>
  <w:style w:type="character" w:customStyle="1" w:styleId="FootnoteTextChar">
    <w:name w:val="Footnote Text Char"/>
    <w:aliases w:val="5_G Char,PP Char,5_G_6 Char,5_GR Char,Fußnotentext Char"/>
    <w:basedOn w:val="DefaultParagraphFont"/>
    <w:link w:val="FootnoteText"/>
    <w:uiPriority w:val="99"/>
    <w:rsid w:val="000E38BE"/>
    <w:rPr>
      <w:sz w:val="20"/>
      <w:szCs w:val="20"/>
      <w:lang w:val="en-US"/>
    </w:rPr>
  </w:style>
  <w:style w:type="character" w:styleId="FootnoteReference">
    <w:name w:val="footnote reference"/>
    <w:basedOn w:val="DefaultParagraphFont"/>
    <w:uiPriority w:val="99"/>
    <w:semiHidden/>
    <w:unhideWhenUsed/>
    <w:rsid w:val="000E38BE"/>
    <w:rPr>
      <w:vertAlign w:val="superscript"/>
    </w:rPr>
  </w:style>
  <w:style w:type="paragraph" w:styleId="BalloonText">
    <w:name w:val="Balloon Text"/>
    <w:basedOn w:val="Normal"/>
    <w:link w:val="BalloonTextChar"/>
    <w:uiPriority w:val="99"/>
    <w:semiHidden/>
    <w:unhideWhenUsed/>
    <w:rsid w:val="0051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F9"/>
    <w:rPr>
      <w:rFonts w:ascii="Segoe UI" w:hAnsi="Segoe UI" w:cs="Segoe UI"/>
      <w:sz w:val="18"/>
      <w:szCs w:val="18"/>
      <w:lang w:val="en-US"/>
    </w:rPr>
  </w:style>
  <w:style w:type="paragraph" w:styleId="Header">
    <w:name w:val="header"/>
    <w:aliases w:val="6_G"/>
    <w:basedOn w:val="Normal"/>
    <w:link w:val="HeaderChar"/>
    <w:unhideWhenUsed/>
    <w:qFormat/>
    <w:rsid w:val="00017E6A"/>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017E6A"/>
    <w:rPr>
      <w:lang w:val="en-US"/>
    </w:rPr>
  </w:style>
  <w:style w:type="paragraph" w:styleId="Footer">
    <w:name w:val="footer"/>
    <w:basedOn w:val="Normal"/>
    <w:link w:val="FooterChar"/>
    <w:uiPriority w:val="99"/>
    <w:unhideWhenUsed/>
    <w:rsid w:val="00017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6A"/>
    <w:rPr>
      <w:lang w:val="en-US"/>
    </w:rPr>
  </w:style>
  <w:style w:type="table" w:styleId="TableGrid">
    <w:name w:val="Table Grid"/>
    <w:basedOn w:val="TableNormal"/>
    <w:rsid w:val="009B3D7C"/>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44974-6043-42EB-A2C4-CC0DA04A7634}">
  <ds:schemaRefs>
    <ds:schemaRef ds:uri="http://schemas.openxmlformats.org/officeDocument/2006/bibliography"/>
  </ds:schemaRefs>
</ds:datastoreItem>
</file>

<file path=customXml/itemProps2.xml><?xml version="1.0" encoding="utf-8"?>
<ds:datastoreItem xmlns:ds="http://schemas.openxmlformats.org/officeDocument/2006/customXml" ds:itemID="{C0B10AB8-30F3-4723-9D00-DEE31B5B6C2C}">
  <ds:schemaRefs>
    <ds:schemaRef ds:uri="http://schemas.microsoft.com/sharepoint/v3/contenttype/forms"/>
  </ds:schemaRefs>
</ds:datastoreItem>
</file>

<file path=customXml/itemProps3.xml><?xml version="1.0" encoding="utf-8"?>
<ds:datastoreItem xmlns:ds="http://schemas.openxmlformats.org/officeDocument/2006/customXml" ds:itemID="{AFE53C11-7098-4982-916D-1D28F252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6577E5-2DA7-45C3-9E55-A758C1E6A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Checa</dc:creator>
  <cp:keywords/>
  <dc:description/>
  <cp:lastModifiedBy>Laura Mueller</cp:lastModifiedBy>
  <cp:revision>20</cp:revision>
  <dcterms:created xsi:type="dcterms:W3CDTF">2022-05-10T13:52:00Z</dcterms:created>
  <dcterms:modified xsi:type="dcterms:W3CDTF">2022-05-23T15:13:00Z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a16b40-a803-442a-a923-9d42e9158dd1_Enabled">
    <vt:lpwstr>true</vt:lpwstr>
  </property>
  <property fmtid="{D5CDD505-2E9C-101B-9397-08002B2CF9AE}" pid="3" name="MSIP_Label_49a16b40-a803-442a-a923-9d42e9158dd1_SetDate">
    <vt:lpwstr>2022-05-10T13:13:45Z</vt:lpwstr>
  </property>
  <property fmtid="{D5CDD505-2E9C-101B-9397-08002B2CF9AE}" pid="4" name="MSIP_Label_49a16b40-a803-442a-a923-9d42e9158dd1_Method">
    <vt:lpwstr>Standard</vt:lpwstr>
  </property>
  <property fmtid="{D5CDD505-2E9C-101B-9397-08002B2CF9AE}" pid="5" name="MSIP_Label_49a16b40-a803-442a-a923-9d42e9158dd1_Name">
    <vt:lpwstr>Internal</vt:lpwstr>
  </property>
  <property fmtid="{D5CDD505-2E9C-101B-9397-08002B2CF9AE}" pid="6" name="MSIP_Label_49a16b40-a803-442a-a923-9d42e9158dd1_SiteId">
    <vt:lpwstr>cf81581f-cf8c-405d-97e3-34a295c8d882</vt:lpwstr>
  </property>
  <property fmtid="{D5CDD505-2E9C-101B-9397-08002B2CF9AE}" pid="7" name="MSIP_Label_49a16b40-a803-442a-a923-9d42e9158dd1_ActionId">
    <vt:lpwstr>3a1d9b12-280c-48d5-ac23-9fa81a29c9ab</vt:lpwstr>
  </property>
  <property fmtid="{D5CDD505-2E9C-101B-9397-08002B2CF9AE}" pid="8" name="MSIP_Label_49a16b40-a803-442a-a923-9d42e9158dd1_ContentBits">
    <vt:lpwstr>0</vt:lpwstr>
  </property>
  <property fmtid="{D5CDD505-2E9C-101B-9397-08002B2CF9AE}" pid="9" name="ContentTypeId">
    <vt:lpwstr>0x0101003B8422D08C252547BB1CFA7F78E2CB83</vt:lpwstr>
  </property>
</Properties>
</file>