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47D" w14:textId="5B8EAA27" w:rsidR="00725074" w:rsidRDefault="0040534F" w:rsidP="00725074">
      <w:pPr>
        <w:pStyle w:val="HChG"/>
        <w:tabs>
          <w:tab w:val="clear" w:pos="851"/>
        </w:tabs>
        <w:ind w:left="709" w:right="565" w:firstLine="0"/>
        <w:jc w:val="center"/>
      </w:pPr>
      <w:r>
        <w:t xml:space="preserve">Proposal for amendments to </w:t>
      </w:r>
      <w:r w:rsidR="00664006">
        <w:t>UN</w:t>
      </w:r>
      <w:r w:rsidR="007C6F70">
        <w:t xml:space="preserve"> </w:t>
      </w:r>
      <w:r w:rsidR="00664006">
        <w:t xml:space="preserve">Regulation No. </w:t>
      </w:r>
      <w:r w:rsidR="00014292">
        <w:t>13</w:t>
      </w:r>
      <w:r w:rsidR="005276F4">
        <w:t xml:space="preserve"> (</w:t>
      </w:r>
      <w:r w:rsidR="004C4851">
        <w:t>Braking)</w:t>
      </w:r>
      <w:r>
        <w:br/>
      </w:r>
    </w:p>
    <w:p w14:paraId="7430964A" w14:textId="4D641265" w:rsidR="00AB20DA" w:rsidRPr="00BF0811" w:rsidRDefault="00795F54" w:rsidP="00BF0811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This proposal </w:t>
      </w:r>
      <w:r w:rsidR="00D80A86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aims to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amend working document </w:t>
      </w:r>
      <w:r w:rsidR="008A7510" w:rsidRP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ECE-TRANS-WP29-GRVA-2022-14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initially based on document GRVA-12-07 with a revision of specifications and including associated transitional provisions.</w:t>
      </w:r>
      <w:r w:rsidR="00725074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The additions and deletions are shown in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red </w:t>
      </w:r>
      <w:r w:rsidR="00725074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bold text to facilitate identification of these proposed changes within the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previous proposal</w:t>
      </w:r>
      <w:r w:rsidR="00725074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7D68C634" w14:textId="77777777" w:rsidR="0023264A" w:rsidRPr="00AA5C3A" w:rsidRDefault="0040534F" w:rsidP="00AA5C3A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bookmarkStart w:id="0" w:name="_Hlk534364985"/>
      <w:r w:rsidRPr="00AA5C3A">
        <w:rPr>
          <w:b/>
          <w:bCs/>
          <w:spacing w:val="1"/>
          <w:lang w:val="en-GB"/>
        </w:rPr>
        <w:t>Proposal</w:t>
      </w:r>
    </w:p>
    <w:p w14:paraId="3788B067" w14:textId="5593E98F" w:rsidR="008E4233" w:rsidRPr="008E4233" w:rsidRDefault="00885FF5" w:rsidP="00F75D3D">
      <w:pPr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 xml:space="preserve">Paragraph </w:t>
      </w:r>
      <w:r w:rsidR="00845B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5.</w:t>
      </w:r>
      <w:r w:rsidR="00AE1A7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2.1.32.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="00E7522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amended to read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:</w:t>
      </w:r>
    </w:p>
    <w:bookmarkEnd w:id="0"/>
    <w:p w14:paraId="759EDF1D" w14:textId="6AE254FE" w:rsidR="00DC4804" w:rsidRPr="00DC4804" w:rsidRDefault="00DC4804" w:rsidP="1E5FB33C">
      <w:pPr>
        <w:pStyle w:val="SingleTxtG"/>
        <w:tabs>
          <w:tab w:val="clear" w:pos="1701"/>
        </w:tabs>
        <w:ind w:left="2268" w:hanging="1134"/>
      </w:pPr>
    </w:p>
    <w:p w14:paraId="03571155" w14:textId="6E5253DB" w:rsidR="00DC4804" w:rsidRPr="00DC4804" w:rsidRDefault="00DC4804" w:rsidP="00185C64">
      <w:pPr>
        <w:pStyle w:val="SingleTxtG"/>
        <w:tabs>
          <w:tab w:val="clear" w:pos="1701"/>
        </w:tabs>
        <w:ind w:left="2268" w:hanging="1134"/>
        <w:jc w:val="both"/>
        <w:rPr>
          <w:rFonts w:eastAsia="Times New Roman" w:cs="Times New Roman"/>
          <w:lang w:eastAsia="fr-FR"/>
        </w:rPr>
      </w:pPr>
      <w:r>
        <w:t>“</w:t>
      </w:r>
      <w:r w:rsidRPr="00DC4804">
        <w:t xml:space="preserve">5.2.1.32. </w:t>
      </w:r>
      <w:r w:rsidR="00BF5F7C">
        <w:tab/>
      </w:r>
      <w:r w:rsidRPr="00DC4804">
        <w:rPr>
          <w:rFonts w:eastAsia="Times New Roman" w:cs="Times New Roman"/>
          <w:lang w:eastAsia="fr-FR"/>
        </w:rPr>
        <w:t>Subject to the provisions of paragraph 12.3. of this Regulation, all vehicles of the following categories shall be equipped with a vehicle stability function:</w:t>
      </w:r>
    </w:p>
    <w:p w14:paraId="3E40ABE4" w14:textId="77777777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(a) M2, M3, N2 </w:t>
      </w:r>
      <w:hyperlink r:id="rId11" w:history="1">
        <w:r w:rsidRPr="00BF5F7C">
          <w:rPr>
            <w:rFonts w:eastAsia="Times New Roman" w:cs="Times New Roman"/>
            <w:vertAlign w:val="subscript"/>
            <w:lang w:eastAsia="fr-FR"/>
          </w:rPr>
          <w:t>12</w:t>
        </w:r>
        <w:r w:rsidRPr="00DC4804">
          <w:rPr>
            <w:rFonts w:eastAsia="Times New Roman" w:cs="Times New Roman"/>
            <w:lang w:eastAsia="fr-FR"/>
          </w:rPr>
          <w:t>/</w:t>
        </w:r>
      </w:hyperlink>
    </w:p>
    <w:p w14:paraId="520F24A4" w14:textId="3753E85A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(b) N3 </w:t>
      </w:r>
      <w:hyperlink r:id="rId12" w:history="1">
        <w:r w:rsidRPr="00BF5F7C">
          <w:rPr>
            <w:rFonts w:eastAsia="Times New Roman" w:cs="Times New Roman"/>
            <w:vertAlign w:val="subscript"/>
            <w:lang w:eastAsia="fr-FR"/>
          </w:rPr>
          <w:t>12</w:t>
        </w:r>
        <w:r w:rsidRPr="00DC4804">
          <w:rPr>
            <w:rFonts w:eastAsia="Times New Roman" w:cs="Times New Roman"/>
            <w:lang w:eastAsia="fr-FR"/>
          </w:rPr>
          <w:t>/</w:t>
        </w:r>
      </w:hyperlink>
      <w:r w:rsidRPr="00DC4804">
        <w:rPr>
          <w:rFonts w:eastAsia="Times New Roman" w:cs="Times New Roman"/>
          <w:lang w:eastAsia="fr-FR"/>
        </w:rPr>
        <w:t xml:space="preserve"> having no more than </w:t>
      </w:r>
      <w:r w:rsidRPr="00732EC0">
        <w:rPr>
          <w:rFonts w:eastAsia="Times New Roman" w:cs="Times New Roman"/>
          <w:strike/>
          <w:color w:val="FF0000"/>
          <w:lang w:eastAsia="fr-FR"/>
        </w:rPr>
        <w:t>3</w:t>
      </w:r>
      <w:r w:rsidRPr="00DC4804">
        <w:rPr>
          <w:rFonts w:eastAsia="Times New Roman" w:cs="Times New Roman"/>
          <w:lang w:eastAsia="fr-FR"/>
        </w:rPr>
        <w:t xml:space="preserve"> </w:t>
      </w:r>
      <w:r w:rsidR="00732EC0" w:rsidRPr="00732EC0">
        <w:rPr>
          <w:rFonts w:eastAsia="Times New Roman" w:cs="Times New Roman"/>
          <w:b/>
          <w:bCs/>
          <w:color w:val="FF0000"/>
          <w:lang w:eastAsia="fr-FR"/>
        </w:rPr>
        <w:t>4</w:t>
      </w:r>
      <w:r w:rsidR="00732EC0">
        <w:rPr>
          <w:rFonts w:eastAsia="Times New Roman" w:cs="Times New Roman"/>
          <w:lang w:eastAsia="fr-FR"/>
        </w:rPr>
        <w:t xml:space="preserve"> </w:t>
      </w:r>
      <w:r w:rsidRPr="00DC4804">
        <w:rPr>
          <w:rFonts w:eastAsia="Times New Roman" w:cs="Times New Roman"/>
          <w:lang w:eastAsia="fr-FR"/>
        </w:rPr>
        <w:t>axles;</w:t>
      </w:r>
    </w:p>
    <w:p w14:paraId="7E352DB6" w14:textId="1FC222D9" w:rsidR="00DC4804" w:rsidRPr="00732EC0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strike/>
          <w:color w:val="FF0000"/>
          <w:lang w:eastAsia="fr-FR"/>
        </w:rPr>
      </w:pPr>
      <w:r w:rsidRPr="00732EC0">
        <w:rPr>
          <w:rFonts w:eastAsia="Times New Roman" w:cs="Times New Roman"/>
          <w:strike/>
          <w:color w:val="FF0000"/>
          <w:lang w:eastAsia="fr-FR"/>
        </w:rPr>
        <w:t>(c) N3 </w:t>
      </w:r>
      <w:hyperlink r:id="rId13" w:history="1">
        <w:r w:rsidRPr="00732EC0">
          <w:rPr>
            <w:rFonts w:eastAsia="Times New Roman" w:cs="Times New Roman"/>
            <w:strike/>
            <w:color w:val="FF0000"/>
            <w:vertAlign w:val="subscript"/>
            <w:lang w:eastAsia="fr-FR"/>
          </w:rPr>
          <w:t>12</w:t>
        </w:r>
        <w:r w:rsidRPr="00732EC0">
          <w:rPr>
            <w:rFonts w:eastAsia="Times New Roman" w:cs="Times New Roman"/>
            <w:strike/>
            <w:color w:val="FF0000"/>
            <w:lang w:eastAsia="fr-FR"/>
          </w:rPr>
          <w:t>/</w:t>
        </w:r>
      </w:hyperlink>
      <w:r w:rsidR="00BF5F7C" w:rsidRPr="00732EC0">
        <w:rPr>
          <w:rFonts w:eastAsia="Times New Roman" w:cs="Times New Roman"/>
          <w:strike/>
          <w:color w:val="FF0000"/>
          <w:lang w:eastAsia="fr-FR"/>
        </w:rPr>
        <w:t xml:space="preserve"> </w:t>
      </w:r>
      <w:r w:rsidRPr="00732EC0">
        <w:rPr>
          <w:rFonts w:eastAsia="Times New Roman" w:cs="Times New Roman"/>
          <w:strike/>
          <w:color w:val="FF0000"/>
          <w:lang w:eastAsia="fr-FR"/>
        </w:rPr>
        <w:t xml:space="preserve">with 4 axles, </w:t>
      </w:r>
      <w:r w:rsidR="00185C64" w:rsidRPr="00732EC0">
        <w:rPr>
          <w:rFonts w:eastAsia="Times New Roman" w:cs="Times New Roman"/>
          <w:b/>
          <w:bCs/>
          <w:strike/>
          <w:color w:val="FF0000"/>
          <w:lang w:eastAsia="fr-FR"/>
        </w:rPr>
        <w:t>neither</w:t>
      </w:r>
      <w:r w:rsidR="00185C64" w:rsidRPr="00732EC0">
        <w:rPr>
          <w:rFonts w:eastAsia="Times New Roman" w:cs="Times New Roman"/>
          <w:strike/>
          <w:color w:val="FF0000"/>
          <w:lang w:eastAsia="fr-FR"/>
        </w:rPr>
        <w:t xml:space="preserve"> </w:t>
      </w:r>
      <w:r w:rsidRPr="00732EC0">
        <w:rPr>
          <w:rFonts w:eastAsia="Times New Roman" w:cs="Times New Roman"/>
          <w:strike/>
          <w:color w:val="FF0000"/>
          <w:lang w:eastAsia="fr-FR"/>
        </w:rPr>
        <w:t>with a maximum mass not exceeding 25t and a maximum wheel diameter code not exceeding 19.5</w:t>
      </w:r>
      <w:r w:rsidR="00185C64" w:rsidRPr="00732EC0">
        <w:rPr>
          <w:rFonts w:eastAsia="Times New Roman" w:cs="Times New Roman"/>
          <w:strike/>
          <w:color w:val="FF0000"/>
          <w:lang w:eastAsia="fr-FR"/>
        </w:rPr>
        <w:t xml:space="preserve"> </w:t>
      </w:r>
      <w:r w:rsidR="00185C64" w:rsidRPr="00732EC0">
        <w:rPr>
          <w:rFonts w:eastAsia="Times New Roman" w:cs="Times New Roman"/>
          <w:b/>
          <w:bCs/>
          <w:strike/>
          <w:color w:val="FF0000"/>
          <w:lang w:eastAsia="fr-FR"/>
        </w:rPr>
        <w:t xml:space="preserve">or </w:t>
      </w:r>
      <w:r w:rsidR="00847DF8" w:rsidRPr="00732EC0">
        <w:rPr>
          <w:rFonts w:eastAsia="Times New Roman" w:cs="Times New Roman"/>
          <w:b/>
          <w:bCs/>
          <w:strike/>
          <w:color w:val="FF0000"/>
          <w:lang w:eastAsia="fr-FR"/>
        </w:rPr>
        <w:t>main</w:t>
      </w:r>
      <w:r w:rsidR="00012A93" w:rsidRPr="00732EC0">
        <w:rPr>
          <w:rFonts w:eastAsia="Times New Roman" w:cs="Times New Roman"/>
          <w:b/>
          <w:bCs/>
          <w:strike/>
          <w:color w:val="FF0000"/>
          <w:lang w:eastAsia="fr-FR"/>
        </w:rPr>
        <w:t xml:space="preserve">taining </w:t>
      </w:r>
      <w:r w:rsidR="00B24EE2" w:rsidRPr="00732EC0">
        <w:rPr>
          <w:rFonts w:eastAsia="Times New Roman" w:cs="Times New Roman"/>
          <w:b/>
          <w:bCs/>
          <w:strike/>
          <w:color w:val="FF0000"/>
          <w:lang w:eastAsia="fr-FR"/>
        </w:rPr>
        <w:t xml:space="preserve">transported </w:t>
      </w:r>
      <w:r w:rsidR="00012A93" w:rsidRPr="00732EC0">
        <w:rPr>
          <w:rFonts w:eastAsia="Times New Roman" w:cs="Times New Roman"/>
          <w:b/>
          <w:bCs/>
          <w:strike/>
          <w:color w:val="FF0000"/>
          <w:lang w:eastAsia="fr-FR"/>
        </w:rPr>
        <w:t>material’s state trough continuous movement (</w:t>
      </w:r>
      <w:r w:rsidR="007C5F69" w:rsidRPr="00732EC0">
        <w:rPr>
          <w:rFonts w:eastAsia="Times New Roman" w:cs="Times New Roman"/>
          <w:b/>
          <w:bCs/>
          <w:strike/>
          <w:color w:val="FF0000"/>
          <w:lang w:eastAsia="fr-FR"/>
        </w:rPr>
        <w:t>concrete mixer truck for example)</w:t>
      </w:r>
      <w:r w:rsidRPr="00732EC0">
        <w:rPr>
          <w:rFonts w:eastAsia="Times New Roman" w:cs="Times New Roman"/>
          <w:strike/>
          <w:color w:val="FF0000"/>
          <w:lang w:eastAsia="fr-FR"/>
        </w:rPr>
        <w:t>.</w:t>
      </w:r>
    </w:p>
    <w:p w14:paraId="59279893" w14:textId="4284084A" w:rsid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The vehicle stability function shall include roll-over control and directional control and meet the technical requirements of Annex 21 to this Regulation.</w:t>
      </w:r>
      <w:r w:rsidR="000E3485">
        <w:rPr>
          <w:rFonts w:eastAsia="Times New Roman" w:cs="Times New Roman"/>
          <w:lang w:eastAsia="fr-FR"/>
        </w:rPr>
        <w:t>”</w:t>
      </w:r>
    </w:p>
    <w:p w14:paraId="5E3EE2FC" w14:textId="2D96D12A" w:rsidR="00434074" w:rsidRDefault="0043407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</w:p>
    <w:p w14:paraId="4A2A4275" w14:textId="03752314" w:rsidR="00434074" w:rsidRPr="008E4233" w:rsidRDefault="00434074" w:rsidP="00434074">
      <w:pPr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 xml:space="preserve">Paragraph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12.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amended to read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:</w:t>
      </w:r>
    </w:p>
    <w:p w14:paraId="6D00DC1B" w14:textId="5508EFEB" w:rsidR="00D85EF7" w:rsidRDefault="00D85EF7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</w:p>
    <w:p w14:paraId="7DB7E707" w14:textId="4B0FF254" w:rsidR="00D85EF7" w:rsidRPr="00434074" w:rsidRDefault="00D85EF7" w:rsidP="00D85EF7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“12.</w:t>
      </w:r>
      <w:r w:rsidR="00434074" w:rsidRPr="00434074">
        <w:rPr>
          <w:color w:val="FF0000"/>
        </w:rPr>
        <w:t>8</w:t>
      </w:r>
      <w:r w:rsidRPr="00434074">
        <w:rPr>
          <w:color w:val="FF0000"/>
        </w:rPr>
        <w:t xml:space="preserve">. </w:t>
      </w:r>
      <w:r w:rsidRPr="00434074">
        <w:rPr>
          <w:color w:val="FF0000"/>
        </w:rPr>
        <w:tab/>
        <w:t>As from the official date of entry into force of the 1</w:t>
      </w:r>
      <w:r w:rsidR="00434074">
        <w:rPr>
          <w:color w:val="FF0000"/>
        </w:rPr>
        <w:t>3</w:t>
      </w:r>
      <w:r w:rsidRPr="00434074">
        <w:rPr>
          <w:color w:val="FF0000"/>
        </w:rPr>
        <w:t xml:space="preserve"> series of amendments, no Contracting Party applying this Regulation shall refuse to grant or refuse to accept type approvals under this Regulation as amended by the 1</w:t>
      </w:r>
      <w:r w:rsidR="00A62A1A">
        <w:rPr>
          <w:color w:val="FF0000"/>
        </w:rPr>
        <w:t>3</w:t>
      </w:r>
      <w:r w:rsidRPr="00434074">
        <w:rPr>
          <w:color w:val="FF0000"/>
        </w:rPr>
        <w:t xml:space="preserve"> series of amendments.</w:t>
      </w:r>
    </w:p>
    <w:p w14:paraId="590F623B" w14:textId="6EAF811F" w:rsidR="00D85EF7" w:rsidRPr="00434074" w:rsidRDefault="00D85EF7" w:rsidP="00D85EF7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12.</w:t>
      </w:r>
      <w:r w:rsidR="00434074" w:rsidRPr="00434074">
        <w:rPr>
          <w:color w:val="FF0000"/>
        </w:rPr>
        <w:t>9</w:t>
      </w:r>
      <w:r w:rsidRPr="00434074">
        <w:rPr>
          <w:color w:val="FF0000"/>
        </w:rPr>
        <w:t xml:space="preserve">. </w:t>
      </w:r>
      <w:r w:rsidRPr="00434074">
        <w:rPr>
          <w:color w:val="FF0000"/>
        </w:rPr>
        <w:tab/>
        <w:t xml:space="preserve">As from 1 September </w:t>
      </w:r>
      <w:r w:rsidR="00D364A9">
        <w:rPr>
          <w:color w:val="FF0000"/>
        </w:rPr>
        <w:t>[</w:t>
      </w:r>
      <w:r w:rsidRPr="00434074">
        <w:rPr>
          <w:color w:val="FF0000"/>
        </w:rPr>
        <w:t>202</w:t>
      </w:r>
      <w:r w:rsidR="00EF00F6">
        <w:rPr>
          <w:color w:val="FF0000"/>
        </w:rPr>
        <w:t>4</w:t>
      </w:r>
      <w:r w:rsidR="00D364A9">
        <w:rPr>
          <w:color w:val="FF0000"/>
        </w:rPr>
        <w:t>]</w:t>
      </w:r>
      <w:r w:rsidRPr="00434074">
        <w:rPr>
          <w:color w:val="FF0000"/>
        </w:rPr>
        <w:t xml:space="preserve">, Contracting Parties applying this Regulation shall not be obliged to accept type approvals to the preceding series of amendments, first issued after 1 September </w:t>
      </w:r>
      <w:r w:rsidR="00D364A9">
        <w:rPr>
          <w:color w:val="FF0000"/>
        </w:rPr>
        <w:t>[</w:t>
      </w:r>
      <w:r w:rsidRPr="00434074">
        <w:rPr>
          <w:color w:val="FF0000"/>
        </w:rPr>
        <w:t>202</w:t>
      </w:r>
      <w:r w:rsidR="00EF00F6">
        <w:rPr>
          <w:color w:val="FF0000"/>
        </w:rPr>
        <w:t>4</w:t>
      </w:r>
      <w:r w:rsidR="00D364A9">
        <w:rPr>
          <w:color w:val="FF0000"/>
        </w:rPr>
        <w:t>]</w:t>
      </w:r>
      <w:r w:rsidRPr="00434074">
        <w:rPr>
          <w:color w:val="FF0000"/>
        </w:rPr>
        <w:t>.</w:t>
      </w:r>
    </w:p>
    <w:p w14:paraId="11B7E214" w14:textId="64CA7728" w:rsidR="00D85EF7" w:rsidRPr="00434074" w:rsidRDefault="00D85EF7" w:rsidP="00D85EF7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12.</w:t>
      </w:r>
      <w:r w:rsidR="00434074" w:rsidRPr="00434074">
        <w:rPr>
          <w:color w:val="FF0000"/>
        </w:rPr>
        <w:t>10</w:t>
      </w:r>
      <w:r w:rsidRPr="00434074">
        <w:rPr>
          <w:color w:val="FF0000"/>
        </w:rPr>
        <w:t xml:space="preserve">. </w:t>
      </w:r>
      <w:r w:rsidRPr="00434074">
        <w:rPr>
          <w:color w:val="FF0000"/>
        </w:rPr>
        <w:tab/>
        <w:t xml:space="preserve">Until 1 September </w:t>
      </w:r>
      <w:r w:rsidR="00D364A9">
        <w:rPr>
          <w:color w:val="FF0000"/>
        </w:rPr>
        <w:t>[</w:t>
      </w:r>
      <w:r w:rsidRPr="00434074">
        <w:rPr>
          <w:color w:val="FF0000"/>
        </w:rPr>
        <w:t>202</w:t>
      </w:r>
      <w:r w:rsidR="00574C78">
        <w:rPr>
          <w:color w:val="FF0000"/>
        </w:rPr>
        <w:t>8</w:t>
      </w:r>
      <w:r w:rsidR="00D364A9">
        <w:rPr>
          <w:color w:val="FF0000"/>
        </w:rPr>
        <w:t>]</w:t>
      </w:r>
      <w:r w:rsidRPr="00434074">
        <w:rPr>
          <w:color w:val="FF0000"/>
        </w:rPr>
        <w:t xml:space="preserve">, Contracting Parties applying this Regulation shall accept type approvals to the preceding series of amendments, first issued before 1 September </w:t>
      </w:r>
      <w:r w:rsidR="00D364A9">
        <w:rPr>
          <w:color w:val="FF0000"/>
        </w:rPr>
        <w:t>[</w:t>
      </w:r>
      <w:r w:rsidRPr="00434074">
        <w:rPr>
          <w:color w:val="FF0000"/>
        </w:rPr>
        <w:t>202</w:t>
      </w:r>
      <w:r w:rsidR="00EF00F6">
        <w:rPr>
          <w:color w:val="FF0000"/>
        </w:rPr>
        <w:t>4</w:t>
      </w:r>
      <w:r w:rsidR="00D364A9">
        <w:rPr>
          <w:color w:val="FF0000"/>
        </w:rPr>
        <w:t>]</w:t>
      </w:r>
      <w:r w:rsidRPr="00434074">
        <w:rPr>
          <w:color w:val="FF0000"/>
        </w:rPr>
        <w:t>.</w:t>
      </w:r>
    </w:p>
    <w:p w14:paraId="0D8086D4" w14:textId="277BFFA5" w:rsidR="00D85EF7" w:rsidRPr="00434074" w:rsidRDefault="00D85EF7" w:rsidP="00434074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12.</w:t>
      </w:r>
      <w:r w:rsidR="00434074" w:rsidRPr="00434074">
        <w:rPr>
          <w:color w:val="FF0000"/>
        </w:rPr>
        <w:t>11</w:t>
      </w:r>
      <w:r w:rsidRPr="00434074">
        <w:rPr>
          <w:color w:val="FF0000"/>
        </w:rPr>
        <w:t xml:space="preserve">. </w:t>
      </w:r>
      <w:r w:rsidRPr="00434074">
        <w:rPr>
          <w:color w:val="FF0000"/>
        </w:rPr>
        <w:tab/>
        <w:t xml:space="preserve">As from 1 September </w:t>
      </w:r>
      <w:r w:rsidR="00D364A9">
        <w:rPr>
          <w:color w:val="FF0000"/>
        </w:rPr>
        <w:t>[</w:t>
      </w:r>
      <w:r w:rsidRPr="00434074">
        <w:rPr>
          <w:color w:val="FF0000"/>
        </w:rPr>
        <w:t>202</w:t>
      </w:r>
      <w:r w:rsidR="00574C78">
        <w:rPr>
          <w:color w:val="FF0000"/>
        </w:rPr>
        <w:t>8</w:t>
      </w:r>
      <w:r w:rsidR="00D364A9">
        <w:rPr>
          <w:color w:val="FF0000"/>
        </w:rPr>
        <w:t>]</w:t>
      </w:r>
      <w:r w:rsidRPr="00434074">
        <w:rPr>
          <w:color w:val="FF0000"/>
        </w:rPr>
        <w:t>, Contracting Parties applying this Regulation shall not be obliged to accept</w:t>
      </w:r>
      <w:r w:rsidR="00434074" w:rsidRPr="00434074">
        <w:rPr>
          <w:color w:val="FF0000"/>
        </w:rPr>
        <w:t xml:space="preserve"> </w:t>
      </w:r>
      <w:r w:rsidRPr="00434074">
        <w:rPr>
          <w:color w:val="FF0000"/>
        </w:rPr>
        <w:t>type approvals issued to the preceding series of amendments to this Regulation.</w:t>
      </w:r>
    </w:p>
    <w:p w14:paraId="16631073" w14:textId="2700B58C" w:rsidR="00D85EF7" w:rsidRPr="00434074" w:rsidRDefault="00D85EF7" w:rsidP="00434074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12.</w:t>
      </w:r>
      <w:r w:rsidR="00434074" w:rsidRPr="00434074">
        <w:rPr>
          <w:color w:val="FF0000"/>
        </w:rPr>
        <w:t>12</w:t>
      </w:r>
      <w:r w:rsidRPr="00434074">
        <w:rPr>
          <w:color w:val="FF0000"/>
        </w:rPr>
        <w:t xml:space="preserve">. </w:t>
      </w:r>
      <w:r w:rsidR="00434074" w:rsidRPr="00434074">
        <w:rPr>
          <w:color w:val="FF0000"/>
        </w:rPr>
        <w:tab/>
      </w:r>
      <w:r w:rsidRPr="00434074">
        <w:rPr>
          <w:color w:val="FF0000"/>
        </w:rPr>
        <w:t>Notwithstanding paragraph 12.</w:t>
      </w:r>
      <w:r w:rsidR="00D364A9">
        <w:rPr>
          <w:color w:val="FF0000"/>
        </w:rPr>
        <w:t>11</w:t>
      </w:r>
      <w:r w:rsidRPr="00434074">
        <w:rPr>
          <w:color w:val="FF0000"/>
        </w:rPr>
        <w:t>., Contracting Parties applying this Regulation shall continue to accept</w:t>
      </w:r>
      <w:r w:rsidR="00434074" w:rsidRPr="00434074">
        <w:rPr>
          <w:color w:val="FF0000"/>
        </w:rPr>
        <w:t xml:space="preserve"> </w:t>
      </w:r>
      <w:r w:rsidRPr="00434074">
        <w:rPr>
          <w:color w:val="FF0000"/>
        </w:rPr>
        <w:t>type approvals issued according to the preceding series of amendments to this Regulation, for the vehicles which</w:t>
      </w:r>
      <w:r w:rsidR="00434074" w:rsidRPr="00434074">
        <w:rPr>
          <w:color w:val="FF0000"/>
        </w:rPr>
        <w:t xml:space="preserve"> </w:t>
      </w:r>
      <w:r w:rsidRPr="00434074">
        <w:rPr>
          <w:color w:val="FF0000"/>
        </w:rPr>
        <w:t>are not affected by the changes introduced by the 1</w:t>
      </w:r>
      <w:r w:rsidR="00D364A9">
        <w:rPr>
          <w:color w:val="FF0000"/>
        </w:rPr>
        <w:t>3</w:t>
      </w:r>
      <w:r w:rsidRPr="00434074">
        <w:rPr>
          <w:color w:val="FF0000"/>
        </w:rPr>
        <w:t xml:space="preserve"> series of amendments.</w:t>
      </w:r>
    </w:p>
    <w:p w14:paraId="0E0AA6A6" w14:textId="01C58A32" w:rsidR="00D85EF7" w:rsidRPr="00434074" w:rsidRDefault="00D85EF7" w:rsidP="00434074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t>12.</w:t>
      </w:r>
      <w:r w:rsidR="00434074" w:rsidRPr="00434074">
        <w:rPr>
          <w:color w:val="FF0000"/>
        </w:rPr>
        <w:t>13</w:t>
      </w:r>
      <w:r w:rsidRPr="00434074">
        <w:rPr>
          <w:color w:val="FF0000"/>
        </w:rPr>
        <w:t xml:space="preserve">. </w:t>
      </w:r>
      <w:r w:rsidR="00434074" w:rsidRPr="00434074">
        <w:rPr>
          <w:color w:val="FF0000"/>
        </w:rPr>
        <w:tab/>
      </w:r>
      <w:r w:rsidRPr="00434074">
        <w:rPr>
          <w:color w:val="FF0000"/>
        </w:rPr>
        <w:t>Contracting Parties applying this Regulation may grant type approvals according to any preceding series</w:t>
      </w:r>
      <w:r w:rsidR="00434074" w:rsidRPr="00434074">
        <w:rPr>
          <w:color w:val="FF0000"/>
        </w:rPr>
        <w:t xml:space="preserve"> </w:t>
      </w:r>
      <w:r w:rsidRPr="00434074">
        <w:rPr>
          <w:color w:val="FF0000"/>
        </w:rPr>
        <w:t>of amendments to this Regulation.</w:t>
      </w:r>
    </w:p>
    <w:p w14:paraId="52E8EACE" w14:textId="2E0AFA01" w:rsidR="00D85EF7" w:rsidRPr="00434074" w:rsidRDefault="00D85EF7" w:rsidP="00434074">
      <w:pPr>
        <w:pStyle w:val="SingleTxtG"/>
        <w:tabs>
          <w:tab w:val="clear" w:pos="1701"/>
        </w:tabs>
        <w:ind w:left="2268" w:hanging="1134"/>
        <w:jc w:val="both"/>
        <w:rPr>
          <w:color w:val="FF0000"/>
        </w:rPr>
      </w:pPr>
      <w:r w:rsidRPr="00434074">
        <w:rPr>
          <w:color w:val="FF0000"/>
        </w:rPr>
        <w:lastRenderedPageBreak/>
        <w:t>12.</w:t>
      </w:r>
      <w:r w:rsidR="00434074" w:rsidRPr="00434074">
        <w:rPr>
          <w:color w:val="FF0000"/>
        </w:rPr>
        <w:t>14</w:t>
      </w:r>
      <w:r w:rsidRPr="00434074">
        <w:rPr>
          <w:color w:val="FF0000"/>
        </w:rPr>
        <w:t xml:space="preserve">. </w:t>
      </w:r>
      <w:r w:rsidR="00434074" w:rsidRPr="00434074">
        <w:rPr>
          <w:color w:val="FF0000"/>
        </w:rPr>
        <w:tab/>
      </w:r>
      <w:r w:rsidRPr="00434074">
        <w:rPr>
          <w:color w:val="FF0000"/>
        </w:rPr>
        <w:t>Contracting Parties applying this Regulation shall continue to grant extensions of existing approvals to</w:t>
      </w:r>
      <w:r w:rsidR="00434074" w:rsidRPr="00434074">
        <w:rPr>
          <w:color w:val="FF0000"/>
        </w:rPr>
        <w:t xml:space="preserve"> </w:t>
      </w:r>
      <w:r w:rsidRPr="00434074">
        <w:rPr>
          <w:color w:val="FF0000"/>
        </w:rPr>
        <w:t>any preceding series of amendments to this Regulation.</w:t>
      </w:r>
      <w:r w:rsidR="00434074" w:rsidRPr="00434074">
        <w:rPr>
          <w:color w:val="FF0000"/>
        </w:rPr>
        <w:t>”</w:t>
      </w:r>
    </w:p>
    <w:p w14:paraId="290E856F" w14:textId="77777777" w:rsidR="00AA5C3A" w:rsidRPr="003B5622" w:rsidRDefault="00AA5C3A" w:rsidP="00AA5C3A">
      <w:pPr>
        <w:spacing w:line="200" w:lineRule="exact"/>
        <w:rPr>
          <w:lang w:val="en-GB"/>
        </w:rPr>
      </w:pPr>
    </w:p>
    <w:p w14:paraId="0216B4F9" w14:textId="174606AA" w:rsidR="00AA5C3A" w:rsidRDefault="00AA5C3A" w:rsidP="00354BB8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r w:rsidRPr="003B5622">
        <w:rPr>
          <w:b/>
          <w:bCs/>
          <w:spacing w:val="1"/>
          <w:lang w:val="en-GB"/>
        </w:rPr>
        <w:t>Justification</w:t>
      </w:r>
    </w:p>
    <w:p w14:paraId="34B4820E" w14:textId="7DBA9256" w:rsidR="002B42F5" w:rsidRPr="001258AF" w:rsidRDefault="00732EC0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See </w:t>
      </w:r>
      <w:r w:rsidRP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ECE-TRANS-WP29-GRVA-2022-14</w:t>
      </w:r>
      <w:r w:rsidR="00C7367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, this updated proposal refer</w:t>
      </w:r>
      <w:r w:rsidR="00671FA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</w:t>
      </w:r>
      <w:r w:rsidR="00C7367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to comments from GRVA experts during session 12 regarding potential misunderstanding on </w:t>
      </w:r>
      <w:r w:rsidR="00671FA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vehicles targeted.</w:t>
      </w:r>
      <w:r w:rsidR="00EF00F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This scope is larger than previous proposal in order to be sure that each N3 4 axles chassis, whatever their bodywork in second step (notably concrete mixer), will be concerned by this requirement.</w:t>
      </w:r>
      <w:r w:rsidR="00C92AF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Transitional provisions are provided to ensure timing for industry to implement on concerned vehicles, with 4 years between application for new approvals and all approvals.</w:t>
      </w:r>
    </w:p>
    <w:p w14:paraId="5ACE4C78" w14:textId="77777777" w:rsidR="00BF0811" w:rsidRDefault="00BF0811" w:rsidP="00BF0811">
      <w:pPr>
        <w:spacing w:after="0"/>
        <w:ind w:left="360"/>
        <w:jc w:val="center"/>
        <w:rPr>
          <w:u w:val="single"/>
          <w:lang w:val="en-GB"/>
        </w:rPr>
      </w:pPr>
      <w:bookmarkStart w:id="1" w:name="_Hlk69118286"/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bookmarkEnd w:id="1"/>
    </w:p>
    <w:p w14:paraId="444C8D36" w14:textId="77777777" w:rsidR="002B42F5" w:rsidRPr="001258AF" w:rsidRDefault="002B42F5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sectPr w:rsidR="002B42F5" w:rsidRPr="001258AF" w:rsidSect="00971319">
      <w:headerReference w:type="first" r:id="rId14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6249" w14:textId="77777777" w:rsidR="00675805" w:rsidRDefault="00675805" w:rsidP="00C70542">
      <w:pPr>
        <w:spacing w:after="0" w:line="240" w:lineRule="auto"/>
      </w:pPr>
      <w:r>
        <w:separator/>
      </w:r>
    </w:p>
  </w:endnote>
  <w:endnote w:type="continuationSeparator" w:id="0">
    <w:p w14:paraId="53C81EDB" w14:textId="77777777" w:rsidR="00675805" w:rsidRDefault="00675805" w:rsidP="00C70542">
      <w:pPr>
        <w:spacing w:after="0" w:line="240" w:lineRule="auto"/>
      </w:pPr>
      <w:r>
        <w:continuationSeparator/>
      </w:r>
    </w:p>
  </w:endnote>
  <w:endnote w:type="continuationNotice" w:id="1">
    <w:p w14:paraId="29E4ED08" w14:textId="77777777" w:rsidR="00675805" w:rsidRDefault="00675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45DB" w14:textId="77777777" w:rsidR="00675805" w:rsidRDefault="00675805" w:rsidP="00C70542">
      <w:pPr>
        <w:spacing w:after="0" w:line="240" w:lineRule="auto"/>
      </w:pPr>
      <w:r>
        <w:separator/>
      </w:r>
    </w:p>
  </w:footnote>
  <w:footnote w:type="continuationSeparator" w:id="0">
    <w:p w14:paraId="43B6B250" w14:textId="77777777" w:rsidR="00675805" w:rsidRDefault="00675805" w:rsidP="00C70542">
      <w:pPr>
        <w:spacing w:after="0" w:line="240" w:lineRule="auto"/>
      </w:pPr>
      <w:r>
        <w:continuationSeparator/>
      </w:r>
    </w:p>
  </w:footnote>
  <w:footnote w:type="continuationNotice" w:id="1">
    <w:p w14:paraId="7B9E7D8E" w14:textId="77777777" w:rsidR="00675805" w:rsidRDefault="00675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1AC" w14:textId="10E115F6" w:rsidR="005A3BD3" w:rsidRPr="0040534F" w:rsidRDefault="005A3BD3" w:rsidP="00B45E09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 by the expert</w:t>
    </w:r>
    <w:r w:rsidRPr="0040534F">
      <w:rPr>
        <w:rFonts w:ascii="Times New Roman" w:hAnsi="Times New Roman" w:cs="Times New Roman"/>
        <w:lang w:val="en-IN"/>
      </w:rPr>
      <w:t xml:space="preserve"> </w:t>
    </w:r>
    <w:r w:rsidR="00AC56D3">
      <w:rPr>
        <w:rFonts w:ascii="Times New Roman" w:hAnsi="Times New Roman" w:cs="Times New Roman"/>
        <w:lang w:val="en-IN"/>
      </w:rPr>
      <w:t xml:space="preserve">from </w:t>
    </w:r>
    <w:r w:rsidR="00B5650D">
      <w:rPr>
        <w:rFonts w:ascii="Times New Roman" w:hAnsi="Times New Roman" w:cs="Times New Roman"/>
        <w:lang w:val="en-IN"/>
      </w:rPr>
      <w:t>France</w:t>
    </w:r>
    <w:r w:rsidRPr="0040534F">
      <w:rPr>
        <w:rFonts w:ascii="Times New Roman" w:hAnsi="Times New Roman" w:cs="Times New Roman"/>
        <w:lang w:val="en-IN"/>
      </w:rPr>
      <w:tab/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>
      <w:rPr>
        <w:rFonts w:ascii="Times New Roman" w:hAnsi="Times New Roman" w:cs="Times New Roman"/>
        <w:b/>
        <w:bCs/>
        <w:lang w:val="en-IN"/>
      </w:rPr>
      <w:t>GR</w:t>
    </w:r>
    <w:r w:rsidR="00B5650D">
      <w:rPr>
        <w:rFonts w:ascii="Times New Roman" w:hAnsi="Times New Roman" w:cs="Times New Roman"/>
        <w:b/>
        <w:bCs/>
        <w:lang w:val="en-IN"/>
      </w:rPr>
      <w:t>VA</w:t>
    </w:r>
    <w:r>
      <w:rPr>
        <w:rFonts w:ascii="Times New Roman" w:hAnsi="Times New Roman" w:cs="Times New Roman"/>
        <w:b/>
        <w:bCs/>
        <w:lang w:val="en-IN"/>
      </w:rPr>
      <w:t>-1</w:t>
    </w:r>
    <w:r w:rsidR="008A7510">
      <w:rPr>
        <w:rFonts w:ascii="Times New Roman" w:hAnsi="Times New Roman" w:cs="Times New Roman"/>
        <w:b/>
        <w:bCs/>
        <w:lang w:val="en-IN"/>
      </w:rPr>
      <w:t>3</w:t>
    </w:r>
    <w:r>
      <w:rPr>
        <w:rFonts w:ascii="Times New Roman" w:hAnsi="Times New Roman" w:cs="Times New Roman"/>
        <w:b/>
        <w:bCs/>
        <w:lang w:val="en-IN"/>
      </w:rPr>
      <w:t>-</w:t>
    </w:r>
    <w:r w:rsidR="00AC56D3">
      <w:rPr>
        <w:rFonts w:ascii="Times New Roman" w:hAnsi="Times New Roman" w:cs="Times New Roman"/>
        <w:b/>
        <w:bCs/>
        <w:lang w:val="en-IN"/>
      </w:rPr>
      <w:t>39</w:t>
    </w:r>
    <w:r w:rsidRPr="0040534F">
      <w:rPr>
        <w:rFonts w:ascii="Times New Roman" w:hAnsi="Times New Roman" w:cs="Times New Roman"/>
        <w:lang w:val="en-IN"/>
      </w:rPr>
      <w:br/>
    </w:r>
    <w:r>
      <w:rPr>
        <w:rFonts w:ascii="Times New Roman" w:hAnsi="Times New Roman" w:cs="Times New Roman"/>
        <w:lang w:val="en-IN"/>
      </w:rPr>
      <w:t>1</w:t>
    </w:r>
    <w:r w:rsidR="008A7510">
      <w:rPr>
        <w:rFonts w:ascii="Times New Roman" w:hAnsi="Times New Roman" w:cs="Times New Roman"/>
        <w:lang w:val="en-IN"/>
      </w:rPr>
      <w:t>3</w:t>
    </w:r>
    <w:r w:rsidR="00AC56D3" w:rsidRPr="00AC56D3">
      <w:rPr>
        <w:rFonts w:ascii="Times New Roman" w:hAnsi="Times New Roman" w:cs="Times New Roman"/>
        <w:vertAlign w:val="superscript"/>
        <w:lang w:val="en-IN"/>
      </w:rPr>
      <w:t>th</w:t>
    </w:r>
    <w:r>
      <w:rPr>
        <w:rFonts w:ascii="Times New Roman" w:hAnsi="Times New Roman" w:cs="Times New Roman"/>
        <w:lang w:val="en-IN"/>
      </w:rPr>
      <w:t xml:space="preserve"> GR</w:t>
    </w:r>
    <w:r w:rsidR="00B5650D">
      <w:rPr>
        <w:rFonts w:ascii="Times New Roman" w:hAnsi="Times New Roman" w:cs="Times New Roman"/>
        <w:lang w:val="en-IN"/>
      </w:rPr>
      <w:t>VA</w:t>
    </w:r>
    <w:r w:rsidRPr="0040534F">
      <w:rPr>
        <w:rFonts w:ascii="Times New Roman" w:hAnsi="Times New Roman" w:cs="Times New Roman"/>
        <w:lang w:val="en-IN"/>
      </w:rPr>
      <w:t xml:space="preserve">, </w:t>
    </w:r>
    <w:r w:rsidR="00014292">
      <w:rPr>
        <w:rFonts w:ascii="Times New Roman" w:hAnsi="Times New Roman" w:cs="Times New Roman"/>
        <w:lang w:val="en-IN"/>
      </w:rPr>
      <w:t>2</w:t>
    </w:r>
    <w:r w:rsidR="008A7510">
      <w:rPr>
        <w:rFonts w:ascii="Times New Roman" w:hAnsi="Times New Roman" w:cs="Times New Roman"/>
        <w:lang w:val="en-IN"/>
      </w:rPr>
      <w:t>3</w:t>
    </w:r>
    <w:r>
      <w:rPr>
        <w:rFonts w:ascii="Times New Roman" w:hAnsi="Times New Roman" w:cs="Times New Roman"/>
        <w:lang w:val="en-IN"/>
      </w:rPr>
      <w:t>–</w:t>
    </w:r>
    <w:r w:rsidR="00014292">
      <w:rPr>
        <w:rFonts w:ascii="Times New Roman" w:hAnsi="Times New Roman" w:cs="Times New Roman"/>
        <w:lang w:val="en-IN"/>
      </w:rPr>
      <w:t>2</w:t>
    </w:r>
    <w:r w:rsidR="008A7510">
      <w:rPr>
        <w:rFonts w:ascii="Times New Roman" w:hAnsi="Times New Roman" w:cs="Times New Roman"/>
        <w:lang w:val="en-IN"/>
      </w:rPr>
      <w:t>7 May</w:t>
    </w:r>
    <w:r>
      <w:rPr>
        <w:rFonts w:ascii="Times New Roman" w:hAnsi="Times New Roman" w:cs="Times New Roman"/>
        <w:lang w:val="en-IN"/>
      </w:rPr>
      <w:t xml:space="preserve"> 202</w:t>
    </w:r>
    <w:r w:rsidR="00014292">
      <w:rPr>
        <w:rFonts w:ascii="Times New Roman" w:hAnsi="Times New Roman" w:cs="Times New Roman"/>
        <w:lang w:val="en-IN"/>
      </w:rPr>
      <w:t>2</w:t>
    </w:r>
  </w:p>
  <w:p w14:paraId="4E01B934" w14:textId="715649FA" w:rsidR="005A3BD3" w:rsidRPr="0040534F" w:rsidRDefault="00AC56D3" w:rsidP="00B45E0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IN"/>
      </w:rPr>
      <w:t>Provisional a</w:t>
    </w:r>
    <w:r w:rsidR="005A3BD3" w:rsidRPr="0040534F">
      <w:rPr>
        <w:rFonts w:ascii="Times New Roman" w:hAnsi="Times New Roman" w:cs="Times New Roman"/>
        <w:lang w:val="en-IN"/>
      </w:rPr>
      <w:t>genda item</w:t>
    </w:r>
    <w:r w:rsidR="00C32222">
      <w:rPr>
        <w:rFonts w:ascii="Times New Roman" w:hAnsi="Times New Roman" w:cs="Times New Roman"/>
        <w:lang w:val="en-IN"/>
      </w:rPr>
      <w:t xml:space="preserve"> </w:t>
    </w:r>
    <w:r w:rsidR="002B1D44">
      <w:rPr>
        <w:rFonts w:ascii="Times New Roman" w:hAnsi="Times New Roman" w:cs="Times New Roman"/>
        <w:lang w:val="en-IN"/>
      </w:rPr>
      <w:t>8</w:t>
    </w:r>
    <w:r w:rsidR="007B4F98">
      <w:rPr>
        <w:rFonts w:ascii="Times New Roman" w:hAnsi="Times New Roman" w:cs="Times New Roman"/>
        <w:lang w:val="en-IN"/>
      </w:rPr>
      <w:t>(a)</w:t>
    </w:r>
    <w:r w:rsidR="005A3BD3"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F0B"/>
    <w:multiLevelType w:val="hybridMultilevel"/>
    <w:tmpl w:val="77D45B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F058C"/>
    <w:multiLevelType w:val="hybridMultilevel"/>
    <w:tmpl w:val="F4DC3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12A93"/>
    <w:rsid w:val="00012EFF"/>
    <w:rsid w:val="00014292"/>
    <w:rsid w:val="000308FA"/>
    <w:rsid w:val="000441AC"/>
    <w:rsid w:val="00045325"/>
    <w:rsid w:val="0007763C"/>
    <w:rsid w:val="0009473E"/>
    <w:rsid w:val="000E3485"/>
    <w:rsid w:val="000F6D3E"/>
    <w:rsid w:val="001075F5"/>
    <w:rsid w:val="00121E1D"/>
    <w:rsid w:val="001258AF"/>
    <w:rsid w:val="00143BE4"/>
    <w:rsid w:val="00153D5D"/>
    <w:rsid w:val="00162330"/>
    <w:rsid w:val="00162B46"/>
    <w:rsid w:val="00173F49"/>
    <w:rsid w:val="00185C64"/>
    <w:rsid w:val="00187818"/>
    <w:rsid w:val="001A216E"/>
    <w:rsid w:val="001C6645"/>
    <w:rsid w:val="001F6E79"/>
    <w:rsid w:val="0023264A"/>
    <w:rsid w:val="0024075C"/>
    <w:rsid w:val="00240EE3"/>
    <w:rsid w:val="00243801"/>
    <w:rsid w:val="002478EF"/>
    <w:rsid w:val="0025434C"/>
    <w:rsid w:val="00291612"/>
    <w:rsid w:val="002A276C"/>
    <w:rsid w:val="002A3932"/>
    <w:rsid w:val="002B1D44"/>
    <w:rsid w:val="002B42F5"/>
    <w:rsid w:val="002C344A"/>
    <w:rsid w:val="002F0ABF"/>
    <w:rsid w:val="003105F3"/>
    <w:rsid w:val="00316472"/>
    <w:rsid w:val="0032069B"/>
    <w:rsid w:val="003439E2"/>
    <w:rsid w:val="00354BB8"/>
    <w:rsid w:val="00360F8F"/>
    <w:rsid w:val="003613BA"/>
    <w:rsid w:val="003A399B"/>
    <w:rsid w:val="003F7D64"/>
    <w:rsid w:val="00401083"/>
    <w:rsid w:val="0040534F"/>
    <w:rsid w:val="00434074"/>
    <w:rsid w:val="004424C6"/>
    <w:rsid w:val="00464032"/>
    <w:rsid w:val="004C4851"/>
    <w:rsid w:val="00511401"/>
    <w:rsid w:val="0051433C"/>
    <w:rsid w:val="005276F4"/>
    <w:rsid w:val="00531DB4"/>
    <w:rsid w:val="00541B24"/>
    <w:rsid w:val="00544587"/>
    <w:rsid w:val="00560B72"/>
    <w:rsid w:val="00574C78"/>
    <w:rsid w:val="00582FDE"/>
    <w:rsid w:val="005A3BD3"/>
    <w:rsid w:val="005F0914"/>
    <w:rsid w:val="006001AC"/>
    <w:rsid w:val="006053D4"/>
    <w:rsid w:val="00630A13"/>
    <w:rsid w:val="00643650"/>
    <w:rsid w:val="00664006"/>
    <w:rsid w:val="00671FA4"/>
    <w:rsid w:val="00675805"/>
    <w:rsid w:val="0069201A"/>
    <w:rsid w:val="006B7605"/>
    <w:rsid w:val="006C7FCB"/>
    <w:rsid w:val="00725074"/>
    <w:rsid w:val="00731AF0"/>
    <w:rsid w:val="007324A6"/>
    <w:rsid w:val="00732EC0"/>
    <w:rsid w:val="00751B94"/>
    <w:rsid w:val="007520BE"/>
    <w:rsid w:val="00767DEB"/>
    <w:rsid w:val="00795F54"/>
    <w:rsid w:val="0079756A"/>
    <w:rsid w:val="007B4F98"/>
    <w:rsid w:val="007C5F69"/>
    <w:rsid w:val="007C6F70"/>
    <w:rsid w:val="007D4ED3"/>
    <w:rsid w:val="007E7B86"/>
    <w:rsid w:val="007F0A61"/>
    <w:rsid w:val="00820BAD"/>
    <w:rsid w:val="008278FE"/>
    <w:rsid w:val="00827B91"/>
    <w:rsid w:val="00836DD6"/>
    <w:rsid w:val="008407DA"/>
    <w:rsid w:val="00845BBF"/>
    <w:rsid w:val="00847DF8"/>
    <w:rsid w:val="0085562A"/>
    <w:rsid w:val="00866FFD"/>
    <w:rsid w:val="0087677E"/>
    <w:rsid w:val="00877765"/>
    <w:rsid w:val="00885FF5"/>
    <w:rsid w:val="008863A3"/>
    <w:rsid w:val="008865EE"/>
    <w:rsid w:val="008932BC"/>
    <w:rsid w:val="00897F84"/>
    <w:rsid w:val="008A2471"/>
    <w:rsid w:val="008A2C65"/>
    <w:rsid w:val="008A7510"/>
    <w:rsid w:val="008C736E"/>
    <w:rsid w:val="008D2160"/>
    <w:rsid w:val="008D70CC"/>
    <w:rsid w:val="008E2639"/>
    <w:rsid w:val="008E4233"/>
    <w:rsid w:val="008F12C0"/>
    <w:rsid w:val="008F7672"/>
    <w:rsid w:val="00900A06"/>
    <w:rsid w:val="00911324"/>
    <w:rsid w:val="00912914"/>
    <w:rsid w:val="00926312"/>
    <w:rsid w:val="00936755"/>
    <w:rsid w:val="00941CBA"/>
    <w:rsid w:val="00954F22"/>
    <w:rsid w:val="00971319"/>
    <w:rsid w:val="009914B0"/>
    <w:rsid w:val="00993AFB"/>
    <w:rsid w:val="00994D9B"/>
    <w:rsid w:val="009B375C"/>
    <w:rsid w:val="009B63B7"/>
    <w:rsid w:val="009B7486"/>
    <w:rsid w:val="009C0E3E"/>
    <w:rsid w:val="00A00EF2"/>
    <w:rsid w:val="00A03709"/>
    <w:rsid w:val="00A05A27"/>
    <w:rsid w:val="00A10E52"/>
    <w:rsid w:val="00A1248B"/>
    <w:rsid w:val="00A23816"/>
    <w:rsid w:val="00A26282"/>
    <w:rsid w:val="00A37CE0"/>
    <w:rsid w:val="00A40257"/>
    <w:rsid w:val="00A45334"/>
    <w:rsid w:val="00A61C3E"/>
    <w:rsid w:val="00A62A1A"/>
    <w:rsid w:val="00A81789"/>
    <w:rsid w:val="00A96F38"/>
    <w:rsid w:val="00AA0DD2"/>
    <w:rsid w:val="00AA5C3A"/>
    <w:rsid w:val="00AB20DA"/>
    <w:rsid w:val="00AB48BB"/>
    <w:rsid w:val="00AC56D3"/>
    <w:rsid w:val="00AD0571"/>
    <w:rsid w:val="00AE1A71"/>
    <w:rsid w:val="00AF2884"/>
    <w:rsid w:val="00B0613F"/>
    <w:rsid w:val="00B21D07"/>
    <w:rsid w:val="00B24EE2"/>
    <w:rsid w:val="00B341FF"/>
    <w:rsid w:val="00B37F79"/>
    <w:rsid w:val="00B44822"/>
    <w:rsid w:val="00B45E09"/>
    <w:rsid w:val="00B461B4"/>
    <w:rsid w:val="00B5650D"/>
    <w:rsid w:val="00B5677D"/>
    <w:rsid w:val="00B70504"/>
    <w:rsid w:val="00B72B33"/>
    <w:rsid w:val="00BB467E"/>
    <w:rsid w:val="00BD0194"/>
    <w:rsid w:val="00BD63FD"/>
    <w:rsid w:val="00BF0811"/>
    <w:rsid w:val="00BF5F7C"/>
    <w:rsid w:val="00C019E4"/>
    <w:rsid w:val="00C1437A"/>
    <w:rsid w:val="00C17DF5"/>
    <w:rsid w:val="00C215D3"/>
    <w:rsid w:val="00C30E4C"/>
    <w:rsid w:val="00C32222"/>
    <w:rsid w:val="00C32574"/>
    <w:rsid w:val="00C47460"/>
    <w:rsid w:val="00C6545B"/>
    <w:rsid w:val="00C66272"/>
    <w:rsid w:val="00C70542"/>
    <w:rsid w:val="00C7367E"/>
    <w:rsid w:val="00C8637D"/>
    <w:rsid w:val="00C92AF8"/>
    <w:rsid w:val="00CA5A0C"/>
    <w:rsid w:val="00CB4394"/>
    <w:rsid w:val="00CF06B0"/>
    <w:rsid w:val="00CF5901"/>
    <w:rsid w:val="00CF6A99"/>
    <w:rsid w:val="00D02128"/>
    <w:rsid w:val="00D1228E"/>
    <w:rsid w:val="00D3230E"/>
    <w:rsid w:val="00D364A9"/>
    <w:rsid w:val="00D36A09"/>
    <w:rsid w:val="00D5147B"/>
    <w:rsid w:val="00D80A86"/>
    <w:rsid w:val="00D85EF7"/>
    <w:rsid w:val="00DA44C7"/>
    <w:rsid w:val="00DC4804"/>
    <w:rsid w:val="00DD27C1"/>
    <w:rsid w:val="00DD2B0B"/>
    <w:rsid w:val="00E01EF0"/>
    <w:rsid w:val="00E129DF"/>
    <w:rsid w:val="00E36174"/>
    <w:rsid w:val="00E502C5"/>
    <w:rsid w:val="00E51D2E"/>
    <w:rsid w:val="00E7385D"/>
    <w:rsid w:val="00E75224"/>
    <w:rsid w:val="00EA31A7"/>
    <w:rsid w:val="00EA6769"/>
    <w:rsid w:val="00EC067A"/>
    <w:rsid w:val="00EC26F7"/>
    <w:rsid w:val="00EC37D8"/>
    <w:rsid w:val="00ED079F"/>
    <w:rsid w:val="00ED551A"/>
    <w:rsid w:val="00EF00F6"/>
    <w:rsid w:val="00EF7D95"/>
    <w:rsid w:val="00F06406"/>
    <w:rsid w:val="00F13DF0"/>
    <w:rsid w:val="00F444F1"/>
    <w:rsid w:val="00F57148"/>
    <w:rsid w:val="00F6132E"/>
    <w:rsid w:val="00F75D3D"/>
    <w:rsid w:val="00F91937"/>
    <w:rsid w:val="00F95658"/>
    <w:rsid w:val="00FA431F"/>
    <w:rsid w:val="00FC2CDB"/>
    <w:rsid w:val="00FC363F"/>
    <w:rsid w:val="00FD34EF"/>
    <w:rsid w:val="00FE587B"/>
    <w:rsid w:val="00FF10CC"/>
    <w:rsid w:val="113BE24A"/>
    <w:rsid w:val="1ABA2804"/>
    <w:rsid w:val="1DBFAE4A"/>
    <w:rsid w:val="1E5FB33C"/>
    <w:rsid w:val="2DE952DE"/>
    <w:rsid w:val="2F219608"/>
    <w:rsid w:val="3791F488"/>
    <w:rsid w:val="389E9BC5"/>
    <w:rsid w:val="3C3C3662"/>
    <w:rsid w:val="469E018A"/>
    <w:rsid w:val="6B419A5D"/>
    <w:rsid w:val="739B63FB"/>
    <w:rsid w:val="74106D20"/>
    <w:rsid w:val="7548BC21"/>
    <w:rsid w:val="7C2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FF2A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993A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993A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993A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2916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uiPriority w:val="99"/>
    <w:rsid w:val="0029161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DC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ceonline.utac.com/index.php/en/note/show/note_title/A0_S5_2_1_32_F1/q/164148382736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ceonline.utac.com/index.php/en/note/show/note_title/A0_S5_2_1_32_F1/q/164148382736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ceonline.utac.com/index.php/en/note/show/note_title/A0_S5_2_1_32_F1/q/164148382736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A3258-2617-4156-9621-2218B27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07F83-FC48-45C6-BDA0-3BCD42A22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514D9-B6DB-43D9-9875-0F1F7FED9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0AC9A-2FF7-4CB4-946A-B931E2042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Laura Mueller</cp:lastModifiedBy>
  <cp:revision>6</cp:revision>
  <dcterms:created xsi:type="dcterms:W3CDTF">2022-05-23T08:54:00Z</dcterms:created>
  <dcterms:modified xsi:type="dcterms:W3CDTF">2022-05-23T12:46:00Z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