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4909" w14:textId="74C04AF6" w:rsidR="00A777B9" w:rsidRPr="00F151F6" w:rsidRDefault="00A777B9" w:rsidP="00493B5C">
      <w:pPr>
        <w:spacing w:before="240" w:after="240"/>
        <w:rPr>
          <w:b/>
          <w:bCs/>
          <w:sz w:val="28"/>
          <w:szCs w:val="28"/>
        </w:rPr>
      </w:pPr>
      <w:r w:rsidRPr="00F151F6">
        <w:rPr>
          <w:rFonts w:ascii="Segoe UI" w:hAnsi="Segoe UI" w:cs="Segoe UI"/>
          <w:b/>
          <w:bCs/>
          <w:color w:val="242424"/>
          <w:sz w:val="28"/>
          <w:szCs w:val="28"/>
          <w:shd w:val="clear" w:color="auto" w:fill="FFFFFF"/>
        </w:rPr>
        <w:t>Proposal for amendment to UN Regulation No. 155</w:t>
      </w:r>
    </w:p>
    <w:p w14:paraId="511E3A82" w14:textId="2ABC8FF7" w:rsidR="00797B1A" w:rsidRPr="00806065" w:rsidRDefault="00AF1CE2" w:rsidP="00E60E8E">
      <w:pPr>
        <w:pStyle w:val="Heading1"/>
      </w:pPr>
      <w:r w:rsidRPr="00806065">
        <w:t>Introduction</w:t>
      </w:r>
    </w:p>
    <w:p w14:paraId="13864C58" w14:textId="7D7AF718" w:rsidR="00BA7AC5" w:rsidRDefault="00F354ED">
      <w:r>
        <w:t xml:space="preserve">This paper notes </w:t>
      </w:r>
      <w:r w:rsidR="00AF1CE2">
        <w:t xml:space="preserve">ambiguous </w:t>
      </w:r>
      <w:r>
        <w:t xml:space="preserve">language in </w:t>
      </w:r>
      <w:r w:rsidR="004847EC">
        <w:t xml:space="preserve">Annex B of </w:t>
      </w:r>
      <w:r w:rsidR="00AF1CE2">
        <w:t xml:space="preserve">UN </w:t>
      </w:r>
      <w:r w:rsidR="004847EC">
        <w:t xml:space="preserve">R155 that </w:t>
      </w:r>
      <w:r w:rsidR="002B2FDD">
        <w:t>has been</w:t>
      </w:r>
      <w:r w:rsidR="004847EC">
        <w:t xml:space="preserve"> interpreted </w:t>
      </w:r>
      <w:r w:rsidR="002B2FDD">
        <w:t xml:space="preserve">within the automotive industry </w:t>
      </w:r>
      <w:r w:rsidR="004847EC">
        <w:t>as putting a narrow requirement on implementations</w:t>
      </w:r>
      <w:r w:rsidR="00287A0D">
        <w:t xml:space="preserve"> – specifically, </w:t>
      </w:r>
      <w:r w:rsidR="00AF1CE2">
        <w:t>a</w:t>
      </w:r>
      <w:r w:rsidR="003D71B7">
        <w:t xml:space="preserve"> mandatory</w:t>
      </w:r>
      <w:r w:rsidR="00AF1CE2">
        <w:t xml:space="preserve"> </w:t>
      </w:r>
      <w:r w:rsidR="00A27210">
        <w:t>requirement</w:t>
      </w:r>
      <w:r w:rsidR="00AF1CE2">
        <w:t xml:space="preserve"> that </w:t>
      </w:r>
      <w:r w:rsidR="00287A0D">
        <w:t xml:space="preserve">vehicles carry out </w:t>
      </w:r>
      <w:r w:rsidR="00287A0D" w:rsidRPr="003D71B7">
        <w:rPr>
          <w:u w:val="single"/>
        </w:rPr>
        <w:t>cryptographic</w:t>
      </w:r>
      <w:r w:rsidR="00287A0D">
        <w:t xml:space="preserve"> authentication of received GNSS messages</w:t>
      </w:r>
      <w:r w:rsidR="00A03310">
        <w:t xml:space="preserve">. The paper questions whether that narrow requirement is or should be intended and </w:t>
      </w:r>
      <w:r w:rsidR="00287A0D">
        <w:t>examines consequences if that interpretation is in fact enforced as part of conformance testing. Finally, the paper</w:t>
      </w:r>
      <w:r w:rsidR="008862E9">
        <w:t xml:space="preserve"> proposes alternative wording that is suggested to</w:t>
      </w:r>
      <w:r w:rsidR="00D360E9">
        <w:t xml:space="preserve"> </w:t>
      </w:r>
      <w:r w:rsidR="008862E9">
        <w:t>be more appropriate and</w:t>
      </w:r>
      <w:r w:rsidR="00D360E9">
        <w:t xml:space="preserve">, in practical terms, will lead to more resilient implementations than the </w:t>
      </w:r>
      <w:r w:rsidR="00E80A49">
        <w:t>interpretation-of-concern of the current wording would.</w:t>
      </w:r>
    </w:p>
    <w:p w14:paraId="2614DE8B" w14:textId="71664B60" w:rsidR="00E80A49" w:rsidRPr="00344D98" w:rsidRDefault="00344D98" w:rsidP="003D71B7">
      <w:pPr>
        <w:pStyle w:val="Heading1"/>
      </w:pPr>
      <w:r w:rsidRPr="00344D98">
        <w:t>Problem statement</w:t>
      </w:r>
    </w:p>
    <w:p w14:paraId="791B71B7" w14:textId="3E574A69" w:rsidR="00BA7AC5" w:rsidRDefault="00E80A49">
      <w:r>
        <w:t xml:space="preserve">The language of concern </w:t>
      </w:r>
      <w:r w:rsidR="00AF1CE2">
        <w:t xml:space="preserve">in UN R155 </w:t>
      </w:r>
      <w:r>
        <w:t xml:space="preserve">appears in the first row of </w:t>
      </w:r>
      <w:r w:rsidR="00C33F54">
        <w:t>Table B.1 in Annex 5:</w:t>
      </w:r>
    </w:p>
    <w:p w14:paraId="1A1444B2" w14:textId="77777777" w:rsidR="00797B1A" w:rsidRDefault="00797B1A" w:rsidP="00797B1A">
      <w:pPr>
        <w:spacing w:after="120" w:line="240" w:lineRule="atLeast"/>
        <w:ind w:left="1134" w:right="1134"/>
        <w:rPr>
          <w:rFonts w:ascii="Times New Roman" w:hAnsi="Times New Roman" w:cs="Times New Roman"/>
          <w:sz w:val="20"/>
          <w:szCs w:val="20"/>
          <w:lang w:val="en-GB"/>
        </w:rPr>
      </w:pPr>
      <w:r>
        <w:rPr>
          <w:rFonts w:ascii="Times New Roman" w:hAnsi="Times New Roman" w:cs="Times New Roman"/>
          <w:b/>
          <w:bCs/>
          <w:sz w:val="20"/>
          <w:szCs w:val="20"/>
          <w:lang w:val="en-GB"/>
        </w:rPr>
        <w:t xml:space="preserve">Mitigation to the threats which are related to </w:t>
      </w:r>
      <w:r>
        <w:rPr>
          <w:rFonts w:ascii="Times New Roman" w:hAnsi="Times New Roman" w:cs="Times New Roman"/>
          <w:b/>
          <w:bCs/>
          <w:sz w:val="20"/>
          <w:szCs w:val="20"/>
          <w:lang w:val="en-GB" w:eastAsia="ja-JP"/>
        </w:rPr>
        <w:t>"Vehicle</w:t>
      </w:r>
      <w:r>
        <w:rPr>
          <w:rFonts w:ascii="Times New Roman" w:hAnsi="Times New Roman" w:cs="Times New Roman"/>
          <w:b/>
          <w:bCs/>
          <w:sz w:val="20"/>
          <w:szCs w:val="20"/>
          <w:lang w:val="en-GB"/>
        </w:rPr>
        <w:t xml:space="preserve"> communication channels</w:t>
      </w:r>
      <w:r>
        <w:rPr>
          <w:rFonts w:ascii="Times New Roman" w:hAnsi="Times New Roman" w:cs="Times New Roman"/>
          <w:b/>
          <w:bCs/>
          <w:sz w:val="20"/>
          <w:szCs w:val="20"/>
          <w:lang w:val="en-GB" w:eastAsia="ja-JP"/>
        </w:rPr>
        <w:t>"</w:t>
      </w:r>
    </w:p>
    <w:tbl>
      <w:tblPr>
        <w:tblW w:w="9385" w:type="dxa"/>
        <w:tblInd w:w="108" w:type="dxa"/>
        <w:tblCellMar>
          <w:left w:w="0" w:type="dxa"/>
          <w:right w:w="0" w:type="dxa"/>
        </w:tblCellMar>
        <w:tblLook w:val="04A0" w:firstRow="1" w:lastRow="0" w:firstColumn="1" w:lastColumn="0" w:noHBand="0" w:noVBand="1"/>
      </w:tblPr>
      <w:tblGrid>
        <w:gridCol w:w="1066"/>
        <w:gridCol w:w="3499"/>
        <w:gridCol w:w="594"/>
        <w:gridCol w:w="4226"/>
      </w:tblGrid>
      <w:tr w:rsidR="00797B1A" w14:paraId="714520CA" w14:textId="77777777" w:rsidTr="00797B1A">
        <w:trPr>
          <w:tblHeader/>
        </w:trPr>
        <w:tc>
          <w:tcPr>
            <w:tcW w:w="1066"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169C1A36" w14:textId="77777777" w:rsidR="00797B1A" w:rsidRDefault="00797B1A">
            <w:pPr>
              <w:spacing w:before="80" w:after="80" w:line="200" w:lineRule="exact"/>
              <w:jc w:val="center"/>
              <w:rPr>
                <w:rFonts w:ascii="Times New Roman" w:hAnsi="Times New Roman" w:cs="Times New Roman"/>
                <w:i/>
                <w:iCs/>
                <w:sz w:val="16"/>
                <w:szCs w:val="16"/>
                <w:lang w:val="fr-CH"/>
              </w:rPr>
            </w:pPr>
            <w:r>
              <w:rPr>
                <w:rFonts w:ascii="Times New Roman" w:hAnsi="Times New Roman" w:cs="Times New Roman"/>
                <w:i/>
                <w:iCs/>
                <w:sz w:val="16"/>
                <w:szCs w:val="16"/>
                <w:lang w:val="fr-CH"/>
              </w:rPr>
              <w:t>Table A1 reference</w:t>
            </w:r>
          </w:p>
        </w:tc>
        <w:tc>
          <w:tcPr>
            <w:tcW w:w="3499"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7DA65045" w14:textId="77777777" w:rsidR="00797B1A" w:rsidRDefault="00797B1A">
            <w:pPr>
              <w:spacing w:before="80" w:after="80" w:line="200" w:lineRule="exact"/>
              <w:jc w:val="center"/>
              <w:rPr>
                <w:rFonts w:ascii="Times New Roman" w:hAnsi="Times New Roman" w:cs="Times New Roman"/>
                <w:i/>
                <w:iCs/>
                <w:sz w:val="16"/>
                <w:szCs w:val="16"/>
              </w:rPr>
            </w:pPr>
            <w:r>
              <w:rPr>
                <w:rFonts w:ascii="Times New Roman" w:hAnsi="Times New Roman" w:cs="Times New Roman"/>
                <w:i/>
                <w:iCs/>
                <w:sz w:val="16"/>
                <w:szCs w:val="16"/>
              </w:rPr>
              <w:t xml:space="preserve">Threats </w:t>
            </w:r>
            <w:r>
              <w:rPr>
                <w:rFonts w:ascii="Times New Roman" w:hAnsi="Times New Roman" w:cs="Times New Roman"/>
                <w:i/>
                <w:iCs/>
                <w:sz w:val="16"/>
                <w:szCs w:val="16"/>
                <w:lang w:eastAsia="ja-JP"/>
              </w:rPr>
              <w:t>to</w:t>
            </w:r>
            <w:r>
              <w:rPr>
                <w:rFonts w:ascii="Times New Roman" w:hAnsi="Times New Roman" w:cs="Times New Roman"/>
                <w:i/>
                <w:iCs/>
                <w:sz w:val="16"/>
                <w:szCs w:val="16"/>
              </w:rPr>
              <w:t xml:space="preserve"> "Vehicle communication channels"</w:t>
            </w:r>
          </w:p>
        </w:tc>
        <w:tc>
          <w:tcPr>
            <w:tcW w:w="594"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70627248" w14:textId="77777777" w:rsidR="00797B1A" w:rsidRDefault="00797B1A">
            <w:pPr>
              <w:spacing w:before="80" w:after="80" w:line="200" w:lineRule="exact"/>
              <w:jc w:val="center"/>
              <w:rPr>
                <w:rFonts w:ascii="Times New Roman" w:hAnsi="Times New Roman" w:cs="Times New Roman"/>
                <w:i/>
                <w:iCs/>
                <w:sz w:val="16"/>
                <w:szCs w:val="16"/>
                <w:lang w:val="fr-CH"/>
              </w:rPr>
            </w:pPr>
            <w:r>
              <w:rPr>
                <w:rFonts w:ascii="Times New Roman" w:hAnsi="Times New Roman" w:cs="Times New Roman"/>
                <w:i/>
                <w:iCs/>
                <w:sz w:val="16"/>
                <w:szCs w:val="16"/>
                <w:lang w:val="fr-CH"/>
              </w:rPr>
              <w:t>Ref</w:t>
            </w:r>
          </w:p>
        </w:tc>
        <w:tc>
          <w:tcPr>
            <w:tcW w:w="4226"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0BC720E1" w14:textId="77777777" w:rsidR="00797B1A" w:rsidRDefault="00797B1A">
            <w:pPr>
              <w:spacing w:before="80" w:after="80" w:line="200" w:lineRule="exact"/>
              <w:jc w:val="center"/>
              <w:rPr>
                <w:rFonts w:ascii="Times New Roman" w:hAnsi="Times New Roman" w:cs="Times New Roman"/>
                <w:i/>
                <w:iCs/>
                <w:sz w:val="16"/>
                <w:szCs w:val="16"/>
                <w:lang w:val="fr-CH"/>
              </w:rPr>
            </w:pPr>
            <w:r>
              <w:rPr>
                <w:rFonts w:ascii="Times New Roman" w:hAnsi="Times New Roman" w:cs="Times New Roman"/>
                <w:i/>
                <w:iCs/>
                <w:sz w:val="16"/>
                <w:szCs w:val="16"/>
                <w:lang w:val="fr-CH"/>
              </w:rPr>
              <w:t>Mitigation</w:t>
            </w:r>
          </w:p>
        </w:tc>
      </w:tr>
      <w:tr w:rsidR="00797B1A" w14:paraId="7E89A061" w14:textId="77777777" w:rsidTr="00797B1A">
        <w:trPr>
          <w:cantSplit/>
        </w:trPr>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7E969" w14:textId="77777777" w:rsidR="00797B1A" w:rsidRDefault="00797B1A">
            <w:pPr>
              <w:spacing w:before="40" w:after="120" w:line="220" w:lineRule="exact"/>
              <w:rPr>
                <w:rFonts w:ascii="Times New Roman" w:hAnsi="Times New Roman" w:cs="Times New Roman"/>
                <w:sz w:val="20"/>
                <w:szCs w:val="20"/>
                <w:lang w:val="fr-CH" w:eastAsia="ja-JP"/>
              </w:rPr>
            </w:pPr>
            <w:r>
              <w:rPr>
                <w:rFonts w:ascii="Times New Roman" w:hAnsi="Times New Roman" w:cs="Times New Roman"/>
                <w:sz w:val="20"/>
                <w:szCs w:val="20"/>
                <w:lang w:val="fr-CH" w:eastAsia="ja-JP"/>
              </w:rPr>
              <w:t>4.1</w:t>
            </w:r>
          </w:p>
        </w:tc>
        <w:tc>
          <w:tcPr>
            <w:tcW w:w="3499" w:type="dxa"/>
            <w:tcBorders>
              <w:top w:val="nil"/>
              <w:left w:val="nil"/>
              <w:bottom w:val="single" w:sz="8" w:space="0" w:color="auto"/>
              <w:right w:val="single" w:sz="8" w:space="0" w:color="auto"/>
            </w:tcBorders>
            <w:tcMar>
              <w:top w:w="0" w:type="dxa"/>
              <w:left w:w="108" w:type="dxa"/>
              <w:bottom w:w="0" w:type="dxa"/>
              <w:right w:w="108" w:type="dxa"/>
            </w:tcMar>
            <w:hideMark/>
          </w:tcPr>
          <w:p w14:paraId="3E9216B8" w14:textId="77777777" w:rsidR="00797B1A" w:rsidRDefault="00797B1A">
            <w:pPr>
              <w:spacing w:before="40" w:after="120" w:line="220" w:lineRule="exact"/>
              <w:rPr>
                <w:rFonts w:ascii="Times New Roman" w:hAnsi="Times New Roman" w:cs="Times New Roman"/>
                <w:sz w:val="20"/>
                <w:szCs w:val="20"/>
                <w:lang w:eastAsia="ja-JP"/>
              </w:rPr>
            </w:pPr>
            <w:r>
              <w:rPr>
                <w:rFonts w:ascii="Times New Roman" w:hAnsi="Times New Roman" w:cs="Times New Roman"/>
                <w:sz w:val="20"/>
                <w:szCs w:val="20"/>
                <w:lang w:eastAsia="ja-JP"/>
              </w:rPr>
              <w:t xml:space="preserve">Spoofing of messages (e.g. 802.11p V2X during platooning, </w:t>
            </w:r>
            <w:r>
              <w:rPr>
                <w:rFonts w:ascii="Times New Roman" w:hAnsi="Times New Roman" w:cs="Times New Roman"/>
                <w:sz w:val="20"/>
                <w:szCs w:val="20"/>
                <w:highlight w:val="cyan"/>
                <w:lang w:eastAsia="ja-JP"/>
              </w:rPr>
              <w:t>GNSS messages</w:t>
            </w:r>
            <w:r>
              <w:rPr>
                <w:rFonts w:ascii="Times New Roman" w:hAnsi="Times New Roman" w:cs="Times New Roman"/>
                <w:sz w:val="20"/>
                <w:szCs w:val="20"/>
                <w:lang w:eastAsia="ja-JP"/>
              </w:rPr>
              <w:t>, etc.) by impersonation</w:t>
            </w: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057E65D1" w14:textId="77777777" w:rsidR="00797B1A" w:rsidRDefault="00797B1A">
            <w:pPr>
              <w:spacing w:before="40" w:after="120" w:line="220" w:lineRule="exact"/>
              <w:rPr>
                <w:rFonts w:ascii="Times New Roman" w:hAnsi="Times New Roman" w:cs="Times New Roman"/>
                <w:sz w:val="20"/>
                <w:szCs w:val="20"/>
                <w:lang w:val="fr-CH" w:eastAsia="ja-JP"/>
              </w:rPr>
            </w:pPr>
            <w:r>
              <w:rPr>
                <w:rFonts w:ascii="Times New Roman" w:hAnsi="Times New Roman" w:cs="Times New Roman"/>
                <w:sz w:val="20"/>
                <w:szCs w:val="20"/>
                <w:lang w:val="fr-CH" w:eastAsia="ja-JP"/>
              </w:rPr>
              <w:t>M10</w:t>
            </w:r>
          </w:p>
        </w:tc>
        <w:tc>
          <w:tcPr>
            <w:tcW w:w="4226" w:type="dxa"/>
            <w:tcBorders>
              <w:top w:val="nil"/>
              <w:left w:val="nil"/>
              <w:bottom w:val="single" w:sz="8" w:space="0" w:color="auto"/>
              <w:right w:val="single" w:sz="8" w:space="0" w:color="auto"/>
            </w:tcBorders>
            <w:tcMar>
              <w:top w:w="0" w:type="dxa"/>
              <w:left w:w="108" w:type="dxa"/>
              <w:bottom w:w="0" w:type="dxa"/>
              <w:right w:w="108" w:type="dxa"/>
            </w:tcMar>
            <w:hideMark/>
          </w:tcPr>
          <w:p w14:paraId="5D14B5A7" w14:textId="77777777" w:rsidR="00797B1A" w:rsidRDefault="00797B1A">
            <w:pPr>
              <w:spacing w:before="40" w:after="120" w:line="220" w:lineRule="exact"/>
              <w:rPr>
                <w:rFonts w:ascii="Times New Roman" w:hAnsi="Times New Roman" w:cs="Times New Roman"/>
                <w:sz w:val="20"/>
                <w:szCs w:val="20"/>
                <w:lang w:eastAsia="ja-JP"/>
              </w:rPr>
            </w:pPr>
            <w:r>
              <w:rPr>
                <w:rFonts w:ascii="Times New Roman" w:hAnsi="Times New Roman" w:cs="Times New Roman"/>
                <w:sz w:val="20"/>
                <w:szCs w:val="20"/>
              </w:rPr>
              <w:t>The vehicle shall verify the authenticity and integrity of messages it receives</w:t>
            </w:r>
          </w:p>
        </w:tc>
      </w:tr>
    </w:tbl>
    <w:p w14:paraId="0927F24B" w14:textId="5C86D434" w:rsidR="00797B1A" w:rsidRDefault="00797B1A"/>
    <w:p w14:paraId="3B87A821" w14:textId="50FA03CA" w:rsidR="00797B1A" w:rsidRDefault="00F37235">
      <w:r>
        <w:t xml:space="preserve">The point of concern arises from the fact that the Threat </w:t>
      </w:r>
      <w:r w:rsidR="00AF1CE2">
        <w:t xml:space="preserve">column </w:t>
      </w:r>
      <w:r>
        <w:t xml:space="preserve">lists GNSS messages as a </w:t>
      </w:r>
      <w:r w:rsidR="00AF1CE2">
        <w:t xml:space="preserve">type of </w:t>
      </w:r>
      <w:r>
        <w:t xml:space="preserve">message that can be spoofed and the Mitigation </w:t>
      </w:r>
      <w:r w:rsidR="00AF1CE2">
        <w:t xml:space="preserve">column mandates </w:t>
      </w:r>
      <w:r>
        <w:t>that the vehicle verify the authenticity and integrity of messages it receives.</w:t>
      </w:r>
    </w:p>
    <w:p w14:paraId="08A7D10F" w14:textId="1782D85B" w:rsidR="00F37235" w:rsidRDefault="00F37235">
      <w:r>
        <w:t xml:space="preserve">A natural reading of this is to mean </w:t>
      </w:r>
      <w:r>
        <w:rPr>
          <w:b/>
          <w:bCs/>
          <w:u w:val="single"/>
        </w:rPr>
        <w:t>cryptographic</w:t>
      </w:r>
      <w:r>
        <w:t xml:space="preserve"> authenticity and integrity, i.e. that the vehicle is required to carry out cryptographic operations on </w:t>
      </w:r>
      <w:r w:rsidR="00AF1CE2" w:rsidRPr="004A02F2">
        <w:rPr>
          <w:b/>
          <w:bCs/>
          <w:u w:val="single"/>
        </w:rPr>
        <w:t>all</w:t>
      </w:r>
      <w:r w:rsidR="00AF1CE2">
        <w:t xml:space="preserve"> </w:t>
      </w:r>
      <w:r>
        <w:t>messages it receives.</w:t>
      </w:r>
      <w:r w:rsidR="00CA08F0">
        <w:t xml:space="preserve"> </w:t>
      </w:r>
      <w:r w:rsidR="00CB439F">
        <w:t>If this is the intention of the text, then this is a concern for GNSS for the following reasons.</w:t>
      </w:r>
    </w:p>
    <w:p w14:paraId="3B8B66CB" w14:textId="1C3AB177" w:rsidR="00761F92" w:rsidRDefault="00761F92">
      <w:r>
        <w:t>In GNSS, there are multiple providers (GPS, Galileo, BeiDou</w:t>
      </w:r>
      <w:r w:rsidR="00AE0037">
        <w:t xml:space="preserve">, etc) but only one </w:t>
      </w:r>
      <w:r w:rsidR="00B07138">
        <w:t xml:space="preserve">currently </w:t>
      </w:r>
      <w:r w:rsidR="00AE0037">
        <w:t xml:space="preserve">natively supports authentication of messages, the OSNMA authentication that is provided in Galileo. </w:t>
      </w:r>
      <w:r w:rsidR="00B07138">
        <w:t>(</w:t>
      </w:r>
      <w:r w:rsidR="00A2764B">
        <w:t>Other systems are tr</w:t>
      </w:r>
      <w:r w:rsidR="006C22F5">
        <w:t>ia</w:t>
      </w:r>
      <w:r w:rsidR="00A2764B">
        <w:t xml:space="preserve">ling </w:t>
      </w:r>
      <w:r w:rsidR="00627B67">
        <w:t xml:space="preserve">authentication technologies). </w:t>
      </w:r>
      <w:r w:rsidR="00077EC7">
        <w:t xml:space="preserve">Even OSNMA is currently not fully deployed; </w:t>
      </w:r>
      <w:r w:rsidR="00D503D7">
        <w:t xml:space="preserve">OSNMA is currently in public testing and </w:t>
      </w:r>
      <w:r w:rsidR="00077EC7">
        <w:t xml:space="preserve">the service phase of OSNMA, i.e. availability for </w:t>
      </w:r>
      <w:r w:rsidR="00D503D7">
        <w:t>everyday use, is not anticipated to start until 2023</w:t>
      </w:r>
      <w:r w:rsidR="00AC386C">
        <w:t>, according to the European GSC which manages the system</w:t>
      </w:r>
      <w:r w:rsidR="00D503D7">
        <w:t xml:space="preserve"> (</w:t>
      </w:r>
      <w:hyperlink r:id="rId10" w:history="1">
        <w:r w:rsidR="00D503D7" w:rsidRPr="006932B2">
          <w:rPr>
            <w:rStyle w:val="Hyperlink"/>
          </w:rPr>
          <w:t>https://www.gsc-europa.eu/sites/default/files/sites/all/files/Galileo_OSNMA_Info_Note.pdf</w:t>
        </w:r>
      </w:hyperlink>
      <w:r w:rsidR="00D503D7">
        <w:t xml:space="preserve">). </w:t>
      </w:r>
      <w:r w:rsidR="00AC386C">
        <w:t xml:space="preserve">Therefore a requirement for </w:t>
      </w:r>
      <w:r w:rsidR="00344D98">
        <w:t>GNSS authentication in vehicles to be sold from 2024 on has two issues:</w:t>
      </w:r>
    </w:p>
    <w:p w14:paraId="68FFB95E" w14:textId="70B22550" w:rsidR="00344D98" w:rsidRDefault="005F3177" w:rsidP="00344D98">
      <w:pPr>
        <w:pStyle w:val="ListParagraph"/>
        <w:numPr>
          <w:ilvl w:val="0"/>
          <w:numId w:val="1"/>
        </w:numPr>
      </w:pPr>
      <w:r>
        <w:t xml:space="preserve">The marketplace of GNSS receivers that can carry out OSNMA authentication may not be mature in 2024, leading to </w:t>
      </w:r>
      <w:r w:rsidR="00FC37D2">
        <w:t>(a) lack of choice of suppliers and increased cost and (b) the security risks that may come f</w:t>
      </w:r>
      <w:r w:rsidR="00724A02">
        <w:t>rom the use of early-stage products.</w:t>
      </w:r>
    </w:p>
    <w:p w14:paraId="2671CDEE" w14:textId="77777777" w:rsidR="00485EB2" w:rsidRDefault="00724A02" w:rsidP="00344D98">
      <w:pPr>
        <w:pStyle w:val="ListParagraph"/>
        <w:numPr>
          <w:ilvl w:val="0"/>
          <w:numId w:val="1"/>
        </w:numPr>
      </w:pPr>
      <w:r>
        <w:t xml:space="preserve">A requirement for authentication effectively means that type-certified vehicles can only use Galileo for positioning. This decreases the ability of receivers to </w:t>
      </w:r>
      <w:r w:rsidR="000C1308">
        <w:t xml:space="preserve">use diversity as a mitigation technique – i.e. to use multiple GNSS providers for more reliable </w:t>
      </w:r>
      <w:r w:rsidR="00452AE1">
        <w:t xml:space="preserve">positioning. It also means that </w:t>
      </w:r>
      <w:r w:rsidR="00452AE1">
        <w:lastRenderedPageBreak/>
        <w:t xml:space="preserve">any service interruption to Galileo </w:t>
      </w:r>
      <w:r w:rsidR="00485EB2">
        <w:t>would cause all devices conformant to this regulation to completely lose positioning. This is a significant risk to the</w:t>
      </w:r>
      <w:r w:rsidR="000C1308">
        <w:t xml:space="preserve"> </w:t>
      </w:r>
      <w:r>
        <w:t>robustness of the system</w:t>
      </w:r>
      <w:r w:rsidR="00485EB2">
        <w:t>.</w:t>
      </w:r>
    </w:p>
    <w:p w14:paraId="68324C41" w14:textId="0C4696DF" w:rsidR="00AF1CE2" w:rsidRDefault="00485EB2" w:rsidP="00485EB2">
      <w:r>
        <w:t xml:space="preserve">Both of these risks might be mitigated over time as authentication </w:t>
      </w:r>
      <w:r w:rsidR="00C70498">
        <w:t xml:space="preserve">in GNSS </w:t>
      </w:r>
      <w:r>
        <w:t>becomes more widespread</w:t>
      </w:r>
      <w:r w:rsidR="00C70498">
        <w:t>, but it is not appropriate to require GNSS authentication in 2024</w:t>
      </w:r>
      <w:r w:rsidR="00CB439F">
        <w:t>, if this was indeed the intention of the aforementioned text of UN R155</w:t>
      </w:r>
      <w:r w:rsidR="00C70498">
        <w:t xml:space="preserve">. </w:t>
      </w:r>
    </w:p>
    <w:p w14:paraId="7D4E54B6" w14:textId="12B6D5DD" w:rsidR="00724A02" w:rsidRDefault="00C70498" w:rsidP="00485EB2">
      <w:r>
        <w:t xml:space="preserve">Therefore we </w:t>
      </w:r>
      <w:r w:rsidR="00CB439F">
        <w:t xml:space="preserve">kindly </w:t>
      </w:r>
      <w:r>
        <w:t xml:space="preserve">request that the language in </w:t>
      </w:r>
      <w:r w:rsidR="00AF1CE2">
        <w:t xml:space="preserve">UN </w:t>
      </w:r>
      <w:r>
        <w:t>R155 is clarified, or interpretation provided, to mak</w:t>
      </w:r>
      <w:r w:rsidR="002963E3">
        <w:t xml:space="preserve">e it clear that the intent is not to require cryptographic authentication </w:t>
      </w:r>
      <w:r w:rsidR="00CB439F">
        <w:t xml:space="preserve">of GNSS messages, or at least not required </w:t>
      </w:r>
      <w:r w:rsidR="002963E3">
        <w:t>at the start time of the application of the regulation</w:t>
      </w:r>
      <w:r w:rsidR="00CB439F">
        <w:t xml:space="preserve"> due to the aforementioned issues</w:t>
      </w:r>
      <w:r w:rsidR="002963E3">
        <w:t>.</w:t>
      </w:r>
    </w:p>
    <w:p w14:paraId="59217E9A" w14:textId="77777777" w:rsidR="00806065" w:rsidRDefault="007B333F" w:rsidP="00806065">
      <w:pPr>
        <w:pStyle w:val="Heading1"/>
      </w:pPr>
      <w:r>
        <w:t>Current status of interpretation</w:t>
      </w:r>
    </w:p>
    <w:p w14:paraId="4832941A" w14:textId="1E22A23D" w:rsidR="00D17728" w:rsidRDefault="00806065" w:rsidP="004A02F2">
      <w:pPr>
        <w:pStyle w:val="Heading2"/>
      </w:pPr>
      <w:r>
        <w:t>B</w:t>
      </w:r>
      <w:r w:rsidR="00B731EB">
        <w:t>ackground</w:t>
      </w:r>
    </w:p>
    <w:p w14:paraId="1E5D3EE5" w14:textId="14E8933C" w:rsidR="0098678F" w:rsidRDefault="007B333F" w:rsidP="00485EB2">
      <w:r>
        <w:t xml:space="preserve">We note that the currently available implementation clarification material does not provide an unambiguous resolution </w:t>
      </w:r>
      <w:r w:rsidR="00624F82">
        <w:t xml:space="preserve">to the </w:t>
      </w:r>
      <w:r>
        <w:t>question</w:t>
      </w:r>
      <w:r w:rsidR="00624F82">
        <w:t xml:space="preserve"> of whether GNSS authentication is required. </w:t>
      </w:r>
      <w:r w:rsidR="000C34AE">
        <w:t xml:space="preserve"> In this section we review available clarification material and explain why we believe that additional clarification is needed.</w:t>
      </w:r>
    </w:p>
    <w:p w14:paraId="3EDDA666" w14:textId="2ACC74F9" w:rsidR="0098678F" w:rsidRDefault="00DB36B7" w:rsidP="0098678F">
      <w:pPr>
        <w:rPr>
          <w:lang w:val="en-GB"/>
        </w:rPr>
      </w:pPr>
      <w:r>
        <w:rPr>
          <w:lang w:val="en-GB"/>
        </w:rPr>
        <w:t xml:space="preserve">First, we note </w:t>
      </w:r>
      <w:r w:rsidR="0098678F">
        <w:rPr>
          <w:lang w:val="en-GB"/>
        </w:rPr>
        <w:t>the main text of UN R155, specifically the requirements to vehicles in clause 7:</w:t>
      </w:r>
    </w:p>
    <w:p w14:paraId="584574F0" w14:textId="77777777" w:rsidR="0098678F" w:rsidRDefault="0098678F" w:rsidP="0098678F">
      <w:pPr>
        <w:ind w:left="720"/>
        <w:rPr>
          <w:i/>
          <w:iCs/>
          <w:lang w:val="en-GB"/>
        </w:rPr>
      </w:pPr>
      <w:r>
        <w:rPr>
          <w:i/>
          <w:iCs/>
          <w:lang w:val="en-GB"/>
        </w:rPr>
        <w:t>7.                            Specifications</w:t>
      </w:r>
    </w:p>
    <w:p w14:paraId="7BA40BE0" w14:textId="77777777" w:rsidR="0098678F" w:rsidRDefault="0098678F" w:rsidP="0098678F">
      <w:pPr>
        <w:ind w:left="720"/>
        <w:rPr>
          <w:i/>
          <w:iCs/>
          <w:lang w:val="en-GB"/>
        </w:rPr>
      </w:pPr>
      <w:r>
        <w:rPr>
          <w:i/>
          <w:iCs/>
          <w:lang w:val="en-GB"/>
        </w:rPr>
        <w:t>...</w:t>
      </w:r>
    </w:p>
    <w:p w14:paraId="5F6897C5" w14:textId="77777777" w:rsidR="0098678F" w:rsidRDefault="0098678F" w:rsidP="0098678F">
      <w:pPr>
        <w:ind w:left="720"/>
        <w:rPr>
          <w:i/>
          <w:iCs/>
          <w:lang w:val="en-GB"/>
        </w:rPr>
      </w:pPr>
      <w:r>
        <w:rPr>
          <w:i/>
          <w:iCs/>
          <w:lang w:val="en-GB"/>
        </w:rPr>
        <w:t>7.3.                         Requirements for vehicle types</w:t>
      </w:r>
    </w:p>
    <w:p w14:paraId="4A934319" w14:textId="77777777" w:rsidR="0098678F" w:rsidRDefault="0098678F" w:rsidP="0098678F">
      <w:pPr>
        <w:ind w:left="720"/>
        <w:rPr>
          <w:i/>
          <w:iCs/>
          <w:lang w:val="en-GB"/>
        </w:rPr>
      </w:pPr>
      <w:r>
        <w:rPr>
          <w:i/>
          <w:iCs/>
          <w:lang w:val="en-GB"/>
        </w:rPr>
        <w:t>...</w:t>
      </w:r>
    </w:p>
    <w:p w14:paraId="0E81EA74" w14:textId="77777777" w:rsidR="0098678F" w:rsidRDefault="0098678F" w:rsidP="0098678F">
      <w:pPr>
        <w:ind w:left="720"/>
        <w:rPr>
          <w:i/>
          <w:iCs/>
          <w:lang w:val="en-GB"/>
        </w:rPr>
      </w:pPr>
      <w:r>
        <w:rPr>
          <w:i/>
          <w:iCs/>
          <w:lang w:val="en-GB"/>
        </w:rPr>
        <w:t xml:space="preserve">7.3.4.                     The vehicle manufacturer shall protect the vehicle type against risks identified in the vehicle manufacturer’s risk assessment. Proportionate mitigations shall be implemented to protect the vehicle type. The mitigations implemented shall include all mitigations referred to in Annex 5, Part B and C </w:t>
      </w:r>
      <w:r>
        <w:rPr>
          <w:i/>
          <w:iCs/>
          <w:highlight w:val="yellow"/>
          <w:lang w:val="en-GB"/>
        </w:rPr>
        <w:t>which are relevant for the risks identified</w:t>
      </w:r>
      <w:r>
        <w:rPr>
          <w:i/>
          <w:iCs/>
          <w:lang w:val="en-GB"/>
        </w:rPr>
        <w:t xml:space="preserve">. However, </w:t>
      </w:r>
      <w:r>
        <w:rPr>
          <w:i/>
          <w:iCs/>
          <w:highlight w:val="magenta"/>
          <w:lang w:val="en-GB"/>
        </w:rPr>
        <w:t>if a mitigation referred to in Annex 5, Part B or C, is not relevant or not sufficient for the risk identified, the vehicle manufacturer shall ensure that another appropriate mitigation is implemented.</w:t>
      </w:r>
      <w:r>
        <w:rPr>
          <w:i/>
          <w:iCs/>
          <w:lang w:val="en-GB"/>
        </w:rPr>
        <w:t xml:space="preserve"> </w:t>
      </w:r>
    </w:p>
    <w:p w14:paraId="52FAF727" w14:textId="1F2685E5" w:rsidR="0098678F" w:rsidRPr="004A02F2" w:rsidRDefault="0098678F" w:rsidP="004A02F2">
      <w:pPr>
        <w:ind w:left="720"/>
        <w:rPr>
          <w:i/>
          <w:iCs/>
          <w:lang w:val="en-GB"/>
        </w:rPr>
      </w:pPr>
      <w:r>
        <w:rPr>
          <w:i/>
          <w:iCs/>
          <w:highlight w:val="green"/>
          <w:lang w:val="en-GB"/>
        </w:rPr>
        <w:t>In particular, for type approvals prior to 1 July 2024, the vehicle manufacturer shall ensure that another appropriate mitigation is implemented if a mitigation measure referred to in Annex 5, Part B or C is technically not feasible.</w:t>
      </w:r>
      <w:r>
        <w:rPr>
          <w:i/>
          <w:iCs/>
          <w:lang w:val="en-GB"/>
        </w:rPr>
        <w:t xml:space="preserve"> The respective assessment of the technical feasibility shall be provided by the manufacturer to the approval authority.</w:t>
      </w:r>
    </w:p>
    <w:p w14:paraId="6F93B86E" w14:textId="04DE2779" w:rsidR="0098678F" w:rsidRDefault="0098678F" w:rsidP="0098678F">
      <w:pPr>
        <w:rPr>
          <w:lang w:val="en-GB"/>
        </w:rPr>
      </w:pPr>
      <w:r>
        <w:rPr>
          <w:lang w:val="en-GB"/>
        </w:rPr>
        <w:t>Regarding the yellow highlighted text, if there are no risks identified for the vehicle relating to its capability to determine its position (i.e. spoofing of GNSS messages will have no effect on the safety of the vehicle), then one could argue that no mitigations are needed.</w:t>
      </w:r>
    </w:p>
    <w:p w14:paraId="462476A2" w14:textId="6DA36427" w:rsidR="0098678F" w:rsidRDefault="0098678F" w:rsidP="0098678F">
      <w:pPr>
        <w:rPr>
          <w:lang w:val="en-GB"/>
        </w:rPr>
      </w:pPr>
      <w:r>
        <w:rPr>
          <w:lang w:val="en-GB"/>
        </w:rPr>
        <w:t>Regarding the purple highlighted text, the inability to cryptographically verify the authenticity of GNSS messages due to deficiencies of the GNSS being used could be an argument for the stated mitigation in Annex 5 being not relevant. In which case, another mitigation such as verification using multiple GNSSs could be argued as more appropriate.</w:t>
      </w:r>
    </w:p>
    <w:p w14:paraId="7FE7EC54" w14:textId="50863E32" w:rsidR="0098678F" w:rsidRDefault="0098678F" w:rsidP="0098678F">
      <w:pPr>
        <w:rPr>
          <w:lang w:val="en-GB"/>
        </w:rPr>
      </w:pPr>
      <w:r>
        <w:rPr>
          <w:lang w:val="en-GB"/>
        </w:rPr>
        <w:lastRenderedPageBreak/>
        <w:t xml:space="preserve">Regarding the green highlighted text, it could be argued that another appropriate mitigation for protection of GNSS message spoofing than that mentioned in Annex 5 is sufficient for all GNSS components manufactured before 1 July 2024. </w:t>
      </w:r>
      <w:r w:rsidR="00B731EB">
        <w:rPr>
          <w:lang w:val="en-GB"/>
        </w:rPr>
        <w:t xml:space="preserve">We note the </w:t>
      </w:r>
      <w:r>
        <w:rPr>
          <w:lang w:val="en-GB"/>
        </w:rPr>
        <w:t>amendment</w:t>
      </w:r>
      <w:r w:rsidR="00B731EB">
        <w:rPr>
          <w:lang w:val="en-GB"/>
        </w:rPr>
        <w:t>, proposed by GRVA,</w:t>
      </w:r>
      <w:r>
        <w:rPr>
          <w:lang w:val="en-GB"/>
        </w:rPr>
        <w:t xml:space="preserve"> to the green highlighted text above:</w:t>
      </w:r>
    </w:p>
    <w:p w14:paraId="7BAFDBB5" w14:textId="508553BA" w:rsidR="0098678F" w:rsidRPr="007A2F45" w:rsidRDefault="0098678F" w:rsidP="004A02F2">
      <w:pPr>
        <w:ind w:left="720"/>
        <w:rPr>
          <w:i/>
          <w:iCs/>
          <w:lang w:val="en-GB"/>
        </w:rPr>
      </w:pPr>
      <w:r>
        <w:rPr>
          <w:i/>
          <w:iCs/>
          <w:lang w:val="en-GB"/>
        </w:rPr>
        <w:t xml:space="preserve">In particular, for type approvals </w:t>
      </w:r>
      <w:r>
        <w:rPr>
          <w:i/>
          <w:iCs/>
          <w:strike/>
          <w:lang w:val="en-GB"/>
        </w:rPr>
        <w:t>prior to</w:t>
      </w:r>
      <w:r>
        <w:rPr>
          <w:i/>
          <w:iCs/>
          <w:lang w:val="en-GB"/>
        </w:rPr>
        <w:t xml:space="preserve"> </w:t>
      </w:r>
      <w:r>
        <w:rPr>
          <w:b/>
          <w:bCs/>
          <w:i/>
          <w:iCs/>
          <w:lang w:val="en-GB"/>
        </w:rPr>
        <w:t>first issued before</w:t>
      </w:r>
      <w:r>
        <w:rPr>
          <w:i/>
          <w:iCs/>
          <w:lang w:val="en-GB"/>
        </w:rPr>
        <w:t xml:space="preserve"> 1 July 2024 </w:t>
      </w:r>
      <w:r>
        <w:rPr>
          <w:b/>
          <w:bCs/>
          <w:i/>
          <w:iCs/>
          <w:lang w:val="en-GB"/>
        </w:rPr>
        <w:t>and for each extension thereof</w:t>
      </w:r>
      <w:r>
        <w:rPr>
          <w:i/>
          <w:iCs/>
          <w:lang w:val="en-GB"/>
        </w:rPr>
        <w:t>, the vehicle manufacturer shall ensure that another appropriate mitigation is implemented if a mitigation measure referred to in Annex 5, Part B or C is technically not feasible. The respective assessment of the technical feasibility shall be provided by the manufacturer to the approval authority.</w:t>
      </w:r>
    </w:p>
    <w:p w14:paraId="248C9B54" w14:textId="77777777" w:rsidR="0098678F" w:rsidRDefault="0098678F" w:rsidP="0098678F">
      <w:pPr>
        <w:rPr>
          <w:lang w:val="en-GB"/>
        </w:rPr>
      </w:pPr>
      <w:r>
        <w:rPr>
          <w:lang w:val="en-GB"/>
        </w:rPr>
        <w:t>Finally, there is some clarification given in the official interpretation document to UN R155 to the above mentioned requirement (7.3.4). Specifically, it is stated:</w:t>
      </w:r>
    </w:p>
    <w:p w14:paraId="412FA0A2" w14:textId="77777777" w:rsidR="0098678F" w:rsidRDefault="0098678F" w:rsidP="0098678F">
      <w:pPr>
        <w:ind w:left="720"/>
        <w:rPr>
          <w:i/>
          <w:iCs/>
          <w:lang w:val="en-GB"/>
        </w:rPr>
      </w:pPr>
      <w:r>
        <w:rPr>
          <w:i/>
          <w:iCs/>
          <w:highlight w:val="yellow"/>
          <w:lang w:val="en-GB"/>
        </w:rPr>
        <w:t>The intention of this requirement is to ensure that vehicle manufacturers implement appropriate mitigation measures in accordance with the results of their risk assessment.</w:t>
      </w:r>
    </w:p>
    <w:p w14:paraId="5B324CC1" w14:textId="77777777" w:rsidR="0098678F" w:rsidRDefault="0098678F" w:rsidP="0098678F">
      <w:pPr>
        <w:ind w:left="720"/>
        <w:rPr>
          <w:i/>
          <w:iCs/>
          <w:lang w:val="en-GB"/>
        </w:rPr>
      </w:pPr>
      <w:r>
        <w:rPr>
          <w:i/>
          <w:iCs/>
          <w:lang w:val="en-GB"/>
        </w:rPr>
        <w:t>The manufacturer should provide reasoned arguments and evidence for the mitigations they have implemented in the design of the vehicle type and why they are sufficient. This may include any assumptions made, for example about external systems that interact with the vehicle.</w:t>
      </w:r>
    </w:p>
    <w:p w14:paraId="33B76327" w14:textId="7AB3D28D" w:rsidR="0098678F" w:rsidRDefault="0098678F" w:rsidP="0098678F">
      <w:pPr>
        <w:ind w:left="720"/>
        <w:rPr>
          <w:i/>
          <w:iCs/>
          <w:lang w:val="en-GB"/>
        </w:rPr>
      </w:pPr>
      <w:r>
        <w:rPr>
          <w:i/>
          <w:iCs/>
          <w:lang w:val="en-GB"/>
        </w:rPr>
        <w:t xml:space="preserve">The technical mitigations from Annex 5, Parts B and C shall be considered wherever applicable to the risks to be mitigated. </w:t>
      </w:r>
      <w:r>
        <w:rPr>
          <w:i/>
          <w:iCs/>
          <w:highlight w:val="magenta"/>
          <w:lang w:val="en-GB"/>
        </w:rPr>
        <w:t xml:space="preserve">The Manufacturer may present a rationale not only for a listed mitigation from Annex 5 being </w:t>
      </w:r>
      <w:r w:rsidR="007E759F">
        <w:rPr>
          <w:i/>
          <w:iCs/>
          <w:highlight w:val="magenta"/>
          <w:lang w:val="en-GB"/>
        </w:rPr>
        <w:t>“</w:t>
      </w:r>
      <w:r>
        <w:rPr>
          <w:i/>
          <w:iCs/>
          <w:highlight w:val="magenta"/>
          <w:lang w:val="en-GB"/>
        </w:rPr>
        <w:t>not relevant or not sufficient</w:t>
      </w:r>
      <w:r w:rsidR="007E759F">
        <w:rPr>
          <w:i/>
          <w:iCs/>
          <w:highlight w:val="magenta"/>
          <w:lang w:val="en-GB"/>
        </w:rPr>
        <w:t>”</w:t>
      </w:r>
      <w:r>
        <w:rPr>
          <w:i/>
          <w:iCs/>
          <w:highlight w:val="magenta"/>
          <w:lang w:val="en-GB"/>
        </w:rPr>
        <w:t>, but also may present a rationale, that another mitigation other than the ones listed in Annex 5 is appropriate to the respective risk.</w:t>
      </w:r>
      <w:r>
        <w:rPr>
          <w:i/>
          <w:iCs/>
          <w:lang w:val="en-GB"/>
        </w:rPr>
        <w:t xml:space="preserve"> That rationale may be substantiated by a risk assessment and risk rating showing the appropriateness of the alternative mitigation. This is to allow the adoption of new or improved defensive technologies.</w:t>
      </w:r>
    </w:p>
    <w:p w14:paraId="7E29C89B" w14:textId="72B77A4E" w:rsidR="0098678F" w:rsidRDefault="00806065" w:rsidP="007A2F45">
      <w:pPr>
        <w:pStyle w:val="Heading2"/>
        <w:rPr>
          <w:lang w:val="en-GB"/>
        </w:rPr>
      </w:pPr>
      <w:r>
        <w:rPr>
          <w:lang w:val="en-GB"/>
        </w:rPr>
        <w:t>Conclusion</w:t>
      </w:r>
      <w:r w:rsidR="007E759F">
        <w:rPr>
          <w:lang w:val="en-GB"/>
        </w:rPr>
        <w:t xml:space="preserve"> on current status of interpretation</w:t>
      </w:r>
    </w:p>
    <w:p w14:paraId="38A019E5" w14:textId="1D3B1AD6" w:rsidR="007B333F" w:rsidRPr="007B333F" w:rsidRDefault="007E759F" w:rsidP="00485EB2">
      <w:r>
        <w:t xml:space="preserve">We acknowledge that the current </w:t>
      </w:r>
      <w:r w:rsidR="003D5C2A">
        <w:t xml:space="preserve">text can be interpreted as not requiring GNSS authentication. However, we note that </w:t>
      </w:r>
      <w:r w:rsidR="005523DE">
        <w:t xml:space="preserve">as things stand, every OEM that is attempting to claim conformance to </w:t>
      </w:r>
      <w:r w:rsidR="002E4CB9">
        <w:t xml:space="preserve">R155 will have to individually make the case that GNSS authentication is not necessary, and that this may then end up being the subject of potentially prolonged negotiation or discussion between the OEM and the certification organization. We believe that </w:t>
      </w:r>
      <w:r w:rsidR="00C9105C">
        <w:t>it would be simpler and would reduce burden on all parties if instead the language in R155 was clarified to explicitly address the GNSS authentication issue.</w:t>
      </w:r>
    </w:p>
    <w:p w14:paraId="0A6184F9" w14:textId="7F13FFD2" w:rsidR="00A07B38" w:rsidRDefault="00A07B38" w:rsidP="00C9105C">
      <w:pPr>
        <w:pStyle w:val="Heading1"/>
      </w:pPr>
      <w:r>
        <w:t>Proposed resolution</w:t>
      </w:r>
    </w:p>
    <w:p w14:paraId="4EE45A39" w14:textId="1AF75C86" w:rsidR="00C9105C" w:rsidRPr="00C9105C" w:rsidRDefault="00C9105C" w:rsidP="007A2F45">
      <w:pPr>
        <w:pStyle w:val="Heading2"/>
      </w:pPr>
      <w:r>
        <w:t>Overview and rationale</w:t>
      </w:r>
    </w:p>
    <w:p w14:paraId="2040D6A4" w14:textId="73D28A70" w:rsidR="00A07B38" w:rsidRDefault="00A07B38" w:rsidP="00485EB2">
      <w:r>
        <w:t xml:space="preserve">We </w:t>
      </w:r>
      <w:r w:rsidR="00B5708C">
        <w:t xml:space="preserve">believe that the </w:t>
      </w:r>
      <w:r w:rsidR="00CB439F">
        <w:t xml:space="preserve">stated text of the </w:t>
      </w:r>
      <w:r w:rsidR="00B5708C">
        <w:t xml:space="preserve">regulation should not be interpreted to require cryptographic authentication </w:t>
      </w:r>
      <w:r w:rsidR="00CB439F">
        <w:t xml:space="preserve">of GNSS messages, or at least not require this </w:t>
      </w:r>
      <w:r w:rsidR="00B5708C">
        <w:t>until at least two GNSS systems accepted by the regulation support cryptographic authentication for civilian use, and until this has been the case for at least two years.</w:t>
      </w:r>
      <w:r w:rsidR="00CB439F">
        <w:t xml:space="preserve"> Alternatively, allow other technical solutions for mitigating </w:t>
      </w:r>
      <w:r w:rsidR="00A05D61">
        <w:t xml:space="preserve">the </w:t>
      </w:r>
      <w:r w:rsidR="00CB439F">
        <w:t xml:space="preserve">spoofing of GNSS messages e.g. </w:t>
      </w:r>
      <w:r w:rsidR="00A05D61" w:rsidRPr="00A05D61">
        <w:t>validation based on consistency and context of messages</w:t>
      </w:r>
      <w:r w:rsidR="005B7B9D">
        <w:t>, and on comparison of input from multiple GNSS systems,</w:t>
      </w:r>
      <w:r w:rsidR="00A05D61" w:rsidRPr="00A05D61">
        <w:t xml:space="preserve"> where this is appropriate</w:t>
      </w:r>
      <w:r w:rsidR="00A05D61">
        <w:t>.</w:t>
      </w:r>
      <w:r w:rsidR="00B5708C">
        <w:t xml:space="preserve"> This would address the maturity and robustness concerns put forward above.</w:t>
      </w:r>
    </w:p>
    <w:p w14:paraId="6B791460" w14:textId="4894B21F" w:rsidR="00B5708C" w:rsidRDefault="00B5708C" w:rsidP="00485EB2">
      <w:r>
        <w:lastRenderedPageBreak/>
        <w:t xml:space="preserve">We believe that the best way to accomplish this, rather than put conditional language such as the above </w:t>
      </w:r>
      <w:r w:rsidR="000E29A8">
        <w:t xml:space="preserve">in the regulation itself and raise possible concerns about ambiguities in interpreting the conditions, would be to remove the implied requirement for GNSS authentication from the </w:t>
      </w:r>
      <w:r w:rsidR="00E30939">
        <w:t xml:space="preserve">regulation </w:t>
      </w:r>
      <w:r w:rsidR="000E29A8">
        <w:t>(or make clear by interpre</w:t>
      </w:r>
      <w:r w:rsidR="00E30939">
        <w:t>tative language that the requirement is not meant to be implied). When the conditions in the previous paragraph are met, or when it becomes apparent that there is a date on which they will be met, the regulation or interpretation can be revised to make the requirement explicit and state the date from which it applies.</w:t>
      </w:r>
    </w:p>
    <w:p w14:paraId="1BBBDFEC" w14:textId="484ECC33" w:rsidR="00CB25C4" w:rsidRDefault="00CB25C4" w:rsidP="00485EB2">
      <w:r>
        <w:t>We propose that for now it is made clear that the regulation is to be interpreted as follows:</w:t>
      </w:r>
    </w:p>
    <w:p w14:paraId="1B27EC08" w14:textId="6F15E664" w:rsidR="00CB25C4" w:rsidRDefault="00CB25C4" w:rsidP="00CB25C4">
      <w:pPr>
        <w:ind w:left="720"/>
      </w:pPr>
      <w:r>
        <w:t>The vehicle shall use mechanisms to provide assurance of the trustworthiness and correctness of received messages. Depending on the message type</w:t>
      </w:r>
      <w:r w:rsidR="00A05D61">
        <w:t xml:space="preserve"> and capabilities</w:t>
      </w:r>
      <w:r>
        <w:t>, these may include cryptographic authentication and integrity checking; plausibility checking; use of a diversity of sources; and other appropriate means of providing assurance.</w:t>
      </w:r>
    </w:p>
    <w:p w14:paraId="785BB71D" w14:textId="7C9E53EC" w:rsidR="00CB25C4" w:rsidRDefault="00D23F84" w:rsidP="00485EB2">
      <w:r>
        <w:t xml:space="preserve">This may be done by replacing the text in the mitigations box of the indicated row of Table B1 directly, or by making it clear in an interpretations document that this is the </w:t>
      </w:r>
      <w:r w:rsidR="00E0392A">
        <w:t>intended interpretation.</w:t>
      </w:r>
    </w:p>
    <w:p w14:paraId="7CA32D0C" w14:textId="1652F433" w:rsidR="00E30939" w:rsidRDefault="00C9105C" w:rsidP="00C9105C">
      <w:pPr>
        <w:pStyle w:val="Heading2"/>
      </w:pPr>
      <w:r>
        <w:t>Specific proposal</w:t>
      </w:r>
      <w:r w:rsidR="009930C8">
        <w:t>s</w:t>
      </w:r>
    </w:p>
    <w:p w14:paraId="3D612EED" w14:textId="026E4986" w:rsidR="00C9105C" w:rsidRDefault="009930C8" w:rsidP="00C9105C">
      <w:pPr>
        <w:pStyle w:val="Heading3"/>
      </w:pPr>
      <w:r>
        <w:t xml:space="preserve">Proposal to UN </w:t>
      </w:r>
      <w:r w:rsidR="00C9105C">
        <w:t>R155</w:t>
      </w:r>
    </w:p>
    <w:p w14:paraId="21EB1AFE" w14:textId="1EA66F07" w:rsidR="00BC4198" w:rsidRDefault="00AD29AB" w:rsidP="00BC4198">
      <w:r>
        <w:t xml:space="preserve">In Annex </w:t>
      </w:r>
      <w:r w:rsidR="005F4924">
        <w:t>5</w:t>
      </w:r>
      <w:r w:rsidR="00571B0E">
        <w:t>, Part B</w:t>
      </w:r>
      <w:r>
        <w:t>, modify the text in</w:t>
      </w:r>
      <w:r w:rsidR="00BC4198">
        <w:t xml:space="preserve"> the first row of Table B1 as follows:</w:t>
      </w:r>
    </w:p>
    <w:tbl>
      <w:tblPr>
        <w:tblW w:w="9385" w:type="dxa"/>
        <w:tblInd w:w="108" w:type="dxa"/>
        <w:tblCellMar>
          <w:left w:w="0" w:type="dxa"/>
          <w:right w:w="0" w:type="dxa"/>
        </w:tblCellMar>
        <w:tblLook w:val="04A0" w:firstRow="1" w:lastRow="0" w:firstColumn="1" w:lastColumn="0" w:noHBand="0" w:noVBand="1"/>
      </w:tblPr>
      <w:tblGrid>
        <w:gridCol w:w="1066"/>
        <w:gridCol w:w="3499"/>
        <w:gridCol w:w="594"/>
        <w:gridCol w:w="4226"/>
      </w:tblGrid>
      <w:tr w:rsidR="00BC4198" w14:paraId="1577586C" w14:textId="77777777" w:rsidTr="008469AB">
        <w:trPr>
          <w:tblHeader/>
        </w:trPr>
        <w:tc>
          <w:tcPr>
            <w:tcW w:w="1066"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5148586E" w14:textId="77777777" w:rsidR="00BC4198" w:rsidRDefault="00BC4198" w:rsidP="008469AB">
            <w:pPr>
              <w:spacing w:before="80" w:after="80" w:line="200" w:lineRule="exact"/>
              <w:jc w:val="center"/>
              <w:rPr>
                <w:rFonts w:ascii="Times New Roman" w:hAnsi="Times New Roman" w:cs="Times New Roman"/>
                <w:i/>
                <w:iCs/>
                <w:sz w:val="16"/>
                <w:szCs w:val="16"/>
                <w:lang w:val="fr-CH"/>
              </w:rPr>
            </w:pPr>
            <w:r>
              <w:rPr>
                <w:rFonts w:ascii="Times New Roman" w:hAnsi="Times New Roman" w:cs="Times New Roman"/>
                <w:i/>
                <w:iCs/>
                <w:sz w:val="16"/>
                <w:szCs w:val="16"/>
                <w:lang w:val="fr-CH"/>
              </w:rPr>
              <w:t>Table A1 reference</w:t>
            </w:r>
          </w:p>
        </w:tc>
        <w:tc>
          <w:tcPr>
            <w:tcW w:w="3499"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5F7553A5" w14:textId="77777777" w:rsidR="00BC4198" w:rsidRDefault="00BC4198" w:rsidP="008469AB">
            <w:pPr>
              <w:spacing w:before="80" w:after="80" w:line="200" w:lineRule="exact"/>
              <w:jc w:val="center"/>
              <w:rPr>
                <w:rFonts w:ascii="Times New Roman" w:hAnsi="Times New Roman" w:cs="Times New Roman"/>
                <w:i/>
                <w:iCs/>
                <w:sz w:val="16"/>
                <w:szCs w:val="16"/>
              </w:rPr>
            </w:pPr>
            <w:r>
              <w:rPr>
                <w:rFonts w:ascii="Times New Roman" w:hAnsi="Times New Roman" w:cs="Times New Roman"/>
                <w:i/>
                <w:iCs/>
                <w:sz w:val="16"/>
                <w:szCs w:val="16"/>
              </w:rPr>
              <w:t xml:space="preserve">Threats </w:t>
            </w:r>
            <w:r>
              <w:rPr>
                <w:rFonts w:ascii="Times New Roman" w:hAnsi="Times New Roman" w:cs="Times New Roman"/>
                <w:i/>
                <w:iCs/>
                <w:sz w:val="16"/>
                <w:szCs w:val="16"/>
                <w:lang w:eastAsia="ja-JP"/>
              </w:rPr>
              <w:t>to</w:t>
            </w:r>
            <w:r>
              <w:rPr>
                <w:rFonts w:ascii="Times New Roman" w:hAnsi="Times New Roman" w:cs="Times New Roman"/>
                <w:i/>
                <w:iCs/>
                <w:sz w:val="16"/>
                <w:szCs w:val="16"/>
              </w:rPr>
              <w:t xml:space="preserve"> "Vehicle communication channels"</w:t>
            </w:r>
          </w:p>
        </w:tc>
        <w:tc>
          <w:tcPr>
            <w:tcW w:w="594"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3316B90F" w14:textId="77777777" w:rsidR="00BC4198" w:rsidRDefault="00BC4198" w:rsidP="008469AB">
            <w:pPr>
              <w:spacing w:before="80" w:after="80" w:line="200" w:lineRule="exact"/>
              <w:jc w:val="center"/>
              <w:rPr>
                <w:rFonts w:ascii="Times New Roman" w:hAnsi="Times New Roman" w:cs="Times New Roman"/>
                <w:i/>
                <w:iCs/>
                <w:sz w:val="16"/>
                <w:szCs w:val="16"/>
                <w:lang w:val="fr-CH"/>
              </w:rPr>
            </w:pPr>
            <w:r>
              <w:rPr>
                <w:rFonts w:ascii="Times New Roman" w:hAnsi="Times New Roman" w:cs="Times New Roman"/>
                <w:i/>
                <w:iCs/>
                <w:sz w:val="16"/>
                <w:szCs w:val="16"/>
                <w:lang w:val="fr-CH"/>
              </w:rPr>
              <w:t>Ref</w:t>
            </w:r>
          </w:p>
        </w:tc>
        <w:tc>
          <w:tcPr>
            <w:tcW w:w="4226"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09C63F4E" w14:textId="77777777" w:rsidR="00BC4198" w:rsidRDefault="00BC4198" w:rsidP="008469AB">
            <w:pPr>
              <w:spacing w:before="80" w:after="80" w:line="200" w:lineRule="exact"/>
              <w:jc w:val="center"/>
              <w:rPr>
                <w:rFonts w:ascii="Times New Roman" w:hAnsi="Times New Roman" w:cs="Times New Roman"/>
                <w:i/>
                <w:iCs/>
                <w:sz w:val="16"/>
                <w:szCs w:val="16"/>
                <w:lang w:val="fr-CH"/>
              </w:rPr>
            </w:pPr>
            <w:r>
              <w:rPr>
                <w:rFonts w:ascii="Times New Roman" w:hAnsi="Times New Roman" w:cs="Times New Roman"/>
                <w:i/>
                <w:iCs/>
                <w:sz w:val="16"/>
                <w:szCs w:val="16"/>
                <w:lang w:val="fr-CH"/>
              </w:rPr>
              <w:t>Mitigation</w:t>
            </w:r>
          </w:p>
        </w:tc>
      </w:tr>
      <w:tr w:rsidR="00BC4198" w14:paraId="3C08AE95" w14:textId="77777777" w:rsidTr="008469AB">
        <w:trPr>
          <w:cantSplit/>
        </w:trPr>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7ECD8" w14:textId="77777777" w:rsidR="00BC4198" w:rsidRDefault="00BC4198" w:rsidP="008469AB">
            <w:pPr>
              <w:spacing w:before="40" w:after="120" w:line="220" w:lineRule="exact"/>
              <w:rPr>
                <w:rFonts w:ascii="Times New Roman" w:hAnsi="Times New Roman" w:cs="Times New Roman"/>
                <w:sz w:val="20"/>
                <w:szCs w:val="20"/>
                <w:lang w:val="fr-CH" w:eastAsia="ja-JP"/>
              </w:rPr>
            </w:pPr>
            <w:r>
              <w:rPr>
                <w:rFonts w:ascii="Times New Roman" w:hAnsi="Times New Roman" w:cs="Times New Roman"/>
                <w:sz w:val="20"/>
                <w:szCs w:val="20"/>
                <w:lang w:val="fr-CH" w:eastAsia="ja-JP"/>
              </w:rPr>
              <w:t>4.1</w:t>
            </w:r>
          </w:p>
        </w:tc>
        <w:tc>
          <w:tcPr>
            <w:tcW w:w="3499" w:type="dxa"/>
            <w:tcBorders>
              <w:top w:val="nil"/>
              <w:left w:val="nil"/>
              <w:bottom w:val="single" w:sz="8" w:space="0" w:color="auto"/>
              <w:right w:val="single" w:sz="8" w:space="0" w:color="auto"/>
            </w:tcBorders>
            <w:tcMar>
              <w:top w:w="0" w:type="dxa"/>
              <w:left w:w="108" w:type="dxa"/>
              <w:bottom w:w="0" w:type="dxa"/>
              <w:right w:w="108" w:type="dxa"/>
            </w:tcMar>
            <w:hideMark/>
          </w:tcPr>
          <w:p w14:paraId="5F95EA7E" w14:textId="77777777" w:rsidR="00BC4198" w:rsidRDefault="00BC4198" w:rsidP="008469AB">
            <w:pPr>
              <w:spacing w:before="40" w:after="120" w:line="220" w:lineRule="exact"/>
              <w:rPr>
                <w:rFonts w:ascii="Times New Roman" w:hAnsi="Times New Roman" w:cs="Times New Roman"/>
                <w:sz w:val="20"/>
                <w:szCs w:val="20"/>
                <w:lang w:eastAsia="ja-JP"/>
              </w:rPr>
            </w:pPr>
            <w:r>
              <w:rPr>
                <w:rFonts w:ascii="Times New Roman" w:hAnsi="Times New Roman" w:cs="Times New Roman"/>
                <w:sz w:val="20"/>
                <w:szCs w:val="20"/>
                <w:lang w:eastAsia="ja-JP"/>
              </w:rPr>
              <w:t xml:space="preserve">Spoofing of messages (e.g. 802.11p V2X during platooning, </w:t>
            </w:r>
            <w:r>
              <w:rPr>
                <w:rFonts w:ascii="Times New Roman" w:hAnsi="Times New Roman" w:cs="Times New Roman"/>
                <w:sz w:val="20"/>
                <w:szCs w:val="20"/>
                <w:highlight w:val="cyan"/>
                <w:lang w:eastAsia="ja-JP"/>
              </w:rPr>
              <w:t>GNSS messages</w:t>
            </w:r>
            <w:r>
              <w:rPr>
                <w:rFonts w:ascii="Times New Roman" w:hAnsi="Times New Roman" w:cs="Times New Roman"/>
                <w:sz w:val="20"/>
                <w:szCs w:val="20"/>
                <w:lang w:eastAsia="ja-JP"/>
              </w:rPr>
              <w:t>, etc.) by impersonation</w:t>
            </w: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1551BD51" w14:textId="77777777" w:rsidR="00BC4198" w:rsidRDefault="00BC4198" w:rsidP="008469AB">
            <w:pPr>
              <w:spacing w:before="40" w:after="120" w:line="220" w:lineRule="exact"/>
              <w:rPr>
                <w:rFonts w:ascii="Times New Roman" w:hAnsi="Times New Roman" w:cs="Times New Roman"/>
                <w:sz w:val="20"/>
                <w:szCs w:val="20"/>
                <w:lang w:val="fr-CH" w:eastAsia="ja-JP"/>
              </w:rPr>
            </w:pPr>
            <w:r>
              <w:rPr>
                <w:rFonts w:ascii="Times New Roman" w:hAnsi="Times New Roman" w:cs="Times New Roman"/>
                <w:sz w:val="20"/>
                <w:szCs w:val="20"/>
                <w:lang w:val="fr-CH" w:eastAsia="ja-JP"/>
              </w:rPr>
              <w:t>M10</w:t>
            </w:r>
          </w:p>
        </w:tc>
        <w:tc>
          <w:tcPr>
            <w:tcW w:w="4226" w:type="dxa"/>
            <w:tcBorders>
              <w:top w:val="nil"/>
              <w:left w:val="nil"/>
              <w:bottom w:val="single" w:sz="8" w:space="0" w:color="auto"/>
              <w:right w:val="single" w:sz="8" w:space="0" w:color="auto"/>
            </w:tcBorders>
            <w:tcMar>
              <w:top w:w="0" w:type="dxa"/>
              <w:left w:w="108" w:type="dxa"/>
              <w:bottom w:w="0" w:type="dxa"/>
              <w:right w:w="108" w:type="dxa"/>
            </w:tcMar>
            <w:hideMark/>
          </w:tcPr>
          <w:p w14:paraId="7BD88239" w14:textId="2FF86B1A" w:rsidR="00BC4198" w:rsidRPr="00CA0A29" w:rsidRDefault="002D5740" w:rsidP="008469AB">
            <w:pPr>
              <w:spacing w:before="40" w:after="120" w:line="220" w:lineRule="exact"/>
              <w:rPr>
                <w:rFonts w:ascii="Times New Roman" w:hAnsi="Times New Roman" w:cs="Times New Roman"/>
                <w:b/>
                <w:bCs/>
                <w:sz w:val="20"/>
                <w:szCs w:val="20"/>
                <w:u w:val="single"/>
                <w:lang w:eastAsia="ja-JP"/>
              </w:rPr>
            </w:pPr>
            <w:r w:rsidRPr="008739CA">
              <w:rPr>
                <w:rFonts w:ascii="Times New Roman" w:hAnsi="Times New Roman" w:cs="Times New Roman"/>
                <w:sz w:val="20"/>
                <w:szCs w:val="20"/>
              </w:rPr>
              <w:t xml:space="preserve">The vehicle shall </w:t>
            </w:r>
            <w:r w:rsidR="00C120A0" w:rsidRPr="00CA0A29">
              <w:rPr>
                <w:rFonts w:ascii="Times New Roman" w:hAnsi="Times New Roman" w:cs="Times New Roman"/>
                <w:sz w:val="20"/>
                <w:szCs w:val="20"/>
              </w:rPr>
              <w:t>verify the authenticity and integrity of messages it receives</w:t>
            </w:r>
            <w:r w:rsidR="00ED544A" w:rsidRPr="00CA0A29">
              <w:rPr>
                <w:rFonts w:ascii="Times New Roman" w:hAnsi="Times New Roman" w:cs="Times New Roman"/>
                <w:sz w:val="20"/>
                <w:szCs w:val="20"/>
              </w:rPr>
              <w:t xml:space="preserve"> </w:t>
            </w:r>
            <w:r w:rsidR="00036DA2">
              <w:rPr>
                <w:rFonts w:ascii="Times New Roman" w:hAnsi="Times New Roman" w:cs="Times New Roman"/>
                <w:color w:val="FF0000"/>
                <w:sz w:val="20"/>
                <w:szCs w:val="20"/>
                <w:u w:val="single"/>
              </w:rPr>
              <w:t>using appropriate mechanisms</w:t>
            </w:r>
            <w:r w:rsidRPr="00CA0A29">
              <w:rPr>
                <w:rFonts w:ascii="Times New Roman" w:hAnsi="Times New Roman" w:cs="Times New Roman"/>
                <w:color w:val="FF0000"/>
                <w:sz w:val="20"/>
                <w:szCs w:val="20"/>
                <w:u w:val="single"/>
              </w:rPr>
              <w:t>. Depending on the message type and capabilities, these may include cryptographic authentication and integrity checking; plausibility checking; use of a diversity of sources; and other appropriate means of providing assurance.</w:t>
            </w:r>
          </w:p>
        </w:tc>
      </w:tr>
    </w:tbl>
    <w:p w14:paraId="08D5E13D" w14:textId="77777777" w:rsidR="00BC4198" w:rsidRPr="00BC4198" w:rsidRDefault="00BC4198" w:rsidP="00CA0A29"/>
    <w:p w14:paraId="581D41D7" w14:textId="0B545791" w:rsidR="00C9105C" w:rsidRPr="00C9105C" w:rsidRDefault="009930C8" w:rsidP="00CA0A29">
      <w:pPr>
        <w:pStyle w:val="Heading3"/>
      </w:pPr>
      <w:r>
        <w:t xml:space="preserve">Proposal to official </w:t>
      </w:r>
      <w:r w:rsidR="00C9105C">
        <w:t>Interpretation document</w:t>
      </w:r>
    </w:p>
    <w:p w14:paraId="68178710" w14:textId="3DB01404" w:rsidR="00F37235" w:rsidRDefault="0028470A">
      <w:r>
        <w:t xml:space="preserve">Add the following language to </w:t>
      </w:r>
      <w:r w:rsidR="00E82947">
        <w:t>Part A,</w:t>
      </w:r>
      <w:r w:rsidR="00833BA2">
        <w:t xml:space="preserve"> </w:t>
      </w:r>
      <w:r>
        <w:t xml:space="preserve">section AB </w:t>
      </w:r>
      <w:r w:rsidR="00833BA2">
        <w:t>(</w:t>
      </w:r>
      <w:r>
        <w:t>“Paragraph 7.3.4”</w:t>
      </w:r>
      <w:r w:rsidR="00833BA2">
        <w:t>)</w:t>
      </w:r>
      <w:r>
        <w:t xml:space="preserve">, in the interpretation document </w:t>
      </w:r>
      <w:r w:rsidR="00833BA2">
        <w:t xml:space="preserve">(source: </w:t>
      </w:r>
      <w:hyperlink r:id="rId11" w:history="1">
        <w:r w:rsidRPr="00040B6B">
          <w:rPr>
            <w:rStyle w:val="Hyperlink"/>
          </w:rPr>
          <w:t>https://unece.org/sites/default/files/2021-02/ECE-TRANS-WP29-2021-059e_0.pdf</w:t>
        </w:r>
      </w:hyperlink>
      <w:r w:rsidR="00833BA2">
        <w:t>)</w:t>
      </w:r>
      <w:r>
        <w:t>:</w:t>
      </w:r>
    </w:p>
    <w:p w14:paraId="62664CF4" w14:textId="77777777" w:rsidR="008B4290" w:rsidRPr="00CA0A29" w:rsidRDefault="008B4290" w:rsidP="00CA0A29">
      <w:pPr>
        <w:ind w:left="720"/>
        <w:rPr>
          <w:rFonts w:ascii="Times New Roman" w:hAnsi="Times New Roman" w:cs="Times New Roman"/>
          <w:i/>
          <w:iCs/>
          <w:sz w:val="20"/>
          <w:szCs w:val="20"/>
        </w:rPr>
      </w:pPr>
      <w:r w:rsidRPr="00CA0A29">
        <w:rPr>
          <w:rFonts w:ascii="Times New Roman" w:hAnsi="Times New Roman" w:cs="Times New Roman"/>
          <w:i/>
          <w:iCs/>
          <w:sz w:val="20"/>
          <w:szCs w:val="20"/>
        </w:rPr>
        <w:t>The following clarifications should be noted:</w:t>
      </w:r>
    </w:p>
    <w:p w14:paraId="06DEE59A" w14:textId="764AF8EB" w:rsidR="008B4290" w:rsidRPr="0033617A" w:rsidRDefault="008B4290" w:rsidP="00CA0A29">
      <w:pPr>
        <w:ind w:left="720"/>
        <w:rPr>
          <w:rFonts w:ascii="Times New Roman" w:hAnsi="Times New Roman" w:cs="Times New Roman"/>
          <w:sz w:val="20"/>
          <w:szCs w:val="20"/>
        </w:rPr>
      </w:pPr>
      <w:r w:rsidRPr="0033617A">
        <w:rPr>
          <w:rFonts w:ascii="Times New Roman" w:hAnsi="Times New Roman" w:cs="Times New Roman"/>
          <w:sz w:val="20"/>
          <w:szCs w:val="20"/>
        </w:rPr>
        <w:t>(a) The design decisions of the manufacturer should be linked to the risk assessment and risk management strategy. The manufacturer should be able to justify the strategy implemented;</w:t>
      </w:r>
    </w:p>
    <w:p w14:paraId="4021E852" w14:textId="7BB2F315" w:rsidR="008B4290" w:rsidRPr="0033617A" w:rsidRDefault="008B4290" w:rsidP="00CA0A29">
      <w:pPr>
        <w:ind w:left="720"/>
        <w:rPr>
          <w:rFonts w:ascii="Times New Roman" w:hAnsi="Times New Roman" w:cs="Times New Roman"/>
          <w:sz w:val="20"/>
          <w:szCs w:val="20"/>
        </w:rPr>
      </w:pPr>
      <w:r w:rsidRPr="0033617A">
        <w:rPr>
          <w:rFonts w:ascii="Times New Roman" w:hAnsi="Times New Roman" w:cs="Times New Roman"/>
          <w:sz w:val="20"/>
          <w:szCs w:val="20"/>
        </w:rPr>
        <w:t>(b) The term "proportionate" should be considered when choosing whether to implement a mitigation and what mitigation should be implemented. If the risk is negligible then it may be argued that a mitigation would not be necessary;</w:t>
      </w:r>
    </w:p>
    <w:p w14:paraId="1FABD51B" w14:textId="731364CC" w:rsidR="0028470A" w:rsidRPr="0033617A" w:rsidRDefault="008B4290" w:rsidP="008B4290">
      <w:pPr>
        <w:ind w:left="720"/>
        <w:rPr>
          <w:rFonts w:ascii="Times New Roman" w:hAnsi="Times New Roman" w:cs="Times New Roman"/>
          <w:sz w:val="20"/>
          <w:szCs w:val="20"/>
        </w:rPr>
      </w:pPr>
      <w:r w:rsidRPr="0033617A">
        <w:rPr>
          <w:rFonts w:ascii="Times New Roman" w:hAnsi="Times New Roman" w:cs="Times New Roman"/>
          <w:sz w:val="20"/>
          <w:szCs w:val="20"/>
        </w:rPr>
        <w:t>(c) Protection from identified risks means to mitigate the risk</w:t>
      </w:r>
    </w:p>
    <w:p w14:paraId="4A0EE99C" w14:textId="2F53843E" w:rsidR="008B4290" w:rsidRDefault="0033617A">
      <w:pPr>
        <w:ind w:left="720"/>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[ALTERNATIVE PROPOSAL 1] </w:t>
      </w:r>
      <w:r w:rsidR="008B4290" w:rsidRPr="0033617A">
        <w:rPr>
          <w:rFonts w:ascii="Times New Roman" w:hAnsi="Times New Roman" w:cs="Times New Roman"/>
          <w:color w:val="FF0000"/>
          <w:sz w:val="20"/>
          <w:szCs w:val="20"/>
          <w:u w:val="single"/>
        </w:rPr>
        <w:t xml:space="preserve">(d) </w:t>
      </w:r>
      <w:r w:rsidR="002D5740" w:rsidRPr="0033617A">
        <w:rPr>
          <w:rFonts w:ascii="Times New Roman" w:hAnsi="Times New Roman" w:cs="Times New Roman"/>
          <w:color w:val="FF0000"/>
          <w:sz w:val="20"/>
          <w:szCs w:val="20"/>
          <w:u w:val="single"/>
        </w:rPr>
        <w:t xml:space="preserve">Referring to row 1 of table B.1 in Annex 5 Part B: </w:t>
      </w:r>
      <w:r w:rsidR="001F2D45" w:rsidRPr="0033617A">
        <w:rPr>
          <w:rFonts w:ascii="Times New Roman" w:hAnsi="Times New Roman" w:cs="Times New Roman"/>
          <w:color w:val="FF0000"/>
          <w:sz w:val="20"/>
          <w:szCs w:val="20"/>
          <w:u w:val="single"/>
        </w:rPr>
        <w:t>This row should not be read as creating a requirement that received GNSS messages are cryptographically authenticated by receiver</w:t>
      </w:r>
      <w:r w:rsidR="0050125E" w:rsidRPr="0033617A">
        <w:rPr>
          <w:rFonts w:ascii="Times New Roman" w:hAnsi="Times New Roman" w:cs="Times New Roman"/>
          <w:color w:val="FF0000"/>
          <w:sz w:val="20"/>
          <w:szCs w:val="20"/>
          <w:u w:val="single"/>
        </w:rPr>
        <w:t xml:space="preserve">s. The manufacturer may </w:t>
      </w:r>
      <w:r w:rsidR="00A934F8" w:rsidRPr="0033617A">
        <w:rPr>
          <w:rFonts w:ascii="Times New Roman" w:hAnsi="Times New Roman" w:cs="Times New Roman"/>
          <w:color w:val="FF0000"/>
          <w:sz w:val="20"/>
          <w:szCs w:val="20"/>
          <w:u w:val="single"/>
        </w:rPr>
        <w:t xml:space="preserve">choose to use cryptographic authentication or may choose to use other </w:t>
      </w:r>
      <w:r w:rsidR="00A934F8" w:rsidRPr="0033617A">
        <w:rPr>
          <w:rFonts w:ascii="Times New Roman" w:hAnsi="Times New Roman" w:cs="Times New Roman"/>
          <w:color w:val="FF0000"/>
          <w:sz w:val="20"/>
          <w:szCs w:val="20"/>
          <w:u w:val="single"/>
        </w:rPr>
        <w:lastRenderedPageBreak/>
        <w:t xml:space="preserve">means to mitigate risks from </w:t>
      </w:r>
      <w:r w:rsidR="007A4F96" w:rsidRPr="0033617A">
        <w:rPr>
          <w:rFonts w:ascii="Times New Roman" w:hAnsi="Times New Roman" w:cs="Times New Roman"/>
          <w:color w:val="FF0000"/>
          <w:sz w:val="20"/>
          <w:szCs w:val="20"/>
          <w:u w:val="single"/>
        </w:rPr>
        <w:t>incorrect GNSS messages. The manufacturer should be able to justify the strategy implemented.</w:t>
      </w:r>
    </w:p>
    <w:p w14:paraId="7B225F11" w14:textId="04314672" w:rsidR="00BA66DA" w:rsidRDefault="0033617A">
      <w:pPr>
        <w:ind w:left="720"/>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[ALTERNATIVE PROPOSAL 2] </w:t>
      </w:r>
      <w:r w:rsidR="00BA66DA">
        <w:rPr>
          <w:rFonts w:ascii="Times New Roman" w:hAnsi="Times New Roman" w:cs="Times New Roman"/>
          <w:color w:val="FF0000"/>
          <w:sz w:val="20"/>
          <w:szCs w:val="20"/>
          <w:u w:val="single"/>
        </w:rPr>
        <w:t xml:space="preserve">(d) </w:t>
      </w:r>
      <w:r w:rsidR="00ED73D7">
        <w:rPr>
          <w:rFonts w:ascii="Times New Roman" w:hAnsi="Times New Roman" w:cs="Times New Roman"/>
          <w:color w:val="FF0000"/>
          <w:sz w:val="20"/>
          <w:szCs w:val="20"/>
          <w:u w:val="single"/>
        </w:rPr>
        <w:t>Different m</w:t>
      </w:r>
      <w:r w:rsidR="00C121F2">
        <w:rPr>
          <w:rFonts w:ascii="Times New Roman" w:hAnsi="Times New Roman" w:cs="Times New Roman"/>
          <w:color w:val="FF0000"/>
          <w:sz w:val="20"/>
          <w:szCs w:val="20"/>
          <w:u w:val="single"/>
        </w:rPr>
        <w:t xml:space="preserve">itigations </w:t>
      </w:r>
      <w:r w:rsidR="00617224">
        <w:rPr>
          <w:rFonts w:ascii="Times New Roman" w:hAnsi="Times New Roman" w:cs="Times New Roman"/>
          <w:color w:val="FF0000"/>
          <w:sz w:val="20"/>
          <w:szCs w:val="20"/>
          <w:u w:val="single"/>
        </w:rPr>
        <w:t xml:space="preserve">to </w:t>
      </w:r>
      <w:r w:rsidR="005D5361">
        <w:rPr>
          <w:rFonts w:ascii="Times New Roman" w:hAnsi="Times New Roman" w:cs="Times New Roman"/>
          <w:color w:val="FF0000"/>
          <w:sz w:val="20"/>
          <w:szCs w:val="20"/>
          <w:u w:val="single"/>
        </w:rPr>
        <w:t>those</w:t>
      </w:r>
      <w:r w:rsidR="00D37FE1">
        <w:rPr>
          <w:rFonts w:ascii="Times New Roman" w:hAnsi="Times New Roman" w:cs="Times New Roman"/>
          <w:color w:val="FF0000"/>
          <w:sz w:val="20"/>
          <w:szCs w:val="20"/>
          <w:u w:val="single"/>
        </w:rPr>
        <w:t xml:space="preserve"> listed in Annex 5</w:t>
      </w:r>
      <w:r w:rsidR="005D5361">
        <w:rPr>
          <w:rFonts w:ascii="Times New Roman" w:hAnsi="Times New Roman" w:cs="Times New Roman"/>
          <w:color w:val="FF0000"/>
          <w:sz w:val="20"/>
          <w:szCs w:val="20"/>
          <w:u w:val="single"/>
        </w:rPr>
        <w:t xml:space="preserve"> </w:t>
      </w:r>
      <w:r w:rsidR="00617224">
        <w:rPr>
          <w:rFonts w:ascii="Times New Roman" w:hAnsi="Times New Roman" w:cs="Times New Roman"/>
          <w:color w:val="FF0000"/>
          <w:sz w:val="20"/>
          <w:szCs w:val="20"/>
          <w:u w:val="single"/>
        </w:rPr>
        <w:t xml:space="preserve">for </w:t>
      </w:r>
      <w:r w:rsidR="00933630">
        <w:rPr>
          <w:rFonts w:ascii="Times New Roman" w:hAnsi="Times New Roman" w:cs="Times New Roman"/>
          <w:color w:val="FF0000"/>
          <w:sz w:val="20"/>
          <w:szCs w:val="20"/>
          <w:u w:val="single"/>
        </w:rPr>
        <w:t xml:space="preserve">their </w:t>
      </w:r>
      <w:r w:rsidR="00617224">
        <w:rPr>
          <w:rFonts w:ascii="Times New Roman" w:hAnsi="Times New Roman" w:cs="Times New Roman"/>
          <w:color w:val="FF0000"/>
          <w:sz w:val="20"/>
          <w:szCs w:val="20"/>
          <w:u w:val="single"/>
        </w:rPr>
        <w:t xml:space="preserve">associated risks </w:t>
      </w:r>
      <w:r w:rsidR="00ED73D7">
        <w:rPr>
          <w:rFonts w:ascii="Times New Roman" w:hAnsi="Times New Roman" w:cs="Times New Roman"/>
          <w:color w:val="FF0000"/>
          <w:sz w:val="20"/>
          <w:szCs w:val="20"/>
          <w:u w:val="single"/>
        </w:rPr>
        <w:t>are</w:t>
      </w:r>
      <w:r w:rsidR="00646A43">
        <w:rPr>
          <w:rFonts w:ascii="Times New Roman" w:hAnsi="Times New Roman" w:cs="Times New Roman"/>
          <w:color w:val="FF0000"/>
          <w:sz w:val="20"/>
          <w:szCs w:val="20"/>
          <w:u w:val="single"/>
        </w:rPr>
        <w:t xml:space="preserve"> allowed if a rationale is provided</w:t>
      </w:r>
      <w:r w:rsidR="00D60D86">
        <w:rPr>
          <w:rFonts w:ascii="Times New Roman" w:hAnsi="Times New Roman" w:cs="Times New Roman"/>
          <w:color w:val="FF0000"/>
          <w:sz w:val="20"/>
          <w:szCs w:val="20"/>
          <w:u w:val="single"/>
        </w:rPr>
        <w:t xml:space="preserve"> </w:t>
      </w:r>
      <w:r w:rsidR="00933630">
        <w:rPr>
          <w:rFonts w:ascii="Times New Roman" w:hAnsi="Times New Roman" w:cs="Times New Roman"/>
          <w:color w:val="FF0000"/>
          <w:sz w:val="20"/>
          <w:szCs w:val="20"/>
          <w:u w:val="single"/>
        </w:rPr>
        <w:t xml:space="preserve">explaining how the </w:t>
      </w:r>
      <w:r w:rsidR="00D60D86">
        <w:rPr>
          <w:rFonts w:ascii="Times New Roman" w:hAnsi="Times New Roman" w:cs="Times New Roman"/>
          <w:color w:val="FF0000"/>
          <w:sz w:val="20"/>
          <w:szCs w:val="20"/>
          <w:u w:val="single"/>
        </w:rPr>
        <w:t xml:space="preserve">risk </w:t>
      </w:r>
      <w:r w:rsidR="00ED73D7">
        <w:rPr>
          <w:rFonts w:ascii="Times New Roman" w:hAnsi="Times New Roman" w:cs="Times New Roman"/>
          <w:color w:val="FF0000"/>
          <w:sz w:val="20"/>
          <w:szCs w:val="20"/>
          <w:u w:val="single"/>
        </w:rPr>
        <w:t xml:space="preserve">identified is </w:t>
      </w:r>
      <w:r w:rsidR="00D60D86">
        <w:rPr>
          <w:rFonts w:ascii="Times New Roman" w:hAnsi="Times New Roman" w:cs="Times New Roman"/>
          <w:color w:val="FF0000"/>
          <w:sz w:val="20"/>
          <w:szCs w:val="20"/>
          <w:u w:val="single"/>
        </w:rPr>
        <w:t>sufficiently mitigated</w:t>
      </w:r>
      <w:r w:rsidR="00646A43">
        <w:rPr>
          <w:rFonts w:ascii="Times New Roman" w:hAnsi="Times New Roman" w:cs="Times New Roman"/>
          <w:color w:val="FF0000"/>
          <w:sz w:val="20"/>
          <w:szCs w:val="20"/>
          <w:u w:val="single"/>
        </w:rPr>
        <w:t xml:space="preserve"> e.g. </w:t>
      </w:r>
      <w:r w:rsidR="00ED0C45" w:rsidRPr="0039380E">
        <w:rPr>
          <w:rFonts w:ascii="Times New Roman" w:hAnsi="Times New Roman" w:cs="Times New Roman"/>
          <w:color w:val="FF0000"/>
          <w:sz w:val="20"/>
          <w:szCs w:val="20"/>
          <w:u w:val="single"/>
        </w:rPr>
        <w:t xml:space="preserve">use of a diversity of </w:t>
      </w:r>
      <w:r w:rsidR="00095564">
        <w:rPr>
          <w:rFonts w:ascii="Times New Roman" w:hAnsi="Times New Roman" w:cs="Times New Roman"/>
          <w:color w:val="FF0000"/>
          <w:sz w:val="20"/>
          <w:szCs w:val="20"/>
          <w:u w:val="single"/>
        </w:rPr>
        <w:t xml:space="preserve">location determination </w:t>
      </w:r>
      <w:r w:rsidR="00ED0C45" w:rsidRPr="0039380E">
        <w:rPr>
          <w:rFonts w:ascii="Times New Roman" w:hAnsi="Times New Roman" w:cs="Times New Roman"/>
          <w:color w:val="FF0000"/>
          <w:sz w:val="20"/>
          <w:szCs w:val="20"/>
          <w:u w:val="single"/>
        </w:rPr>
        <w:t>sources</w:t>
      </w:r>
      <w:r w:rsidR="00ED0C45">
        <w:rPr>
          <w:rFonts w:ascii="Times New Roman" w:hAnsi="Times New Roman" w:cs="Times New Roman"/>
          <w:color w:val="FF0000"/>
          <w:sz w:val="20"/>
          <w:szCs w:val="20"/>
          <w:u w:val="single"/>
        </w:rPr>
        <w:t xml:space="preserve"> due to </w:t>
      </w:r>
      <w:r w:rsidR="00095564">
        <w:rPr>
          <w:rFonts w:ascii="Times New Roman" w:hAnsi="Times New Roman" w:cs="Times New Roman"/>
          <w:color w:val="FF0000"/>
          <w:sz w:val="20"/>
          <w:szCs w:val="20"/>
          <w:u w:val="single"/>
        </w:rPr>
        <w:t xml:space="preserve">a </w:t>
      </w:r>
      <w:r w:rsidR="00ED0C45">
        <w:rPr>
          <w:rFonts w:ascii="Times New Roman" w:hAnsi="Times New Roman" w:cs="Times New Roman"/>
          <w:color w:val="FF0000"/>
          <w:sz w:val="20"/>
          <w:szCs w:val="20"/>
          <w:u w:val="single"/>
        </w:rPr>
        <w:t xml:space="preserve">lack of </w:t>
      </w:r>
      <w:r w:rsidR="003424F7">
        <w:rPr>
          <w:rFonts w:ascii="Times New Roman" w:hAnsi="Times New Roman" w:cs="Times New Roman"/>
          <w:color w:val="FF0000"/>
          <w:sz w:val="20"/>
          <w:szCs w:val="20"/>
          <w:u w:val="single"/>
        </w:rPr>
        <w:t xml:space="preserve">authenticity and integrity protection </w:t>
      </w:r>
      <w:r w:rsidR="009C2137">
        <w:rPr>
          <w:rFonts w:ascii="Times New Roman" w:hAnsi="Times New Roman" w:cs="Times New Roman"/>
          <w:color w:val="FF0000"/>
          <w:sz w:val="20"/>
          <w:szCs w:val="20"/>
          <w:u w:val="single"/>
        </w:rPr>
        <w:t>capa</w:t>
      </w:r>
      <w:r w:rsidR="005F2782">
        <w:rPr>
          <w:rFonts w:ascii="Times New Roman" w:hAnsi="Times New Roman" w:cs="Times New Roman"/>
          <w:color w:val="FF0000"/>
          <w:sz w:val="20"/>
          <w:szCs w:val="20"/>
          <w:u w:val="single"/>
        </w:rPr>
        <w:t xml:space="preserve">bility </w:t>
      </w:r>
      <w:r w:rsidR="003424F7">
        <w:rPr>
          <w:rFonts w:ascii="Times New Roman" w:hAnsi="Times New Roman" w:cs="Times New Roman"/>
          <w:color w:val="FF0000"/>
          <w:sz w:val="20"/>
          <w:szCs w:val="20"/>
          <w:u w:val="single"/>
        </w:rPr>
        <w:t>in GNSS messages</w:t>
      </w:r>
      <w:r w:rsidR="00095564">
        <w:rPr>
          <w:rFonts w:ascii="Times New Roman" w:hAnsi="Times New Roman" w:cs="Times New Roman"/>
          <w:color w:val="FF0000"/>
          <w:sz w:val="20"/>
          <w:szCs w:val="20"/>
          <w:u w:val="single"/>
        </w:rPr>
        <w:t>.</w:t>
      </w:r>
    </w:p>
    <w:p w14:paraId="0ECB0306" w14:textId="0A101E0C" w:rsidR="00ED5792" w:rsidRPr="006D22D7" w:rsidRDefault="0033617A" w:rsidP="006D22D7">
      <w:pPr>
        <w:ind w:left="720"/>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[ALTERNATIVE PROPOSAL 3] </w:t>
      </w:r>
      <w:r w:rsidR="00ED5792">
        <w:rPr>
          <w:rFonts w:ascii="Times New Roman" w:hAnsi="Times New Roman" w:cs="Times New Roman"/>
          <w:color w:val="FF0000"/>
          <w:sz w:val="20"/>
          <w:szCs w:val="20"/>
          <w:u w:val="single"/>
        </w:rPr>
        <w:t>(d) The phrase "</w:t>
      </w:r>
      <w:r w:rsidR="008B7A75">
        <w:rPr>
          <w:rFonts w:ascii="Times New Roman" w:hAnsi="Times New Roman" w:cs="Times New Roman"/>
          <w:color w:val="FF0000"/>
          <w:sz w:val="20"/>
          <w:szCs w:val="20"/>
          <w:u w:val="single"/>
        </w:rPr>
        <w:t xml:space="preserve">not relevant or not sufficient" </w:t>
      </w:r>
      <w:r w:rsidR="00B41DF2">
        <w:rPr>
          <w:rFonts w:ascii="Times New Roman" w:hAnsi="Times New Roman" w:cs="Times New Roman"/>
          <w:color w:val="FF0000"/>
          <w:sz w:val="20"/>
          <w:szCs w:val="20"/>
          <w:u w:val="single"/>
        </w:rPr>
        <w:t xml:space="preserve">should be considered to </w:t>
      </w:r>
      <w:r w:rsidR="00AC67EC">
        <w:rPr>
          <w:rFonts w:ascii="Times New Roman" w:hAnsi="Times New Roman" w:cs="Times New Roman"/>
          <w:color w:val="FF0000"/>
          <w:sz w:val="20"/>
          <w:szCs w:val="20"/>
          <w:u w:val="single"/>
        </w:rPr>
        <w:t>include those</w:t>
      </w:r>
      <w:r w:rsidR="00B41DF2">
        <w:rPr>
          <w:rFonts w:ascii="Times New Roman" w:hAnsi="Times New Roman" w:cs="Times New Roman"/>
          <w:color w:val="FF0000"/>
          <w:sz w:val="20"/>
          <w:szCs w:val="20"/>
          <w:u w:val="single"/>
        </w:rPr>
        <w:t xml:space="preserve"> mitigations that are technically not possible e.g. </w:t>
      </w:r>
      <w:r w:rsidR="007C3F42">
        <w:rPr>
          <w:rFonts w:ascii="Times New Roman" w:hAnsi="Times New Roman" w:cs="Times New Roman"/>
          <w:color w:val="FF0000"/>
          <w:sz w:val="20"/>
          <w:szCs w:val="20"/>
          <w:u w:val="single"/>
        </w:rPr>
        <w:t>lack of authenticity and integrity protection capability in a messaging system.</w:t>
      </w:r>
    </w:p>
    <w:p w14:paraId="533BC792" w14:textId="0C7B10FF" w:rsidR="00797B1A" w:rsidRDefault="00835BD8" w:rsidP="00835BD8">
      <w:pPr>
        <w:jc w:val="center"/>
      </w:pPr>
      <w:r>
        <w:t>___________________</w:t>
      </w:r>
    </w:p>
    <w:p w14:paraId="16D1916B" w14:textId="00C466E1" w:rsidR="00797B1A" w:rsidRDefault="00797B1A"/>
    <w:p w14:paraId="09AB7146" w14:textId="77777777" w:rsidR="00797B1A" w:rsidRDefault="00797B1A"/>
    <w:sectPr w:rsidR="00797B1A" w:rsidSect="003654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33A9" w14:textId="77777777" w:rsidR="00C32969" w:rsidRDefault="00C32969" w:rsidP="00C32969">
      <w:pPr>
        <w:spacing w:after="0" w:line="240" w:lineRule="auto"/>
      </w:pPr>
      <w:r>
        <w:separator/>
      </w:r>
    </w:p>
  </w:endnote>
  <w:endnote w:type="continuationSeparator" w:id="0">
    <w:p w14:paraId="3A1D5D58" w14:textId="77777777" w:rsidR="00C32969" w:rsidRDefault="00C32969" w:rsidP="00C3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8E72" w14:textId="77777777" w:rsidR="00EC49C5" w:rsidRDefault="00EC4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5D4" w14:textId="77777777" w:rsidR="00EC49C5" w:rsidRDefault="00EC4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E9EC" w14:textId="77777777" w:rsidR="00EC49C5" w:rsidRDefault="00EC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07C8" w14:textId="77777777" w:rsidR="00C32969" w:rsidRDefault="00C32969" w:rsidP="00C32969">
      <w:pPr>
        <w:spacing w:after="0" w:line="240" w:lineRule="auto"/>
      </w:pPr>
      <w:r>
        <w:separator/>
      </w:r>
    </w:p>
  </w:footnote>
  <w:footnote w:type="continuationSeparator" w:id="0">
    <w:p w14:paraId="4B744D7F" w14:textId="77777777" w:rsidR="00C32969" w:rsidRDefault="00C32969" w:rsidP="00C32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3763" w14:textId="77777777" w:rsidR="00EC49C5" w:rsidRDefault="00EC4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8"/>
      <w:gridCol w:w="3572"/>
    </w:tblGrid>
    <w:tr w:rsidR="00300B06" w:rsidRPr="00781AAD" w14:paraId="3990EE88" w14:textId="77777777" w:rsidTr="00C11EBB">
      <w:trPr>
        <w:trHeight w:val="282"/>
      </w:trPr>
      <w:tc>
        <w:tcPr>
          <w:tcW w:w="5954" w:type="dxa"/>
        </w:tcPr>
        <w:p w14:paraId="74FEBAF2" w14:textId="77777777" w:rsidR="00300B06" w:rsidRPr="00781AAD" w:rsidRDefault="00300B06" w:rsidP="00300B06">
          <w:pPr>
            <w:pStyle w:val="FootnoteText"/>
            <w:ind w:left="0" w:firstLine="0"/>
            <w:rPr>
              <w:sz w:val="20"/>
            </w:rPr>
          </w:pPr>
        </w:p>
      </w:tc>
      <w:tc>
        <w:tcPr>
          <w:tcW w:w="3675" w:type="dxa"/>
        </w:tcPr>
        <w:p w14:paraId="6653D7F6" w14:textId="5ABA51D5" w:rsidR="00300B06" w:rsidRPr="00781AAD" w:rsidRDefault="00300B06" w:rsidP="00300B06">
          <w:pPr>
            <w:pStyle w:val="FootnoteText"/>
            <w:tabs>
              <w:tab w:val="clear" w:pos="1021"/>
              <w:tab w:val="left" w:pos="857"/>
              <w:tab w:val="left" w:pos="2558"/>
            </w:tabs>
            <w:ind w:left="2133" w:right="-8" w:hanging="1276"/>
            <w:rPr>
              <w:sz w:val="20"/>
            </w:rPr>
          </w:pPr>
        </w:p>
      </w:tc>
    </w:tr>
  </w:tbl>
  <w:p w14:paraId="101CBA18" w14:textId="77777777" w:rsidR="00300B06" w:rsidRDefault="00300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7"/>
      <w:gridCol w:w="3603"/>
    </w:tblGrid>
    <w:tr w:rsidR="00365434" w:rsidRPr="00781AAD" w14:paraId="7380E345" w14:textId="77777777" w:rsidTr="00C11EBB">
      <w:trPr>
        <w:trHeight w:val="282"/>
      </w:trPr>
      <w:tc>
        <w:tcPr>
          <w:tcW w:w="5954" w:type="dxa"/>
        </w:tcPr>
        <w:p w14:paraId="74A886F0" w14:textId="77777777" w:rsidR="00142D98" w:rsidRDefault="00365434" w:rsidP="00142D98">
          <w:pPr>
            <w:pStyle w:val="FootnoteText"/>
            <w:rPr>
              <w:sz w:val="20"/>
            </w:rPr>
          </w:pPr>
          <w:r w:rsidRPr="00781AAD">
            <w:rPr>
              <w:sz w:val="20"/>
            </w:rPr>
            <w:t>Submitted by the expert</w:t>
          </w:r>
          <w:r w:rsidR="004B5CFB">
            <w:rPr>
              <w:sz w:val="20"/>
            </w:rPr>
            <w:t>s</w:t>
          </w:r>
          <w:r>
            <w:rPr>
              <w:sz w:val="20"/>
            </w:rPr>
            <w:t xml:space="preserve"> from</w:t>
          </w:r>
        </w:p>
        <w:p w14:paraId="29CB88D1" w14:textId="5701A1C9" w:rsidR="00365434" w:rsidRPr="00781AAD" w:rsidRDefault="00365434" w:rsidP="00142D98">
          <w:pPr>
            <w:pStyle w:val="FootnoteText"/>
            <w:rPr>
              <w:sz w:val="20"/>
            </w:rPr>
          </w:pPr>
          <w:r>
            <w:rPr>
              <w:sz w:val="20"/>
            </w:rPr>
            <w:t>SAE International</w:t>
          </w:r>
        </w:p>
        <w:p w14:paraId="004C7B44" w14:textId="77777777" w:rsidR="00365434" w:rsidRPr="00781AAD" w:rsidRDefault="00365434" w:rsidP="00365434">
          <w:pPr>
            <w:pStyle w:val="FootnoteText"/>
            <w:ind w:left="0" w:firstLine="0"/>
            <w:rPr>
              <w:sz w:val="20"/>
            </w:rPr>
          </w:pPr>
        </w:p>
      </w:tc>
      <w:tc>
        <w:tcPr>
          <w:tcW w:w="3675" w:type="dxa"/>
        </w:tcPr>
        <w:p w14:paraId="1121A22B" w14:textId="77777777" w:rsidR="00365434" w:rsidRPr="00781AAD" w:rsidRDefault="00365434" w:rsidP="00365434">
          <w:pPr>
            <w:pStyle w:val="FootnoteText"/>
            <w:ind w:right="0" w:hanging="277"/>
            <w:rPr>
              <w:b/>
              <w:sz w:val="20"/>
            </w:rPr>
          </w:pPr>
          <w:r w:rsidRPr="00781AAD">
            <w:rPr>
              <w:sz w:val="20"/>
              <w:u w:val="single"/>
            </w:rPr>
            <w:t>Informal document</w:t>
          </w:r>
          <w:r w:rsidRPr="00781AAD">
            <w:rPr>
              <w:sz w:val="20"/>
            </w:rPr>
            <w:t xml:space="preserve"> </w:t>
          </w:r>
          <w:r w:rsidRPr="00781AAD">
            <w:rPr>
              <w:b/>
              <w:sz w:val="20"/>
            </w:rPr>
            <w:t>GRVA-13-2</w:t>
          </w:r>
          <w:r>
            <w:rPr>
              <w:b/>
              <w:sz w:val="20"/>
            </w:rPr>
            <w:t>9</w:t>
          </w:r>
        </w:p>
        <w:p w14:paraId="52570385" w14:textId="77777777" w:rsidR="00365434" w:rsidRPr="00781AAD" w:rsidRDefault="00365434" w:rsidP="00365434">
          <w:pPr>
            <w:pStyle w:val="FootnoteText"/>
            <w:ind w:right="0" w:hanging="277"/>
            <w:rPr>
              <w:b/>
              <w:sz w:val="20"/>
            </w:rPr>
          </w:pPr>
          <w:r w:rsidRPr="00781AAD">
            <w:rPr>
              <w:sz w:val="20"/>
            </w:rPr>
            <w:t>13</w:t>
          </w:r>
          <w:r w:rsidRPr="00781AAD">
            <w:rPr>
              <w:sz w:val="20"/>
              <w:vertAlign w:val="superscript"/>
            </w:rPr>
            <w:t>th</w:t>
          </w:r>
          <w:r w:rsidRPr="00781AAD">
            <w:rPr>
              <w:sz w:val="20"/>
            </w:rPr>
            <w:t xml:space="preserve"> GRVA, 23-27 May 2022</w:t>
          </w:r>
        </w:p>
        <w:p w14:paraId="6F2EDA7D" w14:textId="64585F0E" w:rsidR="00365434" w:rsidRPr="00781AAD" w:rsidRDefault="00365434" w:rsidP="00365434">
          <w:pPr>
            <w:pStyle w:val="FootnoteText"/>
            <w:tabs>
              <w:tab w:val="clear" w:pos="1021"/>
              <w:tab w:val="left" w:pos="857"/>
              <w:tab w:val="left" w:pos="2558"/>
            </w:tabs>
            <w:ind w:left="2133" w:right="-8" w:hanging="1276"/>
            <w:rPr>
              <w:sz w:val="20"/>
            </w:rPr>
          </w:pPr>
          <w:r w:rsidRPr="00781AAD">
            <w:rPr>
              <w:sz w:val="20"/>
            </w:rPr>
            <w:t xml:space="preserve">Provisional agenda item </w:t>
          </w:r>
          <w:r>
            <w:rPr>
              <w:sz w:val="20"/>
            </w:rPr>
            <w:t>5(</w:t>
          </w:r>
          <w:r w:rsidR="00EC49C5">
            <w:rPr>
              <w:sz w:val="20"/>
            </w:rPr>
            <w:t>a</w:t>
          </w:r>
          <w:r w:rsidRPr="00781AAD">
            <w:rPr>
              <w:sz w:val="20"/>
            </w:rPr>
            <w:t>)</w:t>
          </w:r>
        </w:p>
      </w:tc>
    </w:tr>
  </w:tbl>
  <w:p w14:paraId="60AC483F" w14:textId="77777777" w:rsidR="00B6283F" w:rsidRDefault="00B62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81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A856855"/>
    <w:multiLevelType w:val="hybridMultilevel"/>
    <w:tmpl w:val="18DE5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B5"/>
    <w:rsid w:val="0002508B"/>
    <w:rsid w:val="00026E20"/>
    <w:rsid w:val="00036DA2"/>
    <w:rsid w:val="00077EC7"/>
    <w:rsid w:val="00095564"/>
    <w:rsid w:val="00097742"/>
    <w:rsid w:val="000C1308"/>
    <w:rsid w:val="000C34AE"/>
    <w:rsid w:val="000E29A8"/>
    <w:rsid w:val="00131D0E"/>
    <w:rsid w:val="0014289F"/>
    <w:rsid w:val="00142D98"/>
    <w:rsid w:val="00172FCA"/>
    <w:rsid w:val="001816A5"/>
    <w:rsid w:val="001A6A12"/>
    <w:rsid w:val="001F2D45"/>
    <w:rsid w:val="001F39FF"/>
    <w:rsid w:val="001F70F8"/>
    <w:rsid w:val="00223D27"/>
    <w:rsid w:val="0028470A"/>
    <w:rsid w:val="00287A0D"/>
    <w:rsid w:val="002963E3"/>
    <w:rsid w:val="002B2FDD"/>
    <w:rsid w:val="002D5740"/>
    <w:rsid w:val="002E4CB9"/>
    <w:rsid w:val="002F1BDA"/>
    <w:rsid w:val="00300B06"/>
    <w:rsid w:val="00326348"/>
    <w:rsid w:val="0033617A"/>
    <w:rsid w:val="003424F7"/>
    <w:rsid w:val="00344D98"/>
    <w:rsid w:val="00360E0D"/>
    <w:rsid w:val="00365434"/>
    <w:rsid w:val="003863DE"/>
    <w:rsid w:val="003D5C2A"/>
    <w:rsid w:val="003D71B7"/>
    <w:rsid w:val="003F7A55"/>
    <w:rsid w:val="004232A9"/>
    <w:rsid w:val="00452AE1"/>
    <w:rsid w:val="0046470B"/>
    <w:rsid w:val="004847EC"/>
    <w:rsid w:val="00485EB2"/>
    <w:rsid w:val="00493B5C"/>
    <w:rsid w:val="004A02F2"/>
    <w:rsid w:val="004B5CFB"/>
    <w:rsid w:val="0050125E"/>
    <w:rsid w:val="005523DE"/>
    <w:rsid w:val="005540C4"/>
    <w:rsid w:val="00571B0E"/>
    <w:rsid w:val="005B7B9D"/>
    <w:rsid w:val="005D5361"/>
    <w:rsid w:val="005F2782"/>
    <w:rsid w:val="005F3177"/>
    <w:rsid w:val="005F4924"/>
    <w:rsid w:val="00617224"/>
    <w:rsid w:val="00621966"/>
    <w:rsid w:val="00624F82"/>
    <w:rsid w:val="00627B67"/>
    <w:rsid w:val="00646A43"/>
    <w:rsid w:val="00697F81"/>
    <w:rsid w:val="006B4CB5"/>
    <w:rsid w:val="006C1315"/>
    <w:rsid w:val="006C22F5"/>
    <w:rsid w:val="006D22D7"/>
    <w:rsid w:val="006D410F"/>
    <w:rsid w:val="007029FC"/>
    <w:rsid w:val="00724A02"/>
    <w:rsid w:val="00761F92"/>
    <w:rsid w:val="007720AB"/>
    <w:rsid w:val="00797B1A"/>
    <w:rsid w:val="007A2F45"/>
    <w:rsid w:val="007A4F96"/>
    <w:rsid w:val="007B333F"/>
    <w:rsid w:val="007C3F42"/>
    <w:rsid w:val="007C72AE"/>
    <w:rsid w:val="007E759F"/>
    <w:rsid w:val="007F71EF"/>
    <w:rsid w:val="00806065"/>
    <w:rsid w:val="008157C0"/>
    <w:rsid w:val="00833BA2"/>
    <w:rsid w:val="00835BD8"/>
    <w:rsid w:val="008739CA"/>
    <w:rsid w:val="008862E9"/>
    <w:rsid w:val="008B4290"/>
    <w:rsid w:val="008B7A75"/>
    <w:rsid w:val="008E4713"/>
    <w:rsid w:val="00913EC2"/>
    <w:rsid w:val="009245DD"/>
    <w:rsid w:val="00933630"/>
    <w:rsid w:val="00940618"/>
    <w:rsid w:val="0098678F"/>
    <w:rsid w:val="009930C8"/>
    <w:rsid w:val="009C2137"/>
    <w:rsid w:val="00A03310"/>
    <w:rsid w:val="00A05D61"/>
    <w:rsid w:val="00A07B38"/>
    <w:rsid w:val="00A27210"/>
    <w:rsid w:val="00A2764B"/>
    <w:rsid w:val="00A777B9"/>
    <w:rsid w:val="00A855F9"/>
    <w:rsid w:val="00A934F8"/>
    <w:rsid w:val="00AC386C"/>
    <w:rsid w:val="00AC67EC"/>
    <w:rsid w:val="00AD29AB"/>
    <w:rsid w:val="00AE0037"/>
    <w:rsid w:val="00AF1CE2"/>
    <w:rsid w:val="00B07138"/>
    <w:rsid w:val="00B25EFE"/>
    <w:rsid w:val="00B41DF2"/>
    <w:rsid w:val="00B5708C"/>
    <w:rsid w:val="00B6283F"/>
    <w:rsid w:val="00B731EB"/>
    <w:rsid w:val="00B940CF"/>
    <w:rsid w:val="00BA3605"/>
    <w:rsid w:val="00BA66DA"/>
    <w:rsid w:val="00BA7AC5"/>
    <w:rsid w:val="00BC4198"/>
    <w:rsid w:val="00C120A0"/>
    <w:rsid w:val="00C121F2"/>
    <w:rsid w:val="00C26ABD"/>
    <w:rsid w:val="00C32969"/>
    <w:rsid w:val="00C33F54"/>
    <w:rsid w:val="00C62584"/>
    <w:rsid w:val="00C70498"/>
    <w:rsid w:val="00C9105C"/>
    <w:rsid w:val="00CA08F0"/>
    <w:rsid w:val="00CA0A29"/>
    <w:rsid w:val="00CB25C4"/>
    <w:rsid w:val="00CB439F"/>
    <w:rsid w:val="00D17728"/>
    <w:rsid w:val="00D23F84"/>
    <w:rsid w:val="00D360E9"/>
    <w:rsid w:val="00D37FE1"/>
    <w:rsid w:val="00D503D7"/>
    <w:rsid w:val="00D60D86"/>
    <w:rsid w:val="00D877B6"/>
    <w:rsid w:val="00D93772"/>
    <w:rsid w:val="00DB36B7"/>
    <w:rsid w:val="00E0392A"/>
    <w:rsid w:val="00E30939"/>
    <w:rsid w:val="00E60E8E"/>
    <w:rsid w:val="00E7153C"/>
    <w:rsid w:val="00E80A49"/>
    <w:rsid w:val="00E82947"/>
    <w:rsid w:val="00E930E1"/>
    <w:rsid w:val="00E96808"/>
    <w:rsid w:val="00EC49C5"/>
    <w:rsid w:val="00ED0C45"/>
    <w:rsid w:val="00ED544A"/>
    <w:rsid w:val="00ED5792"/>
    <w:rsid w:val="00ED73D7"/>
    <w:rsid w:val="00EE54CC"/>
    <w:rsid w:val="00F151F6"/>
    <w:rsid w:val="00F31F69"/>
    <w:rsid w:val="00F354ED"/>
    <w:rsid w:val="00F37235"/>
    <w:rsid w:val="00F61F04"/>
    <w:rsid w:val="00F77216"/>
    <w:rsid w:val="00FC3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7CF8A1"/>
  <w15:chartTrackingRefBased/>
  <w15:docId w15:val="{164557B3-2AA8-4944-A670-E4CEE00F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65"/>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6065"/>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606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0606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606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606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0606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606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606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3D7"/>
    <w:rPr>
      <w:color w:val="0563C1" w:themeColor="hyperlink"/>
      <w:u w:val="single"/>
    </w:rPr>
  </w:style>
  <w:style w:type="character" w:styleId="UnresolvedMention">
    <w:name w:val="Unresolved Mention"/>
    <w:basedOn w:val="DefaultParagraphFont"/>
    <w:uiPriority w:val="99"/>
    <w:semiHidden/>
    <w:unhideWhenUsed/>
    <w:rsid w:val="00D503D7"/>
    <w:rPr>
      <w:color w:val="605E5C"/>
      <w:shd w:val="clear" w:color="auto" w:fill="E1DFDD"/>
    </w:rPr>
  </w:style>
  <w:style w:type="paragraph" w:styleId="ListParagraph">
    <w:name w:val="List Paragraph"/>
    <w:basedOn w:val="Normal"/>
    <w:uiPriority w:val="34"/>
    <w:qFormat/>
    <w:rsid w:val="00344D98"/>
    <w:pPr>
      <w:ind w:left="720"/>
      <w:contextualSpacing/>
    </w:pPr>
  </w:style>
  <w:style w:type="character" w:styleId="CommentReference">
    <w:name w:val="annotation reference"/>
    <w:basedOn w:val="DefaultParagraphFont"/>
    <w:uiPriority w:val="99"/>
    <w:semiHidden/>
    <w:unhideWhenUsed/>
    <w:rsid w:val="00AF1CE2"/>
    <w:rPr>
      <w:sz w:val="16"/>
      <w:szCs w:val="16"/>
    </w:rPr>
  </w:style>
  <w:style w:type="paragraph" w:styleId="CommentText">
    <w:name w:val="annotation text"/>
    <w:basedOn w:val="Normal"/>
    <w:link w:val="CommentTextChar"/>
    <w:uiPriority w:val="99"/>
    <w:semiHidden/>
    <w:unhideWhenUsed/>
    <w:rsid w:val="00AF1CE2"/>
    <w:pPr>
      <w:spacing w:line="240" w:lineRule="auto"/>
    </w:pPr>
    <w:rPr>
      <w:sz w:val="20"/>
      <w:szCs w:val="20"/>
    </w:rPr>
  </w:style>
  <w:style w:type="character" w:customStyle="1" w:styleId="CommentTextChar">
    <w:name w:val="Comment Text Char"/>
    <w:basedOn w:val="DefaultParagraphFont"/>
    <w:link w:val="CommentText"/>
    <w:uiPriority w:val="99"/>
    <w:semiHidden/>
    <w:rsid w:val="00AF1CE2"/>
    <w:rPr>
      <w:sz w:val="20"/>
      <w:szCs w:val="20"/>
    </w:rPr>
  </w:style>
  <w:style w:type="paragraph" w:styleId="CommentSubject">
    <w:name w:val="annotation subject"/>
    <w:basedOn w:val="CommentText"/>
    <w:next w:val="CommentText"/>
    <w:link w:val="CommentSubjectChar"/>
    <w:uiPriority w:val="99"/>
    <w:semiHidden/>
    <w:unhideWhenUsed/>
    <w:rsid w:val="00AF1CE2"/>
    <w:rPr>
      <w:b/>
      <w:bCs/>
    </w:rPr>
  </w:style>
  <w:style w:type="character" w:customStyle="1" w:styleId="CommentSubjectChar">
    <w:name w:val="Comment Subject Char"/>
    <w:basedOn w:val="CommentTextChar"/>
    <w:link w:val="CommentSubject"/>
    <w:uiPriority w:val="99"/>
    <w:semiHidden/>
    <w:rsid w:val="00AF1CE2"/>
    <w:rPr>
      <w:b/>
      <w:bCs/>
      <w:sz w:val="20"/>
      <w:szCs w:val="20"/>
    </w:rPr>
  </w:style>
  <w:style w:type="paragraph" w:styleId="Revision">
    <w:name w:val="Revision"/>
    <w:hidden/>
    <w:uiPriority w:val="99"/>
    <w:semiHidden/>
    <w:rsid w:val="00E7153C"/>
    <w:pPr>
      <w:spacing w:after="0" w:line="240" w:lineRule="auto"/>
    </w:pPr>
  </w:style>
  <w:style w:type="character" w:customStyle="1" w:styleId="Heading1Char">
    <w:name w:val="Heading 1 Char"/>
    <w:basedOn w:val="DefaultParagraphFont"/>
    <w:link w:val="Heading1"/>
    <w:uiPriority w:val="9"/>
    <w:rsid w:val="008060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60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0606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060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060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060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060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060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606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32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969"/>
  </w:style>
  <w:style w:type="paragraph" w:styleId="Footer">
    <w:name w:val="footer"/>
    <w:basedOn w:val="Normal"/>
    <w:link w:val="FooterChar"/>
    <w:uiPriority w:val="99"/>
    <w:unhideWhenUsed/>
    <w:rsid w:val="00C32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969"/>
  </w:style>
  <w:style w:type="paragraph" w:styleId="FootnoteText">
    <w:name w:val="footnote text"/>
    <w:aliases w:val="5_G,PP,5_G_6,5_GR,Fußnotentext"/>
    <w:basedOn w:val="Normal"/>
    <w:link w:val="FootnoteTextChar"/>
    <w:uiPriority w:val="99"/>
    <w:qFormat/>
    <w:rsid w:val="00300B06"/>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eastAsia="fr-FR"/>
    </w:rPr>
  </w:style>
  <w:style w:type="character" w:customStyle="1" w:styleId="FootnoteTextChar">
    <w:name w:val="Footnote Text Char"/>
    <w:aliases w:val="5_G Char,PP Char,5_G_6 Char,5_GR Char,Fußnotentext Char"/>
    <w:basedOn w:val="DefaultParagraphFont"/>
    <w:link w:val="FootnoteText"/>
    <w:uiPriority w:val="99"/>
    <w:rsid w:val="00300B06"/>
    <w:rPr>
      <w:rFonts w:ascii="Times New Roman" w:eastAsia="Times New Roman" w:hAnsi="Times New Roman" w:cs="Times New Roman"/>
      <w:sz w:val="18"/>
      <w:szCs w:val="20"/>
      <w:lang w:val="en-GB" w:eastAsia="fr-FR"/>
    </w:rPr>
  </w:style>
  <w:style w:type="table" w:styleId="TableGrid">
    <w:name w:val="Table Grid"/>
    <w:basedOn w:val="TableNormal"/>
    <w:rsid w:val="00300B06"/>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03336">
      <w:bodyDiv w:val="1"/>
      <w:marLeft w:val="0"/>
      <w:marRight w:val="0"/>
      <w:marTop w:val="0"/>
      <w:marBottom w:val="0"/>
      <w:divBdr>
        <w:top w:val="none" w:sz="0" w:space="0" w:color="auto"/>
        <w:left w:val="none" w:sz="0" w:space="0" w:color="auto"/>
        <w:bottom w:val="none" w:sz="0" w:space="0" w:color="auto"/>
        <w:right w:val="none" w:sz="0" w:space="0" w:color="auto"/>
      </w:divBdr>
    </w:div>
    <w:div w:id="976446377">
      <w:bodyDiv w:val="1"/>
      <w:marLeft w:val="0"/>
      <w:marRight w:val="0"/>
      <w:marTop w:val="0"/>
      <w:marBottom w:val="0"/>
      <w:divBdr>
        <w:top w:val="none" w:sz="0" w:space="0" w:color="auto"/>
        <w:left w:val="none" w:sz="0" w:space="0" w:color="auto"/>
        <w:bottom w:val="none" w:sz="0" w:space="0" w:color="auto"/>
        <w:right w:val="none" w:sz="0" w:space="0" w:color="auto"/>
      </w:divBdr>
    </w:div>
    <w:div w:id="1483278680">
      <w:bodyDiv w:val="1"/>
      <w:marLeft w:val="0"/>
      <w:marRight w:val="0"/>
      <w:marTop w:val="0"/>
      <w:marBottom w:val="0"/>
      <w:divBdr>
        <w:top w:val="none" w:sz="0" w:space="0" w:color="auto"/>
        <w:left w:val="none" w:sz="0" w:space="0" w:color="auto"/>
        <w:bottom w:val="none" w:sz="0" w:space="0" w:color="auto"/>
        <w:right w:val="none" w:sz="0" w:space="0" w:color="auto"/>
      </w:divBdr>
    </w:div>
    <w:div w:id="162138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ece.org/sites/default/files/2021-02/ECE-TRANS-WP29-2021-059e_0.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sc-europa.eu/sites/default/files/sites/all/files/Galileo_OSNMA_Info_Note.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3496D-3ABC-49AA-8E15-D4D728FA5144}">
  <ds:schemaRefs>
    <ds:schemaRef ds:uri="http://schemas.microsoft.com/office/infopath/2007/PartnerControl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schemas.microsoft.com/office/2006/documentManagement/types"/>
    <ds:schemaRef ds:uri="acccb6d4-dbe5-46d2-b4d3-5733603d8cc6"/>
    <ds:schemaRef ds:uri="http://www.w3.org/XML/1998/namespace"/>
    <ds:schemaRef ds:uri="http://purl.org/dc/dcmitype/"/>
  </ds:schemaRefs>
</ds:datastoreItem>
</file>

<file path=customXml/itemProps2.xml><?xml version="1.0" encoding="utf-8"?>
<ds:datastoreItem xmlns:ds="http://schemas.openxmlformats.org/officeDocument/2006/customXml" ds:itemID="{6E01708A-4CF9-4D18-ACC1-D9420D50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876C0-BBBC-408E-A30B-AD6DF0F2E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Whyte</dc:creator>
  <cp:keywords/>
  <dc:description/>
  <cp:lastModifiedBy>Laura Mueller</cp:lastModifiedBy>
  <cp:revision>76</cp:revision>
  <cp:lastPrinted>2022-05-20T12:18:00Z</cp:lastPrinted>
  <dcterms:created xsi:type="dcterms:W3CDTF">2022-03-02T11:04:00Z</dcterms:created>
  <dcterms:modified xsi:type="dcterms:W3CDTF">2022-05-20T13:16:00Z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