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374041F2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C9F456F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5378C69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F129738" w14:textId="77777777" w:rsidR="001433FD" w:rsidRPr="00DB58B5" w:rsidRDefault="00B166AF" w:rsidP="00B166AF">
            <w:pPr>
              <w:jc w:val="right"/>
            </w:pPr>
            <w:r w:rsidRPr="00B166AF">
              <w:rPr>
                <w:sz w:val="40"/>
              </w:rPr>
              <w:t>ECE</w:t>
            </w:r>
            <w:r>
              <w:t>/TRANS/WP.15/AC.2/2022/30</w:t>
            </w:r>
          </w:p>
        </w:tc>
      </w:tr>
      <w:tr w:rsidR="001433FD" w:rsidRPr="00DB58B5" w14:paraId="44DBF596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72EAB78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5850D54" wp14:editId="0C5D472E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74EA2C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44849B6" w14:textId="77777777" w:rsidR="0001207F" w:rsidRDefault="00B166AF" w:rsidP="00B166AF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4440C001" w14:textId="6FA62321" w:rsidR="00B166AF" w:rsidRDefault="0065171C" w:rsidP="00B166AF">
            <w:pPr>
              <w:spacing w:line="240" w:lineRule="exact"/>
            </w:pPr>
            <w:r>
              <w:t>20</w:t>
            </w:r>
            <w:r w:rsidR="00B166AF">
              <w:t xml:space="preserve"> mai 2022</w:t>
            </w:r>
          </w:p>
          <w:p w14:paraId="0312CDFE" w14:textId="77777777" w:rsidR="00B166AF" w:rsidRDefault="00B166AF" w:rsidP="00B166AF">
            <w:pPr>
              <w:spacing w:line="240" w:lineRule="exact"/>
            </w:pPr>
          </w:p>
          <w:p w14:paraId="037544C5" w14:textId="77777777" w:rsidR="00B166AF" w:rsidRPr="00DB58B5" w:rsidRDefault="00B166AF" w:rsidP="00B166AF">
            <w:pPr>
              <w:spacing w:line="240" w:lineRule="exact"/>
            </w:pPr>
            <w:r>
              <w:t>Original : français</w:t>
            </w:r>
          </w:p>
        </w:tc>
      </w:tr>
    </w:tbl>
    <w:p w14:paraId="456958EB" w14:textId="77777777" w:rsidR="00564657" w:rsidRDefault="00564657" w:rsidP="00B166AF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4EDE62A" w14:textId="77777777" w:rsidR="005C7444" w:rsidRDefault="005C7444" w:rsidP="005C7444">
      <w:pPr>
        <w:spacing w:before="120"/>
        <w:rPr>
          <w:b/>
          <w:sz w:val="24"/>
          <w:szCs w:val="24"/>
        </w:rPr>
      </w:pPr>
      <w:r w:rsidRPr="00685843">
        <w:rPr>
          <w:sz w:val="28"/>
          <w:szCs w:val="28"/>
        </w:rPr>
        <w:t>Comité des transports intérieurs</w:t>
      </w:r>
      <w:r w:rsidRPr="00673C2A">
        <w:rPr>
          <w:b/>
          <w:sz w:val="24"/>
          <w:szCs w:val="24"/>
        </w:rPr>
        <w:t xml:space="preserve"> </w:t>
      </w:r>
    </w:p>
    <w:p w14:paraId="65A3E107" w14:textId="77777777" w:rsidR="005C7444" w:rsidRPr="00B128F0" w:rsidRDefault="005C7444" w:rsidP="005C7444">
      <w:pPr>
        <w:spacing w:before="120"/>
        <w:rPr>
          <w:b/>
          <w:sz w:val="24"/>
          <w:szCs w:val="24"/>
        </w:rPr>
      </w:pPr>
      <w:r w:rsidRPr="00B128F0">
        <w:rPr>
          <w:b/>
          <w:sz w:val="24"/>
          <w:szCs w:val="24"/>
        </w:rPr>
        <w:t>Groupe de travail des transports de marchandises dangereuses</w:t>
      </w:r>
    </w:p>
    <w:p w14:paraId="5AFCA87A" w14:textId="77777777" w:rsidR="005C7444" w:rsidRDefault="005C7444" w:rsidP="005C7444">
      <w:pPr>
        <w:spacing w:before="120"/>
        <w:rPr>
          <w:b/>
        </w:rPr>
      </w:pPr>
      <w:r w:rsidRPr="009550EF">
        <w:rPr>
          <w:b/>
        </w:rPr>
        <w:t>Réunion commune d</w:t>
      </w:r>
      <w:r>
        <w:rPr>
          <w:b/>
        </w:rPr>
        <w:t>’</w:t>
      </w:r>
      <w:r w:rsidRPr="009550EF">
        <w:rPr>
          <w:b/>
        </w:rPr>
        <w:t>experts du Règlement annexé à</w:t>
      </w:r>
      <w:r w:rsidRPr="00565882">
        <w:rPr>
          <w:b/>
        </w:rPr>
        <w:t xml:space="preserve"> </w:t>
      </w:r>
      <w:r w:rsidRPr="009550EF">
        <w:rPr>
          <w:b/>
        </w:rPr>
        <w:t>l</w:t>
      </w:r>
      <w:r>
        <w:rPr>
          <w:b/>
        </w:rPr>
        <w:t>’</w:t>
      </w:r>
      <w:r w:rsidRPr="009550EF">
        <w:rPr>
          <w:b/>
        </w:rPr>
        <w:t>Accord</w:t>
      </w:r>
      <w:bookmarkStart w:id="0" w:name="_Hlk57122394"/>
      <w:r>
        <w:rPr>
          <w:b/>
        </w:rPr>
        <w:t xml:space="preserve"> </w:t>
      </w:r>
      <w:r w:rsidRPr="009550EF">
        <w:rPr>
          <w:b/>
        </w:rPr>
        <w:br/>
      </w:r>
      <w:bookmarkEnd w:id="0"/>
      <w:r w:rsidRPr="009550EF">
        <w:rPr>
          <w:b/>
        </w:rPr>
        <w:t>européen relatif au transport international des marchandises</w:t>
      </w:r>
      <w:r>
        <w:rPr>
          <w:b/>
        </w:rPr>
        <w:t xml:space="preserve"> </w:t>
      </w:r>
      <w:r w:rsidRPr="009550EF">
        <w:rPr>
          <w:b/>
        </w:rPr>
        <w:br/>
        <w:t xml:space="preserve">dangereuses par voies de navigation intérieures (ADN) </w:t>
      </w:r>
      <w:r w:rsidRPr="009550EF">
        <w:rPr>
          <w:b/>
        </w:rPr>
        <w:br/>
        <w:t>(Comité de sécurité de l</w:t>
      </w:r>
      <w:r>
        <w:rPr>
          <w:b/>
        </w:rPr>
        <w:t>’</w:t>
      </w:r>
      <w:r w:rsidRPr="009550EF">
        <w:rPr>
          <w:b/>
        </w:rPr>
        <w:t>ADN)</w:t>
      </w:r>
    </w:p>
    <w:p w14:paraId="29D82F7B" w14:textId="77777777" w:rsidR="005C7444" w:rsidRPr="003D48C7" w:rsidRDefault="005C7444" w:rsidP="005C7444">
      <w:pPr>
        <w:spacing w:before="120"/>
        <w:rPr>
          <w:b/>
        </w:rPr>
      </w:pPr>
      <w:r>
        <w:rPr>
          <w:b/>
        </w:rPr>
        <w:t xml:space="preserve">Quarantième </w:t>
      </w:r>
      <w:r w:rsidRPr="00484AB5">
        <w:rPr>
          <w:b/>
        </w:rPr>
        <w:t>session</w:t>
      </w:r>
    </w:p>
    <w:p w14:paraId="65A24F62" w14:textId="77777777" w:rsidR="005C7444" w:rsidRPr="003D48C7" w:rsidRDefault="005C7444" w:rsidP="005C7444">
      <w:r w:rsidRPr="003D48C7">
        <w:t>Genève, 2</w:t>
      </w:r>
      <w:r>
        <w:t>2-</w:t>
      </w:r>
      <w:r w:rsidRPr="003D48C7">
        <w:t>2</w:t>
      </w:r>
      <w:r>
        <w:t>6</w:t>
      </w:r>
      <w:r w:rsidRPr="003D48C7">
        <w:t xml:space="preserve"> </w:t>
      </w:r>
      <w:r w:rsidRPr="000D70F9">
        <w:t>août</w:t>
      </w:r>
      <w:r w:rsidRPr="003D48C7">
        <w:t xml:space="preserve"> 202</w:t>
      </w:r>
      <w:r>
        <w:t>2</w:t>
      </w:r>
    </w:p>
    <w:p w14:paraId="1ECC4A4E" w14:textId="77777777" w:rsidR="005C7444" w:rsidRDefault="005C7444" w:rsidP="005C7444">
      <w:r w:rsidRPr="00501791">
        <w:t xml:space="preserve">Point </w:t>
      </w:r>
      <w:r>
        <w:t>4 b)</w:t>
      </w:r>
      <w:r w:rsidRPr="00501791">
        <w:t xml:space="preserve"> de l’ordre du jour provisoire</w:t>
      </w:r>
    </w:p>
    <w:p w14:paraId="1E4B54CD" w14:textId="77777777" w:rsidR="005C7444" w:rsidRPr="00CB6AED" w:rsidRDefault="005C7444" w:rsidP="005C7444">
      <w:pPr>
        <w:rPr>
          <w:b/>
          <w:bCs/>
          <w:lang w:val="fr-FR"/>
        </w:rPr>
      </w:pPr>
      <w:r w:rsidRPr="009B549A">
        <w:rPr>
          <w:b/>
          <w:bCs/>
          <w:lang w:val="fr-FR"/>
        </w:rPr>
        <w:t>Propositions</w:t>
      </w:r>
      <w:r>
        <w:rPr>
          <w:b/>
          <w:bCs/>
          <w:lang w:val="fr-FR"/>
        </w:rPr>
        <w:t xml:space="preserve"> </w:t>
      </w:r>
      <w:r w:rsidRPr="009B549A">
        <w:rPr>
          <w:b/>
          <w:bCs/>
          <w:lang w:val="fr-FR"/>
        </w:rPr>
        <w:t>d’amendements au Règlement annexé à l’ADN :</w:t>
      </w:r>
      <w:r w:rsidRPr="002E0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B6AED">
        <w:rPr>
          <w:b/>
          <w:bCs/>
          <w:lang w:val="fr-FR"/>
        </w:rPr>
        <w:t>autres propositions</w:t>
      </w:r>
    </w:p>
    <w:p w14:paraId="457BB0DE" w14:textId="77777777" w:rsidR="008F70CA" w:rsidRPr="00710A56" w:rsidRDefault="008F70CA" w:rsidP="003241E6">
      <w:pPr>
        <w:pStyle w:val="HChG"/>
        <w:rPr>
          <w:lang w:val="fr-FR"/>
        </w:rPr>
      </w:pPr>
      <w:r w:rsidRPr="00710A56">
        <w:rPr>
          <w:rFonts w:eastAsia="Calibri"/>
          <w:lang w:val="fr-FR"/>
        </w:rPr>
        <w:tab/>
      </w:r>
      <w:r w:rsidRPr="00710A56">
        <w:rPr>
          <w:rFonts w:eastAsia="Calibri"/>
          <w:lang w:val="fr-FR"/>
        </w:rPr>
        <w:tab/>
      </w:r>
      <w:r w:rsidRPr="00710A56">
        <w:rPr>
          <w:lang w:val="fr-FR" w:eastAsia="en-GB"/>
        </w:rPr>
        <w:t xml:space="preserve">Section 1.2.1 </w:t>
      </w:r>
      <w:r>
        <w:rPr>
          <w:lang w:val="fr-FR" w:eastAsia="en-GB"/>
        </w:rPr>
        <w:t>« </w:t>
      </w:r>
      <w:r w:rsidRPr="00710A56">
        <w:rPr>
          <w:lang w:val="fr-FR" w:eastAsia="en-GB"/>
        </w:rPr>
        <w:t>Définitions</w:t>
      </w:r>
      <w:r>
        <w:rPr>
          <w:lang w:val="fr-FR" w:eastAsia="en-GB"/>
        </w:rPr>
        <w:t> » de l’ADN</w:t>
      </w:r>
    </w:p>
    <w:p w14:paraId="353CFBC2" w14:textId="77777777" w:rsidR="008F70CA" w:rsidRPr="00710A56" w:rsidRDefault="008F70CA" w:rsidP="003241E6">
      <w:pPr>
        <w:pStyle w:val="H1G"/>
        <w:rPr>
          <w:rFonts w:eastAsia="Calibri"/>
          <w:lang w:val="fr-FR"/>
        </w:rPr>
      </w:pPr>
      <w:r w:rsidRPr="00710A56">
        <w:rPr>
          <w:rFonts w:eastAsia="Calibri"/>
          <w:lang w:val="fr-FR"/>
        </w:rPr>
        <w:tab/>
      </w:r>
      <w:r w:rsidRPr="00710A56">
        <w:rPr>
          <w:rFonts w:eastAsia="Calibri"/>
          <w:lang w:val="fr-FR"/>
        </w:rPr>
        <w:tab/>
        <w:t>Communication du Gouvernement de l’Allemagne</w:t>
      </w:r>
      <w:r w:rsidRPr="006C7C7E">
        <w:rPr>
          <w:rFonts w:eastAsia="Calibri"/>
          <w:bCs/>
          <w:vertAlign w:val="superscript"/>
          <w:lang w:val="fr-FR"/>
        </w:rPr>
        <w:footnoteReference w:customMarkFollows="1" w:id="2"/>
        <w:t>*,</w:t>
      </w:r>
      <w:r w:rsidRPr="006C7C7E">
        <w:rPr>
          <w:rFonts w:eastAsia="Calibri"/>
          <w:vertAlign w:val="superscript"/>
          <w:lang w:val="fr-FR"/>
        </w:rPr>
        <w:t xml:space="preserve"> </w:t>
      </w:r>
      <w:r w:rsidRPr="006C7C7E">
        <w:rPr>
          <w:rFonts w:eastAsia="Calibri"/>
          <w:bCs/>
          <w:vertAlign w:val="superscript"/>
          <w:lang w:val="fr-FR"/>
        </w:rPr>
        <w:footnoteReference w:customMarkFollows="1" w:id="3"/>
        <w:t>**</w:t>
      </w:r>
    </w:p>
    <w:p w14:paraId="7F930369" w14:textId="6FE6D6F5" w:rsidR="008F70CA" w:rsidRPr="00710A56" w:rsidRDefault="003241E6" w:rsidP="003241E6">
      <w:pPr>
        <w:pStyle w:val="HChG"/>
        <w:rPr>
          <w:lang w:val="fr-FR" w:eastAsia="en-GB"/>
        </w:rPr>
      </w:pPr>
      <w:r>
        <w:rPr>
          <w:lang w:val="fr-FR" w:eastAsia="en-GB"/>
        </w:rPr>
        <w:tab/>
      </w:r>
      <w:r>
        <w:rPr>
          <w:lang w:val="fr-FR" w:eastAsia="en-GB"/>
        </w:rPr>
        <w:tab/>
      </w:r>
      <w:r w:rsidR="008F70CA" w:rsidRPr="00710A56">
        <w:rPr>
          <w:lang w:val="fr-FR" w:eastAsia="en-GB"/>
        </w:rPr>
        <w:t>Introduction</w:t>
      </w:r>
    </w:p>
    <w:p w14:paraId="45F6CD5A" w14:textId="77777777" w:rsidR="008F70CA" w:rsidRPr="00710A56" w:rsidRDefault="008F70CA" w:rsidP="003241E6">
      <w:pPr>
        <w:pStyle w:val="SingleTxtG"/>
        <w:rPr>
          <w:lang w:val="fr-FR" w:eastAsia="en-GB"/>
        </w:rPr>
      </w:pPr>
      <w:r w:rsidRPr="00710A56">
        <w:rPr>
          <w:lang w:val="fr-FR" w:eastAsia="en-GB"/>
        </w:rPr>
        <w:t>1.</w:t>
      </w:r>
      <w:r w:rsidRPr="00710A56">
        <w:rPr>
          <w:lang w:val="fr-FR" w:eastAsia="en-GB"/>
        </w:rPr>
        <w:tab/>
        <w:t>La section 1.2.1 de l</w:t>
      </w:r>
      <w:r>
        <w:rPr>
          <w:lang w:val="fr-FR" w:eastAsia="en-GB"/>
        </w:rPr>
        <w:t>’</w:t>
      </w:r>
      <w:r w:rsidRPr="00710A56">
        <w:rPr>
          <w:lang w:val="fr-FR" w:eastAsia="en-GB"/>
        </w:rPr>
        <w:t>ADN comprend une définition pour « Installation d’approvisionnement (système de soutage) ».</w:t>
      </w:r>
    </w:p>
    <w:p w14:paraId="2830D96D" w14:textId="77777777" w:rsidR="008F70CA" w:rsidRPr="00710A56" w:rsidRDefault="008F70CA" w:rsidP="003241E6">
      <w:pPr>
        <w:pStyle w:val="SingleTxtG"/>
        <w:rPr>
          <w:lang w:val="fr-FR" w:eastAsia="en-GB"/>
        </w:rPr>
      </w:pPr>
      <w:r w:rsidRPr="00710A56">
        <w:rPr>
          <w:lang w:val="fr-FR" w:eastAsia="en-GB"/>
        </w:rPr>
        <w:t>2.</w:t>
      </w:r>
      <w:r w:rsidRPr="00710A56">
        <w:rPr>
          <w:lang w:val="fr-FR" w:eastAsia="en-GB"/>
        </w:rPr>
        <w:tab/>
        <w:t xml:space="preserve">Ce terme n’est </w:t>
      </w:r>
      <w:r>
        <w:rPr>
          <w:lang w:val="fr-FR" w:eastAsia="en-GB"/>
        </w:rPr>
        <w:t xml:space="preserve">pas </w:t>
      </w:r>
      <w:r w:rsidRPr="00710A56">
        <w:rPr>
          <w:lang w:val="fr-FR" w:eastAsia="en-GB"/>
        </w:rPr>
        <w:t>utilisé ailleurs dans le règlement annexé à l’ADN.</w:t>
      </w:r>
    </w:p>
    <w:p w14:paraId="7511FB5E" w14:textId="77777777" w:rsidR="008F70CA" w:rsidRPr="00710A56" w:rsidRDefault="008F70CA" w:rsidP="003241E6">
      <w:pPr>
        <w:pStyle w:val="HChG"/>
        <w:rPr>
          <w:lang w:val="fr-FR"/>
        </w:rPr>
      </w:pPr>
      <w:r w:rsidRPr="00710A56">
        <w:rPr>
          <w:lang w:val="fr-FR"/>
        </w:rPr>
        <w:tab/>
        <w:t>I.</w:t>
      </w:r>
      <w:r w:rsidRPr="00710A56">
        <w:rPr>
          <w:lang w:val="fr-FR"/>
        </w:rPr>
        <w:tab/>
        <w:t>Proposition</w:t>
      </w:r>
    </w:p>
    <w:p w14:paraId="4DE53E02" w14:textId="77777777" w:rsidR="008F70CA" w:rsidRPr="00710A56" w:rsidRDefault="008F70CA" w:rsidP="003241E6">
      <w:pPr>
        <w:pStyle w:val="SingleTxtG"/>
        <w:rPr>
          <w:lang w:val="fr-FR" w:eastAsia="en-GB"/>
        </w:rPr>
      </w:pPr>
      <w:r w:rsidRPr="00710A56">
        <w:rPr>
          <w:lang w:val="fr-FR" w:eastAsia="en-US"/>
        </w:rPr>
        <w:t>3.</w:t>
      </w:r>
      <w:r w:rsidRPr="00710A56">
        <w:rPr>
          <w:lang w:val="fr-FR" w:eastAsia="en-US"/>
        </w:rPr>
        <w:tab/>
      </w:r>
      <w:r>
        <w:rPr>
          <w:lang w:val="fr-FR" w:eastAsia="en-GB"/>
        </w:rPr>
        <w:t>Supprimer la</w:t>
      </w:r>
      <w:r w:rsidRPr="00710A56">
        <w:rPr>
          <w:lang w:val="fr-FR" w:eastAsia="en-GB"/>
        </w:rPr>
        <w:t xml:space="preserve"> définition pour « Installation d’approvisionnement (système de soutage) »</w:t>
      </w:r>
      <w:r w:rsidRPr="00E9280A">
        <w:rPr>
          <w:lang w:val="fr-FR"/>
        </w:rPr>
        <w:t xml:space="preserve"> dans l</w:t>
      </w:r>
      <w:r w:rsidRPr="00710A56">
        <w:rPr>
          <w:lang w:val="fr-FR" w:eastAsia="en-GB"/>
        </w:rPr>
        <w:t>a section 1.2.1 de l</w:t>
      </w:r>
      <w:r>
        <w:rPr>
          <w:lang w:val="fr-FR" w:eastAsia="en-GB"/>
        </w:rPr>
        <w:t>’</w:t>
      </w:r>
      <w:r w:rsidRPr="00710A56">
        <w:rPr>
          <w:lang w:val="fr-FR" w:eastAsia="en-GB"/>
        </w:rPr>
        <w:t>ADN.</w:t>
      </w:r>
    </w:p>
    <w:p w14:paraId="6E88AC1D" w14:textId="77777777" w:rsidR="008F70CA" w:rsidRPr="00710A56" w:rsidRDefault="008F70CA" w:rsidP="003241E6">
      <w:pPr>
        <w:pStyle w:val="HChG"/>
        <w:rPr>
          <w:lang w:val="fr-FR"/>
        </w:rPr>
      </w:pPr>
      <w:r w:rsidRPr="00E9280A">
        <w:rPr>
          <w:lang w:val="fr-FR"/>
        </w:rPr>
        <w:tab/>
      </w:r>
      <w:r w:rsidRPr="00710A56">
        <w:rPr>
          <w:lang w:val="fr-FR"/>
        </w:rPr>
        <w:t>II.</w:t>
      </w:r>
      <w:r w:rsidRPr="00710A56">
        <w:rPr>
          <w:lang w:val="fr-FR"/>
        </w:rPr>
        <w:tab/>
        <w:t>Justification</w:t>
      </w:r>
    </w:p>
    <w:p w14:paraId="0C3FC921" w14:textId="77777777" w:rsidR="008F70CA" w:rsidRPr="00710A56" w:rsidRDefault="008F70CA" w:rsidP="003241E6">
      <w:pPr>
        <w:pStyle w:val="SingleTxtG"/>
        <w:rPr>
          <w:lang w:val="fr-FR"/>
        </w:rPr>
      </w:pPr>
      <w:r w:rsidRPr="00710A56">
        <w:rPr>
          <w:lang w:val="fr-FR"/>
        </w:rPr>
        <w:t>4.</w:t>
      </w:r>
      <w:r w:rsidRPr="00710A56">
        <w:rPr>
          <w:lang w:val="fr-FR"/>
        </w:rPr>
        <w:tab/>
      </w:r>
      <w:r>
        <w:rPr>
          <w:lang w:val="fr-FR"/>
        </w:rPr>
        <w:t xml:space="preserve">Amélioration rédactionnelle du </w:t>
      </w:r>
      <w:r w:rsidRPr="00CB5AB0">
        <w:rPr>
          <w:lang w:val="fr-FR" w:eastAsia="en-US"/>
        </w:rPr>
        <w:t>règlement annexé à l’ADN</w:t>
      </w:r>
      <w:r w:rsidRPr="00710A56">
        <w:rPr>
          <w:lang w:val="fr-FR"/>
        </w:rPr>
        <w:t>.</w:t>
      </w:r>
    </w:p>
    <w:p w14:paraId="3640F46E" w14:textId="05D15F55" w:rsidR="005C7444" w:rsidRPr="003241E6" w:rsidRDefault="003241E6" w:rsidP="003241E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C7444" w:rsidRPr="003241E6" w:rsidSect="00B166A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4BD7" w14:textId="77777777" w:rsidR="003423C8" w:rsidRDefault="003423C8" w:rsidP="00F95C08">
      <w:pPr>
        <w:spacing w:line="240" w:lineRule="auto"/>
      </w:pPr>
    </w:p>
  </w:endnote>
  <w:endnote w:type="continuationSeparator" w:id="0">
    <w:p w14:paraId="28B2EE95" w14:textId="77777777" w:rsidR="003423C8" w:rsidRPr="00AC3823" w:rsidRDefault="003423C8" w:rsidP="00AC3823">
      <w:pPr>
        <w:pStyle w:val="Footer"/>
      </w:pPr>
    </w:p>
  </w:endnote>
  <w:endnote w:type="continuationNotice" w:id="1">
    <w:p w14:paraId="5016900D" w14:textId="77777777" w:rsidR="003423C8" w:rsidRDefault="003423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58F6" w14:textId="77777777" w:rsidR="00B166AF" w:rsidRPr="00B166AF" w:rsidRDefault="00B166AF" w:rsidP="00B166AF">
    <w:pPr>
      <w:pStyle w:val="Footer"/>
      <w:tabs>
        <w:tab w:val="right" w:pos="9638"/>
      </w:tabs>
      <w:rPr>
        <w:sz w:val="18"/>
      </w:rPr>
    </w:pPr>
    <w:r w:rsidRPr="00B166AF">
      <w:rPr>
        <w:b/>
        <w:sz w:val="18"/>
      </w:rPr>
      <w:fldChar w:fldCharType="begin"/>
    </w:r>
    <w:r w:rsidRPr="00B166AF">
      <w:rPr>
        <w:b/>
        <w:sz w:val="18"/>
      </w:rPr>
      <w:instrText xml:space="preserve"> PAGE  \* MERGEFORMAT </w:instrText>
    </w:r>
    <w:r w:rsidRPr="00B166AF">
      <w:rPr>
        <w:b/>
        <w:sz w:val="18"/>
      </w:rPr>
      <w:fldChar w:fldCharType="separate"/>
    </w:r>
    <w:r w:rsidRPr="00B166AF">
      <w:rPr>
        <w:b/>
        <w:noProof/>
        <w:sz w:val="18"/>
      </w:rPr>
      <w:t>2</w:t>
    </w:r>
    <w:r w:rsidRPr="00B166A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D6A6" w14:textId="77777777" w:rsidR="00B166AF" w:rsidRPr="00B166AF" w:rsidRDefault="00B166AF" w:rsidP="00B166AF">
    <w:pPr>
      <w:pStyle w:val="Footer"/>
      <w:tabs>
        <w:tab w:val="right" w:pos="9638"/>
      </w:tabs>
      <w:rPr>
        <w:b/>
        <w:sz w:val="18"/>
      </w:rPr>
    </w:pPr>
    <w:r>
      <w:tab/>
    </w:r>
    <w:r w:rsidRPr="00B166AF">
      <w:rPr>
        <w:b/>
        <w:sz w:val="18"/>
      </w:rPr>
      <w:fldChar w:fldCharType="begin"/>
    </w:r>
    <w:r w:rsidRPr="00B166AF">
      <w:rPr>
        <w:b/>
        <w:sz w:val="18"/>
      </w:rPr>
      <w:instrText xml:space="preserve"> PAGE  \* MERGEFORMAT </w:instrText>
    </w:r>
    <w:r w:rsidRPr="00B166AF">
      <w:rPr>
        <w:b/>
        <w:sz w:val="18"/>
      </w:rPr>
      <w:fldChar w:fldCharType="separate"/>
    </w:r>
    <w:r w:rsidRPr="00B166AF">
      <w:rPr>
        <w:b/>
        <w:noProof/>
        <w:sz w:val="18"/>
      </w:rPr>
      <w:t>3</w:t>
    </w:r>
    <w:r w:rsidRPr="00B1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1313" w14:textId="77777777" w:rsidR="000D3EE9" w:rsidRPr="00B166AF" w:rsidRDefault="000942EE" w:rsidP="0001207F">
    <w:pPr>
      <w:pStyle w:val="Footer"/>
      <w:spacing w:before="120"/>
      <w:rPr>
        <w:sz w:val="20"/>
      </w:rPr>
    </w:pPr>
    <w:r w:rsidRPr="000942EE">
      <w:rPr>
        <w:noProof/>
        <w:lang w:eastAsia="fr-CH"/>
      </w:rPr>
      <w:drawing>
        <wp:anchor distT="0" distB="0" distL="114300" distR="114300" simplePos="0" relativeHeight="251658752" behindDoc="0" locked="0" layoutInCell="1" allowOverlap="0" wp14:anchorId="5898F2C1" wp14:editId="7EA5BBB6">
          <wp:simplePos x="0" y="0"/>
          <wp:positionH relativeFrom="margin">
            <wp:posOffset>5004435</wp:posOffset>
          </wp:positionH>
          <wp:positionV relativeFrom="margin">
            <wp:posOffset>9324975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22AD" w14:textId="77777777" w:rsidR="003423C8" w:rsidRPr="00AC3823" w:rsidRDefault="003423C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191D6F" w14:textId="77777777" w:rsidR="003423C8" w:rsidRPr="00AC3823" w:rsidRDefault="003423C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C171ED" w14:textId="77777777" w:rsidR="003423C8" w:rsidRPr="00AC3823" w:rsidRDefault="003423C8">
      <w:pPr>
        <w:spacing w:line="240" w:lineRule="auto"/>
        <w:rPr>
          <w:sz w:val="2"/>
          <w:szCs w:val="2"/>
        </w:rPr>
      </w:pPr>
    </w:p>
  </w:footnote>
  <w:footnote w:id="2">
    <w:p w14:paraId="06139C62" w14:textId="03BDAA12" w:rsidR="008F70CA" w:rsidRPr="0099340F" w:rsidRDefault="008F70CA" w:rsidP="008F70CA">
      <w:pPr>
        <w:pStyle w:val="FootnoteText"/>
        <w:rPr>
          <w:sz w:val="16"/>
          <w:szCs w:val="16"/>
          <w:lang w:val="fr-FR"/>
        </w:rPr>
      </w:pPr>
      <w:r w:rsidRPr="0099340F">
        <w:rPr>
          <w:rStyle w:val="FootnoteReference"/>
          <w:lang w:val="fr-FR"/>
        </w:rPr>
        <w:tab/>
      </w:r>
      <w:r w:rsidRPr="0099340F">
        <w:rPr>
          <w:rStyle w:val="FootnoteReference"/>
          <w:sz w:val="20"/>
          <w:lang w:val="fr-FR"/>
        </w:rPr>
        <w:t>*</w:t>
      </w:r>
      <w:r w:rsidRPr="0099340F">
        <w:rPr>
          <w:rStyle w:val="FootnoteReference"/>
          <w:sz w:val="20"/>
          <w:lang w:val="fr-FR"/>
        </w:rPr>
        <w:tab/>
      </w:r>
      <w:r w:rsidRPr="0099340F">
        <w:rPr>
          <w:sz w:val="16"/>
          <w:szCs w:val="16"/>
          <w:lang w:val="fr-FR"/>
        </w:rPr>
        <w:t>Diffusée en langue allemande par la Commission centrale pour la navigation du Rhin sous la cote CCNR-ZKR/ADN/WP.15/AC.2/2022/</w:t>
      </w:r>
      <w:r w:rsidR="00EE3C4D">
        <w:rPr>
          <w:sz w:val="16"/>
          <w:szCs w:val="16"/>
          <w:lang w:val="fr-FR"/>
        </w:rPr>
        <w:t>30</w:t>
      </w:r>
    </w:p>
  </w:footnote>
  <w:footnote w:id="3">
    <w:p w14:paraId="39630137" w14:textId="176973C3" w:rsidR="008F70CA" w:rsidRPr="0099340F" w:rsidRDefault="008F70CA" w:rsidP="008F70CA">
      <w:pPr>
        <w:pStyle w:val="FootnoteText"/>
        <w:rPr>
          <w:sz w:val="16"/>
          <w:szCs w:val="16"/>
          <w:lang w:val="fr-FR"/>
        </w:rPr>
      </w:pPr>
      <w:r w:rsidRPr="0099340F">
        <w:rPr>
          <w:rStyle w:val="FootnoteReference"/>
          <w:lang w:val="fr-FR"/>
        </w:rPr>
        <w:tab/>
      </w:r>
      <w:r w:rsidRPr="0099340F">
        <w:rPr>
          <w:rStyle w:val="FootnoteReference"/>
          <w:sz w:val="20"/>
          <w:lang w:val="fr-FR"/>
        </w:rPr>
        <w:t>**</w:t>
      </w:r>
      <w:r w:rsidRPr="0099340F">
        <w:rPr>
          <w:rStyle w:val="FootnoteReference"/>
          <w:sz w:val="20"/>
          <w:lang w:val="fr-FR"/>
        </w:rPr>
        <w:tab/>
      </w:r>
      <w:r w:rsidR="008C5B1F">
        <w:t>A/76/6 (Sect.20), par.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EFB2" w14:textId="47AE1074" w:rsidR="00B166AF" w:rsidRPr="00B166AF" w:rsidRDefault="003423C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01D5C">
      <w:t>ECE/TRANS/WP.15/AC.2/2022/30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AC39" w14:textId="2D8115CD" w:rsidR="00B166AF" w:rsidRPr="00B166AF" w:rsidRDefault="003423C8" w:rsidP="00B166A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01D5C">
      <w:t>ECE/TRANS/WP.15/AC.2/2022/30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AF"/>
    <w:rsid w:val="0001207F"/>
    <w:rsid w:val="00017F94"/>
    <w:rsid w:val="00023842"/>
    <w:rsid w:val="000334F9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76178"/>
    <w:rsid w:val="001A064B"/>
    <w:rsid w:val="001D400F"/>
    <w:rsid w:val="001F525A"/>
    <w:rsid w:val="00223272"/>
    <w:rsid w:val="00240333"/>
    <w:rsid w:val="0024779E"/>
    <w:rsid w:val="002832AC"/>
    <w:rsid w:val="002834A0"/>
    <w:rsid w:val="002D7C93"/>
    <w:rsid w:val="003241E6"/>
    <w:rsid w:val="003423C8"/>
    <w:rsid w:val="00343829"/>
    <w:rsid w:val="0037241C"/>
    <w:rsid w:val="00441C3B"/>
    <w:rsid w:val="00446B0A"/>
    <w:rsid w:val="00446FE5"/>
    <w:rsid w:val="00452396"/>
    <w:rsid w:val="004E468C"/>
    <w:rsid w:val="004F2920"/>
    <w:rsid w:val="005316B0"/>
    <w:rsid w:val="005505B7"/>
    <w:rsid w:val="00564657"/>
    <w:rsid w:val="00573BE5"/>
    <w:rsid w:val="00586ED3"/>
    <w:rsid w:val="00596AA9"/>
    <w:rsid w:val="005C7444"/>
    <w:rsid w:val="0065171C"/>
    <w:rsid w:val="006C7C7E"/>
    <w:rsid w:val="006E2F73"/>
    <w:rsid w:val="00703D0F"/>
    <w:rsid w:val="00706363"/>
    <w:rsid w:val="0071601D"/>
    <w:rsid w:val="007A62E6"/>
    <w:rsid w:val="007A6B86"/>
    <w:rsid w:val="0080684C"/>
    <w:rsid w:val="008204DA"/>
    <w:rsid w:val="00825637"/>
    <w:rsid w:val="0083123A"/>
    <w:rsid w:val="00871C75"/>
    <w:rsid w:val="008767E8"/>
    <w:rsid w:val="008776DC"/>
    <w:rsid w:val="008C5B1F"/>
    <w:rsid w:val="008F70CA"/>
    <w:rsid w:val="00915979"/>
    <w:rsid w:val="009705C8"/>
    <w:rsid w:val="009C1CF4"/>
    <w:rsid w:val="009F02C9"/>
    <w:rsid w:val="00A01D5C"/>
    <w:rsid w:val="00A30353"/>
    <w:rsid w:val="00A62D91"/>
    <w:rsid w:val="00A90D54"/>
    <w:rsid w:val="00AA113A"/>
    <w:rsid w:val="00AC3823"/>
    <w:rsid w:val="00AD7B36"/>
    <w:rsid w:val="00AE323C"/>
    <w:rsid w:val="00B00181"/>
    <w:rsid w:val="00B00B0D"/>
    <w:rsid w:val="00B07F65"/>
    <w:rsid w:val="00B166AF"/>
    <w:rsid w:val="00B30069"/>
    <w:rsid w:val="00B50E25"/>
    <w:rsid w:val="00B64918"/>
    <w:rsid w:val="00B765F7"/>
    <w:rsid w:val="00BA0CA9"/>
    <w:rsid w:val="00C02897"/>
    <w:rsid w:val="00C7616F"/>
    <w:rsid w:val="00CB16B5"/>
    <w:rsid w:val="00CE0608"/>
    <w:rsid w:val="00D3439C"/>
    <w:rsid w:val="00D44CF3"/>
    <w:rsid w:val="00D70306"/>
    <w:rsid w:val="00DA6C5E"/>
    <w:rsid w:val="00DB1831"/>
    <w:rsid w:val="00DD3BFD"/>
    <w:rsid w:val="00DF431C"/>
    <w:rsid w:val="00DF6678"/>
    <w:rsid w:val="00E939CE"/>
    <w:rsid w:val="00EE3C4D"/>
    <w:rsid w:val="00EF2E22"/>
    <w:rsid w:val="00F0592C"/>
    <w:rsid w:val="00F43289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F4102"/>
  <w15:docId w15:val="{5DB5156A-179A-4A85-A964-C188135D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ECE\ECE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7ABE4-A78B-4504-903C-9A3459D71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FEC08-171A-423B-A7C9-A480162B4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12A25-FAC5-45BB-A764-0097E7D5E0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ECE_F.dotm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ECE/TRANS/WP.15/AC.2/2022/30</dc:title>
  <dc:subject>FINAL</dc:subject>
  <dc:creator>Nadiya Dzyubynska</dc:creator>
  <cp:keywords/>
  <dc:description/>
  <cp:lastModifiedBy>ND</cp:lastModifiedBy>
  <cp:revision>9</cp:revision>
  <cp:lastPrinted>2022-05-23T11:00:00Z</cp:lastPrinted>
  <dcterms:created xsi:type="dcterms:W3CDTF">2022-05-16T17:16:00Z</dcterms:created>
  <dcterms:modified xsi:type="dcterms:W3CDTF">2022-05-23T11:01:00Z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