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44BB5B7F" w14:textId="77777777" w:rsidTr="005316B0">
        <w:trPr>
          <w:trHeight w:hRule="exact" w:val="851"/>
        </w:trPr>
        <w:tc>
          <w:tcPr>
            <w:tcW w:w="1276" w:type="dxa"/>
            <w:tcBorders>
              <w:bottom w:val="single" w:sz="4" w:space="0" w:color="auto"/>
            </w:tcBorders>
          </w:tcPr>
          <w:p w14:paraId="167A0075" w14:textId="77777777" w:rsidR="001433FD" w:rsidRPr="00DB58B5" w:rsidRDefault="001433FD" w:rsidP="0001207F"/>
        </w:tc>
        <w:tc>
          <w:tcPr>
            <w:tcW w:w="2268" w:type="dxa"/>
            <w:tcBorders>
              <w:bottom w:val="single" w:sz="4" w:space="0" w:color="auto"/>
            </w:tcBorders>
            <w:vAlign w:val="bottom"/>
          </w:tcPr>
          <w:p w14:paraId="61704066" w14:textId="77777777" w:rsidR="001433FD" w:rsidRPr="00DB58B5" w:rsidRDefault="001433FD" w:rsidP="007D32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A63763A" w14:textId="77777777" w:rsidR="001433FD" w:rsidRPr="00DB58B5" w:rsidRDefault="006E49EA" w:rsidP="006E49EA">
            <w:pPr>
              <w:jc w:val="right"/>
            </w:pPr>
            <w:r w:rsidRPr="006E49EA">
              <w:rPr>
                <w:sz w:val="40"/>
              </w:rPr>
              <w:t>ECE</w:t>
            </w:r>
            <w:r>
              <w:t>/TRANS/WP.15/258</w:t>
            </w:r>
          </w:p>
        </w:tc>
      </w:tr>
      <w:tr w:rsidR="001433FD" w:rsidRPr="00DB58B5" w14:paraId="1C3CA63B" w14:textId="77777777" w:rsidTr="007D3236">
        <w:trPr>
          <w:trHeight w:hRule="exact" w:val="2835"/>
        </w:trPr>
        <w:tc>
          <w:tcPr>
            <w:tcW w:w="1276" w:type="dxa"/>
            <w:tcBorders>
              <w:top w:val="single" w:sz="4" w:space="0" w:color="auto"/>
              <w:bottom w:val="single" w:sz="12" w:space="0" w:color="auto"/>
            </w:tcBorders>
          </w:tcPr>
          <w:p w14:paraId="62B1FB77" w14:textId="77777777" w:rsidR="001433FD" w:rsidRPr="00DB58B5" w:rsidRDefault="001433FD" w:rsidP="007D3236">
            <w:pPr>
              <w:spacing w:before="120"/>
              <w:jc w:val="center"/>
            </w:pPr>
            <w:r>
              <w:rPr>
                <w:noProof/>
                <w:lang w:eastAsia="fr-CH"/>
              </w:rPr>
              <w:drawing>
                <wp:inline distT="0" distB="0" distL="0" distR="0" wp14:anchorId="7490A770" wp14:editId="6C7468DF">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08E663" w14:textId="77777777" w:rsidR="001433FD" w:rsidRPr="00740562" w:rsidRDefault="001433FD" w:rsidP="007D3236">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D7B3BDB" w14:textId="77777777" w:rsidR="0001207F" w:rsidRDefault="006E49EA" w:rsidP="006E49EA">
            <w:pPr>
              <w:spacing w:before="240" w:line="240" w:lineRule="exact"/>
            </w:pPr>
            <w:r>
              <w:t>Distr. générale</w:t>
            </w:r>
          </w:p>
          <w:p w14:paraId="6BB41CDE" w14:textId="4E5334A4" w:rsidR="006E49EA" w:rsidRDefault="005E280F" w:rsidP="006E49EA">
            <w:pPr>
              <w:spacing w:line="240" w:lineRule="exact"/>
            </w:pPr>
            <w:r>
              <w:t>27 mai</w:t>
            </w:r>
            <w:r w:rsidR="006E49EA">
              <w:t xml:space="preserve"> 2022</w:t>
            </w:r>
          </w:p>
          <w:p w14:paraId="77C46875" w14:textId="77777777" w:rsidR="006E49EA" w:rsidRDefault="006E49EA" w:rsidP="006E49EA">
            <w:pPr>
              <w:spacing w:line="240" w:lineRule="exact"/>
            </w:pPr>
          </w:p>
          <w:p w14:paraId="44E83B6D" w14:textId="77777777" w:rsidR="006E49EA" w:rsidRPr="00DB58B5" w:rsidRDefault="006E49EA" w:rsidP="006E49EA">
            <w:pPr>
              <w:spacing w:line="240" w:lineRule="exact"/>
            </w:pPr>
            <w:r w:rsidRPr="006015FD">
              <w:t>Original : français</w:t>
            </w:r>
          </w:p>
        </w:tc>
      </w:tr>
    </w:tbl>
    <w:p w14:paraId="03991F08" w14:textId="77777777" w:rsidR="00C644E5" w:rsidRPr="005E33C3" w:rsidRDefault="00C644E5" w:rsidP="00C644E5">
      <w:pPr>
        <w:spacing w:before="120"/>
        <w:rPr>
          <w:b/>
          <w:sz w:val="28"/>
          <w:szCs w:val="28"/>
          <w:lang w:val="fr-FR"/>
        </w:rPr>
      </w:pPr>
      <w:r w:rsidRPr="005E33C3">
        <w:rPr>
          <w:b/>
          <w:sz w:val="28"/>
          <w:szCs w:val="28"/>
          <w:lang w:val="fr-FR"/>
        </w:rPr>
        <w:t>Commission économique pour l’Europe</w:t>
      </w:r>
    </w:p>
    <w:p w14:paraId="24481B5F" w14:textId="77777777" w:rsidR="00C644E5" w:rsidRPr="005E33C3" w:rsidRDefault="00C644E5" w:rsidP="00C644E5">
      <w:pPr>
        <w:spacing w:before="120"/>
        <w:rPr>
          <w:sz w:val="28"/>
          <w:szCs w:val="28"/>
          <w:lang w:val="fr-FR"/>
        </w:rPr>
      </w:pPr>
      <w:r w:rsidRPr="005E33C3">
        <w:rPr>
          <w:sz w:val="28"/>
          <w:szCs w:val="28"/>
          <w:lang w:val="fr-FR"/>
        </w:rPr>
        <w:t>Comité des transports intérieurs</w:t>
      </w:r>
    </w:p>
    <w:p w14:paraId="7D4EDE74" w14:textId="77777777" w:rsidR="00C644E5" w:rsidRPr="005E33C3" w:rsidRDefault="00C644E5" w:rsidP="00C644E5">
      <w:pPr>
        <w:spacing w:before="120"/>
        <w:rPr>
          <w:b/>
          <w:sz w:val="24"/>
          <w:szCs w:val="24"/>
          <w:lang w:val="fr-FR"/>
        </w:rPr>
      </w:pPr>
      <w:r w:rsidRPr="005E33C3">
        <w:rPr>
          <w:b/>
          <w:sz w:val="24"/>
          <w:szCs w:val="24"/>
          <w:lang w:val="fr-FR"/>
        </w:rPr>
        <w:t xml:space="preserve">Groupe de travail des transports </w:t>
      </w:r>
      <w:r w:rsidRPr="005E33C3">
        <w:rPr>
          <w:b/>
          <w:sz w:val="24"/>
          <w:szCs w:val="24"/>
          <w:lang w:val="fr-FR"/>
        </w:rPr>
        <w:br/>
        <w:t>de marchandises dangereuses</w:t>
      </w:r>
    </w:p>
    <w:p w14:paraId="55B90B44" w14:textId="25CE5289" w:rsidR="00C644E5" w:rsidRPr="005E33C3" w:rsidRDefault="00C644E5" w:rsidP="00C644E5">
      <w:pPr>
        <w:spacing w:before="120"/>
        <w:rPr>
          <w:b/>
          <w:lang w:val="fr-FR"/>
        </w:rPr>
      </w:pPr>
      <w:r w:rsidRPr="005E33C3">
        <w:rPr>
          <w:b/>
          <w:lang w:val="fr-FR"/>
        </w:rPr>
        <w:t>1</w:t>
      </w:r>
      <w:r>
        <w:rPr>
          <w:b/>
          <w:lang w:val="fr-FR"/>
        </w:rPr>
        <w:t>11</w:t>
      </w:r>
      <w:r w:rsidRPr="005E33C3">
        <w:rPr>
          <w:b/>
          <w:vertAlign w:val="superscript"/>
          <w:lang w:val="fr-FR"/>
        </w:rPr>
        <w:t>e</w:t>
      </w:r>
      <w:r w:rsidRPr="005E33C3">
        <w:rPr>
          <w:b/>
          <w:lang w:val="fr-FR"/>
        </w:rPr>
        <w:t> session</w:t>
      </w:r>
    </w:p>
    <w:p w14:paraId="36F204BF" w14:textId="5A99F0E2" w:rsidR="00C644E5" w:rsidRPr="005E33C3" w:rsidRDefault="00C644E5" w:rsidP="00C644E5">
      <w:pPr>
        <w:rPr>
          <w:lang w:val="fr-FR"/>
        </w:rPr>
      </w:pPr>
      <w:r w:rsidRPr="005E33C3">
        <w:rPr>
          <w:lang w:val="fr-FR"/>
        </w:rPr>
        <w:t xml:space="preserve">Genève, </w:t>
      </w:r>
      <w:r>
        <w:rPr>
          <w:lang w:val="fr-FR"/>
        </w:rPr>
        <w:t>9</w:t>
      </w:r>
      <w:r w:rsidRPr="005E33C3">
        <w:rPr>
          <w:lang w:val="fr-FR"/>
        </w:rPr>
        <w:t>-</w:t>
      </w:r>
      <w:r>
        <w:rPr>
          <w:lang w:val="fr-FR"/>
        </w:rPr>
        <w:t>13</w:t>
      </w:r>
      <w:r w:rsidRPr="005E33C3">
        <w:rPr>
          <w:lang w:val="fr-FR"/>
        </w:rPr>
        <w:t xml:space="preserve"> mai 202</w:t>
      </w:r>
      <w:r>
        <w:rPr>
          <w:lang w:val="fr-FR"/>
        </w:rPr>
        <w:t>2</w:t>
      </w:r>
    </w:p>
    <w:p w14:paraId="7DACF371" w14:textId="4F6CBA11" w:rsidR="00C644E5" w:rsidRPr="005E33C3" w:rsidRDefault="00C644E5" w:rsidP="00C644E5">
      <w:pPr>
        <w:pStyle w:val="HChG"/>
        <w:rPr>
          <w:lang w:val="fr-FR"/>
        </w:rPr>
      </w:pPr>
      <w:r w:rsidRPr="005E33C3">
        <w:rPr>
          <w:lang w:val="fr-FR"/>
        </w:rPr>
        <w:tab/>
      </w:r>
      <w:r w:rsidRPr="005E33C3">
        <w:rPr>
          <w:lang w:val="fr-FR"/>
        </w:rPr>
        <w:tab/>
        <w:t>Rapport du Groupe de travail sur sa 1</w:t>
      </w:r>
      <w:r>
        <w:rPr>
          <w:lang w:val="fr-FR"/>
        </w:rPr>
        <w:t>11</w:t>
      </w:r>
      <w:r w:rsidRPr="005E33C3">
        <w:rPr>
          <w:vertAlign w:val="superscript"/>
          <w:lang w:val="fr-FR"/>
        </w:rPr>
        <w:t>e</w:t>
      </w:r>
      <w:r w:rsidRPr="005E33C3">
        <w:rPr>
          <w:lang w:val="fr-FR"/>
        </w:rPr>
        <w:t xml:space="preserve"> session</w:t>
      </w:r>
      <w:bookmarkStart w:id="0" w:name="_Toc499903628"/>
      <w:bookmarkEnd w:id="0"/>
    </w:p>
    <w:p w14:paraId="6F043101" w14:textId="76AAF17F" w:rsidR="00C644E5" w:rsidRPr="005E33C3" w:rsidRDefault="00C644E5" w:rsidP="00C644E5">
      <w:pPr>
        <w:pStyle w:val="H56G"/>
        <w:rPr>
          <w:lang w:val="fr-FR"/>
        </w:rPr>
      </w:pPr>
      <w:r w:rsidRPr="005E33C3">
        <w:rPr>
          <w:lang w:val="fr-FR"/>
        </w:rPr>
        <w:tab/>
      </w:r>
      <w:r w:rsidRPr="005E33C3">
        <w:rPr>
          <w:lang w:val="fr-FR"/>
        </w:rPr>
        <w:tab/>
        <w:t xml:space="preserve">tenue à Genève du </w:t>
      </w:r>
      <w:r>
        <w:rPr>
          <w:lang w:val="fr-FR"/>
        </w:rPr>
        <w:t>9</w:t>
      </w:r>
      <w:r w:rsidRPr="005E33C3">
        <w:rPr>
          <w:lang w:val="fr-FR"/>
        </w:rPr>
        <w:t xml:space="preserve"> au </w:t>
      </w:r>
      <w:r>
        <w:rPr>
          <w:lang w:val="fr-FR"/>
        </w:rPr>
        <w:t>13</w:t>
      </w:r>
      <w:r w:rsidRPr="005E33C3">
        <w:rPr>
          <w:lang w:val="fr-FR"/>
        </w:rPr>
        <w:t xml:space="preserve"> mai 202</w:t>
      </w:r>
      <w:r>
        <w:rPr>
          <w:lang w:val="fr-FR"/>
        </w:rPr>
        <w:t>2</w:t>
      </w:r>
    </w:p>
    <w:p w14:paraId="5FA7B217" w14:textId="77777777" w:rsidR="00413337" w:rsidRPr="00ED4CEA" w:rsidRDefault="00413337" w:rsidP="006E5E26">
      <w:pPr>
        <w:spacing w:after="120"/>
        <w:rPr>
          <w:sz w:val="28"/>
        </w:rPr>
      </w:pPr>
      <w:r w:rsidRPr="00ED4CEA">
        <w:rPr>
          <w:sz w:val="28"/>
        </w:rPr>
        <w:t>Table des matières</w:t>
      </w:r>
    </w:p>
    <w:p w14:paraId="3F680136" w14:textId="77777777" w:rsidR="00413337" w:rsidRPr="00ED4CEA" w:rsidRDefault="00413337" w:rsidP="006E5E26">
      <w:pPr>
        <w:tabs>
          <w:tab w:val="right" w:pos="8929"/>
          <w:tab w:val="right" w:pos="9638"/>
        </w:tabs>
        <w:spacing w:after="120"/>
        <w:ind w:left="283"/>
      </w:pPr>
      <w:r w:rsidRPr="00ED4CEA">
        <w:rPr>
          <w:i/>
          <w:sz w:val="18"/>
        </w:rPr>
        <w:tab/>
        <w:t>Paragraphes</w:t>
      </w:r>
      <w:r w:rsidRPr="00ED4CEA">
        <w:rPr>
          <w:i/>
          <w:sz w:val="18"/>
        </w:rPr>
        <w:tab/>
        <w:t>Page</w:t>
      </w:r>
    </w:p>
    <w:p w14:paraId="14099A27" w14:textId="453C34CB" w:rsidR="00182B75" w:rsidRDefault="00182B75" w:rsidP="00182B75">
      <w:pPr>
        <w:tabs>
          <w:tab w:val="right" w:pos="850"/>
          <w:tab w:val="left" w:pos="1134"/>
          <w:tab w:val="left" w:pos="1559"/>
          <w:tab w:val="left" w:pos="1984"/>
          <w:tab w:val="left" w:leader="dot" w:pos="7654"/>
          <w:tab w:val="right" w:pos="8929"/>
          <w:tab w:val="right" w:pos="9638"/>
        </w:tabs>
        <w:spacing w:after="120"/>
      </w:pPr>
      <w:r>
        <w:tab/>
        <w:t>I.</w:t>
      </w:r>
      <w:r>
        <w:tab/>
        <w:t>Questions d’organisation et participation</w:t>
      </w:r>
      <w:r>
        <w:tab/>
      </w:r>
      <w:r>
        <w:tab/>
        <w:t>1</w:t>
      </w:r>
      <w:r w:rsidR="00D604A2">
        <w:t>-7</w:t>
      </w:r>
      <w:r>
        <w:tab/>
        <w:t>3</w:t>
      </w:r>
    </w:p>
    <w:p w14:paraId="4F6B9073" w14:textId="5E7DE034" w:rsidR="00182B75" w:rsidRDefault="00182B75" w:rsidP="00182B75">
      <w:pPr>
        <w:tabs>
          <w:tab w:val="right" w:pos="850"/>
          <w:tab w:val="left" w:pos="1134"/>
          <w:tab w:val="left" w:pos="1559"/>
          <w:tab w:val="left" w:pos="1984"/>
          <w:tab w:val="left" w:leader="dot" w:pos="7654"/>
          <w:tab w:val="right" w:pos="8929"/>
          <w:tab w:val="right" w:pos="9638"/>
        </w:tabs>
        <w:spacing w:after="120"/>
      </w:pPr>
      <w:r>
        <w:tab/>
      </w:r>
      <w:r>
        <w:tab/>
        <w:t>A.</w:t>
      </w:r>
      <w:r>
        <w:tab/>
        <w:t>Questions d’organisation</w:t>
      </w:r>
      <w:r>
        <w:tab/>
      </w:r>
      <w:r>
        <w:tab/>
        <w:t>2</w:t>
      </w:r>
      <w:r>
        <w:tab/>
        <w:t>3</w:t>
      </w:r>
    </w:p>
    <w:p w14:paraId="6C917426" w14:textId="291C580C" w:rsidR="00182B75" w:rsidRDefault="00182B75" w:rsidP="00182B75">
      <w:pPr>
        <w:tabs>
          <w:tab w:val="right" w:pos="850"/>
          <w:tab w:val="left" w:pos="1134"/>
          <w:tab w:val="left" w:pos="1559"/>
          <w:tab w:val="left" w:pos="1984"/>
          <w:tab w:val="left" w:leader="dot" w:pos="7654"/>
          <w:tab w:val="right" w:pos="8929"/>
          <w:tab w:val="right" w:pos="9638"/>
        </w:tabs>
        <w:spacing w:after="120"/>
        <w:rPr>
          <w:b/>
          <w:bCs/>
        </w:rPr>
      </w:pPr>
      <w:r>
        <w:rPr>
          <w:rFonts w:eastAsia="SimSun"/>
        </w:rPr>
        <w:tab/>
      </w:r>
      <w:r>
        <w:rPr>
          <w:rFonts w:eastAsia="SimSun"/>
        </w:rPr>
        <w:tab/>
        <w:t>B.</w:t>
      </w:r>
      <w:r>
        <w:rPr>
          <w:rFonts w:eastAsia="SimSun"/>
        </w:rPr>
        <w:tab/>
      </w:r>
      <w:r>
        <w:t>Participation</w:t>
      </w:r>
      <w:r>
        <w:rPr>
          <w:rFonts w:eastAsia="SimSun"/>
        </w:rPr>
        <w:tab/>
      </w:r>
      <w:r>
        <w:rPr>
          <w:rFonts w:eastAsia="SimSun"/>
        </w:rPr>
        <w:tab/>
      </w:r>
      <w:r w:rsidR="007453A5">
        <w:rPr>
          <w:rFonts w:eastAsia="SimSun"/>
        </w:rPr>
        <w:t>3-7</w:t>
      </w:r>
      <w:r>
        <w:rPr>
          <w:rFonts w:eastAsia="SimSun"/>
        </w:rPr>
        <w:tab/>
        <w:t>3</w:t>
      </w:r>
    </w:p>
    <w:p w14:paraId="2321D6FC" w14:textId="6670683A" w:rsidR="00182B75" w:rsidRDefault="00182B75" w:rsidP="00182B75">
      <w:pPr>
        <w:tabs>
          <w:tab w:val="right" w:pos="850"/>
          <w:tab w:val="left" w:pos="1134"/>
          <w:tab w:val="left" w:pos="1559"/>
          <w:tab w:val="left" w:pos="1984"/>
          <w:tab w:val="left" w:leader="dot" w:pos="7654"/>
          <w:tab w:val="right" w:pos="8929"/>
          <w:tab w:val="right" w:pos="9638"/>
        </w:tabs>
        <w:spacing w:after="120"/>
      </w:pPr>
      <w:r>
        <w:tab/>
        <w:t>II.</w:t>
      </w:r>
      <w:r>
        <w:tab/>
      </w:r>
      <w:r>
        <w:rPr>
          <w:lang w:val="fr-FR"/>
        </w:rPr>
        <w:t>Adoption de l’ordre du jour (point 1 de l’ordre du jour)</w:t>
      </w:r>
      <w:r>
        <w:tab/>
      </w:r>
      <w:r>
        <w:tab/>
      </w:r>
      <w:r w:rsidR="00247473">
        <w:t>8</w:t>
      </w:r>
      <w:r>
        <w:tab/>
      </w:r>
      <w:r w:rsidR="00247473">
        <w:t>3</w:t>
      </w:r>
    </w:p>
    <w:p w14:paraId="64413AB7" w14:textId="5D996EF0" w:rsidR="00182B75" w:rsidRDefault="00182B75" w:rsidP="00182B75">
      <w:pPr>
        <w:tabs>
          <w:tab w:val="right" w:pos="850"/>
          <w:tab w:val="left" w:pos="1134"/>
          <w:tab w:val="left" w:pos="1559"/>
          <w:tab w:val="left" w:pos="1984"/>
          <w:tab w:val="left" w:leader="dot" w:pos="7654"/>
          <w:tab w:val="right" w:pos="8929"/>
          <w:tab w:val="right" w:pos="9638"/>
        </w:tabs>
        <w:spacing w:after="120"/>
      </w:pPr>
      <w:r>
        <w:tab/>
        <w:t>III.</w:t>
      </w:r>
      <w:r>
        <w:tab/>
      </w:r>
      <w:r>
        <w:rPr>
          <w:lang w:val="fr-FR"/>
        </w:rPr>
        <w:t>Quatre-vingt-</w:t>
      </w:r>
      <w:r w:rsidR="00A94DBA">
        <w:rPr>
          <w:lang w:val="fr-FR"/>
        </w:rPr>
        <w:t>quatrième</w:t>
      </w:r>
      <w:r>
        <w:rPr>
          <w:lang w:val="fr-FR"/>
        </w:rPr>
        <w:t xml:space="preserve"> session du Comité des transports intérieurs</w:t>
      </w:r>
      <w:r w:rsidR="00A94DBA">
        <w:rPr>
          <w:lang w:val="fr-FR"/>
        </w:rPr>
        <w:t xml:space="preserve"> (C</w:t>
      </w:r>
      <w:r w:rsidR="00E175B3">
        <w:rPr>
          <w:lang w:val="fr-FR"/>
        </w:rPr>
        <w:t>TI</w:t>
      </w:r>
      <w:r w:rsidR="00A94DBA">
        <w:rPr>
          <w:lang w:val="fr-FR"/>
        </w:rPr>
        <w:t>)</w:t>
      </w:r>
      <w:r>
        <w:rPr>
          <w:lang w:val="fr-FR"/>
        </w:rPr>
        <w:t xml:space="preserve"> </w:t>
      </w:r>
      <w:r>
        <w:rPr>
          <w:lang w:val="fr-FR"/>
        </w:rPr>
        <w:br/>
      </w:r>
      <w:r>
        <w:rPr>
          <w:lang w:val="fr-FR"/>
        </w:rPr>
        <w:tab/>
      </w:r>
      <w:r>
        <w:rPr>
          <w:lang w:val="fr-FR"/>
        </w:rPr>
        <w:tab/>
        <w:t>(point 2 de l’ordre du jour)</w:t>
      </w:r>
      <w:r>
        <w:tab/>
      </w:r>
      <w:r>
        <w:tab/>
      </w:r>
      <w:r w:rsidR="00A94DBA">
        <w:t>9</w:t>
      </w:r>
      <w:r w:rsidR="00E175B3">
        <w:t>-13</w:t>
      </w:r>
      <w:r>
        <w:tab/>
      </w:r>
      <w:r w:rsidR="005876A1">
        <w:t>3</w:t>
      </w:r>
    </w:p>
    <w:p w14:paraId="35766F06" w14:textId="31C8CF7B" w:rsidR="00182B75" w:rsidRDefault="00182B75" w:rsidP="00182B75">
      <w:pPr>
        <w:tabs>
          <w:tab w:val="right" w:pos="850"/>
          <w:tab w:val="left" w:pos="1134"/>
          <w:tab w:val="left" w:pos="1559"/>
          <w:tab w:val="left" w:pos="1984"/>
          <w:tab w:val="left" w:leader="dot" w:pos="7654"/>
          <w:tab w:val="right" w:pos="8929"/>
          <w:tab w:val="right" w:pos="9638"/>
        </w:tabs>
        <w:spacing w:after="120"/>
      </w:pPr>
      <w:r>
        <w:tab/>
        <w:t>IV.</w:t>
      </w:r>
      <w:r>
        <w:tab/>
      </w:r>
      <w:r>
        <w:rPr>
          <w:lang w:val="fr-FR"/>
        </w:rPr>
        <w:t xml:space="preserve">État de l’Accord européen relatif au transport international des marchandises </w:t>
      </w:r>
      <w:r>
        <w:rPr>
          <w:lang w:val="fr-FR"/>
        </w:rPr>
        <w:br/>
      </w:r>
      <w:r>
        <w:rPr>
          <w:lang w:val="fr-FR"/>
        </w:rPr>
        <w:tab/>
      </w:r>
      <w:r>
        <w:rPr>
          <w:lang w:val="fr-FR"/>
        </w:rPr>
        <w:tab/>
        <w:t xml:space="preserve">dangereuses par route (ADR) et questions connexes </w:t>
      </w:r>
      <w:r>
        <w:t>(point 3 de l’ordre du jour)</w:t>
      </w:r>
      <w:r>
        <w:tab/>
      </w:r>
      <w:r>
        <w:tab/>
      </w:r>
      <w:r w:rsidR="00E175B3">
        <w:t>14-15</w:t>
      </w:r>
      <w:r>
        <w:tab/>
        <w:t>4</w:t>
      </w:r>
    </w:p>
    <w:p w14:paraId="08CEAED9" w14:textId="6BE962A2" w:rsidR="00E175B3" w:rsidRDefault="00E175B3" w:rsidP="00E175B3">
      <w:pPr>
        <w:tabs>
          <w:tab w:val="right" w:pos="850"/>
          <w:tab w:val="left" w:pos="1134"/>
          <w:tab w:val="left" w:pos="1559"/>
          <w:tab w:val="left" w:pos="1984"/>
          <w:tab w:val="left" w:leader="dot" w:pos="7654"/>
          <w:tab w:val="right" w:pos="8929"/>
          <w:tab w:val="right" w:pos="9638"/>
        </w:tabs>
        <w:spacing w:after="120"/>
      </w:pPr>
      <w:r>
        <w:tab/>
      </w:r>
      <w:r>
        <w:tab/>
        <w:t>A.</w:t>
      </w:r>
      <w:r>
        <w:tab/>
      </w:r>
      <w:r w:rsidR="00370C31" w:rsidRPr="00084BEC">
        <w:t>État de l’Accord</w:t>
      </w:r>
      <w:r>
        <w:tab/>
      </w:r>
      <w:r>
        <w:tab/>
      </w:r>
      <w:r w:rsidR="00370C31">
        <w:t>14</w:t>
      </w:r>
      <w:r>
        <w:tab/>
      </w:r>
      <w:r w:rsidR="00370C31">
        <w:t>4</w:t>
      </w:r>
    </w:p>
    <w:p w14:paraId="7C167A71" w14:textId="731D5DBC" w:rsidR="00E175B3" w:rsidRDefault="00E175B3" w:rsidP="00E175B3">
      <w:pPr>
        <w:tabs>
          <w:tab w:val="right" w:pos="850"/>
          <w:tab w:val="left" w:pos="1134"/>
          <w:tab w:val="left" w:pos="1559"/>
          <w:tab w:val="left" w:pos="1984"/>
          <w:tab w:val="left" w:leader="dot" w:pos="7654"/>
          <w:tab w:val="right" w:pos="8929"/>
          <w:tab w:val="right" w:pos="9638"/>
        </w:tabs>
        <w:spacing w:after="120"/>
        <w:rPr>
          <w:b/>
          <w:bCs/>
        </w:rPr>
      </w:pPr>
      <w:r>
        <w:rPr>
          <w:rFonts w:eastAsia="SimSun"/>
        </w:rPr>
        <w:tab/>
      </w:r>
      <w:r>
        <w:rPr>
          <w:rFonts w:eastAsia="SimSun"/>
        </w:rPr>
        <w:tab/>
        <w:t>B.</w:t>
      </w:r>
      <w:r>
        <w:rPr>
          <w:rFonts w:eastAsia="SimSun"/>
        </w:rPr>
        <w:tab/>
      </w:r>
      <w:r w:rsidR="00084BEC" w:rsidRPr="00084BEC">
        <w:t>Protocole d’amendement de 1993</w:t>
      </w:r>
      <w:r>
        <w:rPr>
          <w:rFonts w:eastAsia="SimSun"/>
        </w:rPr>
        <w:tab/>
      </w:r>
      <w:r>
        <w:rPr>
          <w:rFonts w:eastAsia="SimSun"/>
        </w:rPr>
        <w:tab/>
      </w:r>
      <w:r w:rsidR="00084BEC">
        <w:rPr>
          <w:rFonts w:eastAsia="SimSun"/>
        </w:rPr>
        <w:t>15</w:t>
      </w:r>
      <w:r>
        <w:rPr>
          <w:rFonts w:eastAsia="SimSun"/>
        </w:rPr>
        <w:tab/>
      </w:r>
      <w:r w:rsidR="00084BEC">
        <w:rPr>
          <w:rFonts w:eastAsia="SimSun"/>
        </w:rPr>
        <w:t>4</w:t>
      </w:r>
    </w:p>
    <w:p w14:paraId="1B8E0C47" w14:textId="6DC4DDE7" w:rsidR="00182B75" w:rsidRDefault="00182B75" w:rsidP="00182B75">
      <w:pPr>
        <w:tabs>
          <w:tab w:val="right" w:pos="850"/>
          <w:tab w:val="left" w:pos="1134"/>
          <w:tab w:val="left" w:pos="1559"/>
          <w:tab w:val="left" w:pos="1984"/>
          <w:tab w:val="left" w:leader="dot" w:pos="7654"/>
          <w:tab w:val="right" w:pos="8929"/>
          <w:tab w:val="right" w:pos="9638"/>
        </w:tabs>
        <w:spacing w:after="120"/>
      </w:pPr>
      <w:r>
        <w:tab/>
        <w:t>V.</w:t>
      </w:r>
      <w:r>
        <w:tab/>
      </w:r>
      <w:r>
        <w:rPr>
          <w:lang w:val="fr-FR"/>
        </w:rPr>
        <w:t>Travaux de la Réunion commune RID/ADR/ADN (point 4 de l’ordre du jour)</w:t>
      </w:r>
      <w:r>
        <w:tab/>
      </w:r>
      <w:r>
        <w:tab/>
      </w:r>
      <w:r w:rsidR="00084BEC">
        <w:t>16-24</w:t>
      </w:r>
      <w:r>
        <w:tab/>
        <w:t>5</w:t>
      </w:r>
    </w:p>
    <w:p w14:paraId="34F78E9F" w14:textId="26FC4A28" w:rsidR="00084BEC" w:rsidRDefault="00084BEC" w:rsidP="00084BEC">
      <w:pPr>
        <w:tabs>
          <w:tab w:val="right" w:pos="850"/>
          <w:tab w:val="left" w:pos="1134"/>
          <w:tab w:val="left" w:pos="1559"/>
          <w:tab w:val="left" w:pos="1984"/>
          <w:tab w:val="left" w:leader="dot" w:pos="7654"/>
          <w:tab w:val="right" w:pos="8929"/>
          <w:tab w:val="right" w:pos="9638"/>
        </w:tabs>
        <w:spacing w:after="120"/>
      </w:pPr>
      <w:r>
        <w:tab/>
      </w:r>
      <w:r>
        <w:tab/>
        <w:t>A.</w:t>
      </w:r>
      <w:r>
        <w:tab/>
      </w:r>
      <w:r w:rsidR="003D2891">
        <w:rPr>
          <w:lang w:val="fr-FR" w:eastAsia="en-US"/>
        </w:rPr>
        <w:t>P</w:t>
      </w:r>
      <w:r w:rsidR="003D2891" w:rsidRPr="002F392A">
        <w:rPr>
          <w:lang w:val="fr-FR" w:eastAsia="en-US"/>
        </w:rPr>
        <w:t>ropositions d’amendements à l’ADR pour entrée en vigueur le 1er janvier 2023</w:t>
      </w:r>
      <w:r w:rsidR="003D2891">
        <w:rPr>
          <w:lang w:val="fr-FR" w:eastAsia="en-US"/>
        </w:rPr>
        <w:br/>
      </w:r>
      <w:r w:rsidR="003D2891">
        <w:rPr>
          <w:lang w:val="fr-FR" w:eastAsia="en-US"/>
        </w:rPr>
        <w:tab/>
      </w:r>
      <w:r w:rsidR="003D2891">
        <w:rPr>
          <w:lang w:val="fr-FR" w:eastAsia="en-US"/>
        </w:rPr>
        <w:tab/>
      </w:r>
      <w:r w:rsidR="003D2891">
        <w:rPr>
          <w:lang w:val="fr-FR" w:eastAsia="en-US"/>
        </w:rPr>
        <w:tab/>
      </w:r>
      <w:r w:rsidR="003D2891" w:rsidRPr="002F392A">
        <w:rPr>
          <w:lang w:val="fr-FR" w:eastAsia="en-US"/>
        </w:rPr>
        <w:t>adoptées par la Réunion commune à sa session de mars 2022</w:t>
      </w:r>
      <w:r>
        <w:tab/>
      </w:r>
      <w:r>
        <w:tab/>
      </w:r>
      <w:r w:rsidR="003D2891">
        <w:t>16-18</w:t>
      </w:r>
      <w:r>
        <w:tab/>
      </w:r>
      <w:r w:rsidR="003D2891">
        <w:t>5</w:t>
      </w:r>
    </w:p>
    <w:p w14:paraId="18272B54" w14:textId="7D305B59" w:rsidR="00084BEC" w:rsidRDefault="00084BEC" w:rsidP="00084BEC">
      <w:pPr>
        <w:tabs>
          <w:tab w:val="right" w:pos="850"/>
          <w:tab w:val="left" w:pos="1134"/>
          <w:tab w:val="left" w:pos="1559"/>
          <w:tab w:val="left" w:pos="1984"/>
          <w:tab w:val="left" w:leader="dot" w:pos="7654"/>
          <w:tab w:val="right" w:pos="8929"/>
          <w:tab w:val="right" w:pos="9638"/>
        </w:tabs>
        <w:spacing w:after="120"/>
        <w:rPr>
          <w:b/>
          <w:bCs/>
        </w:rPr>
      </w:pPr>
      <w:r>
        <w:rPr>
          <w:rFonts w:eastAsia="SimSun"/>
        </w:rPr>
        <w:tab/>
      </w:r>
      <w:r>
        <w:rPr>
          <w:rFonts w:eastAsia="SimSun"/>
        </w:rPr>
        <w:tab/>
        <w:t>B.</w:t>
      </w:r>
      <w:r>
        <w:rPr>
          <w:rFonts w:eastAsia="SimSun"/>
        </w:rPr>
        <w:tab/>
      </w:r>
      <w:r w:rsidR="001A44AA">
        <w:rPr>
          <w:lang w:val="fr-FR" w:eastAsia="en-US"/>
        </w:rPr>
        <w:t xml:space="preserve">Nota sous le </w:t>
      </w:r>
      <w:r w:rsidR="001A44AA" w:rsidRPr="00017812">
        <w:rPr>
          <w:lang w:val="fr-FR" w:eastAsia="en-US"/>
        </w:rPr>
        <w:t>6.8.3.2.9.1</w:t>
      </w:r>
      <w:r w:rsidR="001A44AA">
        <w:rPr>
          <w:lang w:val="fr-FR" w:eastAsia="en-US"/>
        </w:rPr>
        <w:t xml:space="preserve"> du p</w:t>
      </w:r>
      <w:r w:rsidR="001A44AA" w:rsidRPr="00432CD2">
        <w:rPr>
          <w:lang w:val="fr-FR" w:eastAsia="en-US"/>
        </w:rPr>
        <w:t>rojet d'amendements aux annexes A et B de l'ADR</w:t>
      </w:r>
      <w:r>
        <w:rPr>
          <w:rFonts w:eastAsia="SimSun"/>
        </w:rPr>
        <w:tab/>
      </w:r>
      <w:r w:rsidR="001A44AA">
        <w:rPr>
          <w:rFonts w:eastAsia="SimSun"/>
        </w:rPr>
        <w:t>19</w:t>
      </w:r>
      <w:r>
        <w:rPr>
          <w:rFonts w:eastAsia="SimSun"/>
        </w:rPr>
        <w:tab/>
      </w:r>
      <w:r w:rsidR="001A44AA">
        <w:rPr>
          <w:rFonts w:eastAsia="SimSun"/>
        </w:rPr>
        <w:t>5</w:t>
      </w:r>
    </w:p>
    <w:p w14:paraId="7419BE33" w14:textId="0888F6F4" w:rsidR="00084BEC" w:rsidRDefault="00046BC2" w:rsidP="00182B75">
      <w:pPr>
        <w:tabs>
          <w:tab w:val="right" w:pos="850"/>
          <w:tab w:val="left" w:pos="1134"/>
          <w:tab w:val="left" w:pos="1559"/>
          <w:tab w:val="left" w:pos="1984"/>
          <w:tab w:val="left" w:leader="dot" w:pos="7654"/>
          <w:tab w:val="right" w:pos="8929"/>
          <w:tab w:val="right" w:pos="9638"/>
        </w:tabs>
        <w:spacing w:after="120"/>
        <w:rPr>
          <w:lang w:val="fr-FR"/>
        </w:rPr>
      </w:pPr>
      <w:r>
        <w:rPr>
          <w:lang w:val="fr-FR" w:eastAsia="en-US"/>
        </w:rPr>
        <w:tab/>
      </w:r>
      <w:r>
        <w:rPr>
          <w:lang w:val="fr-FR" w:eastAsia="en-US"/>
        </w:rPr>
        <w:tab/>
        <w:t>C.</w:t>
      </w:r>
      <w:r>
        <w:rPr>
          <w:lang w:val="fr-FR" w:eastAsia="en-US"/>
        </w:rPr>
        <w:tab/>
      </w:r>
      <w:r w:rsidRPr="00334742">
        <w:rPr>
          <w:lang w:val="fr-FR"/>
        </w:rPr>
        <w:t xml:space="preserve">Projet d’amendements aux annexes A et B de l’ADR en vue d’une entrée </w:t>
      </w:r>
      <w:r>
        <w:rPr>
          <w:lang w:val="fr-FR"/>
        </w:rPr>
        <w:br/>
      </w:r>
      <w:r>
        <w:rPr>
          <w:lang w:val="fr-FR"/>
        </w:rPr>
        <w:tab/>
      </w:r>
      <w:r>
        <w:rPr>
          <w:lang w:val="fr-FR"/>
        </w:rPr>
        <w:tab/>
      </w:r>
      <w:r>
        <w:rPr>
          <w:lang w:val="fr-FR"/>
        </w:rPr>
        <w:tab/>
      </w:r>
      <w:r w:rsidRPr="00334742">
        <w:rPr>
          <w:lang w:val="fr-FR"/>
        </w:rPr>
        <w:t>en vigueur le 1</w:t>
      </w:r>
      <w:r w:rsidRPr="00334742">
        <w:rPr>
          <w:vertAlign w:val="superscript"/>
          <w:lang w:val="fr-FR"/>
        </w:rPr>
        <w:t>er</w:t>
      </w:r>
      <w:r w:rsidRPr="00334742">
        <w:rPr>
          <w:lang w:val="fr-FR"/>
        </w:rPr>
        <w:t xml:space="preserve"> janvier 2023, à confirmer à la 111</w:t>
      </w:r>
      <w:r w:rsidRPr="00334742">
        <w:rPr>
          <w:vertAlign w:val="superscript"/>
          <w:lang w:val="fr-FR"/>
        </w:rPr>
        <w:t>e</w:t>
      </w:r>
      <w:r w:rsidRPr="00334742">
        <w:rPr>
          <w:lang w:val="fr-FR"/>
        </w:rPr>
        <w:t xml:space="preserve"> session</w:t>
      </w:r>
      <w:r>
        <w:rPr>
          <w:lang w:val="fr-FR"/>
        </w:rPr>
        <w:tab/>
      </w:r>
      <w:r>
        <w:rPr>
          <w:lang w:val="fr-FR"/>
        </w:rPr>
        <w:tab/>
        <w:t>20-22</w:t>
      </w:r>
      <w:r>
        <w:rPr>
          <w:lang w:val="fr-FR"/>
        </w:rPr>
        <w:tab/>
        <w:t>5</w:t>
      </w:r>
    </w:p>
    <w:p w14:paraId="27168BFF" w14:textId="5C4F362B" w:rsidR="00046BC2" w:rsidRDefault="009F6880" w:rsidP="00182B75">
      <w:pPr>
        <w:tabs>
          <w:tab w:val="right" w:pos="850"/>
          <w:tab w:val="left" w:pos="1134"/>
          <w:tab w:val="left" w:pos="1559"/>
          <w:tab w:val="left" w:pos="1984"/>
          <w:tab w:val="left" w:leader="dot" w:pos="7654"/>
          <w:tab w:val="right" w:pos="8929"/>
          <w:tab w:val="right" w:pos="9638"/>
        </w:tabs>
        <w:spacing w:after="120"/>
        <w:rPr>
          <w:lang w:val="fr-FR"/>
        </w:rPr>
      </w:pPr>
      <w:r>
        <w:rPr>
          <w:lang w:val="fr-FR" w:eastAsia="en-US"/>
        </w:rPr>
        <w:tab/>
      </w:r>
      <w:r>
        <w:rPr>
          <w:lang w:val="fr-FR" w:eastAsia="en-US"/>
        </w:rPr>
        <w:tab/>
        <w:t>D.</w:t>
      </w:r>
      <w:r>
        <w:rPr>
          <w:lang w:val="fr-FR" w:eastAsia="en-US"/>
        </w:rPr>
        <w:tab/>
      </w:r>
      <w:r w:rsidRPr="00E506BB">
        <w:rPr>
          <w:lang w:val="fr-FR"/>
        </w:rPr>
        <w:t xml:space="preserve">Corrections au projet d’amendements à l’ADR pour entrée en vigueur </w:t>
      </w:r>
      <w:r>
        <w:rPr>
          <w:lang w:val="fr-FR"/>
        </w:rPr>
        <w:br/>
      </w:r>
      <w:r>
        <w:rPr>
          <w:lang w:val="fr-FR"/>
        </w:rPr>
        <w:tab/>
      </w:r>
      <w:r>
        <w:rPr>
          <w:lang w:val="fr-FR"/>
        </w:rPr>
        <w:tab/>
      </w:r>
      <w:r>
        <w:rPr>
          <w:lang w:val="fr-FR"/>
        </w:rPr>
        <w:tab/>
      </w:r>
      <w:r w:rsidRPr="00E506BB">
        <w:rPr>
          <w:lang w:val="fr-FR"/>
        </w:rPr>
        <w:t>le 1er janvier 2023 (ECE/TRANS/WP.15/256)</w:t>
      </w:r>
      <w:r>
        <w:rPr>
          <w:lang w:val="fr-FR"/>
        </w:rPr>
        <w:tab/>
      </w:r>
      <w:r>
        <w:rPr>
          <w:lang w:val="fr-FR"/>
        </w:rPr>
        <w:tab/>
        <w:t>23</w:t>
      </w:r>
      <w:r>
        <w:rPr>
          <w:lang w:val="fr-FR"/>
        </w:rPr>
        <w:tab/>
      </w:r>
      <w:r w:rsidR="00C47051">
        <w:rPr>
          <w:lang w:val="fr-FR"/>
        </w:rPr>
        <w:t>6</w:t>
      </w:r>
    </w:p>
    <w:p w14:paraId="6349FDC8" w14:textId="6FDDF44F" w:rsidR="009F6880" w:rsidRDefault="0032380C" w:rsidP="00182B75">
      <w:pPr>
        <w:tabs>
          <w:tab w:val="right" w:pos="850"/>
          <w:tab w:val="left" w:pos="1134"/>
          <w:tab w:val="left" w:pos="1559"/>
          <w:tab w:val="left" w:pos="1984"/>
          <w:tab w:val="left" w:leader="dot" w:pos="7654"/>
          <w:tab w:val="right" w:pos="8929"/>
          <w:tab w:val="right" w:pos="9638"/>
        </w:tabs>
        <w:spacing w:after="120"/>
      </w:pPr>
      <w:r>
        <w:rPr>
          <w:lang w:val="fr-FR" w:eastAsia="en-US"/>
        </w:rPr>
        <w:tab/>
      </w:r>
      <w:r>
        <w:rPr>
          <w:lang w:val="fr-FR" w:eastAsia="en-US"/>
        </w:rPr>
        <w:tab/>
        <w:t>E.</w:t>
      </w:r>
      <w:r>
        <w:rPr>
          <w:lang w:val="fr-FR" w:eastAsia="en-US"/>
        </w:rPr>
        <w:tab/>
        <w:t>P</w:t>
      </w:r>
      <w:r w:rsidRPr="002F392A">
        <w:rPr>
          <w:lang w:val="fr-FR" w:eastAsia="en-US"/>
        </w:rPr>
        <w:t xml:space="preserve">ropositions d’amendements à l’ADR pour entrée en vigueur </w:t>
      </w:r>
      <w:r>
        <w:rPr>
          <w:lang w:val="fr-FR" w:eastAsia="en-US"/>
        </w:rPr>
        <w:br/>
      </w:r>
      <w:r>
        <w:rPr>
          <w:lang w:val="fr-FR" w:eastAsia="en-US"/>
        </w:rPr>
        <w:tab/>
      </w:r>
      <w:r>
        <w:rPr>
          <w:lang w:val="fr-FR" w:eastAsia="en-US"/>
        </w:rPr>
        <w:tab/>
      </w:r>
      <w:r>
        <w:rPr>
          <w:lang w:val="fr-FR" w:eastAsia="en-US"/>
        </w:rPr>
        <w:tab/>
      </w:r>
      <w:r w:rsidRPr="002F392A">
        <w:rPr>
          <w:lang w:val="fr-FR" w:eastAsia="en-US"/>
        </w:rPr>
        <w:t xml:space="preserve">le 1er janvier </w:t>
      </w:r>
      <w:r>
        <w:rPr>
          <w:lang w:val="fr-FR" w:eastAsia="en-US"/>
        </w:rPr>
        <w:t>2025</w:t>
      </w:r>
      <w:r w:rsidRPr="002F392A">
        <w:rPr>
          <w:lang w:val="fr-FR" w:eastAsia="en-US"/>
        </w:rPr>
        <w:t xml:space="preserve"> adoptées par la Réunion commune à sa session de mars 2022</w:t>
      </w:r>
      <w:r>
        <w:rPr>
          <w:lang w:val="fr-FR" w:eastAsia="en-US"/>
        </w:rPr>
        <w:tab/>
        <w:t>24</w:t>
      </w:r>
      <w:r>
        <w:rPr>
          <w:lang w:val="fr-FR" w:eastAsia="en-US"/>
        </w:rPr>
        <w:tab/>
      </w:r>
      <w:r w:rsidR="00134D49">
        <w:rPr>
          <w:lang w:val="fr-FR" w:eastAsia="en-US"/>
        </w:rPr>
        <w:t>6</w:t>
      </w:r>
    </w:p>
    <w:p w14:paraId="3379C421" w14:textId="779EEDF7" w:rsidR="00182B75" w:rsidRDefault="00182B75" w:rsidP="00182B75">
      <w:pPr>
        <w:tabs>
          <w:tab w:val="right" w:pos="850"/>
          <w:tab w:val="left" w:pos="1134"/>
          <w:tab w:val="left" w:pos="1559"/>
          <w:tab w:val="left" w:pos="1984"/>
          <w:tab w:val="left" w:leader="dot" w:pos="7654"/>
          <w:tab w:val="right" w:pos="8929"/>
          <w:tab w:val="right" w:pos="9638"/>
        </w:tabs>
        <w:spacing w:after="120"/>
      </w:pPr>
      <w:r>
        <w:tab/>
        <w:t>VI.</w:t>
      </w:r>
      <w:r>
        <w:tab/>
      </w:r>
      <w:r>
        <w:rPr>
          <w:lang w:val="fr-FR"/>
        </w:rPr>
        <w:t xml:space="preserve">Propositions d’amendements aux annexes A et B de l’ADR </w:t>
      </w:r>
      <w:r>
        <w:rPr>
          <w:lang w:val="fr-FR"/>
        </w:rPr>
        <w:br/>
      </w:r>
      <w:r>
        <w:rPr>
          <w:lang w:val="fr-FR"/>
        </w:rPr>
        <w:tab/>
      </w:r>
      <w:r>
        <w:rPr>
          <w:lang w:val="fr-FR"/>
        </w:rPr>
        <w:tab/>
        <w:t>(point 5 de l’ordre du jour)</w:t>
      </w:r>
      <w:r>
        <w:rPr>
          <w:lang w:val="fr-FR"/>
        </w:rPr>
        <w:tab/>
      </w:r>
      <w:r>
        <w:tab/>
      </w:r>
      <w:r w:rsidR="002D54D7">
        <w:t>25-44</w:t>
      </w:r>
      <w:r>
        <w:tab/>
      </w:r>
      <w:r w:rsidR="00031FC4">
        <w:t>6</w:t>
      </w:r>
    </w:p>
    <w:p w14:paraId="6165F2A3" w14:textId="73EA0136" w:rsidR="00182B75" w:rsidRDefault="00182B75" w:rsidP="00182B75">
      <w:pPr>
        <w:tabs>
          <w:tab w:val="right" w:pos="850"/>
          <w:tab w:val="left" w:pos="1134"/>
          <w:tab w:val="left" w:pos="1559"/>
          <w:tab w:val="left" w:pos="1984"/>
          <w:tab w:val="left" w:leader="dot" w:pos="7654"/>
          <w:tab w:val="right" w:pos="8929"/>
          <w:tab w:val="right" w:pos="9638"/>
        </w:tabs>
        <w:spacing w:after="120"/>
      </w:pPr>
      <w:r>
        <w:lastRenderedPageBreak/>
        <w:tab/>
      </w:r>
      <w:r>
        <w:tab/>
        <w:t>A.</w:t>
      </w:r>
      <w:r>
        <w:tab/>
        <w:t>Construction et agrément des véhicules</w:t>
      </w:r>
      <w:r>
        <w:tab/>
      </w:r>
      <w:r>
        <w:tab/>
      </w:r>
      <w:r w:rsidR="00031FC4">
        <w:t>25-</w:t>
      </w:r>
      <w:r w:rsidR="009C4CE2">
        <w:t>34</w:t>
      </w:r>
      <w:r>
        <w:tab/>
      </w:r>
      <w:r w:rsidR="009C4CE2">
        <w:t>6</w:t>
      </w:r>
    </w:p>
    <w:p w14:paraId="1F1A5073" w14:textId="13BD182A" w:rsidR="00182B75" w:rsidRDefault="00182B75" w:rsidP="00182B75">
      <w:pPr>
        <w:tabs>
          <w:tab w:val="right" w:pos="850"/>
          <w:tab w:val="left" w:pos="1134"/>
          <w:tab w:val="left" w:pos="1559"/>
          <w:tab w:val="left" w:pos="1984"/>
          <w:tab w:val="left" w:leader="dot" w:pos="7654"/>
          <w:tab w:val="right" w:pos="8929"/>
          <w:tab w:val="right" w:pos="9638"/>
        </w:tabs>
        <w:spacing w:after="120"/>
        <w:rPr>
          <w:lang w:eastAsia="fr-FR"/>
        </w:rPr>
      </w:pPr>
      <w:r>
        <w:tab/>
      </w:r>
      <w:r>
        <w:tab/>
      </w:r>
      <w:r>
        <w:tab/>
        <w:t>1.</w:t>
      </w:r>
      <w:r>
        <w:tab/>
      </w:r>
      <w:r w:rsidR="00F10BCC" w:rsidRPr="00F10BCC">
        <w:rPr>
          <w:lang w:eastAsia="fr-FR"/>
        </w:rPr>
        <w:t>Présentation d’un véhicule électrifié</w:t>
      </w:r>
      <w:r>
        <w:rPr>
          <w:lang w:eastAsia="fr-FR"/>
        </w:rPr>
        <w:tab/>
      </w:r>
      <w:r>
        <w:rPr>
          <w:lang w:eastAsia="fr-FR"/>
        </w:rPr>
        <w:tab/>
      </w:r>
      <w:r w:rsidR="00F10BCC">
        <w:rPr>
          <w:lang w:eastAsia="fr-FR"/>
        </w:rPr>
        <w:t>25</w:t>
      </w:r>
      <w:r>
        <w:rPr>
          <w:lang w:eastAsia="fr-FR"/>
        </w:rPr>
        <w:tab/>
      </w:r>
      <w:r w:rsidR="00B027D6">
        <w:rPr>
          <w:lang w:eastAsia="fr-FR"/>
        </w:rPr>
        <w:t>6</w:t>
      </w:r>
    </w:p>
    <w:p w14:paraId="4F8D2192" w14:textId="4588953E" w:rsidR="00182B75" w:rsidRDefault="00182B75" w:rsidP="00182B75">
      <w:pPr>
        <w:tabs>
          <w:tab w:val="right" w:pos="850"/>
          <w:tab w:val="left" w:pos="1134"/>
          <w:tab w:val="left" w:pos="1559"/>
          <w:tab w:val="left" w:pos="1984"/>
          <w:tab w:val="left" w:leader="dot" w:pos="7654"/>
          <w:tab w:val="right" w:pos="8929"/>
          <w:tab w:val="right" w:pos="9638"/>
        </w:tabs>
        <w:spacing w:after="120"/>
      </w:pPr>
      <w:r>
        <w:rPr>
          <w:lang w:eastAsia="fr-FR"/>
        </w:rPr>
        <w:tab/>
      </w:r>
      <w:r>
        <w:rPr>
          <w:lang w:eastAsia="fr-FR"/>
        </w:rPr>
        <w:tab/>
      </w:r>
      <w:r>
        <w:rPr>
          <w:lang w:eastAsia="fr-FR"/>
        </w:rPr>
        <w:tab/>
        <w:t>2.</w:t>
      </w:r>
      <w:r>
        <w:rPr>
          <w:lang w:eastAsia="fr-FR"/>
        </w:rPr>
        <w:tab/>
      </w:r>
      <w:r w:rsidR="00A30E18" w:rsidRPr="00A30E18">
        <w:rPr>
          <w:lang w:eastAsia="fr-FR"/>
        </w:rPr>
        <w:t>Travaux du groupe de travail informel des véhicules électrifiés</w:t>
      </w:r>
      <w:r>
        <w:tab/>
      </w:r>
      <w:r>
        <w:tab/>
      </w:r>
      <w:r w:rsidR="00A30E18">
        <w:t>26-33</w:t>
      </w:r>
      <w:r>
        <w:tab/>
      </w:r>
      <w:r w:rsidR="00B027D6">
        <w:t>6</w:t>
      </w:r>
    </w:p>
    <w:p w14:paraId="570BF7D1" w14:textId="7E771D98" w:rsidR="00B027D6" w:rsidRDefault="007A696A" w:rsidP="00182B75">
      <w:pPr>
        <w:tabs>
          <w:tab w:val="right" w:pos="850"/>
          <w:tab w:val="left" w:pos="1134"/>
          <w:tab w:val="left" w:pos="1559"/>
          <w:tab w:val="left" w:pos="1984"/>
          <w:tab w:val="left" w:leader="dot" w:pos="7654"/>
          <w:tab w:val="right" w:pos="8929"/>
          <w:tab w:val="right" w:pos="9638"/>
        </w:tabs>
        <w:spacing w:after="120"/>
      </w:pPr>
      <w:r>
        <w:rPr>
          <w:rFonts w:eastAsiaTheme="minorHAnsi"/>
          <w:lang w:val="fr-FR" w:eastAsia="en-US"/>
        </w:rPr>
        <w:tab/>
      </w:r>
      <w:r>
        <w:rPr>
          <w:rFonts w:eastAsiaTheme="minorHAnsi"/>
          <w:lang w:val="fr-FR" w:eastAsia="en-US"/>
        </w:rPr>
        <w:tab/>
      </w:r>
      <w:r>
        <w:rPr>
          <w:rFonts w:eastAsiaTheme="minorHAnsi"/>
          <w:lang w:val="fr-FR" w:eastAsia="en-US"/>
        </w:rPr>
        <w:tab/>
        <w:t>3</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Normes sur les câbles électriques des véhicules</w:t>
      </w:r>
      <w:r>
        <w:rPr>
          <w:rFonts w:eastAsiaTheme="minorHAnsi"/>
          <w:lang w:val="fr-FR" w:eastAsia="en-US"/>
        </w:rPr>
        <w:tab/>
      </w:r>
      <w:r>
        <w:rPr>
          <w:rFonts w:eastAsiaTheme="minorHAnsi"/>
          <w:lang w:val="fr-FR" w:eastAsia="en-US"/>
        </w:rPr>
        <w:tab/>
        <w:t>34</w:t>
      </w:r>
      <w:r>
        <w:rPr>
          <w:rFonts w:eastAsiaTheme="minorHAnsi"/>
          <w:lang w:val="fr-FR" w:eastAsia="en-US"/>
        </w:rPr>
        <w:tab/>
        <w:t>7</w:t>
      </w:r>
    </w:p>
    <w:p w14:paraId="744DB70D" w14:textId="33325F9E" w:rsidR="00182B75" w:rsidRDefault="00182B75" w:rsidP="00182B75">
      <w:pPr>
        <w:tabs>
          <w:tab w:val="right" w:pos="850"/>
          <w:tab w:val="left" w:pos="1134"/>
          <w:tab w:val="left" w:pos="1559"/>
          <w:tab w:val="left" w:pos="1984"/>
          <w:tab w:val="left" w:leader="dot" w:pos="7654"/>
          <w:tab w:val="right" w:pos="8929"/>
          <w:tab w:val="right" w:pos="9638"/>
        </w:tabs>
        <w:spacing w:after="120"/>
      </w:pPr>
      <w:r>
        <w:tab/>
      </w:r>
      <w:r>
        <w:tab/>
        <w:t>B.</w:t>
      </w:r>
      <w:r>
        <w:tab/>
      </w:r>
      <w:r>
        <w:rPr>
          <w:lang w:val="fr-FR"/>
        </w:rPr>
        <w:t>Propositions diverses</w:t>
      </w:r>
      <w:r>
        <w:tab/>
      </w:r>
      <w:r>
        <w:tab/>
      </w:r>
      <w:r w:rsidR="007A696A">
        <w:t>35</w:t>
      </w:r>
      <w:r w:rsidR="0060459E">
        <w:t>-44</w:t>
      </w:r>
      <w:r>
        <w:tab/>
      </w:r>
      <w:r w:rsidR="0060459E">
        <w:t>7</w:t>
      </w:r>
    </w:p>
    <w:p w14:paraId="647465D5" w14:textId="266A7794" w:rsidR="00182B75" w:rsidRDefault="00182B75" w:rsidP="00182B75">
      <w:pPr>
        <w:tabs>
          <w:tab w:val="right" w:pos="850"/>
          <w:tab w:val="left" w:pos="1134"/>
          <w:tab w:val="left" w:pos="1559"/>
          <w:tab w:val="left" w:pos="1984"/>
          <w:tab w:val="left" w:leader="dot" w:pos="7654"/>
          <w:tab w:val="right" w:pos="8929"/>
          <w:tab w:val="right" w:pos="9638"/>
        </w:tabs>
        <w:spacing w:after="120"/>
        <w:rPr>
          <w:lang w:eastAsia="fr-FR"/>
        </w:rPr>
      </w:pPr>
      <w:r>
        <w:tab/>
      </w:r>
      <w:r>
        <w:tab/>
      </w:r>
      <w:r>
        <w:tab/>
        <w:t>1.</w:t>
      </w:r>
      <w:r>
        <w:tab/>
      </w:r>
      <w:r w:rsidR="005A0683" w:rsidRPr="005A0683">
        <w:rPr>
          <w:rFonts w:eastAsiaTheme="minorHAnsi"/>
          <w:lang w:val="fr-FR" w:eastAsia="en-US"/>
        </w:rPr>
        <w:t>Corrections à la 22ème édition révisée du Règlement type</w:t>
      </w:r>
      <w:r>
        <w:rPr>
          <w:lang w:eastAsia="fr-FR"/>
        </w:rPr>
        <w:tab/>
      </w:r>
      <w:r>
        <w:rPr>
          <w:lang w:eastAsia="fr-FR"/>
        </w:rPr>
        <w:tab/>
      </w:r>
      <w:r w:rsidR="005A0683">
        <w:rPr>
          <w:lang w:eastAsia="fr-FR"/>
        </w:rPr>
        <w:t>35</w:t>
      </w:r>
      <w:r>
        <w:rPr>
          <w:lang w:eastAsia="fr-FR"/>
        </w:rPr>
        <w:tab/>
      </w:r>
      <w:r w:rsidR="005A0683">
        <w:rPr>
          <w:lang w:eastAsia="fr-FR"/>
        </w:rPr>
        <w:t>7</w:t>
      </w:r>
    </w:p>
    <w:p w14:paraId="60737CCF" w14:textId="65D0DAFA" w:rsidR="00182B75" w:rsidRDefault="00182B75" w:rsidP="00182B75">
      <w:pPr>
        <w:tabs>
          <w:tab w:val="right" w:pos="850"/>
          <w:tab w:val="left" w:pos="1134"/>
          <w:tab w:val="left" w:pos="1559"/>
          <w:tab w:val="left" w:pos="1984"/>
          <w:tab w:val="left" w:leader="dot" w:pos="7654"/>
          <w:tab w:val="right" w:pos="8929"/>
          <w:tab w:val="right" w:pos="9638"/>
        </w:tabs>
        <w:spacing w:after="120"/>
        <w:rPr>
          <w:lang w:eastAsia="fr-FR"/>
        </w:rPr>
      </w:pPr>
      <w:r>
        <w:rPr>
          <w:lang w:eastAsia="fr-FR"/>
        </w:rPr>
        <w:tab/>
      </w:r>
      <w:r>
        <w:rPr>
          <w:lang w:eastAsia="fr-FR"/>
        </w:rPr>
        <w:tab/>
      </w:r>
      <w:r>
        <w:rPr>
          <w:lang w:eastAsia="fr-FR"/>
        </w:rPr>
        <w:tab/>
        <w:t>2.</w:t>
      </w:r>
      <w:r>
        <w:rPr>
          <w:lang w:eastAsia="fr-FR"/>
        </w:rPr>
        <w:tab/>
      </w:r>
      <w:r w:rsidR="00AE627F" w:rsidRPr="00AE627F">
        <w:rPr>
          <w:rFonts w:eastAsiaTheme="minorHAnsi"/>
          <w:lang w:val="fr-FR" w:eastAsia="en-US"/>
        </w:rPr>
        <w:t xml:space="preserve">Référence au 5.4.2 du Code maritime international des </w:t>
      </w:r>
      <w:r w:rsidR="00AE627F" w:rsidRPr="00AE627F">
        <w:rPr>
          <w:rFonts w:eastAsiaTheme="minorHAnsi"/>
          <w:lang w:val="fr-FR" w:eastAsia="en-US"/>
        </w:rPr>
        <w:br/>
      </w:r>
      <w:r w:rsidR="00AE627F" w:rsidRPr="00AE627F">
        <w:rPr>
          <w:rFonts w:eastAsiaTheme="minorHAnsi"/>
          <w:lang w:val="fr-FR" w:eastAsia="en-US"/>
        </w:rPr>
        <w:tab/>
      </w:r>
      <w:r w:rsidR="00AE627F" w:rsidRPr="00AE627F">
        <w:rPr>
          <w:rFonts w:eastAsiaTheme="minorHAnsi"/>
          <w:lang w:val="fr-FR" w:eastAsia="en-US"/>
        </w:rPr>
        <w:tab/>
      </w:r>
      <w:r w:rsidR="00AE627F" w:rsidRPr="00AE627F">
        <w:rPr>
          <w:rFonts w:eastAsiaTheme="minorHAnsi"/>
          <w:lang w:val="fr-FR" w:eastAsia="en-US"/>
        </w:rPr>
        <w:tab/>
      </w:r>
      <w:r w:rsidR="00AE627F" w:rsidRPr="00AE627F">
        <w:rPr>
          <w:rFonts w:eastAsiaTheme="minorHAnsi"/>
          <w:lang w:val="fr-FR" w:eastAsia="en-US"/>
        </w:rPr>
        <w:tab/>
        <w:t>marchandises dangereuses (Code IMDG)</w:t>
      </w:r>
      <w:r>
        <w:rPr>
          <w:lang w:eastAsia="fr-FR"/>
        </w:rPr>
        <w:tab/>
      </w:r>
      <w:r>
        <w:rPr>
          <w:lang w:eastAsia="fr-FR"/>
        </w:rPr>
        <w:tab/>
      </w:r>
      <w:r w:rsidR="00AE627F">
        <w:rPr>
          <w:lang w:eastAsia="fr-FR"/>
        </w:rPr>
        <w:t>36</w:t>
      </w:r>
      <w:r>
        <w:rPr>
          <w:lang w:eastAsia="fr-FR"/>
        </w:rPr>
        <w:tab/>
      </w:r>
      <w:r w:rsidR="00AE627F">
        <w:rPr>
          <w:lang w:eastAsia="fr-FR"/>
        </w:rPr>
        <w:t>7</w:t>
      </w:r>
    </w:p>
    <w:p w14:paraId="498808A2" w14:textId="1A7DC529" w:rsidR="00182B75" w:rsidRDefault="00182B75" w:rsidP="00182B75">
      <w:pPr>
        <w:tabs>
          <w:tab w:val="right" w:pos="850"/>
          <w:tab w:val="left" w:pos="1134"/>
          <w:tab w:val="left" w:pos="1559"/>
          <w:tab w:val="left" w:pos="1984"/>
          <w:tab w:val="left" w:leader="dot" w:pos="7654"/>
          <w:tab w:val="right" w:pos="8929"/>
          <w:tab w:val="right" w:pos="9638"/>
        </w:tabs>
        <w:spacing w:after="120"/>
      </w:pPr>
      <w:r>
        <w:rPr>
          <w:lang w:eastAsia="fr-FR"/>
        </w:rPr>
        <w:tab/>
      </w:r>
      <w:r>
        <w:rPr>
          <w:lang w:eastAsia="fr-FR"/>
        </w:rPr>
        <w:tab/>
      </w:r>
      <w:r>
        <w:rPr>
          <w:lang w:eastAsia="fr-FR"/>
        </w:rPr>
        <w:tab/>
        <w:t>3.</w:t>
      </w:r>
      <w:r>
        <w:rPr>
          <w:lang w:eastAsia="fr-FR"/>
        </w:rPr>
        <w:tab/>
      </w:r>
      <w:r w:rsidR="00631FB1" w:rsidRPr="00631FB1">
        <w:rPr>
          <w:rFonts w:eastAsiaTheme="minorHAnsi"/>
          <w:lang w:val="fr-FR" w:eastAsia="en-US"/>
        </w:rPr>
        <w:t>Chapitres 8.4 et 8.5 : prescriptions relatives à la surveillance des véhicule</w:t>
      </w:r>
      <w:r w:rsidR="00631FB1">
        <w:rPr>
          <w:rFonts w:eastAsiaTheme="minorHAnsi"/>
          <w:lang w:val="fr-FR" w:eastAsia="en-US"/>
        </w:rPr>
        <w:t>s</w:t>
      </w:r>
      <w:r>
        <w:tab/>
      </w:r>
      <w:r w:rsidR="00631FB1">
        <w:t>37-</w:t>
      </w:r>
      <w:r w:rsidR="00FB1840">
        <w:t>39</w:t>
      </w:r>
      <w:r>
        <w:tab/>
      </w:r>
      <w:r w:rsidR="00FB1840">
        <w:t>8</w:t>
      </w:r>
    </w:p>
    <w:p w14:paraId="02C01D3A" w14:textId="1E35C112" w:rsidR="00182B75" w:rsidRDefault="00182B75" w:rsidP="00182B75">
      <w:pPr>
        <w:tabs>
          <w:tab w:val="right" w:pos="850"/>
          <w:tab w:val="left" w:pos="1134"/>
          <w:tab w:val="left" w:pos="1559"/>
          <w:tab w:val="left" w:pos="1984"/>
          <w:tab w:val="left" w:leader="dot" w:pos="7654"/>
          <w:tab w:val="right" w:pos="8929"/>
          <w:tab w:val="right" w:pos="9638"/>
        </w:tabs>
        <w:spacing w:after="120"/>
        <w:rPr>
          <w:lang w:eastAsia="fr-FR"/>
        </w:rPr>
      </w:pPr>
      <w:r>
        <w:tab/>
      </w:r>
      <w:r>
        <w:tab/>
      </w:r>
      <w:r>
        <w:tab/>
        <w:t>4.</w:t>
      </w:r>
      <w:r>
        <w:tab/>
      </w:r>
      <w:r w:rsidR="008748CE" w:rsidRPr="008748CE">
        <w:rPr>
          <w:rFonts w:eastAsiaTheme="minorHAnsi"/>
          <w:lang w:val="fr-FR" w:eastAsia="en-US"/>
        </w:rPr>
        <w:t xml:space="preserve">Inclusion des très grands conteneurs-citernes dans le modèle de rapport </w:t>
      </w:r>
      <w:r w:rsidR="008748CE">
        <w:rPr>
          <w:rFonts w:eastAsiaTheme="minorHAnsi"/>
          <w:lang w:val="fr-FR" w:eastAsia="en-US"/>
        </w:rPr>
        <w:br/>
      </w:r>
      <w:r w:rsidR="008748CE">
        <w:rPr>
          <w:rFonts w:eastAsiaTheme="minorHAnsi"/>
          <w:lang w:val="fr-FR" w:eastAsia="en-US"/>
        </w:rPr>
        <w:tab/>
      </w:r>
      <w:r w:rsidR="008748CE">
        <w:rPr>
          <w:rFonts w:eastAsiaTheme="minorHAnsi"/>
          <w:lang w:val="fr-FR" w:eastAsia="en-US"/>
        </w:rPr>
        <w:tab/>
      </w:r>
      <w:r w:rsidR="008748CE">
        <w:rPr>
          <w:rFonts w:eastAsiaTheme="minorHAnsi"/>
          <w:lang w:val="fr-FR" w:eastAsia="en-US"/>
        </w:rPr>
        <w:tab/>
      </w:r>
      <w:r w:rsidR="008748CE">
        <w:rPr>
          <w:rFonts w:eastAsiaTheme="minorHAnsi"/>
          <w:lang w:val="fr-FR" w:eastAsia="en-US"/>
        </w:rPr>
        <w:tab/>
      </w:r>
      <w:r w:rsidR="008748CE" w:rsidRPr="008748CE">
        <w:rPr>
          <w:rFonts w:eastAsiaTheme="minorHAnsi"/>
          <w:lang w:val="fr-FR" w:eastAsia="en-US"/>
        </w:rPr>
        <w:t>sur les événements survenus pendant le transport de marchandises dangereuses</w:t>
      </w:r>
      <w:r>
        <w:rPr>
          <w:lang w:eastAsia="fr-FR"/>
        </w:rPr>
        <w:tab/>
      </w:r>
      <w:r w:rsidR="000F0901">
        <w:rPr>
          <w:lang w:eastAsia="fr-FR"/>
        </w:rPr>
        <w:t>40</w:t>
      </w:r>
      <w:r>
        <w:rPr>
          <w:lang w:eastAsia="fr-FR"/>
        </w:rPr>
        <w:tab/>
      </w:r>
      <w:r w:rsidR="000F0901">
        <w:rPr>
          <w:lang w:eastAsia="fr-FR"/>
        </w:rPr>
        <w:t>8</w:t>
      </w:r>
    </w:p>
    <w:p w14:paraId="1F2DDC8A" w14:textId="22BC2A31" w:rsidR="00182B75" w:rsidRDefault="00182B75" w:rsidP="00182B75">
      <w:pPr>
        <w:tabs>
          <w:tab w:val="right" w:pos="850"/>
          <w:tab w:val="left" w:pos="1134"/>
          <w:tab w:val="left" w:pos="1559"/>
          <w:tab w:val="left" w:pos="1984"/>
          <w:tab w:val="left" w:leader="dot" w:pos="7654"/>
          <w:tab w:val="right" w:pos="8929"/>
          <w:tab w:val="right" w:pos="9638"/>
        </w:tabs>
        <w:spacing w:after="120"/>
        <w:rPr>
          <w:lang w:eastAsia="fr-FR"/>
        </w:rPr>
      </w:pPr>
      <w:r>
        <w:rPr>
          <w:lang w:eastAsia="fr-FR"/>
        </w:rPr>
        <w:tab/>
      </w:r>
      <w:r>
        <w:rPr>
          <w:lang w:eastAsia="fr-FR"/>
        </w:rPr>
        <w:tab/>
      </w:r>
      <w:r>
        <w:rPr>
          <w:lang w:eastAsia="fr-FR"/>
        </w:rPr>
        <w:tab/>
        <w:t>5.</w:t>
      </w:r>
      <w:r>
        <w:rPr>
          <w:lang w:eastAsia="fr-FR"/>
        </w:rPr>
        <w:tab/>
      </w:r>
      <w:r w:rsidR="0047089E" w:rsidRPr="0047089E">
        <w:rPr>
          <w:rFonts w:eastAsiaTheme="minorHAnsi"/>
          <w:lang w:val="fr-FR" w:eastAsia="en-US"/>
        </w:rPr>
        <w:t>Prescriptions relatives à la sûreté pour les marchandises dangereuses</w:t>
      </w:r>
      <w:r w:rsidR="0047089E" w:rsidRPr="0047089E">
        <w:rPr>
          <w:rFonts w:eastAsiaTheme="minorHAnsi"/>
          <w:lang w:val="fr-FR" w:eastAsia="en-US"/>
        </w:rPr>
        <w:br/>
      </w:r>
      <w:r w:rsidR="0047089E" w:rsidRPr="0047089E">
        <w:rPr>
          <w:rFonts w:eastAsiaTheme="minorHAnsi"/>
          <w:lang w:val="fr-FR" w:eastAsia="en-US"/>
        </w:rPr>
        <w:tab/>
      </w:r>
      <w:r w:rsidR="0047089E" w:rsidRPr="0047089E">
        <w:rPr>
          <w:rFonts w:eastAsiaTheme="minorHAnsi"/>
          <w:lang w:val="fr-FR" w:eastAsia="en-US"/>
        </w:rPr>
        <w:tab/>
      </w:r>
      <w:r w:rsidR="0047089E" w:rsidRPr="0047089E">
        <w:rPr>
          <w:rFonts w:eastAsiaTheme="minorHAnsi"/>
          <w:lang w:val="fr-FR" w:eastAsia="en-US"/>
        </w:rPr>
        <w:tab/>
      </w:r>
      <w:r w:rsidR="0047089E" w:rsidRPr="0047089E">
        <w:rPr>
          <w:rFonts w:eastAsiaTheme="minorHAnsi"/>
          <w:lang w:val="fr-FR" w:eastAsia="en-US"/>
        </w:rPr>
        <w:tab/>
        <w:t>transportées conformément au 1.1.3.6</w:t>
      </w:r>
      <w:r>
        <w:rPr>
          <w:lang w:eastAsia="fr-FR"/>
        </w:rPr>
        <w:tab/>
      </w:r>
      <w:r>
        <w:rPr>
          <w:lang w:eastAsia="fr-FR"/>
        </w:rPr>
        <w:tab/>
      </w:r>
      <w:r w:rsidR="0047089E">
        <w:rPr>
          <w:lang w:eastAsia="fr-FR"/>
        </w:rPr>
        <w:t>41-44</w:t>
      </w:r>
      <w:r>
        <w:rPr>
          <w:lang w:eastAsia="fr-FR"/>
        </w:rPr>
        <w:tab/>
      </w:r>
      <w:r w:rsidR="0047089E">
        <w:rPr>
          <w:lang w:eastAsia="fr-FR"/>
        </w:rPr>
        <w:t>8</w:t>
      </w:r>
    </w:p>
    <w:p w14:paraId="5188DE23" w14:textId="6367D32E" w:rsidR="00182B75" w:rsidRDefault="00182B75" w:rsidP="00182B75">
      <w:pPr>
        <w:tabs>
          <w:tab w:val="right" w:pos="850"/>
          <w:tab w:val="left" w:pos="1134"/>
          <w:tab w:val="left" w:pos="1559"/>
          <w:tab w:val="left" w:pos="1984"/>
          <w:tab w:val="left" w:leader="dot" w:pos="7654"/>
          <w:tab w:val="right" w:pos="8929"/>
          <w:tab w:val="right" w:pos="9638"/>
        </w:tabs>
        <w:spacing w:after="120"/>
      </w:pPr>
      <w:r>
        <w:tab/>
        <w:t>VII.</w:t>
      </w:r>
      <w:r>
        <w:tab/>
      </w:r>
      <w:r>
        <w:rPr>
          <w:lang w:val="fr-FR"/>
        </w:rPr>
        <w:t>Interprétation de l’ADR (point 6 de l’ordre du jour)</w:t>
      </w:r>
      <w:r>
        <w:tab/>
      </w:r>
      <w:r>
        <w:tab/>
      </w:r>
      <w:r w:rsidR="0047089E">
        <w:t>45</w:t>
      </w:r>
      <w:r w:rsidR="00274BE2">
        <w:t>-58</w:t>
      </w:r>
      <w:r>
        <w:tab/>
      </w:r>
      <w:r w:rsidR="00274BE2">
        <w:t>9</w:t>
      </w:r>
    </w:p>
    <w:p w14:paraId="3E28B5A3" w14:textId="6FE892CD" w:rsidR="00274BE2" w:rsidRDefault="00274BE2" w:rsidP="00274BE2">
      <w:pPr>
        <w:tabs>
          <w:tab w:val="right" w:pos="850"/>
          <w:tab w:val="left" w:pos="1134"/>
          <w:tab w:val="left" w:pos="1559"/>
          <w:tab w:val="left" w:pos="1984"/>
          <w:tab w:val="left" w:leader="dot" w:pos="7654"/>
          <w:tab w:val="right" w:pos="8929"/>
          <w:tab w:val="right" w:pos="9638"/>
        </w:tabs>
        <w:spacing w:after="120"/>
      </w:pPr>
      <w:r>
        <w:tab/>
      </w:r>
      <w:r>
        <w:tab/>
        <w:t>A.</w:t>
      </w:r>
      <w:r>
        <w:tab/>
      </w:r>
      <w:r w:rsidR="002D2955">
        <w:rPr>
          <w:rFonts w:eastAsiaTheme="minorHAnsi"/>
          <w:lang w:val="fr-FR" w:eastAsia="en-US"/>
        </w:rPr>
        <w:t>Formations ADR à distance</w:t>
      </w:r>
      <w:r>
        <w:tab/>
      </w:r>
      <w:r>
        <w:tab/>
      </w:r>
      <w:r w:rsidR="002D2955">
        <w:t>45-47</w:t>
      </w:r>
      <w:r>
        <w:tab/>
      </w:r>
      <w:r w:rsidR="002D2955">
        <w:t>9</w:t>
      </w:r>
    </w:p>
    <w:p w14:paraId="492ABFC9" w14:textId="61C659F5" w:rsidR="00786F85" w:rsidRDefault="00786F85" w:rsidP="00786F85">
      <w:pPr>
        <w:tabs>
          <w:tab w:val="right" w:pos="850"/>
          <w:tab w:val="left" w:pos="1134"/>
          <w:tab w:val="left" w:pos="1559"/>
          <w:tab w:val="left" w:pos="1984"/>
          <w:tab w:val="left" w:leader="dot" w:pos="7654"/>
          <w:tab w:val="right" w:pos="8929"/>
          <w:tab w:val="right" w:pos="9638"/>
        </w:tabs>
        <w:spacing w:after="120"/>
      </w:pPr>
      <w:r>
        <w:tab/>
      </w:r>
      <w:r>
        <w:tab/>
        <w:t>B.</w:t>
      </w:r>
      <w:r>
        <w:tab/>
      </w:r>
      <w:r>
        <w:rPr>
          <w:rFonts w:eastAsiaTheme="minorHAnsi"/>
          <w:lang w:val="fr-FR" w:eastAsia="en-US"/>
        </w:rPr>
        <w:t>Dispositions relatives à la sûreté</w:t>
      </w:r>
      <w:r>
        <w:tab/>
      </w:r>
      <w:r>
        <w:tab/>
        <w:t>48-51</w:t>
      </w:r>
      <w:r>
        <w:tab/>
        <w:t>9</w:t>
      </w:r>
    </w:p>
    <w:p w14:paraId="7D9145AC" w14:textId="629A3175" w:rsidR="00786F85" w:rsidRDefault="008141EA" w:rsidP="00274BE2">
      <w:pPr>
        <w:tabs>
          <w:tab w:val="right" w:pos="850"/>
          <w:tab w:val="left" w:pos="1134"/>
          <w:tab w:val="left" w:pos="1559"/>
          <w:tab w:val="left" w:pos="1984"/>
          <w:tab w:val="left" w:leader="dot" w:pos="7654"/>
          <w:tab w:val="right" w:pos="8929"/>
          <w:tab w:val="right" w:pos="9638"/>
        </w:tabs>
        <w:spacing w:after="120"/>
        <w:rPr>
          <w:rFonts w:eastAsiaTheme="minorHAnsi"/>
          <w:lang w:val="fr-FR" w:eastAsia="en-US"/>
        </w:rPr>
      </w:pPr>
      <w:r>
        <w:rPr>
          <w:rFonts w:eastAsiaTheme="minorHAnsi"/>
          <w:lang w:val="fr-FR" w:eastAsia="en-US"/>
        </w:rPr>
        <w:tab/>
      </w:r>
      <w:r>
        <w:rPr>
          <w:rFonts w:eastAsiaTheme="minorHAnsi"/>
          <w:lang w:val="fr-FR" w:eastAsia="en-US"/>
        </w:rPr>
        <w:tab/>
        <w:t>C</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Définition des véhicules couverts</w:t>
      </w:r>
      <w:r>
        <w:rPr>
          <w:rFonts w:eastAsiaTheme="minorHAnsi"/>
          <w:lang w:val="fr-FR" w:eastAsia="en-US"/>
        </w:rPr>
        <w:tab/>
      </w:r>
      <w:r>
        <w:rPr>
          <w:rFonts w:eastAsiaTheme="minorHAnsi"/>
          <w:lang w:val="fr-FR" w:eastAsia="en-US"/>
        </w:rPr>
        <w:tab/>
        <w:t>52</w:t>
      </w:r>
      <w:r>
        <w:rPr>
          <w:rFonts w:eastAsiaTheme="minorHAnsi"/>
          <w:lang w:val="fr-FR" w:eastAsia="en-US"/>
        </w:rPr>
        <w:tab/>
        <w:t>9</w:t>
      </w:r>
    </w:p>
    <w:p w14:paraId="49152752" w14:textId="6AA4A88F" w:rsidR="008141EA" w:rsidRDefault="005F5B25" w:rsidP="00274BE2">
      <w:pPr>
        <w:tabs>
          <w:tab w:val="right" w:pos="850"/>
          <w:tab w:val="left" w:pos="1134"/>
          <w:tab w:val="left" w:pos="1559"/>
          <w:tab w:val="left" w:pos="1984"/>
          <w:tab w:val="left" w:leader="dot" w:pos="7654"/>
          <w:tab w:val="right" w:pos="8929"/>
          <w:tab w:val="right" w:pos="9638"/>
        </w:tabs>
        <w:spacing w:after="120"/>
        <w:rPr>
          <w:rFonts w:eastAsiaTheme="minorHAnsi"/>
          <w:lang w:val="fr-FR" w:eastAsia="en-US"/>
        </w:rPr>
      </w:pPr>
      <w:r>
        <w:rPr>
          <w:rFonts w:eastAsiaTheme="minorHAnsi"/>
          <w:lang w:val="fr-FR" w:eastAsia="en-US"/>
        </w:rPr>
        <w:tab/>
      </w:r>
      <w:r>
        <w:rPr>
          <w:rFonts w:eastAsiaTheme="minorHAnsi"/>
          <w:lang w:val="fr-FR" w:eastAsia="en-US"/>
        </w:rPr>
        <w:tab/>
        <w:t>D</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Masse nette de matière explosible</w:t>
      </w:r>
      <w:r>
        <w:rPr>
          <w:rFonts w:eastAsiaTheme="minorHAnsi"/>
          <w:lang w:val="fr-FR" w:eastAsia="en-US"/>
        </w:rPr>
        <w:tab/>
      </w:r>
      <w:r>
        <w:rPr>
          <w:rFonts w:eastAsiaTheme="minorHAnsi"/>
          <w:lang w:val="fr-FR" w:eastAsia="en-US"/>
        </w:rPr>
        <w:tab/>
        <w:t>53-54</w:t>
      </w:r>
      <w:r>
        <w:rPr>
          <w:rFonts w:eastAsiaTheme="minorHAnsi"/>
          <w:lang w:val="fr-FR" w:eastAsia="en-US"/>
        </w:rPr>
        <w:tab/>
        <w:t>10</w:t>
      </w:r>
    </w:p>
    <w:p w14:paraId="3153403A" w14:textId="2A230CE9" w:rsidR="005F5B25" w:rsidRDefault="00B00361" w:rsidP="00274BE2">
      <w:pPr>
        <w:tabs>
          <w:tab w:val="right" w:pos="850"/>
          <w:tab w:val="left" w:pos="1134"/>
          <w:tab w:val="left" w:pos="1559"/>
          <w:tab w:val="left" w:pos="1984"/>
          <w:tab w:val="left" w:leader="dot" w:pos="7654"/>
          <w:tab w:val="right" w:pos="8929"/>
          <w:tab w:val="right" w:pos="9638"/>
        </w:tabs>
        <w:spacing w:after="120"/>
        <w:rPr>
          <w:rFonts w:eastAsiaTheme="minorHAnsi"/>
          <w:lang w:val="fr-FR" w:eastAsia="en-US"/>
        </w:rPr>
      </w:pPr>
      <w:r>
        <w:rPr>
          <w:rFonts w:eastAsiaTheme="minorHAnsi"/>
          <w:lang w:val="fr-FR" w:eastAsia="en-US"/>
        </w:rPr>
        <w:tab/>
      </w:r>
      <w:r>
        <w:rPr>
          <w:rFonts w:eastAsiaTheme="minorHAnsi"/>
          <w:lang w:val="fr-FR" w:eastAsia="en-US"/>
        </w:rPr>
        <w:tab/>
        <w:t>E</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Certificat d’agrément ADR pour les véhicules</w:t>
      </w:r>
      <w:r>
        <w:rPr>
          <w:rFonts w:eastAsiaTheme="minorHAnsi"/>
          <w:lang w:val="fr-FR" w:eastAsia="en-US"/>
        </w:rPr>
        <w:tab/>
      </w:r>
      <w:r>
        <w:rPr>
          <w:rFonts w:eastAsiaTheme="minorHAnsi"/>
          <w:lang w:val="fr-FR" w:eastAsia="en-US"/>
        </w:rPr>
        <w:tab/>
        <w:t>55-58</w:t>
      </w:r>
      <w:r>
        <w:rPr>
          <w:rFonts w:eastAsiaTheme="minorHAnsi"/>
          <w:lang w:val="fr-FR" w:eastAsia="en-US"/>
        </w:rPr>
        <w:tab/>
        <w:t>10</w:t>
      </w:r>
    </w:p>
    <w:p w14:paraId="60A5A807" w14:textId="5062514D" w:rsidR="00182B75" w:rsidRDefault="00182B75" w:rsidP="00B00361">
      <w:pPr>
        <w:tabs>
          <w:tab w:val="right" w:pos="850"/>
          <w:tab w:val="left" w:pos="1134"/>
          <w:tab w:val="left" w:pos="1559"/>
          <w:tab w:val="left" w:pos="1984"/>
          <w:tab w:val="left" w:leader="dot" w:pos="7654"/>
          <w:tab w:val="right" w:pos="8929"/>
          <w:tab w:val="right" w:pos="9638"/>
        </w:tabs>
        <w:spacing w:after="120"/>
        <w:rPr>
          <w:lang w:val="fr-FR"/>
        </w:rPr>
      </w:pPr>
      <w:r>
        <w:tab/>
        <w:t>VIII.</w:t>
      </w:r>
      <w:r>
        <w:tab/>
      </w:r>
      <w:r>
        <w:rPr>
          <w:lang w:val="fr-FR"/>
        </w:rPr>
        <w:t>Programme de travail (point 7 de l’ordre du jour)</w:t>
      </w:r>
      <w:r>
        <w:rPr>
          <w:lang w:val="fr-FR"/>
        </w:rPr>
        <w:tab/>
      </w:r>
      <w:r>
        <w:rPr>
          <w:lang w:val="fr-FR"/>
        </w:rPr>
        <w:tab/>
      </w:r>
      <w:r w:rsidR="00B00361">
        <w:rPr>
          <w:lang w:val="fr-FR"/>
        </w:rPr>
        <w:t>59</w:t>
      </w:r>
      <w:r w:rsidR="00B00361">
        <w:rPr>
          <w:lang w:val="fr-FR"/>
        </w:rPr>
        <w:tab/>
        <w:t>10</w:t>
      </w:r>
    </w:p>
    <w:p w14:paraId="4E2BF8B9" w14:textId="3589E239" w:rsidR="00182B75" w:rsidRDefault="00182B75" w:rsidP="00182B75">
      <w:pPr>
        <w:tabs>
          <w:tab w:val="right" w:pos="850"/>
          <w:tab w:val="left" w:pos="1134"/>
          <w:tab w:val="left" w:pos="1559"/>
          <w:tab w:val="left" w:pos="1984"/>
          <w:tab w:val="left" w:leader="dot" w:pos="7654"/>
          <w:tab w:val="right" w:pos="8929"/>
          <w:tab w:val="right" w:pos="9638"/>
        </w:tabs>
        <w:spacing w:after="120"/>
      </w:pPr>
      <w:r>
        <w:rPr>
          <w:lang w:val="fr-FR"/>
        </w:rPr>
        <w:tab/>
        <w:t>IX.</w:t>
      </w:r>
      <w:r>
        <w:rPr>
          <w:lang w:val="fr-FR"/>
        </w:rPr>
        <w:tab/>
        <w:t>Questions diverses (point 8 de l’ordre du jour)</w:t>
      </w:r>
      <w:r>
        <w:rPr>
          <w:lang w:val="fr-FR"/>
        </w:rPr>
        <w:tab/>
      </w:r>
      <w:r>
        <w:tab/>
      </w:r>
      <w:r w:rsidR="00B00361">
        <w:t>60-71</w:t>
      </w:r>
      <w:r>
        <w:tab/>
        <w:t>10</w:t>
      </w:r>
    </w:p>
    <w:p w14:paraId="07F1A56E" w14:textId="683BB9C4" w:rsidR="00182B75" w:rsidRDefault="00182B75" w:rsidP="00182B75">
      <w:pPr>
        <w:tabs>
          <w:tab w:val="right" w:pos="850"/>
          <w:tab w:val="left" w:pos="1134"/>
          <w:tab w:val="left" w:pos="1559"/>
          <w:tab w:val="left" w:pos="1984"/>
          <w:tab w:val="left" w:leader="dot" w:pos="7654"/>
          <w:tab w:val="right" w:pos="8929"/>
          <w:tab w:val="right" w:pos="9638"/>
        </w:tabs>
        <w:spacing w:after="120"/>
      </w:pPr>
      <w:r>
        <w:tab/>
      </w:r>
      <w:r>
        <w:tab/>
        <w:t>A.</w:t>
      </w:r>
      <w:r>
        <w:tab/>
      </w:r>
      <w:r w:rsidR="000E3753" w:rsidRPr="00355253">
        <w:t>Économie circulaire et utilisation durable des ressources naturelles</w:t>
      </w:r>
      <w:r>
        <w:tab/>
      </w:r>
      <w:r>
        <w:tab/>
      </w:r>
      <w:r w:rsidR="004D4DA5">
        <w:t>60-61</w:t>
      </w:r>
      <w:r>
        <w:tab/>
        <w:t>10</w:t>
      </w:r>
    </w:p>
    <w:p w14:paraId="497E8562" w14:textId="47030C4B" w:rsidR="00F6387F" w:rsidRDefault="00F6387F" w:rsidP="00182B75">
      <w:pPr>
        <w:tabs>
          <w:tab w:val="right" w:pos="850"/>
          <w:tab w:val="left" w:pos="1134"/>
          <w:tab w:val="left" w:pos="1559"/>
          <w:tab w:val="left" w:pos="1984"/>
          <w:tab w:val="left" w:leader="dot" w:pos="7654"/>
          <w:tab w:val="right" w:pos="8929"/>
          <w:tab w:val="right" w:pos="9638"/>
        </w:tabs>
        <w:spacing w:after="120"/>
      </w:pPr>
      <w:r>
        <w:tab/>
      </w:r>
      <w:r>
        <w:tab/>
        <w:t>B</w:t>
      </w:r>
      <w:r w:rsidRPr="002743E8">
        <w:t>.</w:t>
      </w:r>
      <w:r w:rsidRPr="002743E8">
        <w:tab/>
      </w:r>
      <w:r>
        <w:t>Autres questions</w:t>
      </w:r>
      <w:r>
        <w:tab/>
      </w:r>
      <w:r>
        <w:tab/>
        <w:t>62-71</w:t>
      </w:r>
      <w:r>
        <w:tab/>
        <w:t>11</w:t>
      </w:r>
    </w:p>
    <w:p w14:paraId="7D2171A6" w14:textId="73A291A0" w:rsidR="00F6387F" w:rsidRDefault="00AF7312" w:rsidP="00182B75">
      <w:pPr>
        <w:tabs>
          <w:tab w:val="right" w:pos="850"/>
          <w:tab w:val="left" w:pos="1134"/>
          <w:tab w:val="left" w:pos="1559"/>
          <w:tab w:val="left" w:pos="1984"/>
          <w:tab w:val="left" w:leader="dot" w:pos="7654"/>
          <w:tab w:val="right" w:pos="8929"/>
          <w:tab w:val="right" w:pos="9638"/>
        </w:tabs>
        <w:spacing w:after="120"/>
      </w:pPr>
      <w:r>
        <w:tab/>
      </w:r>
      <w:r>
        <w:tab/>
      </w:r>
      <w:r>
        <w:tab/>
      </w:r>
      <w:r w:rsidRPr="00AF7312">
        <w:t>1.</w:t>
      </w:r>
      <w:r w:rsidRPr="00AF7312">
        <w:tab/>
        <w:t>Tableau B de l’ADR</w:t>
      </w:r>
      <w:r>
        <w:tab/>
      </w:r>
      <w:r>
        <w:tab/>
        <w:t>62</w:t>
      </w:r>
      <w:r>
        <w:tab/>
        <w:t>11</w:t>
      </w:r>
    </w:p>
    <w:p w14:paraId="703E96C0" w14:textId="3D34C024" w:rsidR="00AF7312" w:rsidRDefault="00A60E10" w:rsidP="00182B75">
      <w:pPr>
        <w:tabs>
          <w:tab w:val="right" w:pos="850"/>
          <w:tab w:val="left" w:pos="1134"/>
          <w:tab w:val="left" w:pos="1559"/>
          <w:tab w:val="left" w:pos="1984"/>
          <w:tab w:val="left" w:leader="dot" w:pos="7654"/>
          <w:tab w:val="right" w:pos="8929"/>
          <w:tab w:val="right" w:pos="9638"/>
        </w:tabs>
        <w:spacing w:after="120"/>
      </w:pPr>
      <w:r>
        <w:tab/>
      </w:r>
      <w:r>
        <w:tab/>
      </w:r>
      <w:r>
        <w:tab/>
      </w:r>
      <w:r w:rsidRPr="00A60E10">
        <w:t>2.</w:t>
      </w:r>
      <w:r w:rsidRPr="00A60E10">
        <w:tab/>
        <w:t>Amendements pour l’édition 2023 de l’ADR</w:t>
      </w:r>
      <w:r>
        <w:tab/>
      </w:r>
      <w:r>
        <w:tab/>
        <w:t>63-64</w:t>
      </w:r>
      <w:r>
        <w:tab/>
        <w:t>11</w:t>
      </w:r>
    </w:p>
    <w:p w14:paraId="660710DA" w14:textId="02CC01B1" w:rsidR="00A60E10" w:rsidRDefault="00AC40F6" w:rsidP="00182B75">
      <w:pPr>
        <w:tabs>
          <w:tab w:val="right" w:pos="850"/>
          <w:tab w:val="left" w:pos="1134"/>
          <w:tab w:val="left" w:pos="1559"/>
          <w:tab w:val="left" w:pos="1984"/>
          <w:tab w:val="left" w:leader="dot" w:pos="7654"/>
          <w:tab w:val="right" w:pos="8929"/>
          <w:tab w:val="right" w:pos="9638"/>
        </w:tabs>
        <w:spacing w:after="120"/>
      </w:pPr>
      <w:r>
        <w:tab/>
      </w:r>
      <w:r>
        <w:tab/>
      </w:r>
      <w:r>
        <w:tab/>
        <w:t>3.</w:t>
      </w:r>
      <w:r w:rsidRPr="00355253">
        <w:tab/>
      </w:r>
      <w:r>
        <w:t>Certificats de formation ADR de conducteur</w:t>
      </w:r>
      <w:r>
        <w:tab/>
      </w:r>
      <w:r>
        <w:tab/>
        <w:t>65-66</w:t>
      </w:r>
      <w:r>
        <w:tab/>
        <w:t>11</w:t>
      </w:r>
    </w:p>
    <w:p w14:paraId="5834A8B1" w14:textId="5D633E81" w:rsidR="00AC40F6" w:rsidRDefault="00D93DF8" w:rsidP="00182B75">
      <w:pPr>
        <w:tabs>
          <w:tab w:val="right" w:pos="850"/>
          <w:tab w:val="left" w:pos="1134"/>
          <w:tab w:val="left" w:pos="1559"/>
          <w:tab w:val="left" w:pos="1984"/>
          <w:tab w:val="left" w:leader="dot" w:pos="7654"/>
          <w:tab w:val="right" w:pos="8929"/>
          <w:tab w:val="right" w:pos="9638"/>
        </w:tabs>
        <w:spacing w:after="120"/>
      </w:pPr>
      <w:r>
        <w:tab/>
      </w:r>
      <w:r>
        <w:tab/>
      </w:r>
      <w:r>
        <w:tab/>
        <w:t>4.</w:t>
      </w:r>
      <w:r w:rsidRPr="00355253">
        <w:tab/>
      </w:r>
      <w:r>
        <w:t>Transport Community</w:t>
      </w:r>
      <w:r>
        <w:tab/>
      </w:r>
      <w:r>
        <w:tab/>
        <w:t>67</w:t>
      </w:r>
      <w:r>
        <w:tab/>
        <w:t>11</w:t>
      </w:r>
    </w:p>
    <w:p w14:paraId="16B74B0E" w14:textId="53078E8C" w:rsidR="00D93DF8" w:rsidRDefault="00202C74" w:rsidP="00182B75">
      <w:pPr>
        <w:tabs>
          <w:tab w:val="right" w:pos="850"/>
          <w:tab w:val="left" w:pos="1134"/>
          <w:tab w:val="left" w:pos="1559"/>
          <w:tab w:val="left" w:pos="1984"/>
          <w:tab w:val="left" w:leader="dot" w:pos="7654"/>
          <w:tab w:val="right" w:pos="8929"/>
          <w:tab w:val="right" w:pos="9638"/>
        </w:tabs>
        <w:spacing w:after="120"/>
      </w:pPr>
      <w:r>
        <w:tab/>
      </w:r>
      <w:r>
        <w:tab/>
      </w:r>
      <w:r>
        <w:tab/>
        <w:t>5.</w:t>
      </w:r>
      <w:r w:rsidRPr="00355253">
        <w:tab/>
      </w:r>
      <w:r>
        <w:t>Hommages</w:t>
      </w:r>
      <w:r>
        <w:tab/>
      </w:r>
      <w:r>
        <w:tab/>
        <w:t>68-70</w:t>
      </w:r>
      <w:r>
        <w:tab/>
        <w:t>11</w:t>
      </w:r>
    </w:p>
    <w:p w14:paraId="3285E883" w14:textId="034199CE" w:rsidR="00202C74" w:rsidRDefault="007C0292" w:rsidP="00182B75">
      <w:pPr>
        <w:tabs>
          <w:tab w:val="right" w:pos="850"/>
          <w:tab w:val="left" w:pos="1134"/>
          <w:tab w:val="left" w:pos="1559"/>
          <w:tab w:val="left" w:pos="1984"/>
          <w:tab w:val="left" w:leader="dot" w:pos="7654"/>
          <w:tab w:val="right" w:pos="8929"/>
          <w:tab w:val="right" w:pos="9638"/>
        </w:tabs>
        <w:spacing w:after="120"/>
      </w:pPr>
      <w:r>
        <w:tab/>
      </w:r>
      <w:r>
        <w:tab/>
      </w:r>
      <w:r>
        <w:tab/>
        <w:t>6.</w:t>
      </w:r>
      <w:r w:rsidRPr="00355253">
        <w:tab/>
      </w:r>
      <w:r>
        <w:rPr>
          <w:lang w:val="fr-FR"/>
        </w:rPr>
        <w:t>Indicateurs de connectivité pour des transports intérieurs durables (SITCIN)</w:t>
      </w:r>
      <w:r>
        <w:rPr>
          <w:lang w:val="fr-FR"/>
        </w:rPr>
        <w:tab/>
        <w:t>71</w:t>
      </w:r>
      <w:r>
        <w:rPr>
          <w:lang w:val="fr-FR"/>
        </w:rPr>
        <w:tab/>
        <w:t>12</w:t>
      </w:r>
    </w:p>
    <w:p w14:paraId="08F72008" w14:textId="1CFA1878" w:rsidR="00182B75" w:rsidRDefault="00182B75" w:rsidP="00182B75">
      <w:pPr>
        <w:tabs>
          <w:tab w:val="right" w:pos="850"/>
          <w:tab w:val="left" w:pos="1134"/>
          <w:tab w:val="left" w:pos="1559"/>
          <w:tab w:val="left" w:pos="1984"/>
          <w:tab w:val="left" w:leader="dot" w:pos="7654"/>
          <w:tab w:val="right" w:pos="8929"/>
          <w:tab w:val="right" w:pos="9638"/>
        </w:tabs>
        <w:spacing w:after="120"/>
      </w:pPr>
      <w:r>
        <w:tab/>
        <w:t>X.</w:t>
      </w:r>
      <w:r>
        <w:tab/>
      </w:r>
      <w:r>
        <w:rPr>
          <w:lang w:val="fr-FR"/>
        </w:rPr>
        <w:t xml:space="preserve">Adoption du rapport (point </w:t>
      </w:r>
      <w:r w:rsidR="00254380">
        <w:rPr>
          <w:lang w:val="fr-FR"/>
        </w:rPr>
        <w:t>9</w:t>
      </w:r>
      <w:r>
        <w:rPr>
          <w:lang w:val="fr-FR"/>
        </w:rPr>
        <w:t xml:space="preserve"> de l’ordre du jour)</w:t>
      </w:r>
      <w:r>
        <w:tab/>
      </w:r>
      <w:r>
        <w:tab/>
      </w:r>
      <w:r w:rsidR="00254380">
        <w:t>72-74</w:t>
      </w:r>
      <w:r>
        <w:tab/>
        <w:t>1</w:t>
      </w:r>
      <w:r w:rsidR="00254380">
        <w:t>2</w:t>
      </w:r>
    </w:p>
    <w:p w14:paraId="0B948E07" w14:textId="77777777" w:rsidR="00182B75" w:rsidRDefault="00182B75" w:rsidP="00182B75">
      <w:pPr>
        <w:tabs>
          <w:tab w:val="right" w:pos="850"/>
          <w:tab w:val="left" w:pos="1134"/>
          <w:tab w:val="left" w:pos="1559"/>
          <w:tab w:val="left" w:pos="1984"/>
          <w:tab w:val="left" w:leader="dot" w:pos="8787"/>
          <w:tab w:val="right" w:pos="9638"/>
        </w:tabs>
        <w:spacing w:after="120"/>
      </w:pPr>
      <w:r>
        <w:tab/>
        <w:t>Annexes</w:t>
      </w:r>
    </w:p>
    <w:p w14:paraId="5D196215" w14:textId="4F10318A" w:rsidR="00182B75" w:rsidRDefault="00182B75" w:rsidP="00182B75">
      <w:pPr>
        <w:tabs>
          <w:tab w:val="right" w:pos="850"/>
          <w:tab w:val="left" w:pos="1134"/>
          <w:tab w:val="left" w:pos="1559"/>
          <w:tab w:val="left" w:pos="1984"/>
          <w:tab w:val="left" w:leader="dot" w:pos="8787"/>
          <w:tab w:val="right" w:pos="9638"/>
        </w:tabs>
        <w:spacing w:after="120"/>
      </w:pPr>
      <w:r>
        <w:tab/>
        <w:t>I.</w:t>
      </w:r>
      <w:r>
        <w:tab/>
      </w:r>
      <w:r>
        <w:rPr>
          <w:lang w:val="fr-FR"/>
        </w:rPr>
        <w:t xml:space="preserve">Projet d’amendements à l’annexe A et B de l’ADR pour entrée en vigueur </w:t>
      </w:r>
      <w:r>
        <w:rPr>
          <w:lang w:val="fr-FR"/>
        </w:rPr>
        <w:br/>
      </w:r>
      <w:r>
        <w:rPr>
          <w:lang w:val="fr-FR"/>
        </w:rPr>
        <w:tab/>
      </w:r>
      <w:r>
        <w:rPr>
          <w:lang w:val="fr-FR"/>
        </w:rPr>
        <w:tab/>
        <w:t>le 1er janvier 2023</w:t>
      </w:r>
      <w:r>
        <w:tab/>
      </w:r>
      <w:r>
        <w:tab/>
        <w:t>1</w:t>
      </w:r>
      <w:r w:rsidR="00254380">
        <w:t>3</w:t>
      </w:r>
    </w:p>
    <w:p w14:paraId="31D49AAB" w14:textId="18287CE8" w:rsidR="00182B75" w:rsidRDefault="00182B75" w:rsidP="00182B75">
      <w:pPr>
        <w:tabs>
          <w:tab w:val="right" w:pos="850"/>
          <w:tab w:val="left" w:pos="1134"/>
          <w:tab w:val="left" w:pos="1559"/>
          <w:tab w:val="left" w:pos="1984"/>
          <w:tab w:val="left" w:leader="dot" w:pos="8787"/>
          <w:tab w:val="right" w:pos="9638"/>
        </w:tabs>
        <w:spacing w:after="120"/>
      </w:pPr>
      <w:r>
        <w:tab/>
        <w:t>II.</w:t>
      </w:r>
      <w:r>
        <w:tab/>
      </w:r>
      <w:r w:rsidR="00DC3D97">
        <w:rPr>
          <w:lang w:val="fr-FR"/>
        </w:rPr>
        <w:t xml:space="preserve">Projet d’amendements à l’annexe A et B de l’ADR pour entrée en vigueur </w:t>
      </w:r>
      <w:r w:rsidR="00DC3D97">
        <w:rPr>
          <w:lang w:val="fr-FR"/>
        </w:rPr>
        <w:br/>
      </w:r>
      <w:r w:rsidR="00DC3D97">
        <w:rPr>
          <w:lang w:val="fr-FR"/>
        </w:rPr>
        <w:tab/>
      </w:r>
      <w:r w:rsidR="00DC3D97">
        <w:rPr>
          <w:lang w:val="fr-FR"/>
        </w:rPr>
        <w:tab/>
        <w:t>le 1er janvier 2025</w:t>
      </w:r>
      <w:r>
        <w:tab/>
      </w:r>
      <w:r>
        <w:tab/>
        <w:t>1</w:t>
      </w:r>
      <w:r w:rsidR="00DC3D97">
        <w:t>4</w:t>
      </w:r>
    </w:p>
    <w:p w14:paraId="443E6032" w14:textId="77777777" w:rsidR="00182B75" w:rsidRDefault="00182B75" w:rsidP="00182B75">
      <w:pPr>
        <w:tabs>
          <w:tab w:val="right" w:pos="850"/>
          <w:tab w:val="left" w:pos="1134"/>
          <w:tab w:val="left" w:pos="1559"/>
          <w:tab w:val="left" w:pos="1984"/>
          <w:tab w:val="left" w:leader="dot" w:pos="7654"/>
          <w:tab w:val="right" w:pos="8929"/>
          <w:tab w:val="right" w:pos="9638"/>
        </w:tabs>
        <w:spacing w:after="120"/>
      </w:pPr>
    </w:p>
    <w:p w14:paraId="27FD4258" w14:textId="77777777" w:rsidR="00182B75" w:rsidRDefault="00182B75" w:rsidP="00182B75">
      <w:pPr>
        <w:rPr>
          <w:lang w:val="fr-FR"/>
        </w:rPr>
      </w:pPr>
    </w:p>
    <w:p w14:paraId="14033AD4" w14:textId="77777777" w:rsidR="00413337" w:rsidRPr="00ED4CEA" w:rsidRDefault="00413337" w:rsidP="006E5E26">
      <w:pPr>
        <w:tabs>
          <w:tab w:val="right" w:pos="850"/>
          <w:tab w:val="left" w:pos="1134"/>
          <w:tab w:val="left" w:pos="1559"/>
          <w:tab w:val="left" w:pos="1984"/>
          <w:tab w:val="left" w:leader="dot" w:pos="7654"/>
          <w:tab w:val="right" w:pos="8929"/>
          <w:tab w:val="right" w:pos="9638"/>
        </w:tabs>
        <w:spacing w:after="120"/>
      </w:pPr>
    </w:p>
    <w:p w14:paraId="5DC1F2E8" w14:textId="5AF4920F" w:rsidR="00413337" w:rsidRDefault="00413337">
      <w:pPr>
        <w:suppressAutoHyphens w:val="0"/>
        <w:kinsoku/>
        <w:overflowPunct/>
        <w:autoSpaceDE/>
        <w:autoSpaceDN/>
        <w:adjustRightInd/>
        <w:snapToGrid/>
        <w:spacing w:after="200" w:line="276" w:lineRule="auto"/>
      </w:pPr>
      <w:r>
        <w:br w:type="page"/>
      </w:r>
    </w:p>
    <w:p w14:paraId="6782D6F3" w14:textId="77777777" w:rsidR="00E83179" w:rsidRPr="00907070" w:rsidRDefault="00E83179" w:rsidP="00E83179">
      <w:pPr>
        <w:keepNext/>
        <w:keepLines/>
        <w:tabs>
          <w:tab w:val="right" w:pos="851"/>
        </w:tabs>
        <w:spacing w:before="360" w:after="240" w:line="300" w:lineRule="exact"/>
        <w:ind w:left="1134" w:right="1134" w:hanging="1134"/>
        <w:rPr>
          <w:b/>
          <w:sz w:val="28"/>
          <w:lang w:val="fr-FR"/>
        </w:rPr>
      </w:pPr>
      <w:r w:rsidRPr="00907070">
        <w:rPr>
          <w:b/>
          <w:sz w:val="28"/>
          <w:lang w:val="fr-FR"/>
        </w:rPr>
        <w:lastRenderedPageBreak/>
        <w:tab/>
        <w:t>I.</w:t>
      </w:r>
      <w:r w:rsidRPr="00907070">
        <w:rPr>
          <w:b/>
          <w:sz w:val="28"/>
          <w:lang w:val="fr-FR"/>
        </w:rPr>
        <w:tab/>
        <w:t>Questions d’organisation et participation</w:t>
      </w:r>
    </w:p>
    <w:p w14:paraId="217D1B4B" w14:textId="77777777" w:rsidR="00E83179" w:rsidRPr="00907070" w:rsidRDefault="00E83179" w:rsidP="00E83179">
      <w:pPr>
        <w:spacing w:after="120"/>
        <w:ind w:left="1134" w:right="1134"/>
        <w:jc w:val="both"/>
        <w:rPr>
          <w:lang w:val="fr-FR"/>
        </w:rPr>
      </w:pPr>
      <w:r w:rsidRPr="00907070">
        <w:rPr>
          <w:lang w:val="fr-FR"/>
        </w:rPr>
        <w:t>1.</w:t>
      </w:r>
      <w:r w:rsidRPr="00907070">
        <w:rPr>
          <w:lang w:val="fr-FR"/>
        </w:rPr>
        <w:tab/>
        <w:t>Le Groupe de travail des transports de marchandises dangereuses a tenu sa 11</w:t>
      </w:r>
      <w:r>
        <w:rPr>
          <w:lang w:val="fr-FR"/>
        </w:rPr>
        <w:t>1</w:t>
      </w:r>
      <w:r w:rsidRPr="00907070">
        <w:rPr>
          <w:lang w:val="fr-FR"/>
        </w:rPr>
        <w:t xml:space="preserve">e session du </w:t>
      </w:r>
      <w:r>
        <w:rPr>
          <w:lang w:val="fr-FR"/>
        </w:rPr>
        <w:t>9</w:t>
      </w:r>
      <w:r w:rsidRPr="00907070">
        <w:rPr>
          <w:lang w:val="fr-FR"/>
        </w:rPr>
        <w:t xml:space="preserve"> au 1</w:t>
      </w:r>
      <w:r>
        <w:rPr>
          <w:lang w:val="fr-FR"/>
        </w:rPr>
        <w:t>3</w:t>
      </w:r>
      <w:r w:rsidRPr="00907070">
        <w:rPr>
          <w:lang w:val="fr-FR"/>
        </w:rPr>
        <w:t xml:space="preserve"> </w:t>
      </w:r>
      <w:r>
        <w:rPr>
          <w:lang w:val="fr-FR"/>
        </w:rPr>
        <w:t>mai</w:t>
      </w:r>
      <w:r w:rsidRPr="00907070">
        <w:rPr>
          <w:lang w:val="fr-FR"/>
        </w:rPr>
        <w:t xml:space="preserve"> 202</w:t>
      </w:r>
      <w:r>
        <w:rPr>
          <w:lang w:val="fr-FR"/>
        </w:rPr>
        <w:t>2</w:t>
      </w:r>
      <w:r w:rsidRPr="00907070">
        <w:rPr>
          <w:lang w:val="fr-FR"/>
        </w:rPr>
        <w:t xml:space="preserve"> sous la présidence de M</w:t>
      </w:r>
      <w:r w:rsidRPr="00907070">
        <w:rPr>
          <w:vertAlign w:val="superscript"/>
          <w:lang w:val="fr-FR"/>
        </w:rPr>
        <w:t>me</w:t>
      </w:r>
      <w:r w:rsidRPr="00907070">
        <w:rPr>
          <w:lang w:val="fr-FR"/>
        </w:rPr>
        <w:t> A. Roumier (France) et la vice-présidence de M. A. Simoni (Italie).</w:t>
      </w:r>
    </w:p>
    <w:p w14:paraId="578CDF1E" w14:textId="77777777" w:rsidR="00E83179" w:rsidRPr="00907070" w:rsidRDefault="00E83179" w:rsidP="00E83179">
      <w:pPr>
        <w:keepNext/>
        <w:keepLines/>
        <w:tabs>
          <w:tab w:val="right" w:pos="851"/>
        </w:tabs>
        <w:spacing w:before="360" w:after="240" w:line="270" w:lineRule="exact"/>
        <w:ind w:left="1134" w:right="1134" w:hanging="1134"/>
        <w:rPr>
          <w:b/>
          <w:sz w:val="24"/>
          <w:lang w:val="fr-FR"/>
        </w:rPr>
      </w:pPr>
      <w:r w:rsidRPr="00907070">
        <w:rPr>
          <w:b/>
          <w:sz w:val="24"/>
          <w:lang w:val="fr-FR"/>
        </w:rPr>
        <w:tab/>
        <w:t>A.</w:t>
      </w:r>
      <w:r w:rsidRPr="00907070">
        <w:rPr>
          <w:b/>
          <w:sz w:val="24"/>
          <w:lang w:val="fr-FR"/>
        </w:rPr>
        <w:tab/>
        <w:t>Questions d’organisation</w:t>
      </w:r>
    </w:p>
    <w:p w14:paraId="525857B1" w14:textId="77777777" w:rsidR="00E83179" w:rsidRPr="00924BCC" w:rsidRDefault="00E83179" w:rsidP="00E83179">
      <w:pPr>
        <w:spacing w:after="120"/>
        <w:ind w:left="1134" w:right="1134"/>
        <w:jc w:val="both"/>
        <w:rPr>
          <w:rFonts w:eastAsiaTheme="minorHAnsi"/>
          <w:lang w:eastAsia="en-US"/>
        </w:rPr>
      </w:pPr>
      <w:r>
        <w:rPr>
          <w:rFonts w:eastAsiaTheme="minorHAnsi"/>
          <w:lang w:val="fr-FR" w:eastAsia="en-US"/>
        </w:rPr>
        <w:t>2</w:t>
      </w:r>
      <w:r w:rsidRPr="00924BCC">
        <w:rPr>
          <w:rFonts w:eastAsiaTheme="minorHAnsi"/>
          <w:lang w:val="fr-FR" w:eastAsia="en-US"/>
        </w:rPr>
        <w:t>.</w:t>
      </w:r>
      <w:r w:rsidRPr="00924BCC">
        <w:rPr>
          <w:rFonts w:eastAsiaTheme="minorHAnsi"/>
          <w:lang w:val="fr-FR" w:eastAsia="en-US"/>
        </w:rPr>
        <w:tab/>
      </w:r>
      <w:r>
        <w:rPr>
          <w:rFonts w:eastAsiaTheme="minorHAnsi"/>
          <w:lang w:val="fr-FR" w:eastAsia="en-US"/>
        </w:rPr>
        <w:t>L</w:t>
      </w:r>
      <w:r w:rsidRPr="00924BCC">
        <w:rPr>
          <w:rFonts w:eastAsiaTheme="minorHAnsi"/>
          <w:lang w:val="fr-FR" w:eastAsia="en-US"/>
        </w:rPr>
        <w:t>a session s’est tenue sous forme hybride, avec la possibilité de participer en ligne ou en présentiel</w:t>
      </w:r>
      <w:r>
        <w:rPr>
          <w:rFonts w:eastAsiaTheme="minorHAnsi"/>
          <w:lang w:val="fr-FR" w:eastAsia="en-US"/>
        </w:rPr>
        <w:t>, suivant le format indiqué dans le document informel INF.7.</w:t>
      </w:r>
    </w:p>
    <w:p w14:paraId="2228FA51" w14:textId="77777777" w:rsidR="00E83179" w:rsidRPr="00907070" w:rsidRDefault="00E83179" w:rsidP="00E83179">
      <w:pPr>
        <w:keepNext/>
        <w:keepLines/>
        <w:tabs>
          <w:tab w:val="right" w:pos="851"/>
        </w:tabs>
        <w:spacing w:before="360" w:after="240" w:line="270" w:lineRule="exact"/>
        <w:ind w:left="1134" w:right="1134" w:hanging="1134"/>
        <w:rPr>
          <w:b/>
          <w:sz w:val="24"/>
          <w:lang w:val="fr-FR"/>
        </w:rPr>
      </w:pPr>
      <w:r w:rsidRPr="00907070">
        <w:rPr>
          <w:b/>
          <w:sz w:val="24"/>
          <w:lang w:val="fr-FR"/>
        </w:rPr>
        <w:tab/>
        <w:t>B.</w:t>
      </w:r>
      <w:r w:rsidRPr="00907070">
        <w:rPr>
          <w:b/>
          <w:sz w:val="24"/>
          <w:lang w:val="fr-FR"/>
        </w:rPr>
        <w:tab/>
        <w:t>Participation</w:t>
      </w:r>
    </w:p>
    <w:p w14:paraId="1917C72D" w14:textId="77777777" w:rsidR="00E83179" w:rsidRPr="00A02272" w:rsidRDefault="00E83179" w:rsidP="00E83179">
      <w:pPr>
        <w:pStyle w:val="SingleTxtG"/>
      </w:pPr>
      <w:r w:rsidRPr="00A02272">
        <w:t>3.</w:t>
      </w:r>
      <w:r w:rsidRPr="00A02272">
        <w:tab/>
        <w:t>Ont pris part à la session des représentants des pays suivants : Allemagne, Autriche, Bélarus, Belgique, Danemark, Espagne, Fédération de Russie, Finlande, France, Grèce, Hongrie, Israël, Italie, Lettonie, Luxembourg, Macédoine du Nord, Norvège, Pays-Bas, Pologne, Portugal, Royaume-Uni, Slovénie, Suède, Suisse, Tchéquie et Turquie.</w:t>
      </w:r>
    </w:p>
    <w:p w14:paraId="4040C358" w14:textId="77777777" w:rsidR="00E83179" w:rsidRPr="00907070" w:rsidRDefault="00E83179" w:rsidP="00E83179">
      <w:pPr>
        <w:pStyle w:val="SingleTxtG"/>
        <w:rPr>
          <w:lang w:val="fr-FR"/>
        </w:rPr>
      </w:pPr>
      <w:r>
        <w:rPr>
          <w:lang w:val="fr-FR"/>
        </w:rPr>
        <w:t>4</w:t>
      </w:r>
      <w:r w:rsidRPr="00907070">
        <w:rPr>
          <w:lang w:val="fr-FR"/>
        </w:rPr>
        <w:t>.</w:t>
      </w:r>
      <w:r w:rsidRPr="00907070">
        <w:rPr>
          <w:lang w:val="fr-FR"/>
        </w:rPr>
        <w:tab/>
      </w:r>
      <w:r>
        <w:rPr>
          <w:lang w:val="fr-FR"/>
        </w:rPr>
        <w:t>Un représentant de l’</w:t>
      </w:r>
      <w:r w:rsidRPr="00907070">
        <w:rPr>
          <w:lang w:val="fr-FR"/>
        </w:rPr>
        <w:t>Egypte</w:t>
      </w:r>
      <w:r>
        <w:rPr>
          <w:lang w:val="fr-FR"/>
        </w:rPr>
        <w:t xml:space="preserve"> a </w:t>
      </w:r>
      <w:r w:rsidRPr="00907070">
        <w:rPr>
          <w:lang w:val="fr-FR"/>
        </w:rPr>
        <w:t xml:space="preserve">participé à la session conformément aux dispositions du paragraphe 11 du mandat de la Commission économique pour l’Europe. </w:t>
      </w:r>
    </w:p>
    <w:p w14:paraId="0F92D113" w14:textId="77777777" w:rsidR="00E83179" w:rsidRPr="00907070" w:rsidRDefault="00E83179" w:rsidP="00E83179">
      <w:pPr>
        <w:spacing w:after="120"/>
        <w:ind w:left="1134" w:right="1134"/>
        <w:jc w:val="both"/>
        <w:rPr>
          <w:lang w:val="fr-FR"/>
        </w:rPr>
      </w:pPr>
      <w:r>
        <w:rPr>
          <w:lang w:val="fr-FR"/>
        </w:rPr>
        <w:t>5</w:t>
      </w:r>
      <w:r w:rsidRPr="00907070">
        <w:rPr>
          <w:lang w:val="fr-FR"/>
        </w:rPr>
        <w:t>.</w:t>
      </w:r>
      <w:r w:rsidRPr="00907070">
        <w:rPr>
          <w:lang w:val="fr-FR"/>
        </w:rPr>
        <w:tab/>
        <w:t>L’Union Européenne était représentée.</w:t>
      </w:r>
    </w:p>
    <w:p w14:paraId="0E6B9208" w14:textId="77777777" w:rsidR="00E83179" w:rsidRPr="00907070" w:rsidRDefault="00E83179" w:rsidP="00E83179">
      <w:pPr>
        <w:spacing w:after="120"/>
        <w:ind w:left="1134" w:right="1134"/>
        <w:jc w:val="both"/>
        <w:rPr>
          <w:lang w:val="fr-FR"/>
        </w:rPr>
      </w:pPr>
      <w:r>
        <w:rPr>
          <w:lang w:val="fr-FR"/>
        </w:rPr>
        <w:t>6</w:t>
      </w:r>
      <w:r w:rsidRPr="00907070">
        <w:rPr>
          <w:lang w:val="fr-FR"/>
        </w:rPr>
        <w:t>.</w:t>
      </w:r>
      <w:r w:rsidRPr="00907070">
        <w:rPr>
          <w:lang w:val="fr-FR"/>
        </w:rPr>
        <w:tab/>
        <w:t>L</w:t>
      </w:r>
      <w:r>
        <w:rPr>
          <w:lang w:val="fr-FR"/>
        </w:rPr>
        <w:t xml:space="preserve">es </w:t>
      </w:r>
      <w:r w:rsidRPr="00907070">
        <w:rPr>
          <w:lang w:val="fr-FR"/>
        </w:rPr>
        <w:t>organisation</w:t>
      </w:r>
      <w:r>
        <w:rPr>
          <w:lang w:val="fr-FR"/>
        </w:rPr>
        <w:t>s</w:t>
      </w:r>
      <w:r w:rsidRPr="00907070">
        <w:rPr>
          <w:lang w:val="fr-FR"/>
        </w:rPr>
        <w:t xml:space="preserve"> intergouvernementale</w:t>
      </w:r>
      <w:r>
        <w:rPr>
          <w:lang w:val="fr-FR"/>
        </w:rPr>
        <w:t>s</w:t>
      </w:r>
      <w:r w:rsidRPr="00907070">
        <w:rPr>
          <w:lang w:val="fr-FR"/>
        </w:rPr>
        <w:t xml:space="preserve"> suivante</w:t>
      </w:r>
      <w:r>
        <w:rPr>
          <w:lang w:val="fr-FR"/>
        </w:rPr>
        <w:t>s</w:t>
      </w:r>
      <w:r w:rsidRPr="00907070">
        <w:rPr>
          <w:lang w:val="fr-FR"/>
        </w:rPr>
        <w:t xml:space="preserve"> était représentée</w:t>
      </w:r>
      <w:r>
        <w:rPr>
          <w:lang w:val="fr-FR"/>
        </w:rPr>
        <w:t>s</w:t>
      </w:r>
      <w:r w:rsidRPr="00907070">
        <w:rPr>
          <w:lang w:val="fr-FR"/>
        </w:rPr>
        <w:t> : Organisation intergouvernementale pour les transports internationaux ferroviaires (OTIF)</w:t>
      </w:r>
      <w:r>
        <w:rPr>
          <w:lang w:val="fr-FR"/>
        </w:rPr>
        <w:t>, Transport Community.</w:t>
      </w:r>
    </w:p>
    <w:p w14:paraId="4FCE055C" w14:textId="77777777" w:rsidR="00E83179" w:rsidRDefault="00E83179" w:rsidP="00E83179">
      <w:pPr>
        <w:spacing w:after="120"/>
        <w:ind w:left="1134" w:right="1134"/>
        <w:jc w:val="both"/>
        <w:rPr>
          <w:lang w:val="fr-FR"/>
        </w:rPr>
      </w:pPr>
      <w:r>
        <w:rPr>
          <w:lang w:val="fr-FR"/>
        </w:rPr>
        <w:t>7</w:t>
      </w:r>
      <w:r w:rsidRPr="00907070">
        <w:rPr>
          <w:lang w:val="fr-FR"/>
        </w:rPr>
        <w:t>.</w:t>
      </w:r>
      <w:r w:rsidRPr="00907070">
        <w:rPr>
          <w:lang w:val="fr-FR"/>
        </w:rPr>
        <w:tab/>
        <w:t xml:space="preserve">Les organisations non gouvernementales suivantes étaient représentées : </w:t>
      </w:r>
      <w:r w:rsidRPr="00D5044A">
        <w:rPr>
          <w:lang w:val="fr-FR"/>
        </w:rPr>
        <w:t xml:space="preserve">l’Association internationale des marchandises dangereuses et des conteneurs (IDGCA), </w:t>
      </w:r>
      <w:r w:rsidRPr="00A85998">
        <w:rPr>
          <w:lang w:val="fr-FR"/>
        </w:rPr>
        <w:t xml:space="preserve">la </w:t>
      </w:r>
      <w:r w:rsidRPr="00ED4C7F">
        <w:rPr>
          <w:lang w:val="fr-FR"/>
        </w:rPr>
        <w:t>Confédération européenne des distributeurs de carburant</w:t>
      </w:r>
      <w:r w:rsidRPr="00A85998">
        <w:rPr>
          <w:lang w:val="fr-FR"/>
        </w:rPr>
        <w:t xml:space="preserve"> </w:t>
      </w:r>
      <w:r>
        <w:rPr>
          <w:lang w:val="fr-FR"/>
        </w:rPr>
        <w:t>(</w:t>
      </w:r>
      <w:r w:rsidRPr="005B5711">
        <w:rPr>
          <w:lang w:val="fr-FR"/>
        </w:rPr>
        <w:t>European Confederation of Fuel Distributors</w:t>
      </w:r>
      <w:r>
        <w:rPr>
          <w:lang w:val="fr-FR"/>
        </w:rPr>
        <w:t xml:space="preserve">) </w:t>
      </w:r>
      <w:r w:rsidRPr="00A85998">
        <w:rPr>
          <w:lang w:val="fr-FR"/>
        </w:rPr>
        <w:t xml:space="preserve">(ECFD), </w:t>
      </w:r>
      <w:r w:rsidRPr="00763AF7">
        <w:rPr>
          <w:lang w:val="fr-FR"/>
        </w:rPr>
        <w:t xml:space="preserve">le Conseil européen de l’industrie chimique (Cefic), </w:t>
      </w:r>
      <w:r w:rsidRPr="00A85998">
        <w:rPr>
          <w:lang w:val="fr-FR"/>
        </w:rPr>
        <w:t>Council on Safe Transportation of Hazardous Articles (COSTHA),</w:t>
      </w:r>
      <w:r w:rsidRPr="00907070">
        <w:rPr>
          <w:lang w:val="fr-FR"/>
        </w:rPr>
        <w:t xml:space="preserve"> </w:t>
      </w:r>
      <w:r w:rsidRPr="00ED4C7F">
        <w:rPr>
          <w:lang w:val="fr-FR"/>
        </w:rPr>
        <w:t>FuelsEurope</w:t>
      </w:r>
      <w:r>
        <w:rPr>
          <w:lang w:val="fr-FR"/>
        </w:rPr>
        <w:t>,</w:t>
      </w:r>
      <w:r w:rsidRPr="00ED4C7F">
        <w:rPr>
          <w:lang w:val="fr-FR"/>
        </w:rPr>
        <w:t xml:space="preserve"> </w:t>
      </w:r>
      <w:r>
        <w:rPr>
          <w:lang w:val="fr-FR"/>
        </w:rPr>
        <w:t xml:space="preserve">Liquid Gas Europe, </w:t>
      </w:r>
      <w:r w:rsidRPr="00ED4C7F">
        <w:rPr>
          <w:lang w:val="fr-FR"/>
        </w:rPr>
        <w:t>l</w:t>
      </w:r>
      <w:r w:rsidRPr="004E3700">
        <w:rPr>
          <w:lang w:val="fr-FR"/>
        </w:rPr>
        <w:t>’Organisation internationale des constructeurs automobiles (OICA) et l’Union internationale des transports routiers (IRU).</w:t>
      </w:r>
      <w:r w:rsidRPr="00907070">
        <w:rPr>
          <w:lang w:val="fr-FR"/>
        </w:rPr>
        <w:t xml:space="preserve"> </w:t>
      </w:r>
      <w:r w:rsidRPr="00657F58">
        <w:rPr>
          <w:lang w:val="fr-FR"/>
        </w:rPr>
        <w:t>Le projet EuroMed de soutien aux transports</w:t>
      </w:r>
      <w:r>
        <w:rPr>
          <w:lang w:val="fr-FR"/>
        </w:rPr>
        <w:t xml:space="preserve"> (TSP)</w:t>
      </w:r>
      <w:r w:rsidRPr="00657F58">
        <w:rPr>
          <w:lang w:val="fr-FR"/>
        </w:rPr>
        <w:t xml:space="preserve"> était également représenté.</w:t>
      </w:r>
    </w:p>
    <w:p w14:paraId="2DB08D10" w14:textId="77777777" w:rsidR="00E83179" w:rsidRPr="005E33C3" w:rsidRDefault="00E83179" w:rsidP="00E83179">
      <w:pPr>
        <w:pStyle w:val="HChG"/>
        <w:rPr>
          <w:lang w:val="fr-FR"/>
        </w:rPr>
      </w:pPr>
      <w:r w:rsidRPr="005E33C3">
        <w:rPr>
          <w:lang w:val="fr-FR"/>
        </w:rPr>
        <w:tab/>
        <w:t>II.</w:t>
      </w:r>
      <w:r w:rsidRPr="005E33C3">
        <w:rPr>
          <w:lang w:val="fr-FR"/>
        </w:rPr>
        <w:tab/>
      </w:r>
      <w:bookmarkStart w:id="1" w:name="_Hlk6316889"/>
      <w:r w:rsidRPr="005E33C3">
        <w:rPr>
          <w:lang w:val="fr-FR"/>
        </w:rPr>
        <w:t>Adoption de l’ordre du jour (point 1 de l’ordre du jour)</w:t>
      </w:r>
      <w:bookmarkStart w:id="2" w:name="_Toc499903630"/>
      <w:bookmarkEnd w:id="1"/>
      <w:bookmarkEnd w:id="2"/>
    </w:p>
    <w:p w14:paraId="69207534" w14:textId="77777777" w:rsidR="00E83179" w:rsidRPr="005E33C3" w:rsidRDefault="00E83179" w:rsidP="00E83179">
      <w:pPr>
        <w:ind w:left="3402" w:right="1134" w:hanging="2268"/>
        <w:jc w:val="both"/>
        <w:rPr>
          <w:lang w:val="fr-FR"/>
        </w:rPr>
      </w:pPr>
      <w:r w:rsidRPr="005E33C3">
        <w:rPr>
          <w:i/>
          <w:iCs/>
          <w:lang w:val="fr-FR"/>
        </w:rPr>
        <w:t>Documents </w:t>
      </w:r>
      <w:r w:rsidRPr="005E33C3">
        <w:rPr>
          <w:iCs/>
          <w:lang w:val="fr-FR"/>
        </w:rPr>
        <w:t>:</w:t>
      </w:r>
      <w:r w:rsidRPr="005E33C3">
        <w:rPr>
          <w:lang w:val="fr-FR"/>
        </w:rPr>
        <w:tab/>
        <w:t>ECE/TRANS/WP.15/25</w:t>
      </w:r>
      <w:r>
        <w:rPr>
          <w:lang w:val="fr-FR"/>
        </w:rPr>
        <w:t>7</w:t>
      </w:r>
      <w:r w:rsidRPr="005E33C3">
        <w:rPr>
          <w:lang w:val="fr-FR"/>
        </w:rPr>
        <w:t xml:space="preserve"> et Add.1 (secrétariat)</w:t>
      </w:r>
    </w:p>
    <w:p w14:paraId="1D3D364B" w14:textId="77777777" w:rsidR="00E83179" w:rsidRPr="005E33C3" w:rsidRDefault="00E83179" w:rsidP="00E83179">
      <w:pPr>
        <w:spacing w:after="120"/>
        <w:ind w:left="3402" w:right="1134" w:hanging="2268"/>
        <w:jc w:val="both"/>
        <w:rPr>
          <w:lang w:val="fr-FR"/>
        </w:rPr>
      </w:pPr>
      <w:r w:rsidRPr="005E33C3">
        <w:rPr>
          <w:i/>
          <w:iCs/>
          <w:lang w:val="fr-FR"/>
        </w:rPr>
        <w:t>Documents informels </w:t>
      </w:r>
      <w:r w:rsidRPr="005E33C3">
        <w:rPr>
          <w:lang w:val="fr-FR"/>
        </w:rPr>
        <w:t>:</w:t>
      </w:r>
      <w:r w:rsidRPr="005E33C3">
        <w:rPr>
          <w:lang w:val="fr-FR"/>
        </w:rPr>
        <w:tab/>
        <w:t>INF.1, INF.2</w:t>
      </w:r>
      <w:r>
        <w:rPr>
          <w:lang w:val="fr-FR"/>
        </w:rPr>
        <w:t xml:space="preserve"> </w:t>
      </w:r>
      <w:r w:rsidRPr="005E33C3">
        <w:rPr>
          <w:lang w:val="fr-FR"/>
        </w:rPr>
        <w:t>et INF.</w:t>
      </w:r>
      <w:r>
        <w:rPr>
          <w:lang w:val="fr-FR"/>
        </w:rPr>
        <w:t>7 (</w:t>
      </w:r>
      <w:r w:rsidRPr="005E33C3">
        <w:rPr>
          <w:lang w:val="fr-FR"/>
        </w:rPr>
        <w:t>secrétariat)</w:t>
      </w:r>
    </w:p>
    <w:p w14:paraId="50588C06" w14:textId="5446B81F" w:rsidR="00E83179" w:rsidRPr="005E33C3" w:rsidRDefault="00E83179" w:rsidP="00E83179">
      <w:pPr>
        <w:spacing w:after="120"/>
        <w:ind w:left="1134" w:right="1134"/>
        <w:jc w:val="both"/>
        <w:rPr>
          <w:lang w:val="fr-FR"/>
        </w:rPr>
      </w:pPr>
      <w:r>
        <w:rPr>
          <w:lang w:val="fr-FR"/>
        </w:rPr>
        <w:t>8</w:t>
      </w:r>
      <w:r w:rsidRPr="005E33C3">
        <w:rPr>
          <w:lang w:val="fr-FR"/>
        </w:rPr>
        <w:t>.</w:t>
      </w:r>
      <w:r w:rsidRPr="005E33C3">
        <w:rPr>
          <w:lang w:val="fr-FR"/>
        </w:rPr>
        <w:tab/>
        <w:t>Le Groupe de travail a adopté l’ordre du jour provisoire établi par le secrétariat, tel que modifié par le document informel INF.2 pour tenir compte des documents informels INF.1 à INF.</w:t>
      </w:r>
      <w:r>
        <w:rPr>
          <w:lang w:val="fr-FR"/>
        </w:rPr>
        <w:t>28</w:t>
      </w:r>
      <w:r w:rsidRPr="005E33C3">
        <w:rPr>
          <w:lang w:val="fr-FR"/>
        </w:rPr>
        <w:t xml:space="preserve">. </w:t>
      </w:r>
    </w:p>
    <w:p w14:paraId="7000A588" w14:textId="77777777" w:rsidR="00E83179" w:rsidRPr="005E33C3" w:rsidRDefault="00E83179" w:rsidP="00E83179">
      <w:pPr>
        <w:pStyle w:val="HChG"/>
        <w:rPr>
          <w:lang w:val="fr-FR"/>
        </w:rPr>
      </w:pPr>
      <w:r>
        <w:rPr>
          <w:lang w:val="fr-FR"/>
        </w:rPr>
        <w:tab/>
        <w:t>III</w:t>
      </w:r>
      <w:r w:rsidRPr="005E33C3">
        <w:rPr>
          <w:lang w:val="fr-FR"/>
        </w:rPr>
        <w:t>.</w:t>
      </w:r>
      <w:r w:rsidRPr="005E33C3">
        <w:rPr>
          <w:lang w:val="fr-FR"/>
        </w:rPr>
        <w:tab/>
        <w:t>Quatre-vingt-</w:t>
      </w:r>
      <w:r>
        <w:rPr>
          <w:lang w:val="fr-FR"/>
        </w:rPr>
        <w:t>quatrième</w:t>
      </w:r>
      <w:r w:rsidRPr="005E33C3">
        <w:rPr>
          <w:lang w:val="fr-FR"/>
        </w:rPr>
        <w:t xml:space="preserve"> session du Comité des transports intérieurs</w:t>
      </w:r>
      <w:r>
        <w:rPr>
          <w:lang w:val="fr-FR"/>
        </w:rPr>
        <w:t xml:space="preserve"> (CTI)</w:t>
      </w:r>
      <w:r w:rsidRPr="005E33C3">
        <w:rPr>
          <w:lang w:val="fr-FR"/>
        </w:rPr>
        <w:t xml:space="preserve"> (point 2 de l’ordre du jour)</w:t>
      </w:r>
    </w:p>
    <w:p w14:paraId="63DB4D10" w14:textId="25790C3A" w:rsidR="00E83179" w:rsidRPr="005E33C3" w:rsidRDefault="00E83179" w:rsidP="00E83179">
      <w:pPr>
        <w:keepNext/>
        <w:keepLines/>
        <w:tabs>
          <w:tab w:val="left" w:pos="3402"/>
        </w:tabs>
        <w:spacing w:after="120"/>
        <w:ind w:left="3402" w:right="1134" w:hanging="2268"/>
        <w:rPr>
          <w:lang w:val="fr-FR"/>
        </w:rPr>
      </w:pPr>
      <w:r w:rsidRPr="005E33C3">
        <w:rPr>
          <w:i/>
          <w:lang w:val="fr-FR"/>
        </w:rPr>
        <w:t>Document</w:t>
      </w:r>
      <w:r>
        <w:rPr>
          <w:i/>
          <w:lang w:val="fr-FR"/>
        </w:rPr>
        <w:t>s</w:t>
      </w:r>
      <w:r w:rsidRPr="005E33C3">
        <w:rPr>
          <w:i/>
          <w:lang w:val="fr-FR"/>
        </w:rPr>
        <w:t> </w:t>
      </w:r>
      <w:r w:rsidRPr="005E33C3">
        <w:rPr>
          <w:lang w:val="fr-FR"/>
        </w:rPr>
        <w:t>:</w:t>
      </w:r>
      <w:r w:rsidRPr="005E33C3">
        <w:rPr>
          <w:lang w:val="fr-FR"/>
        </w:rPr>
        <w:tab/>
      </w:r>
      <w:r w:rsidRPr="005E33C3">
        <w:rPr>
          <w:lang w:val="fr-FR"/>
        </w:rPr>
        <w:tab/>
        <w:t>ECE/TRANS/202</w:t>
      </w:r>
      <w:r>
        <w:rPr>
          <w:lang w:val="fr-FR"/>
        </w:rPr>
        <w:t>2</w:t>
      </w:r>
      <w:r w:rsidRPr="005E33C3">
        <w:rPr>
          <w:lang w:val="fr-FR"/>
        </w:rPr>
        <w:t>/3 (</w:t>
      </w:r>
      <w:r w:rsidRPr="005E33C3">
        <w:rPr>
          <w:bCs/>
          <w:lang w:val="fr-FR"/>
        </w:rPr>
        <w:t>Mise en œuvre de la stratégie du CTI</w:t>
      </w:r>
      <w:r w:rsidRPr="005E33C3">
        <w:rPr>
          <w:bCs/>
          <w:lang w:val="fr-FR"/>
        </w:rPr>
        <w:br/>
      </w:r>
      <w:r w:rsidRPr="005E33C3">
        <w:rPr>
          <w:bCs/>
          <w:lang w:val="fr-FR"/>
        </w:rPr>
        <w:tab/>
        <w:t>à l’horizon 2030</w:t>
      </w:r>
      <w:r w:rsidRPr="005E33C3">
        <w:rPr>
          <w:lang w:val="fr-FR"/>
        </w:rPr>
        <w:t>)</w:t>
      </w:r>
      <w:r w:rsidR="005E2502" w:rsidRPr="005E33C3">
        <w:rPr>
          <w:lang w:val="fr-FR"/>
        </w:rPr>
        <w:t xml:space="preserve"> (secrétariat)</w:t>
      </w:r>
      <w:r>
        <w:rPr>
          <w:lang w:val="fr-FR"/>
        </w:rPr>
        <w:br/>
      </w:r>
      <w:r>
        <w:rPr>
          <w:lang w:val="fr-FR"/>
        </w:rPr>
        <w:tab/>
        <w:t>ECE/TRANS/316 (Rapport du CTI sur sa q</w:t>
      </w:r>
      <w:r w:rsidRPr="00E43B5B">
        <w:rPr>
          <w:lang w:val="fr-FR"/>
        </w:rPr>
        <w:t>uatre-vingt-quatrième session</w:t>
      </w:r>
      <w:r>
        <w:rPr>
          <w:lang w:val="fr-FR"/>
        </w:rPr>
        <w:t>)</w:t>
      </w:r>
      <w:r w:rsidR="005E2502" w:rsidRPr="005E33C3">
        <w:rPr>
          <w:lang w:val="fr-FR"/>
        </w:rPr>
        <w:t xml:space="preserve"> (secrétariat)</w:t>
      </w:r>
    </w:p>
    <w:p w14:paraId="6F2845FC" w14:textId="77777777" w:rsidR="00E83179" w:rsidRPr="001C422A" w:rsidRDefault="00E83179" w:rsidP="00E83179">
      <w:pPr>
        <w:kinsoku/>
        <w:overflowPunct/>
        <w:autoSpaceDE/>
        <w:autoSpaceDN/>
        <w:adjustRightInd/>
        <w:snapToGrid/>
        <w:spacing w:after="120"/>
        <w:ind w:left="1134" w:right="1134"/>
        <w:jc w:val="both"/>
        <w:rPr>
          <w:lang w:eastAsia="en-US"/>
        </w:rPr>
      </w:pPr>
      <w:r>
        <w:rPr>
          <w:lang w:eastAsia="en-US"/>
        </w:rPr>
        <w:t>9</w:t>
      </w:r>
      <w:r w:rsidRPr="001C422A">
        <w:rPr>
          <w:lang w:eastAsia="en-US"/>
        </w:rPr>
        <w:t>.</w:t>
      </w:r>
      <w:r w:rsidRPr="001C422A">
        <w:rPr>
          <w:lang w:eastAsia="en-US"/>
        </w:rPr>
        <w:tab/>
      </w:r>
      <w:r>
        <w:rPr>
          <w:lang w:eastAsia="en-US"/>
        </w:rPr>
        <w:t>L</w:t>
      </w:r>
      <w:r w:rsidRPr="001C422A">
        <w:rPr>
          <w:lang w:eastAsia="en-US"/>
        </w:rPr>
        <w:t xml:space="preserve">e Groupe de travail </w:t>
      </w:r>
      <w:r w:rsidRPr="005E33C3">
        <w:rPr>
          <w:lang w:val="fr-FR"/>
        </w:rPr>
        <w:t xml:space="preserve">a pris note </w:t>
      </w:r>
      <w:r w:rsidRPr="001C422A">
        <w:rPr>
          <w:lang w:eastAsia="en-US"/>
        </w:rPr>
        <w:t xml:space="preserve">des résultats pertinents de la dernière session du </w:t>
      </w:r>
      <w:r>
        <w:rPr>
          <w:lang w:eastAsia="en-US"/>
        </w:rPr>
        <w:t>CTI</w:t>
      </w:r>
      <w:r w:rsidRPr="001C422A">
        <w:rPr>
          <w:lang w:eastAsia="en-US"/>
        </w:rPr>
        <w:t xml:space="preserve"> (2</w:t>
      </w:r>
      <w:r>
        <w:rPr>
          <w:lang w:eastAsia="en-US"/>
        </w:rPr>
        <w:t>2</w:t>
      </w:r>
      <w:r w:rsidRPr="001C422A">
        <w:rPr>
          <w:lang w:eastAsia="en-US"/>
        </w:rPr>
        <w:t>-2</w:t>
      </w:r>
      <w:r>
        <w:rPr>
          <w:lang w:eastAsia="en-US"/>
        </w:rPr>
        <w:t>5</w:t>
      </w:r>
      <w:r w:rsidRPr="001C422A">
        <w:rPr>
          <w:lang w:eastAsia="en-US"/>
        </w:rPr>
        <w:t xml:space="preserve"> février </w:t>
      </w:r>
      <w:r>
        <w:rPr>
          <w:lang w:eastAsia="en-US"/>
        </w:rPr>
        <w:t>2022</w:t>
      </w:r>
      <w:r w:rsidRPr="001C422A">
        <w:rPr>
          <w:lang w:eastAsia="en-US"/>
        </w:rPr>
        <w:t xml:space="preserve">). Le Groupe de travail a noté avec satisfaction que le Comité avait approuvé les résultats </w:t>
      </w:r>
      <w:r>
        <w:rPr>
          <w:lang w:eastAsia="en-US"/>
        </w:rPr>
        <w:t>de ses travaux pour 2021</w:t>
      </w:r>
      <w:r w:rsidRPr="001C422A">
        <w:rPr>
          <w:lang w:eastAsia="en-US"/>
        </w:rPr>
        <w:t xml:space="preserve"> et adopté son programme de travail</w:t>
      </w:r>
      <w:r>
        <w:rPr>
          <w:lang w:eastAsia="en-US"/>
        </w:rPr>
        <w:t xml:space="preserve"> et programme de réunions</w:t>
      </w:r>
      <w:r w:rsidRPr="001C422A">
        <w:rPr>
          <w:lang w:eastAsia="en-US"/>
        </w:rPr>
        <w:t xml:space="preserve"> pour </w:t>
      </w:r>
      <w:r>
        <w:rPr>
          <w:lang w:eastAsia="en-US"/>
        </w:rPr>
        <w:t>2022</w:t>
      </w:r>
      <w:r w:rsidRPr="001C422A">
        <w:rPr>
          <w:lang w:eastAsia="en-US"/>
        </w:rPr>
        <w:t xml:space="preserve"> ainsi que la publication, par le secrétariat, des textes consolidés de l’ADR et de l’ADN tels qu’ils seront amendés le 1er janvier </w:t>
      </w:r>
      <w:r>
        <w:rPr>
          <w:lang w:eastAsia="en-US"/>
        </w:rPr>
        <w:t xml:space="preserve">2023 et de la version électronique de la </w:t>
      </w:r>
      <w:r w:rsidRPr="00657F58">
        <w:rPr>
          <w:lang w:val="fr-FR"/>
        </w:rPr>
        <w:t>feuille de route relative à l’ADR</w:t>
      </w:r>
      <w:r>
        <w:rPr>
          <w:lang w:val="fr-FR"/>
        </w:rPr>
        <w:t>.</w:t>
      </w:r>
    </w:p>
    <w:p w14:paraId="7711D951" w14:textId="77777777" w:rsidR="00E83179" w:rsidRPr="005E33C3" w:rsidRDefault="00E83179" w:rsidP="00E83179">
      <w:pPr>
        <w:spacing w:after="120"/>
        <w:ind w:left="1134" w:right="1134"/>
        <w:jc w:val="both"/>
        <w:rPr>
          <w:lang w:val="fr-FR"/>
        </w:rPr>
      </w:pPr>
      <w:r w:rsidRPr="005E33C3">
        <w:rPr>
          <w:lang w:val="fr-FR"/>
        </w:rPr>
        <w:lastRenderedPageBreak/>
        <w:t>1</w:t>
      </w:r>
      <w:r>
        <w:rPr>
          <w:lang w:val="fr-FR"/>
        </w:rPr>
        <w:t>0</w:t>
      </w:r>
      <w:r w:rsidRPr="005E33C3">
        <w:rPr>
          <w:lang w:val="fr-FR"/>
        </w:rPr>
        <w:t>.</w:t>
      </w:r>
      <w:r w:rsidRPr="005E33C3">
        <w:rPr>
          <w:lang w:val="fr-FR"/>
        </w:rPr>
        <w:tab/>
        <w:t xml:space="preserve">Le Groupe de travail a noté avec intérêt </w:t>
      </w:r>
      <w:r>
        <w:rPr>
          <w:lang w:val="fr-FR"/>
        </w:rPr>
        <w:t>la poursuite des</w:t>
      </w:r>
      <w:r w:rsidRPr="005E33C3">
        <w:rPr>
          <w:lang w:val="fr-FR"/>
        </w:rPr>
        <w:t xml:space="preserve"> travaux relatifs à la mise en œuvre de la Stratégie du Comité à l’horizon 2030 et les actions </w:t>
      </w:r>
      <w:r>
        <w:rPr>
          <w:lang w:val="fr-FR"/>
        </w:rPr>
        <w:t xml:space="preserve">supplémentaires </w:t>
      </w:r>
      <w:r w:rsidRPr="005E33C3">
        <w:rPr>
          <w:lang w:val="fr-FR"/>
        </w:rPr>
        <w:t>listées dans le document ECE/TRANS/202</w:t>
      </w:r>
      <w:r>
        <w:rPr>
          <w:lang w:val="fr-FR"/>
        </w:rPr>
        <w:t>2</w:t>
      </w:r>
      <w:r w:rsidRPr="005E33C3">
        <w:rPr>
          <w:lang w:val="fr-FR"/>
        </w:rPr>
        <w:t xml:space="preserve">/3. </w:t>
      </w:r>
      <w:r>
        <w:rPr>
          <w:lang w:val="fr-FR"/>
        </w:rPr>
        <w:t xml:space="preserve">Le Groupe de travail a notamment noté que le secrétariat devrait faire </w:t>
      </w:r>
      <w:r w:rsidRPr="000B5D38">
        <w:rPr>
          <w:lang w:val="fr-FR"/>
        </w:rPr>
        <w:t xml:space="preserve">annuellement </w:t>
      </w:r>
      <w:r>
        <w:rPr>
          <w:lang w:val="fr-FR"/>
        </w:rPr>
        <w:t xml:space="preserve">un </w:t>
      </w:r>
      <w:r w:rsidRPr="000B5D38">
        <w:rPr>
          <w:lang w:val="fr-FR"/>
        </w:rPr>
        <w:t>rapport au CTI sur les aspects</w:t>
      </w:r>
      <w:r>
        <w:rPr>
          <w:lang w:val="fr-FR"/>
        </w:rPr>
        <w:t xml:space="preserve"> des travaux de la Réunion commune et du Groupe de travail</w:t>
      </w:r>
      <w:r w:rsidRPr="000B5D38">
        <w:rPr>
          <w:lang w:val="fr-FR"/>
        </w:rPr>
        <w:t xml:space="preserve"> liés à l’économie circulaire et sur les transports durables.</w:t>
      </w:r>
      <w:r>
        <w:rPr>
          <w:lang w:val="fr-FR"/>
        </w:rPr>
        <w:t xml:space="preserve"> </w:t>
      </w:r>
    </w:p>
    <w:p w14:paraId="02CAF389" w14:textId="77777777" w:rsidR="00E83179" w:rsidRDefault="00E83179" w:rsidP="00E83179">
      <w:pPr>
        <w:spacing w:after="120"/>
        <w:ind w:left="1134" w:right="1134"/>
        <w:jc w:val="both"/>
        <w:rPr>
          <w:lang w:val="fr-FR"/>
        </w:rPr>
      </w:pPr>
      <w:r w:rsidRPr="005E33C3">
        <w:rPr>
          <w:lang w:val="fr-FR"/>
        </w:rPr>
        <w:t>1</w:t>
      </w:r>
      <w:r>
        <w:rPr>
          <w:lang w:val="fr-FR"/>
        </w:rPr>
        <w:t>1</w:t>
      </w:r>
      <w:r w:rsidRPr="005E33C3">
        <w:rPr>
          <w:lang w:val="fr-FR"/>
        </w:rPr>
        <w:t>.</w:t>
      </w:r>
      <w:r w:rsidRPr="005E33C3">
        <w:rPr>
          <w:lang w:val="fr-FR"/>
        </w:rPr>
        <w:tab/>
      </w:r>
      <w:r>
        <w:rPr>
          <w:lang w:val="fr-FR"/>
        </w:rPr>
        <w:t xml:space="preserve">Le Groupe de travail s’est également félicité de l’approbation de la résolution ministérielle </w:t>
      </w:r>
      <w:r w:rsidRPr="00B33B6A">
        <w:rPr>
          <w:lang w:val="fr-FR"/>
        </w:rPr>
        <w:t>intitulée « Renforcer la résilience de la connectivité des transports intérieurs dans les situations d’urgence : appel urgent à une action concertée »</w:t>
      </w:r>
      <w:r>
        <w:rPr>
          <w:lang w:val="fr-FR"/>
        </w:rPr>
        <w:t xml:space="preserve">. Conformément à cette résolution, le Groupe de travail a de nouveau encouragé les parties contractantes à l’ADR à utiliser la télématique dans le transport des marchandises dangereuses. Il a été rappelé que des </w:t>
      </w:r>
      <w:r w:rsidRPr="005B52AE">
        <w:rPr>
          <w:lang w:val="fr-FR"/>
        </w:rPr>
        <w:t>lignes directrices pour l'application de la sous-section 5.4.0.2 du RID/ADR/ADN</w:t>
      </w:r>
      <w:r>
        <w:rPr>
          <w:lang w:val="fr-FR"/>
        </w:rPr>
        <w:t xml:space="preserve"> sur les échanges de données informatisées</w:t>
      </w:r>
      <w:r w:rsidRPr="005B52AE">
        <w:rPr>
          <w:lang w:val="fr-FR"/>
        </w:rPr>
        <w:t xml:space="preserve"> </w:t>
      </w:r>
      <w:r>
        <w:rPr>
          <w:lang w:val="fr-FR"/>
        </w:rPr>
        <w:t>avaient été</w:t>
      </w:r>
      <w:r w:rsidRPr="005B52AE">
        <w:rPr>
          <w:lang w:val="fr-FR"/>
        </w:rPr>
        <w:t xml:space="preserve"> publiées </w:t>
      </w:r>
      <w:r>
        <w:rPr>
          <w:lang w:val="fr-FR"/>
        </w:rPr>
        <w:t xml:space="preserve">sur les sites web de la CEE-ONU et de l’OTIF </w:t>
      </w:r>
      <w:r w:rsidRPr="005B52AE">
        <w:rPr>
          <w:lang w:val="fr-FR"/>
        </w:rPr>
        <w:t>afin de faciliter leur utilisation sur une base volontaire et cohérente</w:t>
      </w:r>
      <w:r>
        <w:rPr>
          <w:lang w:val="fr-FR"/>
        </w:rPr>
        <w:t xml:space="preserve">. Le Groupe de travail a noté que le représentant de la Suisse avait rapporté à la Réunion commune des problèmes de mise en œuvre de ces lignes directrices (voir </w:t>
      </w:r>
      <w:r w:rsidRPr="007F365B">
        <w:rPr>
          <w:lang w:val="fr-FR"/>
        </w:rPr>
        <w:t>ECE/TRANS/WP.15/AC.1/2020/43</w:t>
      </w:r>
      <w:r>
        <w:rPr>
          <w:lang w:val="fr-FR"/>
        </w:rPr>
        <w:t xml:space="preserve"> et </w:t>
      </w:r>
      <w:r w:rsidRPr="007F365B">
        <w:rPr>
          <w:lang w:val="fr-FR"/>
        </w:rPr>
        <w:t>ECE/TRANS/WP.15/AC.1/</w:t>
      </w:r>
      <w:r>
        <w:rPr>
          <w:lang w:val="fr-FR"/>
        </w:rPr>
        <w:t>158 § 42). Le Groupe de travail a invité la Réunion commune à prévoir la tenue d’une session du groupe de travail informel sur la télématique afin de discuter ces points, notamment en ce qui concerne la possibilité de prévoir une mise en œuvre étape par étape plutôt que globale.</w:t>
      </w:r>
    </w:p>
    <w:p w14:paraId="3EED9308" w14:textId="649E7423" w:rsidR="00E83179" w:rsidRDefault="00E83179" w:rsidP="00E83179">
      <w:pPr>
        <w:spacing w:after="120"/>
        <w:ind w:left="1134" w:right="1134"/>
        <w:jc w:val="both"/>
        <w:rPr>
          <w:lang w:val="fr-FR"/>
        </w:rPr>
      </w:pPr>
      <w:r>
        <w:rPr>
          <w:lang w:val="fr-FR"/>
        </w:rPr>
        <w:t xml:space="preserve">12. </w:t>
      </w:r>
      <w:r>
        <w:rPr>
          <w:lang w:val="fr-FR"/>
        </w:rPr>
        <w:tab/>
        <w:t xml:space="preserve">Le Groupe de travail a noté les discussions qui s’étaient tenues au CTI </w:t>
      </w:r>
      <w:r w:rsidRPr="00EF2EE7">
        <w:rPr>
          <w:lang w:val="fr-FR"/>
        </w:rPr>
        <w:t>sur les possibilités de financement de la traduction de l'ADR en arabe.</w:t>
      </w:r>
      <w:r>
        <w:rPr>
          <w:lang w:val="fr-FR"/>
        </w:rPr>
        <w:t xml:space="preserve"> Le représentant du </w:t>
      </w:r>
      <w:r w:rsidRPr="00657F58">
        <w:rPr>
          <w:lang w:val="fr-FR"/>
        </w:rPr>
        <w:t>projet EuroMed</w:t>
      </w:r>
      <w:r>
        <w:rPr>
          <w:lang w:val="fr-FR"/>
        </w:rPr>
        <w:t xml:space="preserve"> TSP a précisé que les discussions s’étaient poursuivies avec le secrétariat et qu’une solution semblait possible pour financer la traduction de l’ADR 2023 dans le cadre des fonds attribués aux projets Euro</w:t>
      </w:r>
      <w:r w:rsidR="00C34E09">
        <w:rPr>
          <w:lang w:val="fr-FR"/>
        </w:rPr>
        <w:t>M</w:t>
      </w:r>
      <w:r>
        <w:rPr>
          <w:lang w:val="fr-FR"/>
        </w:rPr>
        <w:t>ed. Le Groupe de travail a également noté qu’il convenait de poursuivre l’étude des différentes options proposées afin de garantir une solution durable pour la mise à jour de l’ADR en arabe, et éventuellement dans les autres langues officielles des Nations Unies comme l’espagnol, dans le futur.</w:t>
      </w:r>
    </w:p>
    <w:p w14:paraId="3B2E5F98" w14:textId="7EBCDA2C" w:rsidR="00E83179" w:rsidRDefault="00E83179" w:rsidP="00E83179">
      <w:pPr>
        <w:spacing w:after="120"/>
        <w:ind w:left="1134" w:right="1134"/>
        <w:jc w:val="both"/>
        <w:rPr>
          <w:lang w:val="fr-FR"/>
        </w:rPr>
      </w:pPr>
      <w:r w:rsidRPr="00B85441">
        <w:rPr>
          <w:lang w:val="fr-FR"/>
        </w:rPr>
        <w:t xml:space="preserve">13. </w:t>
      </w:r>
      <w:r w:rsidRPr="00B85441">
        <w:rPr>
          <w:lang w:val="fr-FR"/>
        </w:rPr>
        <w:tab/>
      </w:r>
      <w:r>
        <w:rPr>
          <w:lang w:val="fr-FR"/>
        </w:rPr>
        <w:t xml:space="preserve">   Le Groupe de travail a noté avec satisfaction que le secrétariat de la CEE-ONU avait l’intention de coopérer avec le projet EuroMed TSP pour </w:t>
      </w:r>
      <w:r w:rsidR="00A06B7E">
        <w:rPr>
          <w:lang w:val="fr-FR"/>
        </w:rPr>
        <w:t>mettre à disposition</w:t>
      </w:r>
      <w:r>
        <w:rPr>
          <w:lang w:val="fr-FR"/>
        </w:rPr>
        <w:t xml:space="preserve"> cette traduction en arabe de l’ADR 2023 sur le site de la CEE-ONU et a confirmé qu’il serait souhaitable qu’elle soit également publiée par les Nations Unies.</w:t>
      </w:r>
    </w:p>
    <w:p w14:paraId="7D1611D9" w14:textId="381259A6" w:rsidR="00E83179" w:rsidRPr="00203D03" w:rsidRDefault="00E83179" w:rsidP="00E83179">
      <w:pPr>
        <w:keepNext/>
        <w:keepLines/>
        <w:tabs>
          <w:tab w:val="right" w:pos="851"/>
        </w:tabs>
        <w:kinsoku/>
        <w:overflowPunct/>
        <w:autoSpaceDE/>
        <w:autoSpaceDN/>
        <w:adjustRightInd/>
        <w:snapToGrid/>
        <w:spacing w:before="360" w:after="240" w:line="300" w:lineRule="exact"/>
        <w:ind w:left="1134" w:right="1134" w:hanging="1134"/>
        <w:rPr>
          <w:b/>
          <w:sz w:val="28"/>
          <w:lang w:eastAsia="en-US"/>
        </w:rPr>
      </w:pPr>
      <w:r w:rsidRPr="00203D03">
        <w:rPr>
          <w:b/>
          <w:sz w:val="28"/>
          <w:lang w:eastAsia="en-US"/>
        </w:rPr>
        <w:tab/>
        <w:t>IV.</w:t>
      </w:r>
      <w:r w:rsidRPr="00203D03">
        <w:rPr>
          <w:b/>
          <w:sz w:val="28"/>
          <w:lang w:eastAsia="en-US"/>
        </w:rPr>
        <w:tab/>
        <w:t>État de l’Accord relatif au transport international des marchandises dangereuses par route (ADR) et questions connexes (point 3 de l’ordre du jour)</w:t>
      </w:r>
    </w:p>
    <w:p w14:paraId="52B7A48C" w14:textId="77777777" w:rsidR="00E83179" w:rsidRPr="00203D03" w:rsidRDefault="00E83179" w:rsidP="00E83179">
      <w:pPr>
        <w:keepNext/>
        <w:keepLines/>
        <w:tabs>
          <w:tab w:val="right" w:pos="851"/>
        </w:tabs>
        <w:kinsoku/>
        <w:overflowPunct/>
        <w:autoSpaceDE/>
        <w:autoSpaceDN/>
        <w:adjustRightInd/>
        <w:snapToGrid/>
        <w:spacing w:before="360" w:after="240" w:line="270" w:lineRule="exact"/>
        <w:ind w:left="1134" w:right="1134" w:hanging="1134"/>
        <w:rPr>
          <w:b/>
          <w:sz w:val="24"/>
          <w:lang w:val="fr-FR" w:eastAsia="en-US"/>
        </w:rPr>
      </w:pPr>
      <w:r w:rsidRPr="00203D03">
        <w:rPr>
          <w:b/>
          <w:sz w:val="24"/>
          <w:lang w:val="fr-FR" w:eastAsia="en-US"/>
        </w:rPr>
        <w:tab/>
        <w:t>A.</w:t>
      </w:r>
      <w:r w:rsidRPr="00203D03">
        <w:rPr>
          <w:b/>
          <w:sz w:val="24"/>
          <w:lang w:val="fr-FR" w:eastAsia="en-US"/>
        </w:rPr>
        <w:tab/>
      </w:r>
      <w:r w:rsidRPr="00203D03">
        <w:rPr>
          <w:b/>
          <w:sz w:val="24"/>
          <w:lang w:eastAsia="en-US"/>
        </w:rPr>
        <w:t>État de l’Accord</w:t>
      </w:r>
      <w:r w:rsidRPr="00203D03">
        <w:rPr>
          <w:b/>
          <w:sz w:val="24"/>
          <w:lang w:val="fr-FR" w:eastAsia="en-US"/>
        </w:rPr>
        <w:t xml:space="preserve"> </w:t>
      </w:r>
    </w:p>
    <w:p w14:paraId="6A306C4B" w14:textId="77777777" w:rsidR="00E83179" w:rsidRDefault="00E83179" w:rsidP="00E83179">
      <w:pPr>
        <w:kinsoku/>
        <w:overflowPunct/>
        <w:autoSpaceDE/>
        <w:autoSpaceDN/>
        <w:adjustRightInd/>
        <w:snapToGrid/>
        <w:spacing w:after="120"/>
        <w:ind w:left="1134" w:right="1134"/>
        <w:jc w:val="both"/>
        <w:rPr>
          <w:lang w:eastAsia="en-US"/>
        </w:rPr>
      </w:pPr>
      <w:r>
        <w:rPr>
          <w:lang w:eastAsia="en-US"/>
        </w:rPr>
        <w:t>14</w:t>
      </w:r>
      <w:r w:rsidRPr="00203D03">
        <w:rPr>
          <w:lang w:eastAsia="en-US"/>
        </w:rPr>
        <w:t>.</w:t>
      </w:r>
      <w:r w:rsidRPr="00203D03">
        <w:rPr>
          <w:lang w:eastAsia="en-US"/>
        </w:rPr>
        <w:tab/>
        <w:t xml:space="preserve">Le Groupe de travail s’est félicité de l’adhésion </w:t>
      </w:r>
      <w:r>
        <w:rPr>
          <w:lang w:eastAsia="en-US"/>
        </w:rPr>
        <w:t>de l’Arménie</w:t>
      </w:r>
      <w:r w:rsidRPr="00203D03">
        <w:rPr>
          <w:lang w:eastAsia="en-US"/>
        </w:rPr>
        <w:t xml:space="preserve"> à l’ADR (Notification dépositaire </w:t>
      </w:r>
      <w:r>
        <w:t>: C.N.99.2022.TREATIES-XI.B.14</w:t>
      </w:r>
      <w:r w:rsidRPr="00203D03">
        <w:rPr>
          <w:lang w:eastAsia="en-US"/>
        </w:rPr>
        <w:t>), portant ainsi le nombre de parties contractantes à 5</w:t>
      </w:r>
      <w:r>
        <w:rPr>
          <w:lang w:eastAsia="en-US"/>
        </w:rPr>
        <w:t>3</w:t>
      </w:r>
      <w:r w:rsidRPr="00203D03">
        <w:rPr>
          <w:lang w:eastAsia="en-US"/>
        </w:rPr>
        <w:t xml:space="preserve">. </w:t>
      </w:r>
    </w:p>
    <w:p w14:paraId="5EB7667D" w14:textId="77777777" w:rsidR="00E83179" w:rsidRPr="00203D03" w:rsidRDefault="00E83179" w:rsidP="00E83179">
      <w:pPr>
        <w:keepNext/>
        <w:keepLines/>
        <w:tabs>
          <w:tab w:val="right" w:pos="851"/>
        </w:tabs>
        <w:kinsoku/>
        <w:overflowPunct/>
        <w:autoSpaceDE/>
        <w:autoSpaceDN/>
        <w:adjustRightInd/>
        <w:snapToGrid/>
        <w:spacing w:before="360" w:after="240" w:line="270" w:lineRule="exact"/>
        <w:ind w:left="1134" w:right="1134" w:hanging="1134"/>
        <w:rPr>
          <w:b/>
          <w:sz w:val="24"/>
          <w:lang w:val="fr-FR" w:eastAsia="en-US"/>
        </w:rPr>
      </w:pPr>
      <w:r w:rsidRPr="00203D03">
        <w:rPr>
          <w:b/>
          <w:sz w:val="24"/>
          <w:lang w:val="fr-FR" w:eastAsia="en-US"/>
        </w:rPr>
        <w:tab/>
        <w:t>B.</w:t>
      </w:r>
      <w:r w:rsidRPr="00203D03">
        <w:rPr>
          <w:b/>
          <w:sz w:val="24"/>
          <w:lang w:val="fr-FR" w:eastAsia="en-US"/>
        </w:rPr>
        <w:tab/>
        <w:t>Protocole d’amendement de 1993</w:t>
      </w:r>
    </w:p>
    <w:p w14:paraId="3CE3C32B" w14:textId="77777777" w:rsidR="00E83179" w:rsidRDefault="00E83179" w:rsidP="00E83179">
      <w:pPr>
        <w:kinsoku/>
        <w:overflowPunct/>
        <w:autoSpaceDE/>
        <w:autoSpaceDN/>
        <w:adjustRightInd/>
        <w:snapToGrid/>
        <w:spacing w:after="120"/>
        <w:ind w:left="1134" w:right="1134"/>
        <w:jc w:val="both"/>
        <w:rPr>
          <w:lang w:eastAsia="en-US"/>
        </w:rPr>
      </w:pPr>
      <w:r w:rsidRPr="00203D03">
        <w:rPr>
          <w:lang w:eastAsia="en-US"/>
        </w:rPr>
        <w:t>1</w:t>
      </w:r>
      <w:r>
        <w:rPr>
          <w:lang w:eastAsia="en-US"/>
        </w:rPr>
        <w:t>5</w:t>
      </w:r>
      <w:r w:rsidRPr="00203D03">
        <w:rPr>
          <w:lang w:eastAsia="en-US"/>
        </w:rPr>
        <w:t>.</w:t>
      </w:r>
      <w:r w:rsidRPr="00203D03">
        <w:rPr>
          <w:lang w:eastAsia="en-US"/>
        </w:rPr>
        <w:tab/>
      </w:r>
      <w:r>
        <w:rPr>
          <w:lang w:eastAsia="en-US"/>
        </w:rPr>
        <w:t xml:space="preserve">Le Groupe de travail </w:t>
      </w:r>
      <w:r w:rsidRPr="00203D03">
        <w:rPr>
          <w:lang w:eastAsia="en-US"/>
        </w:rPr>
        <w:t>a encouragé les pays qui n’avaient pas encore déposé l’instrument juridique nécessaire pour l’entrée en vigueur du Protocole de 1993 (</w:t>
      </w:r>
      <w:r>
        <w:rPr>
          <w:rFonts w:asciiTheme="majorBidi" w:hAnsiTheme="majorBidi" w:cstheme="majorBidi"/>
          <w:lang w:val="fr-FR"/>
        </w:rPr>
        <w:t xml:space="preserve">Arménie, </w:t>
      </w:r>
      <w:r w:rsidRPr="00B7713E">
        <w:rPr>
          <w:rFonts w:asciiTheme="majorBidi" w:hAnsiTheme="majorBidi" w:cstheme="majorBidi"/>
          <w:lang w:val="fr-FR"/>
        </w:rPr>
        <w:t>Azerbaïdjan, Bélarus, Bosnie-Herzégovine, Croatie, Islande, Kazakhstan, Maroc, Monténégro, Macédoine du Nord, Nigéria, Saint</w:t>
      </w:r>
      <w:r>
        <w:rPr>
          <w:rFonts w:asciiTheme="majorBidi" w:hAnsiTheme="majorBidi" w:cstheme="majorBidi"/>
          <w:lang w:val="fr-FR"/>
        </w:rPr>
        <w:noBreakHyphen/>
      </w:r>
      <w:r w:rsidRPr="00B7713E">
        <w:rPr>
          <w:rFonts w:asciiTheme="majorBidi" w:hAnsiTheme="majorBidi" w:cstheme="majorBidi"/>
          <w:lang w:val="fr-FR"/>
        </w:rPr>
        <w:t>Marin et Tadjikistan</w:t>
      </w:r>
      <w:r w:rsidRPr="00203D03">
        <w:rPr>
          <w:lang w:eastAsia="en-US"/>
        </w:rPr>
        <w:t xml:space="preserve">) à prendre les mesures nécessaires pour ratifier le Protocole ou y adhérer, afin qu’il puisse </w:t>
      </w:r>
      <w:r>
        <w:rPr>
          <w:lang w:eastAsia="en-US"/>
        </w:rPr>
        <w:t xml:space="preserve">rapidement </w:t>
      </w:r>
      <w:r w:rsidRPr="00203D03">
        <w:rPr>
          <w:lang w:eastAsia="en-US"/>
        </w:rPr>
        <w:t>prendre effet</w:t>
      </w:r>
      <w:r>
        <w:rPr>
          <w:lang w:eastAsia="en-US"/>
        </w:rPr>
        <w:t>.</w:t>
      </w:r>
    </w:p>
    <w:p w14:paraId="756E4F37" w14:textId="77777777" w:rsidR="00232404" w:rsidRPr="009B440C" w:rsidRDefault="00232404" w:rsidP="00232404">
      <w:pPr>
        <w:pStyle w:val="HChG"/>
        <w:rPr>
          <w:rFonts w:eastAsiaTheme="minorHAnsi"/>
          <w:lang w:val="fr-FR" w:eastAsia="en-US"/>
        </w:rPr>
      </w:pPr>
      <w:r w:rsidRPr="009B440C">
        <w:rPr>
          <w:rFonts w:eastAsiaTheme="minorHAnsi"/>
          <w:lang w:val="fr-FR" w:eastAsia="en-US"/>
        </w:rPr>
        <w:lastRenderedPageBreak/>
        <w:tab/>
      </w:r>
      <w:r>
        <w:rPr>
          <w:rFonts w:eastAsiaTheme="minorHAnsi"/>
          <w:lang w:val="fr-FR" w:eastAsia="en-US"/>
        </w:rPr>
        <w:t>V</w:t>
      </w:r>
      <w:r w:rsidRPr="009B440C">
        <w:rPr>
          <w:rFonts w:eastAsiaTheme="minorHAnsi"/>
          <w:lang w:val="fr-FR" w:eastAsia="en-US"/>
        </w:rPr>
        <w:t>.</w:t>
      </w:r>
      <w:r w:rsidRPr="009B440C">
        <w:rPr>
          <w:rFonts w:eastAsiaTheme="minorHAnsi"/>
          <w:lang w:val="fr-FR" w:eastAsia="en-US"/>
        </w:rPr>
        <w:tab/>
        <w:t xml:space="preserve">Travaux de la Réunion commune RID/ADR/ADN </w:t>
      </w:r>
      <w:r w:rsidRPr="00203D03">
        <w:rPr>
          <w:lang w:eastAsia="en-US"/>
        </w:rPr>
        <w:t xml:space="preserve">(point </w:t>
      </w:r>
      <w:r>
        <w:rPr>
          <w:lang w:eastAsia="en-US"/>
        </w:rPr>
        <w:t>4</w:t>
      </w:r>
      <w:r w:rsidRPr="00203D03">
        <w:rPr>
          <w:lang w:eastAsia="en-US"/>
        </w:rPr>
        <w:t xml:space="preserve"> de l’ordre du jour)</w:t>
      </w:r>
    </w:p>
    <w:p w14:paraId="23E1DDEE" w14:textId="77777777" w:rsidR="00232404" w:rsidRDefault="00232404" w:rsidP="00232404">
      <w:pPr>
        <w:pStyle w:val="H1G"/>
        <w:rPr>
          <w:i/>
          <w:iCs/>
          <w:lang w:val="fr-FR"/>
        </w:rPr>
      </w:pPr>
      <w:r>
        <w:rPr>
          <w:lang w:val="fr-FR" w:eastAsia="en-US"/>
        </w:rPr>
        <w:tab/>
        <w:t>A.</w:t>
      </w:r>
      <w:r>
        <w:rPr>
          <w:lang w:val="fr-FR" w:eastAsia="en-US"/>
        </w:rPr>
        <w:tab/>
        <w:t>P</w:t>
      </w:r>
      <w:r w:rsidRPr="002F392A">
        <w:rPr>
          <w:lang w:val="fr-FR" w:eastAsia="en-US"/>
        </w:rPr>
        <w:t>ropositions d’amendements à l’ADR pour entrée en vigueur le 1er janvier 2023 adoptées par la Réunion commune à sa session de mars 2022</w:t>
      </w:r>
    </w:p>
    <w:p w14:paraId="2B0BAB22" w14:textId="77777777" w:rsidR="00232404" w:rsidRPr="005E33C3" w:rsidRDefault="00232404" w:rsidP="00232404">
      <w:pPr>
        <w:spacing w:after="120"/>
        <w:ind w:left="3402" w:right="1134" w:hanging="2268"/>
        <w:rPr>
          <w:lang w:val="fr-FR"/>
        </w:rPr>
      </w:pPr>
      <w:r w:rsidRPr="005E33C3">
        <w:rPr>
          <w:i/>
          <w:iCs/>
          <w:lang w:val="fr-FR"/>
        </w:rPr>
        <w:t>Document</w:t>
      </w:r>
      <w:r>
        <w:rPr>
          <w:i/>
          <w:iCs/>
          <w:lang w:val="fr-FR"/>
        </w:rPr>
        <w:t>s</w:t>
      </w:r>
      <w:r w:rsidRPr="005E33C3">
        <w:rPr>
          <w:i/>
          <w:iCs/>
          <w:lang w:val="fr-FR"/>
        </w:rPr>
        <w:t> </w:t>
      </w:r>
      <w:r w:rsidRPr="005E33C3">
        <w:rPr>
          <w:lang w:val="fr-FR"/>
        </w:rPr>
        <w:t>:</w:t>
      </w:r>
      <w:r w:rsidRPr="005E33C3">
        <w:rPr>
          <w:lang w:val="fr-FR"/>
        </w:rPr>
        <w:tab/>
      </w:r>
      <w:r>
        <w:rPr>
          <w:lang w:val="fr-FR"/>
        </w:rPr>
        <w:t>E</w:t>
      </w:r>
      <w:r w:rsidRPr="00E11E70">
        <w:t>CE/TRANS/WP.15/2</w:t>
      </w:r>
      <w:r>
        <w:t xml:space="preserve">55, </w:t>
      </w:r>
      <w:r w:rsidRPr="0068501D">
        <w:t>ECE/TRANS/WP.15/AC.1/162</w:t>
      </w:r>
      <w:r>
        <w:t xml:space="preserve">, </w:t>
      </w:r>
      <w:r w:rsidRPr="00562023">
        <w:t>ECE/TRANS/WP.15/AC.1/2022/2</w:t>
      </w:r>
      <w:r>
        <w:t xml:space="preserve">, </w:t>
      </w:r>
      <w:r w:rsidRPr="00562023">
        <w:t>ECE/TRANS/WP.15/AC.1/2022/12</w:t>
      </w:r>
      <w:r>
        <w:t xml:space="preserve"> et </w:t>
      </w:r>
      <w:r w:rsidRPr="002F392A">
        <w:rPr>
          <w:lang w:val="fr-FR" w:eastAsia="en-US"/>
        </w:rPr>
        <w:t>ECE/TRANS/WP.15/AC.1/164</w:t>
      </w:r>
      <w:r>
        <w:rPr>
          <w:lang w:val="fr-FR"/>
        </w:rPr>
        <w:t xml:space="preserve"> (</w:t>
      </w:r>
      <w:r w:rsidRPr="005E33C3">
        <w:rPr>
          <w:lang w:val="fr-FR"/>
        </w:rPr>
        <w:t>secrétariat)</w:t>
      </w:r>
    </w:p>
    <w:p w14:paraId="79B10F9D" w14:textId="77777777" w:rsidR="00232404" w:rsidRPr="005E33C3" w:rsidRDefault="00232404" w:rsidP="00232404">
      <w:pPr>
        <w:spacing w:after="120"/>
        <w:ind w:left="3402" w:right="1134" w:hanging="2268"/>
        <w:jc w:val="both"/>
        <w:rPr>
          <w:lang w:val="fr-FR"/>
        </w:rPr>
      </w:pPr>
      <w:r w:rsidRPr="005E33C3">
        <w:rPr>
          <w:i/>
          <w:iCs/>
          <w:lang w:val="fr-FR"/>
        </w:rPr>
        <w:t>Document</w:t>
      </w:r>
      <w:r>
        <w:rPr>
          <w:i/>
          <w:iCs/>
          <w:lang w:val="fr-FR"/>
        </w:rPr>
        <w:t>s</w:t>
      </w:r>
      <w:r w:rsidRPr="005E33C3">
        <w:rPr>
          <w:i/>
          <w:iCs/>
          <w:lang w:val="fr-FR"/>
        </w:rPr>
        <w:t xml:space="preserve"> informel</w:t>
      </w:r>
      <w:r>
        <w:rPr>
          <w:i/>
          <w:iCs/>
          <w:lang w:val="fr-FR"/>
        </w:rPr>
        <w:t>s</w:t>
      </w:r>
      <w:r w:rsidRPr="005E33C3">
        <w:rPr>
          <w:i/>
          <w:iCs/>
          <w:lang w:val="fr-FR"/>
        </w:rPr>
        <w:t> </w:t>
      </w:r>
      <w:r w:rsidRPr="005E33C3">
        <w:rPr>
          <w:lang w:val="fr-FR"/>
        </w:rPr>
        <w:t>:</w:t>
      </w:r>
      <w:r w:rsidRPr="005E33C3">
        <w:rPr>
          <w:lang w:val="fr-FR"/>
        </w:rPr>
        <w:tab/>
        <w:t>INF.</w:t>
      </w:r>
      <w:r>
        <w:rPr>
          <w:lang w:val="fr-FR"/>
        </w:rPr>
        <w:t>5 (</w:t>
      </w:r>
      <w:r w:rsidRPr="005E33C3">
        <w:rPr>
          <w:lang w:val="fr-FR"/>
        </w:rPr>
        <w:t>secrétariat)</w:t>
      </w:r>
      <w:r>
        <w:rPr>
          <w:lang w:val="fr-FR"/>
        </w:rPr>
        <w:t>, INF.9 (France), INF.17 (OTIF)</w:t>
      </w:r>
    </w:p>
    <w:p w14:paraId="18B0F931" w14:textId="361D4BE4" w:rsidR="00232404" w:rsidRPr="002F392A" w:rsidRDefault="00232404" w:rsidP="00232404">
      <w:pPr>
        <w:pStyle w:val="SingleTxtG"/>
        <w:rPr>
          <w:lang w:val="fr-FR" w:eastAsia="en-US"/>
        </w:rPr>
      </w:pPr>
      <w:r>
        <w:rPr>
          <w:lang w:eastAsia="en-US"/>
        </w:rPr>
        <w:t>16.</w:t>
      </w:r>
      <w:r>
        <w:rPr>
          <w:lang w:eastAsia="en-US"/>
        </w:rPr>
        <w:tab/>
        <w:t xml:space="preserve">Le Groupe de travail a examiné </w:t>
      </w:r>
      <w:r w:rsidRPr="002F392A">
        <w:rPr>
          <w:lang w:val="fr-FR" w:eastAsia="en-US"/>
        </w:rPr>
        <w:t xml:space="preserve">les propositions d’amendements à l’ADR </w:t>
      </w:r>
      <w:r>
        <w:rPr>
          <w:lang w:val="fr-FR" w:eastAsia="en-US"/>
        </w:rPr>
        <w:t xml:space="preserve">figurant dans le document informel INF.5. </w:t>
      </w:r>
      <w:r w:rsidRPr="005E5CF8">
        <w:rPr>
          <w:lang w:val="fr-FR" w:eastAsia="en-US"/>
        </w:rPr>
        <w:t xml:space="preserve">Les amendements ont été adoptés pour entrée en vigueur le 1er janvier </w:t>
      </w:r>
      <w:r>
        <w:rPr>
          <w:lang w:val="fr-FR" w:eastAsia="en-US"/>
        </w:rPr>
        <w:t>2023</w:t>
      </w:r>
      <w:r w:rsidRPr="005E5CF8">
        <w:rPr>
          <w:lang w:val="fr-FR" w:eastAsia="en-US"/>
        </w:rPr>
        <w:t xml:space="preserve">, sous réserve de quelques modifications </w:t>
      </w:r>
      <w:r>
        <w:rPr>
          <w:lang w:val="fr-FR" w:eastAsia="en-US"/>
        </w:rPr>
        <w:t xml:space="preserve">et avec la correction du document INF.17 </w:t>
      </w:r>
      <w:r w:rsidRPr="005E5CF8">
        <w:rPr>
          <w:lang w:val="fr-FR" w:eastAsia="en-US"/>
        </w:rPr>
        <w:t xml:space="preserve">(voir annexe </w:t>
      </w:r>
      <w:r w:rsidR="00C23FB2">
        <w:rPr>
          <w:lang w:val="fr-FR" w:eastAsia="en-US"/>
        </w:rPr>
        <w:t>I</w:t>
      </w:r>
      <w:r w:rsidRPr="005E5CF8">
        <w:rPr>
          <w:lang w:val="fr-FR" w:eastAsia="en-US"/>
        </w:rPr>
        <w:t>)</w:t>
      </w:r>
      <w:r>
        <w:rPr>
          <w:lang w:val="fr-FR" w:eastAsia="en-US"/>
        </w:rPr>
        <w:t xml:space="preserve">. </w:t>
      </w:r>
      <w:r w:rsidRPr="005E5CF8">
        <w:rPr>
          <w:lang w:val="fr-FR" w:eastAsia="en-US"/>
        </w:rPr>
        <w:t>Le Groupe de travail a noté que ces modifications seraient également portées à l’attention du Comité d’experts du RID.</w:t>
      </w:r>
    </w:p>
    <w:p w14:paraId="585489B7" w14:textId="471884B6" w:rsidR="00232404" w:rsidRDefault="00232404" w:rsidP="00232404">
      <w:pPr>
        <w:kinsoku/>
        <w:overflowPunct/>
        <w:autoSpaceDE/>
        <w:autoSpaceDN/>
        <w:adjustRightInd/>
        <w:snapToGrid/>
        <w:spacing w:after="120"/>
        <w:ind w:left="1134" w:right="1134"/>
        <w:jc w:val="both"/>
        <w:rPr>
          <w:lang w:eastAsia="en-US"/>
        </w:rPr>
      </w:pPr>
      <w:r>
        <w:rPr>
          <w:lang w:eastAsia="en-US"/>
        </w:rPr>
        <w:t>17.</w:t>
      </w:r>
      <w:r>
        <w:rPr>
          <w:lang w:eastAsia="en-US"/>
        </w:rPr>
        <w:tab/>
        <w:t xml:space="preserve">Le Groupe de travail a noté que la version révisée de la norme </w:t>
      </w:r>
      <w:r w:rsidRPr="00351DCB">
        <w:rPr>
          <w:lang w:eastAsia="en-US"/>
        </w:rPr>
        <w:t>EN 14025</w:t>
      </w:r>
      <w:r>
        <w:rPr>
          <w:lang w:eastAsia="en-US"/>
        </w:rPr>
        <w:t xml:space="preserve"> ne pourrait pas être publiée avant le 1</w:t>
      </w:r>
      <w:r w:rsidRPr="00195F61">
        <w:rPr>
          <w:vertAlign w:val="superscript"/>
          <w:lang w:eastAsia="en-US"/>
        </w:rPr>
        <w:t>er</w:t>
      </w:r>
      <w:r>
        <w:rPr>
          <w:lang w:eastAsia="en-US"/>
        </w:rPr>
        <w:t xml:space="preserve"> juin 2022. Les projets d’amendements visant à référencer cette norme dans l’ADR 2023 ont été retirés. Le secrétariat a indiqué qu’il préparerait</w:t>
      </w:r>
      <w:r w:rsidRPr="00882070">
        <w:rPr>
          <w:lang w:eastAsia="en-US"/>
        </w:rPr>
        <w:t xml:space="preserve"> </w:t>
      </w:r>
      <w:r>
        <w:rPr>
          <w:lang w:eastAsia="en-US"/>
        </w:rPr>
        <w:t xml:space="preserve">une liste de ces amendements à l’attention du </w:t>
      </w:r>
      <w:r>
        <w:rPr>
          <w:lang w:val="fr-FR"/>
        </w:rPr>
        <w:t>Groupe de travail des normes</w:t>
      </w:r>
      <w:r>
        <w:rPr>
          <w:lang w:eastAsia="en-US"/>
        </w:rPr>
        <w:t xml:space="preserve"> de la Réunion commune afin que celui-ci puisse les reporter dans les projets d’amendements pour une entrée en vigueur au 1</w:t>
      </w:r>
      <w:r w:rsidRPr="00490AB5">
        <w:rPr>
          <w:vertAlign w:val="superscript"/>
          <w:lang w:eastAsia="en-US"/>
        </w:rPr>
        <w:t>er</w:t>
      </w:r>
      <w:r>
        <w:rPr>
          <w:lang w:eastAsia="en-US"/>
        </w:rPr>
        <w:t xml:space="preserve"> janvier 2025. Le Groupe de travail a confirmé que ces amendements devraient prendre en compte la correction proposée dans le document informel INF.9 pour la référence à la version révisée de la norme 14025.</w:t>
      </w:r>
    </w:p>
    <w:p w14:paraId="3E34252C" w14:textId="77777777" w:rsidR="00232404" w:rsidRDefault="00232404" w:rsidP="00232404">
      <w:pPr>
        <w:kinsoku/>
        <w:overflowPunct/>
        <w:autoSpaceDE/>
        <w:autoSpaceDN/>
        <w:adjustRightInd/>
        <w:snapToGrid/>
        <w:spacing w:after="120"/>
        <w:ind w:left="1134" w:right="1134"/>
        <w:jc w:val="both"/>
      </w:pPr>
      <w:r>
        <w:rPr>
          <w:lang w:eastAsia="en-US"/>
        </w:rPr>
        <w:t>18.</w:t>
      </w:r>
      <w:r>
        <w:rPr>
          <w:lang w:eastAsia="en-US"/>
        </w:rPr>
        <w:tab/>
        <w:t xml:space="preserve">Le Groupe de travail a noté que les versions révisées des normes </w:t>
      </w:r>
      <w:r w:rsidRPr="0035500D">
        <w:rPr>
          <w:lang w:eastAsia="en-US"/>
        </w:rPr>
        <w:t>EN 12245</w:t>
      </w:r>
      <w:r>
        <w:rPr>
          <w:lang w:eastAsia="en-US"/>
        </w:rPr>
        <w:t>, EN 12252</w:t>
      </w:r>
      <w:r w:rsidRPr="0035500D">
        <w:rPr>
          <w:lang w:eastAsia="en-US"/>
        </w:rPr>
        <w:t xml:space="preserve"> </w:t>
      </w:r>
      <w:r>
        <w:rPr>
          <w:lang w:eastAsia="en-US"/>
        </w:rPr>
        <w:t>et</w:t>
      </w:r>
      <w:r w:rsidRPr="0035500D">
        <w:rPr>
          <w:lang w:eastAsia="en-US"/>
        </w:rPr>
        <w:t xml:space="preserve"> EN 14912 </w:t>
      </w:r>
      <w:r>
        <w:rPr>
          <w:lang w:eastAsia="en-US"/>
        </w:rPr>
        <w:t>et l’amendement A1 à la norme</w:t>
      </w:r>
      <w:r w:rsidRPr="0035500D">
        <w:rPr>
          <w:lang w:eastAsia="en-US"/>
        </w:rPr>
        <w:t xml:space="preserve"> EN 13094:2020 </w:t>
      </w:r>
      <w:r>
        <w:rPr>
          <w:lang w:eastAsia="en-US"/>
        </w:rPr>
        <w:t>n’étaient pas publiés lors de la  session mais devaient être publiés d’ici le 8 juin 2022. Le Groupe de travail a adopté les projets d’amendements visant à référencer ces normes dans l’ADR 2023 sous réserve que les normes en question soient publiées avant cette date. Dans le cas contraire, les</w:t>
      </w:r>
      <w:r w:rsidRPr="00540011">
        <w:t xml:space="preserve"> amendements </w:t>
      </w:r>
      <w:r>
        <w:t xml:space="preserve">correspondants ne seraient pas retenus </w:t>
      </w:r>
      <w:r w:rsidRPr="00540011">
        <w:t xml:space="preserve">dans la proposition d’amendements à notifier aux Parties contractantes le 1er juillet </w:t>
      </w:r>
      <w:r>
        <w:t>2022</w:t>
      </w:r>
      <w:r w:rsidRPr="00540011">
        <w:t xml:space="preserve"> pour entrée en vigueur le 1er janvier </w:t>
      </w:r>
      <w:r>
        <w:t xml:space="preserve">2023 et seraient ajoutés à la </w:t>
      </w:r>
      <w:r>
        <w:rPr>
          <w:lang w:eastAsia="en-US"/>
        </w:rPr>
        <w:t xml:space="preserve">liste à l’attention du </w:t>
      </w:r>
      <w:r>
        <w:rPr>
          <w:lang w:val="fr-FR"/>
        </w:rPr>
        <w:t>Groupe de travail des normes</w:t>
      </w:r>
      <w:r>
        <w:rPr>
          <w:lang w:eastAsia="en-US"/>
        </w:rPr>
        <w:t xml:space="preserve"> de la Réunion commune.</w:t>
      </w:r>
    </w:p>
    <w:p w14:paraId="7182CDD7" w14:textId="12A804E6" w:rsidR="00232404" w:rsidRDefault="00232404" w:rsidP="00232404">
      <w:pPr>
        <w:pStyle w:val="H1G"/>
        <w:rPr>
          <w:i/>
          <w:iCs/>
          <w:lang w:val="fr-FR"/>
        </w:rPr>
      </w:pPr>
      <w:r>
        <w:rPr>
          <w:lang w:val="fr-FR" w:eastAsia="en-US"/>
        </w:rPr>
        <w:tab/>
        <w:t>B.</w:t>
      </w:r>
      <w:r>
        <w:rPr>
          <w:lang w:val="fr-FR" w:eastAsia="en-US"/>
        </w:rPr>
        <w:tab/>
        <w:t xml:space="preserve">Nota sous le </w:t>
      </w:r>
      <w:r w:rsidRPr="00017812">
        <w:rPr>
          <w:lang w:val="fr-FR" w:eastAsia="en-US"/>
        </w:rPr>
        <w:t>6.8.3.2.9.1</w:t>
      </w:r>
      <w:r>
        <w:rPr>
          <w:lang w:val="fr-FR" w:eastAsia="en-US"/>
        </w:rPr>
        <w:t xml:space="preserve"> du p</w:t>
      </w:r>
      <w:r w:rsidRPr="00432CD2">
        <w:rPr>
          <w:lang w:val="fr-FR" w:eastAsia="en-US"/>
        </w:rPr>
        <w:t>rojet d'amendements aux annexes A et B de l'ADR</w:t>
      </w:r>
      <w:r>
        <w:rPr>
          <w:lang w:val="fr-FR" w:eastAsia="en-US"/>
        </w:rPr>
        <w:t xml:space="preserve"> </w:t>
      </w:r>
    </w:p>
    <w:p w14:paraId="421FAE89" w14:textId="77777777" w:rsidR="00232404" w:rsidRPr="005E33C3" w:rsidRDefault="00232404" w:rsidP="00232404">
      <w:pPr>
        <w:ind w:left="3402" w:right="1134" w:hanging="2268"/>
        <w:jc w:val="both"/>
        <w:rPr>
          <w:lang w:val="fr-FR"/>
        </w:rPr>
      </w:pPr>
      <w:r w:rsidRPr="005E33C3">
        <w:rPr>
          <w:i/>
          <w:iCs/>
          <w:lang w:val="fr-FR"/>
        </w:rPr>
        <w:t>Document </w:t>
      </w:r>
      <w:r w:rsidRPr="005E33C3">
        <w:rPr>
          <w:iCs/>
          <w:lang w:val="fr-FR"/>
        </w:rPr>
        <w:t>:</w:t>
      </w:r>
      <w:r w:rsidRPr="005E33C3">
        <w:rPr>
          <w:lang w:val="fr-FR"/>
        </w:rPr>
        <w:tab/>
        <w:t>ECE/TRANS/WP.15/25</w:t>
      </w:r>
      <w:r>
        <w:rPr>
          <w:lang w:val="fr-FR"/>
        </w:rPr>
        <w:t>6</w:t>
      </w:r>
      <w:r w:rsidRPr="005E33C3">
        <w:rPr>
          <w:lang w:val="fr-FR"/>
        </w:rPr>
        <w:t xml:space="preserve"> (secrétariat)</w:t>
      </w:r>
    </w:p>
    <w:p w14:paraId="54779A4E" w14:textId="77777777" w:rsidR="00232404" w:rsidRPr="005E33C3" w:rsidRDefault="00232404" w:rsidP="00232404">
      <w:pPr>
        <w:spacing w:after="120"/>
        <w:ind w:left="3402" w:right="1134" w:hanging="2268"/>
        <w:jc w:val="both"/>
        <w:rPr>
          <w:lang w:val="fr-FR"/>
        </w:rPr>
      </w:pPr>
      <w:r w:rsidRPr="005E33C3">
        <w:rPr>
          <w:i/>
          <w:iCs/>
          <w:lang w:val="fr-FR"/>
        </w:rPr>
        <w:t>Document informel </w:t>
      </w:r>
      <w:r w:rsidRPr="005E33C3">
        <w:rPr>
          <w:lang w:val="fr-FR"/>
        </w:rPr>
        <w:t>:</w:t>
      </w:r>
      <w:r w:rsidRPr="005E33C3">
        <w:rPr>
          <w:lang w:val="fr-FR"/>
        </w:rPr>
        <w:tab/>
        <w:t>INF.</w:t>
      </w:r>
      <w:r>
        <w:rPr>
          <w:lang w:val="fr-FR"/>
        </w:rPr>
        <w:t>15 (Liquid Gas Europe)</w:t>
      </w:r>
    </w:p>
    <w:p w14:paraId="0B6788B1" w14:textId="55E05AAE" w:rsidR="00232404" w:rsidRDefault="00232404" w:rsidP="00232404">
      <w:pPr>
        <w:kinsoku/>
        <w:overflowPunct/>
        <w:autoSpaceDE/>
        <w:autoSpaceDN/>
        <w:adjustRightInd/>
        <w:snapToGrid/>
        <w:spacing w:after="120"/>
        <w:ind w:left="1134" w:right="1134"/>
        <w:jc w:val="both"/>
      </w:pPr>
      <w:r>
        <w:rPr>
          <w:lang w:eastAsia="en-US"/>
        </w:rPr>
        <w:t>19.</w:t>
      </w:r>
      <w:r>
        <w:rPr>
          <w:lang w:eastAsia="en-US"/>
        </w:rPr>
        <w:tab/>
        <w:t xml:space="preserve">Le Groupe de travail a confirmé que le Nota sous 6.8.3.2.9.1 tel qu’adopté précédemment par la Réunion commune et le Groupe de travail pour entrée </w:t>
      </w:r>
      <w:r w:rsidRPr="00540011">
        <w:t xml:space="preserve">en vigueur le 1er janvier </w:t>
      </w:r>
      <w:r>
        <w:t xml:space="preserve">2023 était incorrect. Après examen de la proposition de correction dans le document informel INF.15, le Groupe de travail a préféré reprendre les dispositions de l’ADR 2021 en remplaçant le renvoi au 6.7.3.8.1 </w:t>
      </w:r>
      <w:r>
        <w:rPr>
          <w:lang w:eastAsia="en-US"/>
        </w:rPr>
        <w:t xml:space="preserve">par un renvoi au 6.7.3.8.1.1 </w:t>
      </w:r>
      <w:r>
        <w:t xml:space="preserve">dans le nouveau </w:t>
      </w:r>
      <w:r>
        <w:rPr>
          <w:lang w:eastAsia="en-US"/>
        </w:rPr>
        <w:t xml:space="preserve">6.8.3.2.9.1 et en supprimant le Nota. Le Groupe de travail a adopté cette correction qui sera reprise dans un </w:t>
      </w:r>
      <w:r w:rsidRPr="00085232">
        <w:t>rectificatif au document ECE/TRANS/WP.15/</w:t>
      </w:r>
      <w:r>
        <w:t>256</w:t>
      </w:r>
      <w:r w:rsidR="00942B10">
        <w:t xml:space="preserve"> (voir annexe I)</w:t>
      </w:r>
      <w:r>
        <w:t>.</w:t>
      </w:r>
    </w:p>
    <w:p w14:paraId="1DF3A66D" w14:textId="77777777" w:rsidR="00232404" w:rsidRDefault="00232404" w:rsidP="00232404">
      <w:pPr>
        <w:pStyle w:val="H1G"/>
        <w:rPr>
          <w:lang w:val="fr-FR" w:eastAsia="en-US"/>
        </w:rPr>
      </w:pPr>
      <w:r>
        <w:rPr>
          <w:lang w:val="fr-FR" w:eastAsia="en-US"/>
        </w:rPr>
        <w:tab/>
        <w:t>C.</w:t>
      </w:r>
      <w:r>
        <w:rPr>
          <w:lang w:val="fr-FR" w:eastAsia="en-US"/>
        </w:rPr>
        <w:tab/>
      </w:r>
      <w:bookmarkStart w:id="3" w:name="_Hlk95747243"/>
      <w:r w:rsidRPr="00334742">
        <w:rPr>
          <w:lang w:val="fr-FR"/>
        </w:rPr>
        <w:t>Projet d’amendements aux annexes A et B de l’ADR en vue d’une entrée en vigueur le 1</w:t>
      </w:r>
      <w:r w:rsidRPr="00334742">
        <w:rPr>
          <w:vertAlign w:val="superscript"/>
          <w:lang w:val="fr-FR"/>
        </w:rPr>
        <w:t>er</w:t>
      </w:r>
      <w:r w:rsidRPr="00334742">
        <w:rPr>
          <w:lang w:val="fr-FR"/>
        </w:rPr>
        <w:t xml:space="preserve"> janvier 2023, à confirmer à la 111</w:t>
      </w:r>
      <w:r w:rsidRPr="00334742">
        <w:rPr>
          <w:vertAlign w:val="superscript"/>
          <w:lang w:val="fr-FR"/>
        </w:rPr>
        <w:t>e</w:t>
      </w:r>
      <w:r w:rsidRPr="00334742">
        <w:rPr>
          <w:lang w:val="fr-FR"/>
        </w:rPr>
        <w:t xml:space="preserve"> session</w:t>
      </w:r>
      <w:bookmarkEnd w:id="3"/>
    </w:p>
    <w:p w14:paraId="274458F3" w14:textId="77777777" w:rsidR="00232404" w:rsidRPr="005E33C3" w:rsidRDefault="00232404" w:rsidP="00232404">
      <w:pPr>
        <w:spacing w:after="120"/>
        <w:ind w:left="3402" w:right="1134" w:hanging="2268"/>
        <w:jc w:val="both"/>
        <w:rPr>
          <w:lang w:val="fr-FR"/>
        </w:rPr>
      </w:pPr>
      <w:r w:rsidRPr="005E33C3">
        <w:rPr>
          <w:i/>
          <w:iCs/>
          <w:lang w:val="fr-FR"/>
        </w:rPr>
        <w:t>Document </w:t>
      </w:r>
      <w:r w:rsidRPr="005E33C3">
        <w:rPr>
          <w:iCs/>
          <w:lang w:val="fr-FR"/>
        </w:rPr>
        <w:t>:</w:t>
      </w:r>
      <w:r w:rsidRPr="005E33C3">
        <w:rPr>
          <w:lang w:val="fr-FR"/>
        </w:rPr>
        <w:tab/>
      </w:r>
      <w:r w:rsidRPr="00C66701">
        <w:rPr>
          <w:lang w:val="fr-FR"/>
        </w:rPr>
        <w:t>ECE/TRANS/WP.15/255</w:t>
      </w:r>
      <w:r>
        <w:rPr>
          <w:lang w:val="fr-FR"/>
        </w:rPr>
        <w:t>, annexe III</w:t>
      </w:r>
      <w:r w:rsidRPr="005E33C3">
        <w:rPr>
          <w:lang w:val="fr-FR"/>
        </w:rPr>
        <w:t xml:space="preserve"> (secrétariat)</w:t>
      </w:r>
    </w:p>
    <w:p w14:paraId="04152258" w14:textId="77777777" w:rsidR="00232404" w:rsidRDefault="00232404" w:rsidP="00232404">
      <w:pPr>
        <w:spacing w:after="120"/>
        <w:ind w:left="1134" w:right="1134"/>
        <w:jc w:val="both"/>
        <w:rPr>
          <w:rFonts w:eastAsiaTheme="minorHAnsi"/>
          <w:lang w:val="fr-FR" w:eastAsia="en-US"/>
        </w:rPr>
      </w:pPr>
      <w:r>
        <w:rPr>
          <w:rFonts w:eastAsiaTheme="minorHAnsi"/>
          <w:lang w:val="fr-FR" w:eastAsia="en-US"/>
        </w:rPr>
        <w:lastRenderedPageBreak/>
        <w:t>20</w:t>
      </w:r>
      <w:r w:rsidRPr="000D6228">
        <w:rPr>
          <w:rFonts w:eastAsiaTheme="minorHAnsi"/>
          <w:lang w:val="fr-FR" w:eastAsia="en-US"/>
        </w:rPr>
        <w:t>.</w:t>
      </w:r>
      <w:r w:rsidRPr="000D6228">
        <w:rPr>
          <w:rFonts w:eastAsiaTheme="minorHAnsi"/>
          <w:lang w:val="fr-FR" w:eastAsia="en-US"/>
        </w:rPr>
        <w:tab/>
      </w:r>
      <w:r>
        <w:rPr>
          <w:rFonts w:eastAsiaTheme="minorHAnsi"/>
          <w:lang w:val="fr-FR" w:eastAsia="en-US"/>
        </w:rPr>
        <w:t>Le Groupe de travail a revu les amendements</w:t>
      </w:r>
      <w:r w:rsidRPr="00FA393E">
        <w:rPr>
          <w:rFonts w:eastAsiaTheme="minorHAnsi"/>
          <w:lang w:val="fr-FR" w:eastAsia="en-US"/>
        </w:rPr>
        <w:t xml:space="preserve"> </w:t>
      </w:r>
      <w:r w:rsidRPr="000D6228">
        <w:rPr>
          <w:rFonts w:eastAsiaTheme="minorHAnsi"/>
          <w:lang w:val="fr-FR" w:eastAsia="en-US"/>
        </w:rPr>
        <w:t xml:space="preserve">relatifs à </w:t>
      </w:r>
      <w:r>
        <w:rPr>
          <w:rFonts w:eastAsiaTheme="minorHAnsi"/>
          <w:lang w:val="fr-FR" w:eastAsia="en-US"/>
        </w:rPr>
        <w:t>d</w:t>
      </w:r>
      <w:r w:rsidRPr="000D6228">
        <w:rPr>
          <w:rFonts w:eastAsiaTheme="minorHAnsi"/>
          <w:lang w:val="fr-FR" w:eastAsia="en-US"/>
        </w:rPr>
        <w:t>es normes</w:t>
      </w:r>
      <w:r>
        <w:rPr>
          <w:rFonts w:eastAsiaTheme="minorHAnsi"/>
          <w:lang w:val="fr-FR" w:eastAsia="en-US"/>
        </w:rPr>
        <w:t xml:space="preserve"> </w:t>
      </w:r>
      <w:r w:rsidRPr="000D6228">
        <w:rPr>
          <w:rFonts w:eastAsiaTheme="minorHAnsi"/>
          <w:lang w:val="fr-FR" w:eastAsia="en-US"/>
        </w:rPr>
        <w:t>provisoirement adopté</w:t>
      </w:r>
      <w:r>
        <w:rPr>
          <w:rFonts w:eastAsiaTheme="minorHAnsi"/>
          <w:lang w:val="fr-FR" w:eastAsia="en-US"/>
        </w:rPr>
        <w:t>s</w:t>
      </w:r>
      <w:r w:rsidRPr="000D6228">
        <w:rPr>
          <w:rFonts w:eastAsiaTheme="minorHAnsi"/>
          <w:lang w:val="fr-FR" w:eastAsia="en-US"/>
        </w:rPr>
        <w:t xml:space="preserve"> </w:t>
      </w:r>
      <w:r>
        <w:rPr>
          <w:rFonts w:eastAsiaTheme="minorHAnsi"/>
          <w:lang w:val="fr-FR" w:eastAsia="en-US"/>
        </w:rPr>
        <w:t>à la précédente session</w:t>
      </w:r>
      <w:r w:rsidRPr="000D6228">
        <w:rPr>
          <w:rFonts w:eastAsiaTheme="minorHAnsi"/>
          <w:lang w:val="fr-FR" w:eastAsia="en-US"/>
        </w:rPr>
        <w:t xml:space="preserve"> sous réserve de la publication des normes correspondantes avant la 111</w:t>
      </w:r>
      <w:r w:rsidRPr="000D6228">
        <w:rPr>
          <w:rFonts w:eastAsiaTheme="minorHAnsi"/>
          <w:vertAlign w:val="superscript"/>
          <w:lang w:val="fr-FR" w:eastAsia="en-US"/>
        </w:rPr>
        <w:t>e</w:t>
      </w:r>
      <w:r w:rsidRPr="000D6228">
        <w:rPr>
          <w:rFonts w:eastAsiaTheme="minorHAnsi"/>
          <w:lang w:val="fr-FR" w:eastAsia="en-US"/>
        </w:rPr>
        <w:t xml:space="preserve"> session.</w:t>
      </w:r>
    </w:p>
    <w:p w14:paraId="39D3490F" w14:textId="1D91AB36" w:rsidR="00232404" w:rsidRDefault="00232404" w:rsidP="00232404">
      <w:pPr>
        <w:spacing w:after="120"/>
        <w:ind w:left="1134" w:right="1134"/>
        <w:jc w:val="both"/>
        <w:rPr>
          <w:rFonts w:eastAsiaTheme="minorHAnsi"/>
          <w:lang w:val="fr-FR" w:eastAsia="en-US"/>
        </w:rPr>
      </w:pPr>
      <w:r>
        <w:rPr>
          <w:rFonts w:eastAsiaTheme="minorHAnsi"/>
          <w:lang w:val="fr-FR" w:eastAsia="en-US"/>
        </w:rPr>
        <w:t>21.</w:t>
      </w:r>
      <w:r>
        <w:rPr>
          <w:rFonts w:eastAsiaTheme="minorHAnsi"/>
          <w:lang w:val="fr-FR" w:eastAsia="en-US"/>
        </w:rPr>
        <w:tab/>
        <w:t xml:space="preserve">L’amendement visant à introduire une référence à la version révisée de la norme EN </w:t>
      </w:r>
      <w:r w:rsidR="00C17535">
        <w:rPr>
          <w:rFonts w:eastAsiaTheme="minorHAnsi"/>
          <w:lang w:val="fr-FR" w:eastAsia="en-US"/>
        </w:rPr>
        <w:t>1</w:t>
      </w:r>
      <w:r>
        <w:rPr>
          <w:rFonts w:eastAsiaTheme="minorHAnsi"/>
          <w:lang w:val="fr-FR" w:eastAsia="en-US"/>
        </w:rPr>
        <w:t xml:space="preserve">439 dans l’instruction d’emballage P200 a été confirmé avec une modification de l’année de publication de cette version révisée (voir annexe </w:t>
      </w:r>
      <w:r w:rsidR="00C17535">
        <w:rPr>
          <w:rFonts w:eastAsiaTheme="minorHAnsi"/>
          <w:lang w:val="fr-FR" w:eastAsia="en-US"/>
        </w:rPr>
        <w:t>I</w:t>
      </w:r>
      <w:r>
        <w:rPr>
          <w:rFonts w:eastAsiaTheme="minorHAnsi"/>
          <w:lang w:val="fr-FR" w:eastAsia="en-US"/>
        </w:rPr>
        <w:t>).</w:t>
      </w:r>
    </w:p>
    <w:p w14:paraId="79A69C0A" w14:textId="77777777" w:rsidR="00232404" w:rsidRDefault="00232404" w:rsidP="00232404">
      <w:pPr>
        <w:kinsoku/>
        <w:overflowPunct/>
        <w:autoSpaceDE/>
        <w:autoSpaceDN/>
        <w:adjustRightInd/>
        <w:snapToGrid/>
        <w:spacing w:after="120"/>
        <w:ind w:left="1134" w:right="1134"/>
        <w:jc w:val="both"/>
      </w:pPr>
      <w:r>
        <w:rPr>
          <w:rFonts w:eastAsiaTheme="minorHAnsi"/>
          <w:lang w:val="fr-FR" w:eastAsia="en-US"/>
        </w:rPr>
        <w:t>22.</w:t>
      </w:r>
      <w:r>
        <w:rPr>
          <w:rFonts w:eastAsiaTheme="minorHAnsi"/>
          <w:lang w:val="fr-FR" w:eastAsia="en-US"/>
        </w:rPr>
        <w:tab/>
      </w:r>
      <w:r>
        <w:rPr>
          <w:lang w:eastAsia="en-US"/>
        </w:rPr>
        <w:t>Le Groupe de travail a noté que la version révisée de la norme EN 13799 ne pourrait pas être publiée avant le 1</w:t>
      </w:r>
      <w:r w:rsidRPr="00195F61">
        <w:rPr>
          <w:vertAlign w:val="superscript"/>
          <w:lang w:eastAsia="en-US"/>
        </w:rPr>
        <w:t>er</w:t>
      </w:r>
      <w:r>
        <w:rPr>
          <w:lang w:eastAsia="en-US"/>
        </w:rPr>
        <w:t xml:space="preserve"> juin 2022. Les projets d’amendements visant à référencer cette norme aux 6.2.4.1 et 6.8.2.6.1 de l’ADR 2023 ont été retirés. Le Groupe de travail est convenu que les amendements correspondants </w:t>
      </w:r>
      <w:r>
        <w:t xml:space="preserve">seraient ajoutés à la </w:t>
      </w:r>
      <w:r>
        <w:rPr>
          <w:lang w:eastAsia="en-US"/>
        </w:rPr>
        <w:t xml:space="preserve">liste à l’attention du </w:t>
      </w:r>
      <w:r>
        <w:rPr>
          <w:lang w:val="fr-FR"/>
        </w:rPr>
        <w:t>Groupe de travail des normes</w:t>
      </w:r>
      <w:r>
        <w:rPr>
          <w:lang w:eastAsia="en-US"/>
        </w:rPr>
        <w:t xml:space="preserve"> de la Réunion commune.</w:t>
      </w:r>
    </w:p>
    <w:p w14:paraId="07BD1270" w14:textId="77777777" w:rsidR="00232404" w:rsidRDefault="00232404" w:rsidP="00232404">
      <w:pPr>
        <w:pStyle w:val="H1G"/>
        <w:rPr>
          <w:lang w:val="fr-FR"/>
        </w:rPr>
      </w:pPr>
      <w:r>
        <w:rPr>
          <w:lang w:val="fr-FR" w:eastAsia="en-US"/>
        </w:rPr>
        <w:tab/>
        <w:t>D.</w:t>
      </w:r>
      <w:r>
        <w:rPr>
          <w:lang w:val="fr-FR" w:eastAsia="en-US"/>
        </w:rPr>
        <w:tab/>
      </w:r>
      <w:r w:rsidRPr="00E506BB">
        <w:rPr>
          <w:lang w:val="fr-FR"/>
        </w:rPr>
        <w:t>Corrections au projet d’amendements à l’ADR pour entrée en vigueur le 1er janvier 2023 (</w:t>
      </w:r>
      <w:bookmarkStart w:id="4" w:name="_Hlk512430828"/>
      <w:r w:rsidRPr="00E506BB">
        <w:rPr>
          <w:lang w:val="fr-FR"/>
        </w:rPr>
        <w:t>ECE/TRANS/WP.15/2</w:t>
      </w:r>
      <w:bookmarkEnd w:id="4"/>
      <w:r w:rsidRPr="00E506BB">
        <w:rPr>
          <w:lang w:val="fr-FR"/>
        </w:rPr>
        <w:t>56)</w:t>
      </w:r>
    </w:p>
    <w:p w14:paraId="7B790E41" w14:textId="77777777" w:rsidR="00232404" w:rsidRPr="005E33C3" w:rsidRDefault="00232404" w:rsidP="00232404">
      <w:pPr>
        <w:ind w:left="3402" w:right="1134" w:hanging="2268"/>
        <w:jc w:val="both"/>
        <w:rPr>
          <w:lang w:val="fr-FR"/>
        </w:rPr>
      </w:pPr>
      <w:r w:rsidRPr="005E33C3">
        <w:rPr>
          <w:i/>
          <w:iCs/>
          <w:lang w:val="fr-FR"/>
        </w:rPr>
        <w:t>Document </w:t>
      </w:r>
      <w:r w:rsidRPr="005E33C3">
        <w:rPr>
          <w:iCs/>
          <w:lang w:val="fr-FR"/>
        </w:rPr>
        <w:t>:</w:t>
      </w:r>
      <w:r w:rsidRPr="005E33C3">
        <w:rPr>
          <w:lang w:val="fr-FR"/>
        </w:rPr>
        <w:tab/>
      </w:r>
      <w:r w:rsidRPr="00C66701">
        <w:rPr>
          <w:lang w:val="fr-FR"/>
        </w:rPr>
        <w:t>ECE/TRANS/WP.15/25</w:t>
      </w:r>
      <w:r>
        <w:rPr>
          <w:lang w:val="fr-FR"/>
        </w:rPr>
        <w:t>6</w:t>
      </w:r>
      <w:r w:rsidRPr="005E33C3">
        <w:rPr>
          <w:lang w:val="fr-FR"/>
        </w:rPr>
        <w:t xml:space="preserve"> (secrétariat)</w:t>
      </w:r>
    </w:p>
    <w:p w14:paraId="6E24BCF6" w14:textId="77777777" w:rsidR="00232404" w:rsidRDefault="00232404" w:rsidP="00232404">
      <w:pPr>
        <w:spacing w:after="120"/>
        <w:ind w:left="3402" w:right="1134" w:hanging="2268"/>
        <w:jc w:val="both"/>
        <w:rPr>
          <w:lang w:val="fr-FR"/>
        </w:rPr>
      </w:pPr>
      <w:r w:rsidRPr="005E33C3">
        <w:rPr>
          <w:i/>
          <w:iCs/>
          <w:lang w:val="fr-FR"/>
        </w:rPr>
        <w:t>Document informel </w:t>
      </w:r>
      <w:r w:rsidRPr="005E33C3">
        <w:rPr>
          <w:lang w:val="fr-FR"/>
        </w:rPr>
        <w:t>:</w:t>
      </w:r>
      <w:r w:rsidRPr="005E33C3">
        <w:rPr>
          <w:lang w:val="fr-FR"/>
        </w:rPr>
        <w:tab/>
        <w:t>INF.</w:t>
      </w:r>
      <w:r>
        <w:rPr>
          <w:lang w:val="fr-FR"/>
        </w:rPr>
        <w:t>6/Rev.1 (secrétariat)</w:t>
      </w:r>
    </w:p>
    <w:p w14:paraId="12721232" w14:textId="6F26961B" w:rsidR="00232404" w:rsidRDefault="00232404" w:rsidP="00232404">
      <w:pPr>
        <w:kinsoku/>
        <w:overflowPunct/>
        <w:autoSpaceDE/>
        <w:autoSpaceDN/>
        <w:adjustRightInd/>
        <w:snapToGrid/>
        <w:spacing w:after="120"/>
        <w:ind w:left="1134" w:right="1134"/>
        <w:jc w:val="both"/>
      </w:pPr>
      <w:r w:rsidRPr="00822DA0">
        <w:rPr>
          <w:rFonts w:eastAsiaTheme="minorHAnsi"/>
          <w:lang w:val="fr-FR" w:eastAsia="en-US"/>
        </w:rPr>
        <w:t>23.</w:t>
      </w:r>
      <w:r w:rsidRPr="00822DA0">
        <w:rPr>
          <w:rFonts w:eastAsiaTheme="minorHAnsi"/>
          <w:lang w:val="fr-FR" w:eastAsia="en-US"/>
        </w:rPr>
        <w:tab/>
      </w:r>
      <w:r>
        <w:rPr>
          <w:rFonts w:eastAsiaTheme="minorHAnsi"/>
          <w:lang w:val="fr-FR" w:eastAsia="en-US"/>
        </w:rPr>
        <w:t>Le Groupe de travail a confirmé les c</w:t>
      </w:r>
      <w:r w:rsidRPr="00E506BB">
        <w:rPr>
          <w:lang w:val="fr-FR"/>
        </w:rPr>
        <w:t xml:space="preserve">orrections au document </w:t>
      </w:r>
      <w:bookmarkStart w:id="5" w:name="_Hlk512430894"/>
      <w:r w:rsidRPr="00E506BB">
        <w:rPr>
          <w:lang w:val="fr-FR"/>
        </w:rPr>
        <w:t xml:space="preserve">ECE/TRANS/WP.15/256 </w:t>
      </w:r>
      <w:bookmarkEnd w:id="5"/>
      <w:r w:rsidRPr="00E506BB">
        <w:rPr>
          <w:lang w:val="fr-FR"/>
        </w:rPr>
        <w:t>adoptées par la Réunion commune</w:t>
      </w:r>
      <w:r>
        <w:rPr>
          <w:lang w:val="fr-FR"/>
        </w:rPr>
        <w:t xml:space="preserve"> et les autres corrections éditoriales reprises dans le document informel INF.6/Rev.1 (voir annexe </w:t>
      </w:r>
      <w:r w:rsidR="00D84BAA">
        <w:rPr>
          <w:lang w:val="fr-FR"/>
        </w:rPr>
        <w:t>I</w:t>
      </w:r>
      <w:r>
        <w:rPr>
          <w:lang w:val="fr-FR"/>
        </w:rPr>
        <w:t xml:space="preserve">). Il a noté que ces corrections </w:t>
      </w:r>
      <w:r>
        <w:rPr>
          <w:lang w:eastAsia="en-US"/>
        </w:rPr>
        <w:t xml:space="preserve">seraient prises en compte dans le </w:t>
      </w:r>
      <w:r w:rsidRPr="00085232">
        <w:t>rectificatif au document ECE/TRANS/WP.15/</w:t>
      </w:r>
      <w:r>
        <w:t>256.</w:t>
      </w:r>
    </w:p>
    <w:p w14:paraId="3D30C023" w14:textId="77777777" w:rsidR="00232404" w:rsidRDefault="00232404" w:rsidP="00232404">
      <w:pPr>
        <w:pStyle w:val="H1G"/>
        <w:rPr>
          <w:i/>
          <w:iCs/>
          <w:lang w:val="fr-FR"/>
        </w:rPr>
      </w:pPr>
      <w:r>
        <w:rPr>
          <w:lang w:val="fr-FR" w:eastAsia="en-US"/>
        </w:rPr>
        <w:tab/>
        <w:t>E.</w:t>
      </w:r>
      <w:r>
        <w:rPr>
          <w:lang w:val="fr-FR" w:eastAsia="en-US"/>
        </w:rPr>
        <w:tab/>
        <w:t>P</w:t>
      </w:r>
      <w:r w:rsidRPr="002F392A">
        <w:rPr>
          <w:lang w:val="fr-FR" w:eastAsia="en-US"/>
        </w:rPr>
        <w:t xml:space="preserve">ropositions d’amendements à l’ADR pour entrée en vigueur le 1er janvier </w:t>
      </w:r>
      <w:r>
        <w:rPr>
          <w:lang w:val="fr-FR" w:eastAsia="en-US"/>
        </w:rPr>
        <w:t>2025</w:t>
      </w:r>
      <w:r w:rsidRPr="002F392A">
        <w:rPr>
          <w:lang w:val="fr-FR" w:eastAsia="en-US"/>
        </w:rPr>
        <w:t xml:space="preserve"> adoptées par la Réunion commune à sa session de mars 2022</w:t>
      </w:r>
    </w:p>
    <w:p w14:paraId="1247CC7E" w14:textId="77777777" w:rsidR="00232404" w:rsidRPr="005E33C3" w:rsidRDefault="00232404" w:rsidP="00232404">
      <w:pPr>
        <w:ind w:left="3402" w:right="1134" w:hanging="2268"/>
        <w:jc w:val="both"/>
        <w:rPr>
          <w:lang w:val="fr-FR"/>
        </w:rPr>
      </w:pPr>
      <w:r w:rsidRPr="005E33C3">
        <w:rPr>
          <w:i/>
          <w:iCs/>
          <w:lang w:val="fr-FR"/>
        </w:rPr>
        <w:t>Document </w:t>
      </w:r>
      <w:r w:rsidRPr="005E33C3">
        <w:rPr>
          <w:iCs/>
          <w:lang w:val="fr-FR"/>
        </w:rPr>
        <w:t>:</w:t>
      </w:r>
      <w:r w:rsidRPr="005E33C3">
        <w:rPr>
          <w:lang w:val="fr-FR"/>
        </w:rPr>
        <w:tab/>
      </w:r>
      <w:r w:rsidRPr="002F392A">
        <w:rPr>
          <w:lang w:val="fr-FR" w:eastAsia="en-US"/>
        </w:rPr>
        <w:t>ECE/TRANS/WP.15/AC.1/164</w:t>
      </w:r>
      <w:r w:rsidRPr="005E33C3">
        <w:rPr>
          <w:lang w:val="fr-FR"/>
        </w:rPr>
        <w:t xml:space="preserve"> (secrétariat)</w:t>
      </w:r>
    </w:p>
    <w:p w14:paraId="677CC614" w14:textId="77777777" w:rsidR="00232404" w:rsidRDefault="00232404" w:rsidP="00232404">
      <w:pPr>
        <w:spacing w:after="120"/>
        <w:ind w:left="3402" w:right="1134" w:hanging="2268"/>
        <w:jc w:val="both"/>
        <w:rPr>
          <w:lang w:val="fr-FR"/>
        </w:rPr>
      </w:pPr>
      <w:r w:rsidRPr="005E33C3">
        <w:rPr>
          <w:i/>
          <w:iCs/>
          <w:lang w:val="fr-FR"/>
        </w:rPr>
        <w:t>Document informel </w:t>
      </w:r>
      <w:r w:rsidRPr="005E33C3">
        <w:rPr>
          <w:lang w:val="fr-FR"/>
        </w:rPr>
        <w:t>:</w:t>
      </w:r>
      <w:r w:rsidRPr="005E33C3">
        <w:rPr>
          <w:lang w:val="fr-FR"/>
        </w:rPr>
        <w:tab/>
        <w:t>INF.</w:t>
      </w:r>
      <w:r>
        <w:rPr>
          <w:lang w:val="fr-FR"/>
        </w:rPr>
        <w:t>10 (secrétariat)</w:t>
      </w:r>
    </w:p>
    <w:p w14:paraId="38C7D1F8" w14:textId="43A1B60F" w:rsidR="00232404" w:rsidRDefault="00232404" w:rsidP="00232404">
      <w:pPr>
        <w:kinsoku/>
        <w:overflowPunct/>
        <w:autoSpaceDE/>
        <w:autoSpaceDN/>
        <w:adjustRightInd/>
        <w:snapToGrid/>
        <w:spacing w:after="120"/>
        <w:ind w:left="1134" w:right="1134"/>
        <w:jc w:val="both"/>
        <w:rPr>
          <w:lang w:val="fr-FR"/>
        </w:rPr>
      </w:pPr>
      <w:r>
        <w:rPr>
          <w:lang w:val="fr-FR"/>
        </w:rPr>
        <w:t>24</w:t>
      </w:r>
      <w:r w:rsidRPr="005E33C3">
        <w:rPr>
          <w:lang w:val="fr-FR"/>
        </w:rPr>
        <w:t>.</w:t>
      </w:r>
      <w:r w:rsidRPr="005E33C3">
        <w:rPr>
          <w:lang w:val="fr-FR"/>
        </w:rPr>
        <w:tab/>
        <w:t xml:space="preserve">Le Groupe de travail a entériné les amendements adoptés par la Réunion commune à sa session de printemps </w:t>
      </w:r>
      <w:r>
        <w:rPr>
          <w:lang w:val="fr-FR"/>
        </w:rPr>
        <w:t>2022</w:t>
      </w:r>
      <w:r w:rsidRPr="005E33C3">
        <w:rPr>
          <w:lang w:val="fr-FR"/>
        </w:rPr>
        <w:t xml:space="preserve"> tels que reproduits dans le document informel INF.1</w:t>
      </w:r>
      <w:r>
        <w:rPr>
          <w:lang w:val="fr-FR"/>
        </w:rPr>
        <w:t>0</w:t>
      </w:r>
      <w:r w:rsidRPr="005E33C3">
        <w:rPr>
          <w:lang w:val="fr-FR"/>
        </w:rPr>
        <w:t xml:space="preserve"> en anglais, français et russe (voir annexe </w:t>
      </w:r>
      <w:r w:rsidR="00D36D94">
        <w:rPr>
          <w:lang w:val="fr-FR"/>
        </w:rPr>
        <w:t>II</w:t>
      </w:r>
      <w:r w:rsidRPr="005E33C3">
        <w:rPr>
          <w:lang w:val="fr-FR"/>
        </w:rPr>
        <w:t>).</w:t>
      </w:r>
    </w:p>
    <w:p w14:paraId="0357321A" w14:textId="77777777" w:rsidR="0074648D" w:rsidRPr="009B440C" w:rsidRDefault="0074648D" w:rsidP="0074648D">
      <w:pPr>
        <w:pStyle w:val="HChG"/>
        <w:rPr>
          <w:rFonts w:eastAsiaTheme="minorHAnsi"/>
          <w:lang w:val="fr-FR" w:eastAsia="en-US"/>
        </w:rPr>
      </w:pPr>
      <w:r w:rsidRPr="009B440C">
        <w:rPr>
          <w:rFonts w:eastAsiaTheme="minorHAnsi"/>
          <w:lang w:val="fr-FR" w:eastAsia="en-US"/>
        </w:rPr>
        <w:tab/>
      </w:r>
      <w:r>
        <w:rPr>
          <w:rFonts w:eastAsiaTheme="minorHAnsi"/>
          <w:lang w:val="fr-FR" w:eastAsia="en-US"/>
        </w:rPr>
        <w:t>VI</w:t>
      </w:r>
      <w:r w:rsidRPr="009B440C">
        <w:rPr>
          <w:rFonts w:eastAsiaTheme="minorHAnsi"/>
          <w:lang w:val="fr-FR" w:eastAsia="en-US"/>
        </w:rPr>
        <w:t>.</w:t>
      </w:r>
      <w:r w:rsidRPr="009B440C">
        <w:rPr>
          <w:rFonts w:eastAsiaTheme="minorHAnsi"/>
          <w:lang w:val="fr-FR" w:eastAsia="en-US"/>
        </w:rPr>
        <w:tab/>
      </w:r>
      <w:r>
        <w:rPr>
          <w:lang w:val="fr-FR"/>
        </w:rPr>
        <w:t>Propositions d’amendements aux annexes A et B de l’ADR</w:t>
      </w:r>
      <w:r w:rsidRPr="009B440C">
        <w:rPr>
          <w:rFonts w:eastAsiaTheme="minorHAnsi"/>
          <w:lang w:val="fr-FR" w:eastAsia="en-US"/>
        </w:rPr>
        <w:t xml:space="preserve"> </w:t>
      </w:r>
      <w:r w:rsidRPr="00203D03">
        <w:rPr>
          <w:lang w:eastAsia="en-US"/>
        </w:rPr>
        <w:t xml:space="preserve">(point </w:t>
      </w:r>
      <w:r>
        <w:rPr>
          <w:lang w:eastAsia="en-US"/>
        </w:rPr>
        <w:t>5</w:t>
      </w:r>
      <w:r w:rsidRPr="00203D03">
        <w:rPr>
          <w:lang w:eastAsia="en-US"/>
        </w:rPr>
        <w:t xml:space="preserve"> de l’ordre du jour)</w:t>
      </w:r>
    </w:p>
    <w:p w14:paraId="4329D1D5" w14:textId="77777777" w:rsidR="0074648D" w:rsidRDefault="0074648D" w:rsidP="0074648D">
      <w:pPr>
        <w:pStyle w:val="H1G"/>
        <w:rPr>
          <w:lang w:val="fr-FR"/>
        </w:rPr>
      </w:pPr>
      <w:r>
        <w:rPr>
          <w:lang w:val="fr-FR" w:eastAsia="en-US"/>
        </w:rPr>
        <w:tab/>
        <w:t>A.</w:t>
      </w:r>
      <w:r>
        <w:rPr>
          <w:lang w:val="fr-FR" w:eastAsia="en-US"/>
        </w:rPr>
        <w:tab/>
      </w:r>
      <w:r>
        <w:rPr>
          <w:lang w:val="fr-FR"/>
        </w:rPr>
        <w:t>Construction et agrément des véhicules</w:t>
      </w:r>
    </w:p>
    <w:p w14:paraId="6AEB733D" w14:textId="77777777" w:rsidR="005665AB" w:rsidRDefault="005665AB" w:rsidP="005665AB">
      <w:pPr>
        <w:keepNext/>
        <w:keepLines/>
        <w:tabs>
          <w:tab w:val="right" w:pos="851"/>
        </w:tabs>
        <w:spacing w:before="240" w:after="120" w:line="240" w:lineRule="exact"/>
        <w:ind w:left="1134" w:right="1134" w:hanging="1134"/>
        <w:outlineLvl w:val="3"/>
        <w:rPr>
          <w:rFonts w:eastAsiaTheme="minorHAnsi"/>
          <w:b/>
          <w:lang w:val="fr-FR" w:eastAsia="en-US"/>
        </w:rPr>
      </w:pPr>
      <w:r w:rsidRPr="00E60984">
        <w:rPr>
          <w:rFonts w:eastAsiaTheme="minorHAnsi"/>
          <w:b/>
          <w:lang w:val="fr-FR" w:eastAsia="en-US"/>
        </w:rPr>
        <w:tab/>
      </w:r>
      <w:r>
        <w:rPr>
          <w:rFonts w:eastAsiaTheme="minorHAnsi"/>
          <w:b/>
          <w:lang w:val="fr-FR" w:eastAsia="en-US"/>
        </w:rPr>
        <w:t>1</w:t>
      </w:r>
      <w:r w:rsidRPr="00E60984">
        <w:rPr>
          <w:rFonts w:eastAsiaTheme="minorHAnsi"/>
          <w:b/>
          <w:lang w:val="fr-FR" w:eastAsia="en-US"/>
        </w:rPr>
        <w:t>.</w:t>
      </w:r>
      <w:r w:rsidRPr="00E60984">
        <w:rPr>
          <w:rFonts w:eastAsiaTheme="minorHAnsi"/>
          <w:b/>
          <w:lang w:val="fr-FR" w:eastAsia="en-US"/>
        </w:rPr>
        <w:tab/>
      </w:r>
      <w:r>
        <w:rPr>
          <w:rFonts w:eastAsiaTheme="minorHAnsi"/>
          <w:b/>
          <w:lang w:val="fr-FR" w:eastAsia="en-US"/>
        </w:rPr>
        <w:t>Présentation d’un véhicule électrifié</w:t>
      </w:r>
    </w:p>
    <w:p w14:paraId="65B0E5D1" w14:textId="77777777" w:rsidR="005665AB" w:rsidRDefault="005665AB" w:rsidP="005665AB">
      <w:pPr>
        <w:spacing w:after="120"/>
        <w:ind w:left="2694" w:right="1134" w:hanging="1560"/>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INF.23 (OICA)</w:t>
      </w:r>
    </w:p>
    <w:p w14:paraId="4E6D6A1A" w14:textId="52D0A9AB" w:rsidR="005665AB" w:rsidRDefault="005E280F" w:rsidP="005665AB">
      <w:pPr>
        <w:pStyle w:val="SingleTxtG"/>
        <w:rPr>
          <w:rFonts w:eastAsiaTheme="minorHAnsi"/>
          <w:lang w:val="fr-FR" w:eastAsia="en-US"/>
        </w:rPr>
      </w:pPr>
      <w:r>
        <w:rPr>
          <w:rFonts w:eastAsiaTheme="minorHAnsi"/>
          <w:lang w:val="fr-FR" w:eastAsia="en-US"/>
        </w:rPr>
        <w:t>25</w:t>
      </w:r>
      <w:r w:rsidR="005665AB">
        <w:rPr>
          <w:rFonts w:eastAsiaTheme="minorHAnsi"/>
          <w:lang w:val="fr-FR" w:eastAsia="en-US"/>
        </w:rPr>
        <w:t>.</w:t>
      </w:r>
      <w:r w:rsidR="005665AB">
        <w:rPr>
          <w:rFonts w:eastAsiaTheme="minorHAnsi"/>
          <w:lang w:val="fr-FR" w:eastAsia="en-US"/>
        </w:rPr>
        <w:tab/>
        <w:t xml:space="preserve">À l’invitation du groupe de </w:t>
      </w:r>
      <w:r w:rsidR="005665AB" w:rsidRPr="00657F58">
        <w:rPr>
          <w:lang w:val="fr-FR"/>
        </w:rPr>
        <w:t xml:space="preserve">travail informel </w:t>
      </w:r>
      <w:r w:rsidR="005665AB">
        <w:rPr>
          <w:lang w:val="fr-FR"/>
        </w:rPr>
        <w:t>des</w:t>
      </w:r>
      <w:r w:rsidR="005665AB" w:rsidRPr="00657F58">
        <w:rPr>
          <w:lang w:val="fr-FR"/>
        </w:rPr>
        <w:t xml:space="preserve"> véhicules électrifiés</w:t>
      </w:r>
      <w:r w:rsidR="005665AB">
        <w:rPr>
          <w:lang w:val="fr-FR"/>
        </w:rPr>
        <w:t>, l</w:t>
      </w:r>
      <w:r w:rsidR="005665AB">
        <w:rPr>
          <w:rFonts w:eastAsiaTheme="minorHAnsi"/>
          <w:lang w:val="fr-FR" w:eastAsia="en-US"/>
        </w:rPr>
        <w:t xml:space="preserve">’OICA a organisé une présentation des critères de construction et des éléments de sécurité d’un véhicule de transport de marchandises électrifié à batteries. Les délégués participant en présentiel ont également pu observer un véhicule électrifié à batteries exposé au Palais des Nations. La représentante de OICA a invité les délégations qui souhaitaient avoir plus d’informations techniques à se joindre au </w:t>
      </w:r>
      <w:r w:rsidR="005665AB" w:rsidRPr="00980245">
        <w:rPr>
          <w:rFonts w:eastAsiaTheme="minorHAnsi"/>
          <w:lang w:val="fr-FR" w:eastAsia="en-US"/>
        </w:rPr>
        <w:t>groupe de travail informel des véhicules électrifiés</w:t>
      </w:r>
      <w:r w:rsidR="005665AB">
        <w:rPr>
          <w:rFonts w:eastAsiaTheme="minorHAnsi"/>
          <w:lang w:val="fr-FR" w:eastAsia="en-US"/>
        </w:rPr>
        <w:t>.</w:t>
      </w:r>
    </w:p>
    <w:p w14:paraId="568C45DB" w14:textId="77777777" w:rsidR="005665AB" w:rsidRDefault="005665AB" w:rsidP="005665AB">
      <w:pPr>
        <w:keepNext/>
        <w:keepLines/>
        <w:tabs>
          <w:tab w:val="right" w:pos="851"/>
        </w:tabs>
        <w:spacing w:before="240" w:after="120" w:line="240" w:lineRule="exact"/>
        <w:ind w:left="1134" w:right="1134" w:hanging="1134"/>
        <w:outlineLvl w:val="3"/>
        <w:rPr>
          <w:rFonts w:eastAsiaTheme="minorHAnsi"/>
          <w:b/>
          <w:lang w:val="fr-FR" w:eastAsia="en-US"/>
        </w:rPr>
      </w:pPr>
      <w:r w:rsidRPr="00E60984">
        <w:rPr>
          <w:rFonts w:eastAsiaTheme="minorHAnsi"/>
          <w:b/>
          <w:lang w:val="fr-FR" w:eastAsia="en-US"/>
        </w:rPr>
        <w:tab/>
      </w:r>
      <w:r>
        <w:rPr>
          <w:rFonts w:eastAsiaTheme="minorHAnsi"/>
          <w:b/>
          <w:lang w:val="fr-FR" w:eastAsia="en-US"/>
        </w:rPr>
        <w:t>2</w:t>
      </w:r>
      <w:r w:rsidRPr="00E60984">
        <w:rPr>
          <w:rFonts w:eastAsiaTheme="minorHAnsi"/>
          <w:b/>
          <w:lang w:val="fr-FR" w:eastAsia="en-US"/>
        </w:rPr>
        <w:t>.</w:t>
      </w:r>
      <w:r w:rsidRPr="00E60984">
        <w:rPr>
          <w:rFonts w:eastAsiaTheme="minorHAnsi"/>
          <w:b/>
          <w:lang w:val="fr-FR" w:eastAsia="en-US"/>
        </w:rPr>
        <w:tab/>
      </w:r>
      <w:r>
        <w:rPr>
          <w:rFonts w:eastAsiaTheme="minorHAnsi"/>
          <w:b/>
          <w:lang w:val="fr-FR" w:eastAsia="en-US"/>
        </w:rPr>
        <w:t xml:space="preserve">Travaux du </w:t>
      </w:r>
      <w:bookmarkStart w:id="6" w:name="_Hlk103239770"/>
      <w:r w:rsidRPr="00A43DD5">
        <w:rPr>
          <w:rFonts w:eastAsiaTheme="minorHAnsi"/>
          <w:b/>
          <w:lang w:val="fr-FR" w:eastAsia="en-US"/>
        </w:rPr>
        <w:t>groupe de travail informel des véhicules électrifiés</w:t>
      </w:r>
      <w:bookmarkEnd w:id="6"/>
    </w:p>
    <w:p w14:paraId="5E60B74D" w14:textId="77777777" w:rsidR="005665AB" w:rsidRPr="005E33C3" w:rsidRDefault="005665AB" w:rsidP="00C34E09">
      <w:pPr>
        <w:spacing w:after="120"/>
        <w:ind w:left="3402" w:right="1134" w:hanging="2268"/>
        <w:jc w:val="both"/>
        <w:rPr>
          <w:lang w:val="fr-FR"/>
        </w:rPr>
      </w:pPr>
      <w:r w:rsidRPr="005E33C3">
        <w:rPr>
          <w:i/>
          <w:iCs/>
          <w:lang w:val="fr-FR"/>
        </w:rPr>
        <w:t>Document </w:t>
      </w:r>
      <w:r w:rsidRPr="005E33C3">
        <w:rPr>
          <w:iCs/>
          <w:lang w:val="fr-FR"/>
        </w:rPr>
        <w:t>:</w:t>
      </w:r>
      <w:r w:rsidRPr="005E33C3">
        <w:rPr>
          <w:lang w:val="fr-FR"/>
        </w:rPr>
        <w:tab/>
        <w:t>ECE/TRANS/WP.15/</w:t>
      </w:r>
      <w:r>
        <w:rPr>
          <w:lang w:val="fr-FR"/>
        </w:rPr>
        <w:t xml:space="preserve">2022/5 </w:t>
      </w:r>
      <w:r w:rsidRPr="005E33C3">
        <w:rPr>
          <w:lang w:val="fr-FR"/>
        </w:rPr>
        <w:t>(</w:t>
      </w:r>
      <w:r>
        <w:rPr>
          <w:lang w:val="fr-FR"/>
        </w:rPr>
        <w:t xml:space="preserve">Pays-Bas </w:t>
      </w:r>
      <w:r w:rsidRPr="00424C54">
        <w:rPr>
          <w:lang w:val="fr-FR"/>
        </w:rPr>
        <w:t xml:space="preserve">au nom du groupe </w:t>
      </w:r>
      <w:r>
        <w:rPr>
          <w:lang w:val="fr-FR"/>
        </w:rPr>
        <w:br/>
      </w:r>
      <w:r w:rsidRPr="00424C54">
        <w:rPr>
          <w:lang w:val="fr-FR"/>
        </w:rPr>
        <w:t>de travail informel des véhicules électrifiés</w:t>
      </w:r>
      <w:r w:rsidRPr="005E33C3">
        <w:rPr>
          <w:lang w:val="fr-FR"/>
        </w:rPr>
        <w:t>)</w:t>
      </w:r>
    </w:p>
    <w:p w14:paraId="3F64EF85" w14:textId="77777777" w:rsidR="005665AB" w:rsidRDefault="005665AB" w:rsidP="00C34E09">
      <w:pPr>
        <w:spacing w:after="120"/>
        <w:ind w:left="3402" w:right="1134" w:hanging="2268"/>
        <w:jc w:val="both"/>
        <w:rPr>
          <w:lang w:val="fr-FR"/>
        </w:rPr>
      </w:pPr>
      <w:r w:rsidRPr="005E33C3">
        <w:rPr>
          <w:i/>
          <w:iCs/>
          <w:lang w:val="fr-FR"/>
        </w:rPr>
        <w:t>Document</w:t>
      </w:r>
      <w:r>
        <w:rPr>
          <w:i/>
          <w:iCs/>
          <w:lang w:val="fr-FR"/>
        </w:rPr>
        <w:t>s informels</w:t>
      </w:r>
      <w:r w:rsidRPr="005E33C3">
        <w:rPr>
          <w:i/>
          <w:iCs/>
          <w:lang w:val="fr-FR"/>
        </w:rPr>
        <w:t> </w:t>
      </w:r>
      <w:r w:rsidRPr="005E33C3">
        <w:rPr>
          <w:iCs/>
          <w:lang w:val="fr-FR"/>
        </w:rPr>
        <w:t>:</w:t>
      </w:r>
      <w:r w:rsidRPr="005E33C3">
        <w:rPr>
          <w:lang w:val="fr-FR"/>
        </w:rPr>
        <w:tab/>
      </w:r>
      <w:r>
        <w:rPr>
          <w:lang w:val="fr-FR"/>
        </w:rPr>
        <w:t>INF.12 (OICA), INF.14</w:t>
      </w:r>
      <w:r w:rsidRPr="005E33C3">
        <w:rPr>
          <w:lang w:val="fr-FR"/>
        </w:rPr>
        <w:t xml:space="preserve"> (</w:t>
      </w:r>
      <w:r>
        <w:rPr>
          <w:lang w:val="fr-FR"/>
        </w:rPr>
        <w:t>Allemagne</w:t>
      </w:r>
      <w:r w:rsidRPr="005E33C3">
        <w:rPr>
          <w:lang w:val="fr-FR"/>
        </w:rPr>
        <w:t>)</w:t>
      </w:r>
      <w:r>
        <w:rPr>
          <w:lang w:val="fr-FR"/>
        </w:rPr>
        <w:t xml:space="preserve">, INF.18 (Président du </w:t>
      </w:r>
      <w:r w:rsidRPr="00424C54">
        <w:rPr>
          <w:lang w:val="fr-FR"/>
        </w:rPr>
        <w:t>groupe de travail informel des véhicules électrifiés</w:t>
      </w:r>
      <w:r>
        <w:rPr>
          <w:lang w:val="fr-FR"/>
        </w:rPr>
        <w:t>)</w:t>
      </w:r>
    </w:p>
    <w:p w14:paraId="1E45A666" w14:textId="5B110EA1" w:rsidR="005665AB" w:rsidRDefault="005E280F" w:rsidP="005665AB">
      <w:pPr>
        <w:spacing w:after="120"/>
        <w:ind w:left="1134" w:right="1134"/>
        <w:jc w:val="both"/>
        <w:rPr>
          <w:lang w:val="fr-FR"/>
        </w:rPr>
      </w:pPr>
      <w:r>
        <w:rPr>
          <w:rFonts w:eastAsiaTheme="minorHAnsi"/>
          <w:lang w:val="fr-FR" w:eastAsia="en-US"/>
        </w:rPr>
        <w:lastRenderedPageBreak/>
        <w:t>26</w:t>
      </w:r>
      <w:r w:rsidR="005665AB">
        <w:rPr>
          <w:rFonts w:eastAsiaTheme="minorHAnsi"/>
          <w:lang w:val="fr-FR" w:eastAsia="en-US"/>
        </w:rPr>
        <w:t>.</w:t>
      </w:r>
      <w:r w:rsidR="005665AB">
        <w:rPr>
          <w:rFonts w:eastAsiaTheme="minorHAnsi"/>
          <w:lang w:val="fr-FR" w:eastAsia="en-US"/>
        </w:rPr>
        <w:tab/>
      </w:r>
      <w:r w:rsidR="005665AB" w:rsidRPr="00807CA2">
        <w:rPr>
          <w:rFonts w:eastAsiaTheme="minorHAnsi"/>
          <w:lang w:val="fr-FR" w:eastAsia="en-US"/>
        </w:rPr>
        <w:t>Le représentant des Pays-Bas, en tant que Président du groupe de travail informel des véhicules électrifiés</w:t>
      </w:r>
      <w:r w:rsidR="005665AB">
        <w:rPr>
          <w:rFonts w:eastAsiaTheme="minorHAnsi"/>
          <w:lang w:val="fr-FR" w:eastAsia="en-US"/>
        </w:rPr>
        <w:t>, a</w:t>
      </w:r>
      <w:r w:rsidR="005665AB" w:rsidRPr="00807CA2">
        <w:rPr>
          <w:rFonts w:eastAsiaTheme="minorHAnsi"/>
          <w:lang w:val="fr-FR" w:eastAsia="en-US"/>
        </w:rPr>
        <w:t xml:space="preserve"> présenté l’état d’avancement </w:t>
      </w:r>
      <w:r w:rsidR="005665AB">
        <w:rPr>
          <w:rFonts w:eastAsiaTheme="minorHAnsi"/>
          <w:lang w:val="fr-FR" w:eastAsia="en-US"/>
        </w:rPr>
        <w:t>des</w:t>
      </w:r>
      <w:r w:rsidR="005665AB" w:rsidRPr="00807CA2">
        <w:rPr>
          <w:rFonts w:eastAsiaTheme="minorHAnsi"/>
          <w:lang w:val="fr-FR" w:eastAsia="en-US"/>
        </w:rPr>
        <w:t xml:space="preserve"> travaux</w:t>
      </w:r>
      <w:r w:rsidR="005665AB">
        <w:rPr>
          <w:rFonts w:eastAsiaTheme="minorHAnsi"/>
          <w:lang w:val="fr-FR" w:eastAsia="en-US"/>
        </w:rPr>
        <w:t xml:space="preserve"> du groupe et les propositions d’amendements visant à pouvoir agréer des véhicules électrifiés </w:t>
      </w:r>
      <w:r w:rsidR="005665AB" w:rsidRPr="00657F58">
        <w:rPr>
          <w:lang w:val="fr-FR"/>
        </w:rPr>
        <w:t>pour le transport des marchandises dangereuses</w:t>
      </w:r>
      <w:r w:rsidR="005665AB">
        <w:rPr>
          <w:lang w:val="fr-FR"/>
        </w:rPr>
        <w:t xml:space="preserve">. </w:t>
      </w:r>
    </w:p>
    <w:p w14:paraId="710D4BCD" w14:textId="386B138D" w:rsidR="005665AB" w:rsidRDefault="005E280F" w:rsidP="005665AB">
      <w:pPr>
        <w:spacing w:after="120"/>
        <w:ind w:left="1134" w:right="1134"/>
        <w:jc w:val="both"/>
        <w:rPr>
          <w:rFonts w:eastAsiaTheme="minorHAnsi"/>
          <w:lang w:val="fr-FR" w:eastAsia="en-US"/>
        </w:rPr>
      </w:pPr>
      <w:bookmarkStart w:id="7" w:name="_Hlk103602366"/>
      <w:r>
        <w:rPr>
          <w:lang w:val="fr-FR"/>
        </w:rPr>
        <w:t>27</w:t>
      </w:r>
      <w:r w:rsidR="005665AB">
        <w:rPr>
          <w:lang w:val="fr-FR"/>
        </w:rPr>
        <w:t>.</w:t>
      </w:r>
      <w:r w:rsidR="005665AB">
        <w:rPr>
          <w:lang w:val="fr-FR"/>
        </w:rPr>
        <w:tab/>
        <w:t xml:space="preserve">Le Groupe de travail a adopté l’approche étape par étape proposée par le </w:t>
      </w:r>
      <w:r w:rsidR="005665AB" w:rsidRPr="00C82AFE">
        <w:rPr>
          <w:lang w:val="fr-FR"/>
        </w:rPr>
        <w:t>groupe de travail informel</w:t>
      </w:r>
      <w:r w:rsidR="005665AB">
        <w:rPr>
          <w:lang w:val="fr-FR"/>
        </w:rPr>
        <w:t xml:space="preserve"> qui consistait à discuter dans un premier temps les dispositions permettant d’utiliser les </w:t>
      </w:r>
      <w:r w:rsidR="005665AB">
        <w:rPr>
          <w:rFonts w:eastAsiaTheme="minorHAnsi"/>
          <w:lang w:val="fr-FR" w:eastAsia="en-US"/>
        </w:rPr>
        <w:t xml:space="preserve">véhicules électrifiés à batteries pour la catégorie AT. Le </w:t>
      </w:r>
      <w:r w:rsidR="005665AB">
        <w:rPr>
          <w:lang w:val="fr-FR"/>
        </w:rPr>
        <w:t>Groupe de travail</w:t>
      </w:r>
      <w:r w:rsidR="005665AB">
        <w:rPr>
          <w:rFonts w:eastAsiaTheme="minorHAnsi"/>
          <w:lang w:val="fr-FR" w:eastAsia="en-US"/>
        </w:rPr>
        <w:t xml:space="preserve"> a noté que les travaux se poursuivraient au sein du groupe informel pour développer les dispositions applicables aux autres catégories de véhicules ainsi que pour les autres types de propulsion.</w:t>
      </w:r>
    </w:p>
    <w:bookmarkEnd w:id="7"/>
    <w:p w14:paraId="2621F2E2" w14:textId="74D29C24" w:rsidR="005665AB" w:rsidRPr="00807CA2" w:rsidRDefault="005E280F" w:rsidP="005665AB">
      <w:pPr>
        <w:spacing w:after="120"/>
        <w:ind w:left="1134" w:right="1134"/>
        <w:jc w:val="both"/>
        <w:rPr>
          <w:rFonts w:eastAsiaTheme="minorHAnsi"/>
          <w:lang w:eastAsia="en-US"/>
        </w:rPr>
      </w:pPr>
      <w:r>
        <w:rPr>
          <w:rFonts w:eastAsiaTheme="minorHAnsi"/>
          <w:lang w:eastAsia="en-US"/>
        </w:rPr>
        <w:t>28</w:t>
      </w:r>
      <w:r w:rsidR="005665AB">
        <w:rPr>
          <w:rFonts w:eastAsiaTheme="minorHAnsi"/>
          <w:lang w:eastAsia="en-US"/>
        </w:rPr>
        <w:t>.</w:t>
      </w:r>
      <w:r w:rsidR="005665AB">
        <w:rPr>
          <w:rFonts w:eastAsiaTheme="minorHAnsi"/>
          <w:lang w:eastAsia="en-US"/>
        </w:rPr>
        <w:tab/>
        <w:t xml:space="preserve">Le Groupe de travail a également noté que les travaux concernant les </w:t>
      </w:r>
      <w:r w:rsidR="005665AB" w:rsidRPr="00424C54">
        <w:rPr>
          <w:lang w:val="fr-FR"/>
        </w:rPr>
        <w:t xml:space="preserve">chauffages électriques </w:t>
      </w:r>
      <w:r w:rsidR="005665AB">
        <w:rPr>
          <w:rFonts w:eastAsiaTheme="minorHAnsi"/>
          <w:lang w:eastAsia="en-US"/>
        </w:rPr>
        <w:t xml:space="preserve">se poursuivraient au sein du groupe informel </w:t>
      </w:r>
      <w:r w:rsidR="005665AB">
        <w:rPr>
          <w:lang w:val="fr-FR"/>
        </w:rPr>
        <w:t>et qu’il était prématuré d’adopter les propositions d’amendements visant à introduire des dispositions pour ces chauffages.</w:t>
      </w:r>
    </w:p>
    <w:p w14:paraId="7F6F81DE" w14:textId="4EBCFFBF" w:rsidR="005665AB" w:rsidRDefault="005E280F" w:rsidP="005665AB">
      <w:pPr>
        <w:spacing w:after="120"/>
        <w:ind w:left="1134" w:right="1134"/>
        <w:jc w:val="both"/>
        <w:rPr>
          <w:lang w:val="fr-FR"/>
        </w:rPr>
      </w:pPr>
      <w:r>
        <w:rPr>
          <w:lang w:val="fr-FR"/>
        </w:rPr>
        <w:t>29</w:t>
      </w:r>
      <w:r w:rsidR="005665AB">
        <w:rPr>
          <w:lang w:val="fr-FR"/>
        </w:rPr>
        <w:t>.</w:t>
      </w:r>
      <w:r w:rsidR="005665AB">
        <w:rPr>
          <w:lang w:val="fr-FR"/>
        </w:rPr>
        <w:tab/>
        <w:t xml:space="preserve">Le Groupe de travail a noté les réserves de la délégation de l’Allemagne exprimées dans le document informel INF.14 ainsi que les recommandations formulées par l’OICA dans le document informel INF.12. </w:t>
      </w:r>
    </w:p>
    <w:p w14:paraId="73D62392" w14:textId="43AC272A" w:rsidR="005665AB" w:rsidRDefault="005E280F" w:rsidP="005665AB">
      <w:pPr>
        <w:spacing w:after="120"/>
        <w:ind w:left="1134" w:right="1134"/>
        <w:jc w:val="both"/>
        <w:rPr>
          <w:lang w:val="fr-FR"/>
        </w:rPr>
      </w:pPr>
      <w:r>
        <w:rPr>
          <w:lang w:val="fr-FR"/>
        </w:rPr>
        <w:t>30</w:t>
      </w:r>
      <w:r w:rsidR="005665AB">
        <w:rPr>
          <w:lang w:val="fr-FR"/>
        </w:rPr>
        <w:t>.</w:t>
      </w:r>
      <w:r w:rsidR="005665AB">
        <w:rPr>
          <w:lang w:val="fr-FR"/>
        </w:rPr>
        <w:tab/>
        <w:t xml:space="preserve">Après discussion, le groupe de travail a été invité à se prononcer sur les propositions d’amendements reprises dans les paragraphes 1 et 3 à 8 de l’annexe du document informel INF.18 sans le texte entre crochets dans la nouvelle sous-section 9.2.4.6 (paragraphe 7). </w:t>
      </w:r>
    </w:p>
    <w:p w14:paraId="791F970A" w14:textId="48875280" w:rsidR="005665AB" w:rsidRDefault="005E280F" w:rsidP="005665AB">
      <w:pPr>
        <w:spacing w:after="120"/>
        <w:ind w:left="1134" w:right="1134"/>
        <w:jc w:val="both"/>
        <w:rPr>
          <w:lang w:val="fr-FR"/>
        </w:rPr>
      </w:pPr>
      <w:r>
        <w:rPr>
          <w:lang w:val="fr-FR"/>
        </w:rPr>
        <w:t>31</w:t>
      </w:r>
      <w:r w:rsidR="005665AB">
        <w:rPr>
          <w:lang w:val="fr-FR"/>
        </w:rPr>
        <w:t>.</w:t>
      </w:r>
      <w:r w:rsidR="005665AB">
        <w:rPr>
          <w:lang w:val="fr-FR"/>
        </w:rPr>
        <w:tab/>
        <w:t xml:space="preserve">Le Groupe de travail a adopté ces propositions </w:t>
      </w:r>
      <w:r w:rsidR="005665AB">
        <w:rPr>
          <w:lang w:val="fr-FR" w:eastAsia="en-US"/>
        </w:rPr>
        <w:t xml:space="preserve">pour entrée en vigueur le 1er janvier 2023 </w:t>
      </w:r>
      <w:r w:rsidR="005665AB">
        <w:rPr>
          <w:lang w:val="fr-FR"/>
        </w:rPr>
        <w:t>avec quelques modifications rédactionnelles (voir annexe</w:t>
      </w:r>
      <w:r w:rsidR="0091204B">
        <w:rPr>
          <w:lang w:val="fr-FR"/>
        </w:rPr>
        <w:t xml:space="preserve"> I</w:t>
      </w:r>
      <w:r w:rsidR="005665AB">
        <w:rPr>
          <w:lang w:val="fr-FR"/>
        </w:rPr>
        <w:t>)</w:t>
      </w:r>
      <w:r w:rsidR="00152BA6">
        <w:rPr>
          <w:rStyle w:val="FootnoteReference"/>
        </w:rPr>
        <w:footnoteReference w:id="2"/>
      </w:r>
      <w:r w:rsidR="005665AB">
        <w:rPr>
          <w:lang w:val="fr-FR"/>
        </w:rPr>
        <w:t>.</w:t>
      </w:r>
    </w:p>
    <w:p w14:paraId="4BF25657" w14:textId="52A3FD0B" w:rsidR="005665AB" w:rsidRDefault="005E280F" w:rsidP="005665AB">
      <w:pPr>
        <w:spacing w:after="120"/>
        <w:ind w:left="1134" w:right="1134"/>
        <w:jc w:val="both"/>
        <w:rPr>
          <w:lang w:val="fr-FR"/>
        </w:rPr>
      </w:pPr>
      <w:r>
        <w:rPr>
          <w:lang w:val="fr-FR"/>
        </w:rPr>
        <w:t>32</w:t>
      </w:r>
      <w:r w:rsidR="005665AB">
        <w:rPr>
          <w:lang w:val="fr-FR"/>
        </w:rPr>
        <w:t>.</w:t>
      </w:r>
      <w:r w:rsidR="005665AB">
        <w:rPr>
          <w:lang w:val="fr-FR"/>
        </w:rPr>
        <w:tab/>
        <w:t xml:space="preserve">Le Groupe de travail a remercié les participants et le </w:t>
      </w:r>
      <w:r w:rsidR="0036395D">
        <w:rPr>
          <w:lang w:val="fr-FR"/>
        </w:rPr>
        <w:t>P</w:t>
      </w:r>
      <w:r w:rsidR="005665AB">
        <w:rPr>
          <w:lang w:val="fr-FR"/>
        </w:rPr>
        <w:t>résident du groupe de travail informel pour le travail important effectué et il les a encouragé</w:t>
      </w:r>
      <w:r w:rsidR="005665AB" w:rsidRPr="009F1E28">
        <w:rPr>
          <w:lang w:val="fr-FR"/>
        </w:rPr>
        <w:t>s</w:t>
      </w:r>
      <w:r w:rsidR="005665AB">
        <w:rPr>
          <w:lang w:val="fr-FR"/>
        </w:rPr>
        <w:t xml:space="preserve"> pour la poursuite des travaux. </w:t>
      </w:r>
    </w:p>
    <w:p w14:paraId="2AE71D40" w14:textId="7BEAD655" w:rsidR="005665AB" w:rsidRDefault="005E280F" w:rsidP="005665AB">
      <w:pPr>
        <w:spacing w:after="120"/>
        <w:ind w:left="1134" w:right="1134"/>
        <w:jc w:val="both"/>
        <w:rPr>
          <w:lang w:val="fr-FR"/>
        </w:rPr>
      </w:pPr>
      <w:r>
        <w:rPr>
          <w:lang w:val="fr-FR"/>
        </w:rPr>
        <w:t>33</w:t>
      </w:r>
      <w:r w:rsidR="005665AB">
        <w:rPr>
          <w:lang w:val="fr-FR"/>
        </w:rPr>
        <w:t>.</w:t>
      </w:r>
      <w:r w:rsidR="005665AB">
        <w:rPr>
          <w:lang w:val="fr-FR"/>
        </w:rPr>
        <w:tab/>
        <w:t>Le Groupe de travail s’est félicité de l’adoption de ces nouvelles dispositions visant à permettre l’utilisation des véhicules électrifiés à batteries pour la catégorie AT ainsi que des futurs développements attendus visant à</w:t>
      </w:r>
      <w:r w:rsidR="005665AB" w:rsidRPr="003A7A09">
        <w:rPr>
          <w:rFonts w:eastAsiaTheme="minorHAnsi"/>
          <w:lang w:val="fr-FR" w:eastAsia="en-US"/>
        </w:rPr>
        <w:t xml:space="preserve"> permettre l’utilisation de sources d’énergie de remplacement pour les transports de marchandises dangereuses et s’inscrivant dans la logique de la transition énergétique et du développement des énergies renouvelables.</w:t>
      </w:r>
    </w:p>
    <w:p w14:paraId="7F59EB53" w14:textId="77777777" w:rsidR="005665AB" w:rsidRDefault="005665AB" w:rsidP="006939DE">
      <w:pPr>
        <w:pStyle w:val="H23G"/>
        <w:rPr>
          <w:rFonts w:eastAsiaTheme="minorHAnsi"/>
          <w:lang w:val="fr-FR" w:eastAsia="en-US"/>
        </w:rPr>
      </w:pPr>
      <w:r w:rsidRPr="00E60984">
        <w:rPr>
          <w:rFonts w:eastAsiaTheme="minorHAnsi"/>
          <w:lang w:val="fr-FR" w:eastAsia="en-US"/>
        </w:rPr>
        <w:tab/>
      </w:r>
      <w:r>
        <w:rPr>
          <w:rFonts w:eastAsiaTheme="minorHAnsi"/>
          <w:lang w:val="fr-FR" w:eastAsia="en-US"/>
        </w:rPr>
        <w:t>3</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Normes sur les câbles électriques des véhicules</w:t>
      </w:r>
    </w:p>
    <w:p w14:paraId="37A5CF81" w14:textId="77777777" w:rsidR="005665AB" w:rsidRDefault="005665AB" w:rsidP="00C34E09">
      <w:pPr>
        <w:spacing w:after="120"/>
        <w:ind w:left="3402" w:right="1134" w:hanging="2268"/>
        <w:jc w:val="both"/>
        <w:rPr>
          <w:lang w:val="fr-FR"/>
        </w:rPr>
      </w:pPr>
      <w:r w:rsidRPr="005E33C3">
        <w:rPr>
          <w:i/>
          <w:iCs/>
          <w:lang w:val="fr-FR"/>
        </w:rPr>
        <w:t>Document </w:t>
      </w:r>
      <w:r w:rsidRPr="005E33C3">
        <w:rPr>
          <w:iCs/>
          <w:lang w:val="fr-FR"/>
        </w:rPr>
        <w:t>:</w:t>
      </w:r>
      <w:r w:rsidRPr="005E33C3">
        <w:rPr>
          <w:lang w:val="fr-FR"/>
        </w:rPr>
        <w:tab/>
        <w:t>ECE/TRANS/WP.15/</w:t>
      </w:r>
      <w:r>
        <w:rPr>
          <w:lang w:val="fr-FR"/>
        </w:rPr>
        <w:t xml:space="preserve">2022/4 </w:t>
      </w:r>
      <w:r w:rsidRPr="005E33C3">
        <w:rPr>
          <w:lang w:val="fr-FR"/>
        </w:rPr>
        <w:t>(</w:t>
      </w:r>
      <w:r>
        <w:rPr>
          <w:lang w:val="fr-FR"/>
        </w:rPr>
        <w:t xml:space="preserve">Pays-Bas </w:t>
      </w:r>
      <w:r w:rsidRPr="00424C54">
        <w:rPr>
          <w:lang w:val="fr-FR"/>
        </w:rPr>
        <w:t xml:space="preserve">au nom du groupe </w:t>
      </w:r>
      <w:r>
        <w:rPr>
          <w:lang w:val="fr-FR"/>
        </w:rPr>
        <w:br/>
      </w:r>
      <w:r w:rsidRPr="00424C54">
        <w:rPr>
          <w:lang w:val="fr-FR"/>
        </w:rPr>
        <w:t>de travail informel des véhicules électrifiés</w:t>
      </w:r>
      <w:r w:rsidRPr="005E33C3">
        <w:rPr>
          <w:lang w:val="fr-FR"/>
        </w:rPr>
        <w:t>)</w:t>
      </w:r>
    </w:p>
    <w:p w14:paraId="6F16678B" w14:textId="33E58BB9" w:rsidR="005665AB" w:rsidRDefault="005E280F" w:rsidP="005665AB">
      <w:pPr>
        <w:pStyle w:val="SingleTxtG"/>
        <w:rPr>
          <w:lang w:val="fr-FR"/>
        </w:rPr>
      </w:pPr>
      <w:r>
        <w:rPr>
          <w:lang w:val="fr-FR"/>
        </w:rPr>
        <w:t>34</w:t>
      </w:r>
      <w:r w:rsidR="005665AB">
        <w:rPr>
          <w:lang w:val="fr-FR"/>
        </w:rPr>
        <w:t>.</w:t>
      </w:r>
      <w:r w:rsidR="005665AB">
        <w:rPr>
          <w:lang w:val="fr-FR"/>
        </w:rPr>
        <w:tab/>
        <w:t xml:space="preserve">Le Groupe de travail a adopté les propositions d’amendements du document </w:t>
      </w:r>
      <w:r w:rsidR="005665AB" w:rsidRPr="005E33C3">
        <w:rPr>
          <w:lang w:val="fr-FR"/>
        </w:rPr>
        <w:t>ECE/TRANS/WP.15/</w:t>
      </w:r>
      <w:r w:rsidR="005665AB">
        <w:rPr>
          <w:lang w:val="fr-FR"/>
        </w:rPr>
        <w:t>2022/4 qui visaient à mettre à jour des références à des normes sur les câbles électriques (voir annexe</w:t>
      </w:r>
      <w:r w:rsidR="006939DE">
        <w:rPr>
          <w:lang w:val="fr-FR"/>
        </w:rPr>
        <w:t xml:space="preserve"> I</w:t>
      </w:r>
      <w:r w:rsidR="005665AB">
        <w:rPr>
          <w:lang w:val="fr-FR"/>
        </w:rPr>
        <w:t>).</w:t>
      </w:r>
    </w:p>
    <w:p w14:paraId="29CD7489" w14:textId="77777777" w:rsidR="005537E6" w:rsidRDefault="005537E6" w:rsidP="005537E6">
      <w:pPr>
        <w:pStyle w:val="H1G"/>
        <w:rPr>
          <w:lang w:val="fr-FR"/>
        </w:rPr>
      </w:pPr>
      <w:r>
        <w:rPr>
          <w:lang w:val="fr-FR" w:eastAsia="en-US"/>
        </w:rPr>
        <w:tab/>
        <w:t>B.</w:t>
      </w:r>
      <w:r>
        <w:rPr>
          <w:lang w:val="fr-FR" w:eastAsia="en-US"/>
        </w:rPr>
        <w:tab/>
      </w:r>
      <w:r>
        <w:rPr>
          <w:lang w:val="fr-FR"/>
        </w:rPr>
        <w:t>Propositions diverses</w:t>
      </w:r>
    </w:p>
    <w:p w14:paraId="49FC871B" w14:textId="77777777" w:rsidR="005537E6" w:rsidRPr="00E60984" w:rsidRDefault="005537E6" w:rsidP="005537E6">
      <w:pPr>
        <w:keepNext/>
        <w:keepLines/>
        <w:tabs>
          <w:tab w:val="right" w:pos="851"/>
        </w:tabs>
        <w:spacing w:before="240" w:after="120" w:line="240" w:lineRule="exact"/>
        <w:ind w:left="1134" w:right="1134" w:hanging="1134"/>
        <w:outlineLvl w:val="3"/>
        <w:rPr>
          <w:rFonts w:eastAsiaTheme="minorHAnsi"/>
          <w:b/>
          <w:lang w:eastAsia="en-US"/>
        </w:rPr>
      </w:pPr>
      <w:r w:rsidRPr="00E60984">
        <w:rPr>
          <w:rFonts w:eastAsiaTheme="minorHAnsi"/>
          <w:b/>
          <w:lang w:val="fr-FR" w:eastAsia="en-US"/>
        </w:rPr>
        <w:tab/>
        <w:t>1.</w:t>
      </w:r>
      <w:r w:rsidRPr="00E60984">
        <w:rPr>
          <w:rFonts w:eastAsiaTheme="minorHAnsi"/>
          <w:b/>
          <w:lang w:val="fr-FR" w:eastAsia="en-US"/>
        </w:rPr>
        <w:tab/>
      </w:r>
      <w:r>
        <w:rPr>
          <w:rFonts w:eastAsiaTheme="minorHAnsi"/>
          <w:b/>
          <w:lang w:val="fr-FR" w:eastAsia="en-US"/>
        </w:rPr>
        <w:t>Corrections à la 22</w:t>
      </w:r>
      <w:r w:rsidRPr="008838FC">
        <w:rPr>
          <w:rFonts w:eastAsiaTheme="minorHAnsi"/>
          <w:b/>
          <w:vertAlign w:val="superscript"/>
          <w:lang w:val="fr-FR" w:eastAsia="en-US"/>
        </w:rPr>
        <w:t>ème</w:t>
      </w:r>
      <w:r>
        <w:rPr>
          <w:rFonts w:eastAsiaTheme="minorHAnsi"/>
          <w:b/>
          <w:lang w:val="fr-FR" w:eastAsia="en-US"/>
        </w:rPr>
        <w:t xml:space="preserve"> édition révisée du Règlement type</w:t>
      </w:r>
    </w:p>
    <w:p w14:paraId="77D800C1" w14:textId="77777777" w:rsidR="005537E6" w:rsidRDefault="005537E6" w:rsidP="005537E6">
      <w:pPr>
        <w:spacing w:after="120"/>
        <w:ind w:left="3402" w:right="1134" w:hanging="2268"/>
        <w:jc w:val="both"/>
        <w:rPr>
          <w:lang w:val="fr-FR"/>
        </w:rPr>
      </w:pPr>
      <w:r w:rsidRPr="005E33C3">
        <w:rPr>
          <w:i/>
          <w:iCs/>
          <w:lang w:val="fr-FR"/>
        </w:rPr>
        <w:t>Document informel </w:t>
      </w:r>
      <w:r w:rsidRPr="005E33C3">
        <w:rPr>
          <w:lang w:val="fr-FR"/>
        </w:rPr>
        <w:t>:</w:t>
      </w:r>
      <w:r w:rsidRPr="005E33C3">
        <w:rPr>
          <w:lang w:val="fr-FR"/>
        </w:rPr>
        <w:tab/>
        <w:t>INF.</w:t>
      </w:r>
      <w:r>
        <w:rPr>
          <w:lang w:val="fr-FR"/>
        </w:rPr>
        <w:t>11 (secrétariat)</w:t>
      </w:r>
    </w:p>
    <w:p w14:paraId="34A1E62C" w14:textId="329EFAC8" w:rsidR="005537E6" w:rsidRDefault="005E280F" w:rsidP="005537E6">
      <w:pPr>
        <w:kinsoku/>
        <w:overflowPunct/>
        <w:autoSpaceDE/>
        <w:autoSpaceDN/>
        <w:adjustRightInd/>
        <w:snapToGrid/>
        <w:spacing w:after="120"/>
        <w:ind w:left="1134" w:right="1134"/>
        <w:jc w:val="both"/>
        <w:rPr>
          <w:lang w:val="fr-FR"/>
        </w:rPr>
      </w:pPr>
      <w:r>
        <w:rPr>
          <w:lang w:val="fr-FR"/>
        </w:rPr>
        <w:t>35</w:t>
      </w:r>
      <w:r w:rsidR="005537E6" w:rsidRPr="005E33C3">
        <w:rPr>
          <w:lang w:val="fr-FR"/>
        </w:rPr>
        <w:t>.</w:t>
      </w:r>
      <w:r w:rsidR="005537E6" w:rsidRPr="005E33C3">
        <w:rPr>
          <w:lang w:val="fr-FR"/>
        </w:rPr>
        <w:tab/>
        <w:t xml:space="preserve">Le Groupe de travail a </w:t>
      </w:r>
      <w:r w:rsidR="005537E6">
        <w:rPr>
          <w:lang w:val="fr-FR"/>
        </w:rPr>
        <w:t xml:space="preserve">confirmé que les corrections adoptées par le </w:t>
      </w:r>
      <w:r w:rsidR="005537E6" w:rsidRPr="00657F58">
        <w:rPr>
          <w:lang w:val="fr-FR"/>
        </w:rPr>
        <w:t>Sous-Comité d’experts du transport des marchandises dangereuses</w:t>
      </w:r>
      <w:r w:rsidR="005537E6" w:rsidRPr="005E33C3">
        <w:rPr>
          <w:lang w:val="fr-FR"/>
        </w:rPr>
        <w:t xml:space="preserve"> </w:t>
      </w:r>
      <w:r w:rsidR="005537E6">
        <w:rPr>
          <w:lang w:val="fr-FR"/>
        </w:rPr>
        <w:t>figurant dans le document informel INF.11 devaient être prise en compte dans le projet d’amendements devant entrer en vigueur au 1</w:t>
      </w:r>
      <w:r w:rsidR="005537E6" w:rsidRPr="003D0C39">
        <w:rPr>
          <w:vertAlign w:val="superscript"/>
          <w:lang w:val="fr-FR"/>
        </w:rPr>
        <w:t>er</w:t>
      </w:r>
      <w:r w:rsidR="005537E6">
        <w:rPr>
          <w:lang w:val="fr-FR"/>
        </w:rPr>
        <w:t xml:space="preserve"> janvier 2023 </w:t>
      </w:r>
      <w:r w:rsidR="005537E6" w:rsidRPr="005E33C3">
        <w:rPr>
          <w:lang w:val="fr-FR"/>
        </w:rPr>
        <w:t xml:space="preserve">(voir annexe </w:t>
      </w:r>
      <w:r w:rsidR="00736C97">
        <w:rPr>
          <w:lang w:val="fr-FR"/>
        </w:rPr>
        <w:t>I</w:t>
      </w:r>
      <w:r w:rsidR="005537E6" w:rsidRPr="005E33C3">
        <w:rPr>
          <w:lang w:val="fr-FR"/>
        </w:rPr>
        <w:t>).</w:t>
      </w:r>
    </w:p>
    <w:p w14:paraId="4207FBC7" w14:textId="328B6068" w:rsidR="005537E6" w:rsidRPr="00E60984" w:rsidRDefault="005537E6" w:rsidP="005537E6">
      <w:pPr>
        <w:keepNext/>
        <w:keepLines/>
        <w:tabs>
          <w:tab w:val="right" w:pos="851"/>
        </w:tabs>
        <w:spacing w:before="240" w:after="120" w:line="240" w:lineRule="exact"/>
        <w:ind w:left="1134" w:right="1134" w:hanging="1134"/>
        <w:outlineLvl w:val="3"/>
        <w:rPr>
          <w:rFonts w:eastAsiaTheme="minorHAnsi"/>
          <w:b/>
          <w:lang w:eastAsia="en-US"/>
        </w:rPr>
      </w:pPr>
      <w:r w:rsidRPr="00E60984">
        <w:rPr>
          <w:rFonts w:eastAsiaTheme="minorHAnsi"/>
          <w:b/>
          <w:lang w:val="fr-FR" w:eastAsia="en-US"/>
        </w:rPr>
        <w:tab/>
      </w:r>
      <w:r>
        <w:rPr>
          <w:rFonts w:eastAsiaTheme="minorHAnsi"/>
          <w:b/>
          <w:lang w:val="fr-FR" w:eastAsia="en-US"/>
        </w:rPr>
        <w:t>2</w:t>
      </w:r>
      <w:r w:rsidRPr="00E60984">
        <w:rPr>
          <w:rFonts w:eastAsiaTheme="minorHAnsi"/>
          <w:b/>
          <w:lang w:val="fr-FR" w:eastAsia="en-US"/>
        </w:rPr>
        <w:t>.</w:t>
      </w:r>
      <w:r w:rsidRPr="00E60984">
        <w:rPr>
          <w:rFonts w:eastAsiaTheme="minorHAnsi"/>
          <w:b/>
          <w:lang w:val="fr-FR" w:eastAsia="en-US"/>
        </w:rPr>
        <w:tab/>
      </w:r>
      <w:r>
        <w:rPr>
          <w:rFonts w:eastAsiaTheme="minorHAnsi"/>
          <w:b/>
          <w:lang w:val="fr-FR" w:eastAsia="en-US"/>
        </w:rPr>
        <w:t xml:space="preserve">Référence au 5.4.2 du </w:t>
      </w:r>
      <w:r w:rsidRPr="005204CB">
        <w:rPr>
          <w:rFonts w:eastAsiaTheme="minorHAnsi"/>
          <w:b/>
          <w:lang w:val="fr-FR" w:eastAsia="en-US"/>
        </w:rPr>
        <w:t>Code maritime international des marchandises dangereuses</w:t>
      </w:r>
      <w:r>
        <w:rPr>
          <w:rFonts w:eastAsiaTheme="minorHAnsi"/>
          <w:b/>
          <w:lang w:val="fr-FR" w:eastAsia="en-US"/>
        </w:rPr>
        <w:t xml:space="preserve"> (Code IMDG)</w:t>
      </w:r>
    </w:p>
    <w:p w14:paraId="4752DA4F" w14:textId="77777777" w:rsidR="005537E6" w:rsidRDefault="005537E6" w:rsidP="005537E6">
      <w:pPr>
        <w:spacing w:after="120"/>
        <w:ind w:left="3402" w:right="1134" w:hanging="2268"/>
        <w:jc w:val="both"/>
        <w:rPr>
          <w:lang w:val="fr-FR"/>
        </w:rPr>
      </w:pPr>
      <w:r w:rsidRPr="005E33C3">
        <w:rPr>
          <w:i/>
          <w:iCs/>
          <w:lang w:val="fr-FR"/>
        </w:rPr>
        <w:t>Document informel </w:t>
      </w:r>
      <w:r w:rsidRPr="005E33C3">
        <w:rPr>
          <w:lang w:val="fr-FR"/>
        </w:rPr>
        <w:t>:</w:t>
      </w:r>
      <w:r w:rsidRPr="005E33C3">
        <w:rPr>
          <w:lang w:val="fr-FR"/>
        </w:rPr>
        <w:tab/>
        <w:t>INF.</w:t>
      </w:r>
      <w:r>
        <w:rPr>
          <w:lang w:val="fr-FR"/>
        </w:rPr>
        <w:t>16 (secrétariat)</w:t>
      </w:r>
    </w:p>
    <w:p w14:paraId="508DDA72" w14:textId="1523BB07" w:rsidR="005537E6" w:rsidRPr="00B00179" w:rsidRDefault="005E280F" w:rsidP="005537E6">
      <w:pPr>
        <w:pStyle w:val="SingleTxtG"/>
      </w:pPr>
      <w:r>
        <w:lastRenderedPageBreak/>
        <w:t>36</w:t>
      </w:r>
      <w:r w:rsidR="005537E6" w:rsidRPr="00B00179">
        <w:t>.</w:t>
      </w:r>
      <w:r w:rsidR="005537E6" w:rsidRPr="00B00179">
        <w:tab/>
      </w:r>
      <w:r w:rsidR="005537E6">
        <w:t>Le Groupe de travail a confirmé que l</w:t>
      </w:r>
      <w:r w:rsidR="005537E6" w:rsidRPr="00B00179">
        <w:t xml:space="preserve">a note de bas de page 6 de la section 5.4.2 de l'ADR </w:t>
      </w:r>
      <w:r w:rsidR="005537E6">
        <w:t>contenant</w:t>
      </w:r>
      <w:r w:rsidR="005537E6" w:rsidRPr="00B00179">
        <w:t xml:space="preserve"> une référence à la section 5.4.2 du Code IMDG</w:t>
      </w:r>
      <w:r w:rsidR="005537E6">
        <w:t xml:space="preserve"> devait être mise à jour pour tenir compte de l</w:t>
      </w:r>
      <w:r w:rsidR="005537E6" w:rsidRPr="00B00179">
        <w:t xml:space="preserve">'amendement 40-20 </w:t>
      </w:r>
      <w:r w:rsidR="005537E6">
        <w:t>du Code IMDG. Les amendements correspondants ont été adoptés pour une entrée en vigueur au 1</w:t>
      </w:r>
      <w:r w:rsidR="005537E6" w:rsidRPr="00910D4F">
        <w:rPr>
          <w:vertAlign w:val="superscript"/>
        </w:rPr>
        <w:t>er</w:t>
      </w:r>
      <w:r w:rsidR="005537E6">
        <w:t xml:space="preserve"> janvier 2023 </w:t>
      </w:r>
      <w:r w:rsidR="005537E6" w:rsidRPr="005E33C3">
        <w:rPr>
          <w:lang w:val="fr-FR"/>
        </w:rPr>
        <w:t xml:space="preserve">(voir annexe </w:t>
      </w:r>
      <w:r w:rsidR="00AA1DBD">
        <w:rPr>
          <w:lang w:val="fr-FR"/>
        </w:rPr>
        <w:t>I</w:t>
      </w:r>
      <w:r w:rsidR="005537E6" w:rsidRPr="005E33C3">
        <w:rPr>
          <w:lang w:val="fr-FR"/>
        </w:rPr>
        <w:t>).</w:t>
      </w:r>
    </w:p>
    <w:p w14:paraId="755E77EC" w14:textId="77777777" w:rsidR="00503BE6" w:rsidRDefault="00503BE6" w:rsidP="00503BE6">
      <w:pPr>
        <w:keepNext/>
        <w:keepLines/>
        <w:tabs>
          <w:tab w:val="right" w:pos="851"/>
        </w:tabs>
        <w:spacing w:before="240" w:after="120" w:line="240" w:lineRule="exact"/>
        <w:ind w:left="1134" w:right="1134" w:hanging="1134"/>
        <w:outlineLvl w:val="3"/>
        <w:rPr>
          <w:rFonts w:eastAsiaTheme="minorHAnsi"/>
          <w:b/>
          <w:lang w:val="fr-FR" w:eastAsia="en-US"/>
        </w:rPr>
      </w:pPr>
      <w:r w:rsidRPr="00E60984">
        <w:rPr>
          <w:rFonts w:eastAsiaTheme="minorHAnsi"/>
          <w:b/>
          <w:lang w:val="fr-FR" w:eastAsia="en-US"/>
        </w:rPr>
        <w:tab/>
      </w:r>
      <w:r>
        <w:rPr>
          <w:rFonts w:eastAsiaTheme="minorHAnsi"/>
          <w:b/>
          <w:lang w:val="fr-FR" w:eastAsia="en-US"/>
        </w:rPr>
        <w:t>3</w:t>
      </w:r>
      <w:r w:rsidRPr="00E60984">
        <w:rPr>
          <w:rFonts w:eastAsiaTheme="minorHAnsi"/>
          <w:b/>
          <w:lang w:val="fr-FR" w:eastAsia="en-US"/>
        </w:rPr>
        <w:t>.</w:t>
      </w:r>
      <w:r w:rsidRPr="00E60984">
        <w:rPr>
          <w:rFonts w:eastAsiaTheme="minorHAnsi"/>
          <w:b/>
          <w:lang w:val="fr-FR" w:eastAsia="en-US"/>
        </w:rPr>
        <w:tab/>
      </w:r>
      <w:r>
        <w:rPr>
          <w:rFonts w:eastAsiaTheme="minorHAnsi"/>
          <w:b/>
          <w:lang w:val="fr-FR" w:eastAsia="en-US"/>
        </w:rPr>
        <w:t>Chapitres 8.4 et 8.5 : prescriptions relatives à la surveillance des véhicules</w:t>
      </w:r>
    </w:p>
    <w:p w14:paraId="442B7DBD" w14:textId="77777777" w:rsidR="00503BE6" w:rsidRPr="005E33C3" w:rsidRDefault="00503BE6" w:rsidP="001955C2">
      <w:pPr>
        <w:spacing w:after="120"/>
        <w:ind w:left="3402" w:right="1134" w:hanging="2268"/>
        <w:jc w:val="both"/>
        <w:rPr>
          <w:lang w:val="fr-FR"/>
        </w:rPr>
      </w:pPr>
      <w:r w:rsidRPr="005E33C3">
        <w:rPr>
          <w:i/>
          <w:iCs/>
          <w:lang w:val="fr-FR"/>
        </w:rPr>
        <w:t>Document </w:t>
      </w:r>
      <w:r w:rsidRPr="005E33C3">
        <w:rPr>
          <w:iCs/>
          <w:lang w:val="fr-FR"/>
        </w:rPr>
        <w:t>:</w:t>
      </w:r>
      <w:r w:rsidRPr="005E33C3">
        <w:rPr>
          <w:lang w:val="fr-FR"/>
        </w:rPr>
        <w:tab/>
        <w:t>ECE/TRANS/WP.15/</w:t>
      </w:r>
      <w:r>
        <w:rPr>
          <w:lang w:val="fr-FR"/>
        </w:rPr>
        <w:t>2022/2</w:t>
      </w:r>
      <w:r w:rsidRPr="005E33C3">
        <w:rPr>
          <w:lang w:val="fr-FR"/>
        </w:rPr>
        <w:t xml:space="preserve"> (</w:t>
      </w:r>
      <w:r>
        <w:rPr>
          <w:lang w:val="fr-FR"/>
        </w:rPr>
        <w:t>Allemagne</w:t>
      </w:r>
      <w:r w:rsidRPr="005E33C3">
        <w:rPr>
          <w:lang w:val="fr-FR"/>
        </w:rPr>
        <w:t>)</w:t>
      </w:r>
    </w:p>
    <w:p w14:paraId="53838FCE" w14:textId="61D13D7A" w:rsidR="00503BE6" w:rsidRDefault="005E280F" w:rsidP="00503BE6">
      <w:pPr>
        <w:pStyle w:val="SingleTxtG"/>
        <w:rPr>
          <w:lang w:val="fr-FR"/>
        </w:rPr>
      </w:pPr>
      <w:r>
        <w:rPr>
          <w:rFonts w:eastAsiaTheme="minorHAnsi"/>
          <w:lang w:eastAsia="en-US"/>
        </w:rPr>
        <w:t>37</w:t>
      </w:r>
      <w:r w:rsidR="00503BE6">
        <w:rPr>
          <w:rFonts w:eastAsiaTheme="minorHAnsi"/>
          <w:lang w:eastAsia="en-US"/>
        </w:rPr>
        <w:t>.</w:t>
      </w:r>
      <w:r w:rsidR="00503BE6">
        <w:rPr>
          <w:rFonts w:eastAsiaTheme="minorHAnsi"/>
          <w:lang w:eastAsia="en-US"/>
        </w:rPr>
        <w:tab/>
        <w:t xml:space="preserve">La représentante de l’Allemagne a indiqué que, au vu des commentaires reçus avant la session, le document </w:t>
      </w:r>
      <w:r w:rsidR="00503BE6" w:rsidRPr="005E33C3">
        <w:rPr>
          <w:lang w:val="fr-FR"/>
        </w:rPr>
        <w:t>ECE/TRANS/WP.15/</w:t>
      </w:r>
      <w:r w:rsidR="00503BE6">
        <w:rPr>
          <w:lang w:val="fr-FR"/>
        </w:rPr>
        <w:t>2022/2 n’était pas présenté en vue d’une décision mais uniquement pour discussion.</w:t>
      </w:r>
    </w:p>
    <w:p w14:paraId="7930AAFF" w14:textId="333051FB" w:rsidR="00503BE6" w:rsidRDefault="005E280F" w:rsidP="00503BE6">
      <w:pPr>
        <w:pStyle w:val="SingleTxtG"/>
        <w:rPr>
          <w:lang w:val="fr-FR"/>
        </w:rPr>
      </w:pPr>
      <w:r>
        <w:rPr>
          <w:lang w:val="fr-FR"/>
        </w:rPr>
        <w:t>38</w:t>
      </w:r>
      <w:r w:rsidR="00503BE6">
        <w:rPr>
          <w:lang w:val="fr-FR"/>
        </w:rPr>
        <w:t>.</w:t>
      </w:r>
      <w:r w:rsidR="00503BE6">
        <w:rPr>
          <w:lang w:val="fr-FR"/>
        </w:rPr>
        <w:tab/>
        <w:t xml:space="preserve">Les avis étaient partagés sur la redondance ou non des dispositions des chapitres 8.4 et 8.5 et les dispositions sur la sûreté du chapitre 1.10 et sur la question de supprimer ou mettre à jour les chapitres 8.4 et 8.5. </w:t>
      </w:r>
    </w:p>
    <w:p w14:paraId="5B1CFEAF" w14:textId="5FC5C9CC" w:rsidR="00503BE6" w:rsidRPr="00E60984" w:rsidRDefault="005E280F" w:rsidP="00503BE6">
      <w:pPr>
        <w:pStyle w:val="SingleTxtG"/>
        <w:rPr>
          <w:rFonts w:eastAsiaTheme="minorHAnsi"/>
          <w:lang w:eastAsia="en-US"/>
        </w:rPr>
      </w:pPr>
      <w:r>
        <w:rPr>
          <w:lang w:val="fr-FR"/>
        </w:rPr>
        <w:t>39</w:t>
      </w:r>
      <w:r w:rsidR="00503BE6">
        <w:rPr>
          <w:lang w:val="fr-FR"/>
        </w:rPr>
        <w:t>.</w:t>
      </w:r>
      <w:r w:rsidR="00503BE6">
        <w:rPr>
          <w:lang w:val="fr-FR"/>
        </w:rPr>
        <w:tab/>
        <w:t xml:space="preserve">La représentante de l’Allemagne a noté les commentaires formulés en session ainsi que les préoccupations contre les propositions figurant dans le document </w:t>
      </w:r>
      <w:r w:rsidR="00503BE6" w:rsidRPr="005E33C3">
        <w:rPr>
          <w:lang w:val="fr-FR"/>
        </w:rPr>
        <w:t>ECE/TRANS/WP.15/</w:t>
      </w:r>
      <w:r w:rsidR="00503BE6">
        <w:rPr>
          <w:lang w:val="fr-FR"/>
        </w:rPr>
        <w:t xml:space="preserve">2022/2. Elle a indiqué que l’Allemagne déciderait de l’opportunité de présenter une proposition révisée à la lumière des commentaires exprimés et après discussion avec les experts de la classe 1 en ce qui concerne la surveillance des chargements de matières et objets explosibles. </w:t>
      </w:r>
    </w:p>
    <w:p w14:paraId="026357C5" w14:textId="77777777" w:rsidR="00503BE6" w:rsidRDefault="00503BE6" w:rsidP="00503BE6">
      <w:pPr>
        <w:keepNext/>
        <w:keepLines/>
        <w:tabs>
          <w:tab w:val="right" w:pos="851"/>
        </w:tabs>
        <w:spacing w:before="240" w:after="120" w:line="240" w:lineRule="exact"/>
        <w:ind w:left="1134" w:right="1134" w:hanging="1134"/>
        <w:outlineLvl w:val="3"/>
        <w:rPr>
          <w:rFonts w:eastAsiaTheme="minorHAnsi"/>
          <w:b/>
          <w:lang w:val="fr-FR" w:eastAsia="en-US"/>
        </w:rPr>
      </w:pPr>
      <w:r w:rsidRPr="00E60984">
        <w:rPr>
          <w:rFonts w:eastAsiaTheme="minorHAnsi"/>
          <w:b/>
          <w:lang w:val="fr-FR" w:eastAsia="en-US"/>
        </w:rPr>
        <w:tab/>
      </w:r>
      <w:r>
        <w:rPr>
          <w:rFonts w:eastAsiaTheme="minorHAnsi"/>
          <w:b/>
          <w:lang w:val="fr-FR" w:eastAsia="en-US"/>
        </w:rPr>
        <w:t>4</w:t>
      </w:r>
      <w:r w:rsidRPr="00E60984">
        <w:rPr>
          <w:rFonts w:eastAsiaTheme="minorHAnsi"/>
          <w:b/>
          <w:lang w:val="fr-FR" w:eastAsia="en-US"/>
        </w:rPr>
        <w:t>.</w:t>
      </w:r>
      <w:r w:rsidRPr="00E60984">
        <w:rPr>
          <w:rFonts w:eastAsiaTheme="minorHAnsi"/>
          <w:b/>
          <w:lang w:val="fr-FR" w:eastAsia="en-US"/>
        </w:rPr>
        <w:tab/>
      </w:r>
      <w:r w:rsidRPr="00783BB0">
        <w:rPr>
          <w:rFonts w:eastAsiaTheme="minorHAnsi"/>
          <w:b/>
          <w:lang w:val="fr-FR" w:eastAsia="en-US"/>
        </w:rPr>
        <w:t xml:space="preserve">Inclusion des </w:t>
      </w:r>
      <w:r>
        <w:rPr>
          <w:rFonts w:eastAsiaTheme="minorHAnsi"/>
          <w:b/>
          <w:lang w:val="fr-FR" w:eastAsia="en-US"/>
        </w:rPr>
        <w:t xml:space="preserve">très grands </w:t>
      </w:r>
      <w:r w:rsidRPr="00783BB0">
        <w:rPr>
          <w:rFonts w:eastAsiaTheme="minorHAnsi"/>
          <w:b/>
          <w:lang w:val="fr-FR" w:eastAsia="en-US"/>
        </w:rPr>
        <w:t>conteneurs-citernes dans le modèle de rapport sur les événements survenus pendant le transport de marchandises dangereuses</w:t>
      </w:r>
    </w:p>
    <w:p w14:paraId="382ACC07" w14:textId="77777777" w:rsidR="00503BE6" w:rsidRPr="005E33C3" w:rsidRDefault="00503BE6" w:rsidP="001955C2">
      <w:pPr>
        <w:spacing w:after="120"/>
        <w:ind w:left="3402" w:right="1134" w:hanging="2268"/>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INF.13 (OTIF)</w:t>
      </w:r>
    </w:p>
    <w:p w14:paraId="5CE1E982" w14:textId="78EBD9E1" w:rsidR="00503BE6" w:rsidRDefault="005E280F" w:rsidP="00503BE6">
      <w:pPr>
        <w:pStyle w:val="SingleTxtG"/>
        <w:rPr>
          <w:rFonts w:eastAsiaTheme="minorHAnsi"/>
          <w:lang w:eastAsia="en-US"/>
        </w:rPr>
      </w:pPr>
      <w:r>
        <w:rPr>
          <w:rFonts w:eastAsiaTheme="minorHAnsi"/>
          <w:lang w:eastAsia="en-US"/>
        </w:rPr>
        <w:t>40</w:t>
      </w:r>
      <w:r w:rsidR="00503BE6">
        <w:rPr>
          <w:rFonts w:eastAsiaTheme="minorHAnsi"/>
          <w:lang w:eastAsia="en-US"/>
        </w:rPr>
        <w:t>.</w:t>
      </w:r>
      <w:r w:rsidR="00503BE6">
        <w:rPr>
          <w:rFonts w:eastAsiaTheme="minorHAnsi"/>
          <w:lang w:eastAsia="en-US"/>
        </w:rPr>
        <w:tab/>
        <w:t xml:space="preserve">La proposition figurant dans le document informel INF.13 a été adoptée </w:t>
      </w:r>
      <w:r w:rsidR="00503BE6" w:rsidRPr="005E5CF8">
        <w:rPr>
          <w:lang w:val="fr-FR" w:eastAsia="en-US"/>
        </w:rPr>
        <w:t xml:space="preserve">pour entrée en vigueur le 1er janvier </w:t>
      </w:r>
      <w:r w:rsidR="00503BE6">
        <w:rPr>
          <w:lang w:val="fr-FR" w:eastAsia="en-US"/>
        </w:rPr>
        <w:t>2023 (voir annexe</w:t>
      </w:r>
      <w:r w:rsidR="0045554A">
        <w:rPr>
          <w:lang w:val="fr-FR" w:eastAsia="en-US"/>
        </w:rPr>
        <w:t xml:space="preserve"> I</w:t>
      </w:r>
      <w:r w:rsidR="00503BE6">
        <w:rPr>
          <w:lang w:val="fr-FR" w:eastAsia="en-US"/>
        </w:rPr>
        <w:t>)</w:t>
      </w:r>
      <w:r w:rsidR="00503BE6">
        <w:rPr>
          <w:rFonts w:eastAsiaTheme="minorHAnsi"/>
          <w:lang w:eastAsia="en-US"/>
        </w:rPr>
        <w:t xml:space="preserve">. </w:t>
      </w:r>
    </w:p>
    <w:p w14:paraId="7E152F7B" w14:textId="77777777" w:rsidR="00533AF4" w:rsidRPr="00533AF4" w:rsidRDefault="00533AF4" w:rsidP="00533AF4">
      <w:pPr>
        <w:keepNext/>
        <w:keepLines/>
        <w:tabs>
          <w:tab w:val="right" w:pos="851"/>
        </w:tabs>
        <w:spacing w:before="240" w:after="120" w:line="240" w:lineRule="exact"/>
        <w:ind w:left="1134" w:right="1134" w:hanging="1134"/>
        <w:outlineLvl w:val="3"/>
        <w:rPr>
          <w:rFonts w:eastAsiaTheme="minorHAnsi"/>
          <w:b/>
          <w:lang w:val="fr-FR" w:eastAsia="en-US"/>
        </w:rPr>
      </w:pPr>
      <w:r w:rsidRPr="00533AF4">
        <w:rPr>
          <w:rFonts w:eastAsiaTheme="minorHAnsi"/>
          <w:b/>
          <w:lang w:val="fr-FR" w:eastAsia="en-US"/>
        </w:rPr>
        <w:tab/>
        <w:t>5.</w:t>
      </w:r>
      <w:r w:rsidRPr="00533AF4">
        <w:rPr>
          <w:rFonts w:eastAsiaTheme="minorHAnsi"/>
          <w:b/>
          <w:lang w:val="fr-FR" w:eastAsia="en-US"/>
        </w:rPr>
        <w:tab/>
        <w:t>Prescriptions relatives à la sûreté pour les marchandises dangereuses transportées conformément au 1.1.3.6</w:t>
      </w:r>
    </w:p>
    <w:p w14:paraId="0DCB6E8F" w14:textId="77777777" w:rsidR="00533AF4" w:rsidRPr="00533AF4" w:rsidRDefault="00533AF4" w:rsidP="001955C2">
      <w:pPr>
        <w:spacing w:after="120"/>
        <w:ind w:left="3402" w:right="1134" w:hanging="2268"/>
        <w:jc w:val="both"/>
        <w:rPr>
          <w:lang w:val="fr-FR"/>
        </w:rPr>
      </w:pPr>
      <w:r w:rsidRPr="00533AF4">
        <w:rPr>
          <w:i/>
          <w:iCs/>
          <w:lang w:val="fr-FR"/>
        </w:rPr>
        <w:t>Document </w:t>
      </w:r>
      <w:r w:rsidRPr="00533AF4">
        <w:rPr>
          <w:iCs/>
          <w:lang w:val="fr-FR"/>
        </w:rPr>
        <w:t>:</w:t>
      </w:r>
      <w:r w:rsidRPr="00533AF4">
        <w:rPr>
          <w:lang w:val="fr-FR"/>
        </w:rPr>
        <w:tab/>
        <w:t>ECE/TRANS/WP.15/2022/3 (Norvège et Suède)</w:t>
      </w:r>
    </w:p>
    <w:p w14:paraId="505D1494" w14:textId="77777777" w:rsidR="00533AF4" w:rsidRPr="00533AF4" w:rsidRDefault="00533AF4" w:rsidP="00533AF4">
      <w:pPr>
        <w:spacing w:after="120"/>
        <w:ind w:left="2694" w:right="1134" w:hanging="1560"/>
        <w:jc w:val="both"/>
        <w:rPr>
          <w:lang w:val="fr-FR"/>
        </w:rPr>
      </w:pPr>
      <w:r w:rsidRPr="00533AF4">
        <w:rPr>
          <w:i/>
          <w:iCs/>
          <w:lang w:val="fr-FR"/>
        </w:rPr>
        <w:t>Documents informels </w:t>
      </w:r>
      <w:r w:rsidRPr="00533AF4">
        <w:rPr>
          <w:iCs/>
          <w:lang w:val="fr-FR"/>
        </w:rPr>
        <w:t>:</w:t>
      </w:r>
      <w:r w:rsidRPr="00533AF4">
        <w:rPr>
          <w:lang w:val="fr-FR"/>
        </w:rPr>
        <w:tab/>
        <w:t>INF.19 (Norvège et Suède), INF.26/Rev.1 (secrétariat)</w:t>
      </w:r>
    </w:p>
    <w:p w14:paraId="1DEB4730" w14:textId="1BC23DDB" w:rsidR="00533AF4" w:rsidRPr="00533AF4" w:rsidRDefault="005E280F" w:rsidP="00533AF4">
      <w:pPr>
        <w:spacing w:after="120"/>
        <w:ind w:left="1134" w:right="1134"/>
        <w:jc w:val="both"/>
        <w:rPr>
          <w:lang w:val="fr-FR"/>
        </w:rPr>
      </w:pPr>
      <w:r>
        <w:rPr>
          <w:lang w:val="fr-FR"/>
        </w:rPr>
        <w:t>41</w:t>
      </w:r>
      <w:r w:rsidR="00533AF4" w:rsidRPr="00533AF4">
        <w:rPr>
          <w:lang w:val="fr-FR"/>
        </w:rPr>
        <w:t>.</w:t>
      </w:r>
      <w:r w:rsidR="00533AF4" w:rsidRPr="00533AF4">
        <w:rPr>
          <w:lang w:val="fr-FR"/>
        </w:rPr>
        <w:tab/>
        <w:t>L’option 1 visait à rendre applicables les dispositions relatives à la sûreté pour toutes les marchandises dangereuses à haut risque sans qu’il ne soit possible de bénéficier d’une exemption selon le 1.1.3.6.</w:t>
      </w:r>
    </w:p>
    <w:p w14:paraId="6616B29C" w14:textId="05CBB8C1" w:rsidR="00533AF4" w:rsidRPr="00533AF4" w:rsidRDefault="005E280F" w:rsidP="00533AF4">
      <w:pPr>
        <w:spacing w:after="120"/>
        <w:ind w:left="1134" w:right="1134"/>
        <w:jc w:val="both"/>
        <w:rPr>
          <w:lang w:val="fr-FR"/>
        </w:rPr>
      </w:pPr>
      <w:r>
        <w:rPr>
          <w:lang w:val="fr-FR"/>
        </w:rPr>
        <w:t>42</w:t>
      </w:r>
      <w:r w:rsidR="00533AF4" w:rsidRPr="00533AF4">
        <w:rPr>
          <w:lang w:val="fr-FR"/>
        </w:rPr>
        <w:t>.</w:t>
      </w:r>
      <w:r w:rsidR="00533AF4" w:rsidRPr="00533AF4">
        <w:rPr>
          <w:lang w:val="fr-FR"/>
        </w:rPr>
        <w:tab/>
        <w:t>L’option 2 visait à restreindre cette modification aux marchandises dangereuses à haut risque de la classe 1.</w:t>
      </w:r>
    </w:p>
    <w:p w14:paraId="0FCEF107" w14:textId="737B6E72" w:rsidR="00533AF4" w:rsidRPr="00533AF4" w:rsidRDefault="005E280F" w:rsidP="00533AF4">
      <w:pPr>
        <w:spacing w:after="120"/>
        <w:ind w:left="1134" w:right="1134"/>
        <w:jc w:val="both"/>
        <w:rPr>
          <w:lang w:val="fr-FR"/>
        </w:rPr>
      </w:pPr>
      <w:r>
        <w:rPr>
          <w:lang w:val="fr-FR"/>
        </w:rPr>
        <w:t>43</w:t>
      </w:r>
      <w:r w:rsidR="00533AF4" w:rsidRPr="00533AF4">
        <w:rPr>
          <w:lang w:val="fr-FR"/>
        </w:rPr>
        <w:t>.</w:t>
      </w:r>
      <w:r w:rsidR="00533AF4" w:rsidRPr="00533AF4">
        <w:rPr>
          <w:lang w:val="fr-FR"/>
        </w:rPr>
        <w:tab/>
        <w:t>Certaines délégations s’inquiétaient des conséquences que ces modifications auraient pour les industries concernées. Des délégations souhaitaient disposer de plus de données statistiques sur les risques en matière de sûreté présentés par des chargements en petites quantités pour pouvoir se prononcer. D’autres délégations ont indiqué que les représentants de l’industrie et des services de contrôle de leur pays étaient en faveur de ces dispositions visant à augmenter le niveau de sûreté des transports réalisés en application du 1.1.3.6.</w:t>
      </w:r>
    </w:p>
    <w:p w14:paraId="110151AB" w14:textId="3F3E818D" w:rsidR="00533AF4" w:rsidRPr="00533AF4" w:rsidRDefault="005E280F" w:rsidP="00533AF4">
      <w:pPr>
        <w:spacing w:after="120"/>
        <w:ind w:left="1134" w:right="1134"/>
        <w:jc w:val="both"/>
        <w:rPr>
          <w:lang w:val="fr-FR"/>
        </w:rPr>
      </w:pPr>
      <w:r>
        <w:rPr>
          <w:lang w:val="fr-FR"/>
        </w:rPr>
        <w:t>44</w:t>
      </w:r>
      <w:r w:rsidR="00533AF4" w:rsidRPr="00533AF4">
        <w:rPr>
          <w:lang w:val="fr-FR"/>
        </w:rPr>
        <w:t>.</w:t>
      </w:r>
      <w:r w:rsidR="00533AF4" w:rsidRPr="00533AF4">
        <w:rPr>
          <w:lang w:val="fr-FR"/>
        </w:rPr>
        <w:tab/>
        <w:t>L’option 1, ayant reçu peu de soutien, a été supprimée. Mise aux voix, l’option 2 a été adoptée pour entrée en vigueur au 1</w:t>
      </w:r>
      <w:r w:rsidR="00533AF4" w:rsidRPr="00533AF4">
        <w:rPr>
          <w:vertAlign w:val="superscript"/>
          <w:lang w:val="fr-FR"/>
        </w:rPr>
        <w:t>er</w:t>
      </w:r>
      <w:r w:rsidR="00533AF4" w:rsidRPr="00533AF4">
        <w:rPr>
          <w:lang w:val="fr-FR"/>
        </w:rPr>
        <w:t xml:space="preserve"> janvier 2023. Le Groupe de travail a également adopté l’amendement de conséquence au 1.10.4 figurant en proposition 1 du document informel INF.19 et la mesure transitoire figurant en tant qu’option 1 dans le document informel INF.26/Rev.1 avec quelques modifications rédactionnelles (voir annexe </w:t>
      </w:r>
      <w:r w:rsidR="00031ABB">
        <w:rPr>
          <w:lang w:val="fr-FR"/>
        </w:rPr>
        <w:t>I</w:t>
      </w:r>
      <w:r w:rsidR="00533AF4" w:rsidRPr="00533AF4">
        <w:rPr>
          <w:lang w:val="fr-FR"/>
        </w:rPr>
        <w:t xml:space="preserve">). </w:t>
      </w:r>
    </w:p>
    <w:p w14:paraId="028BF0F7" w14:textId="77777777" w:rsidR="00533AF4" w:rsidRDefault="00533AF4" w:rsidP="00503BE6">
      <w:pPr>
        <w:pStyle w:val="SingleTxtG"/>
        <w:rPr>
          <w:lang w:val="fr-FR"/>
        </w:rPr>
      </w:pPr>
    </w:p>
    <w:p w14:paraId="57800B62" w14:textId="77777777" w:rsidR="00FF23C3" w:rsidRDefault="00FF23C3" w:rsidP="00FF23C3">
      <w:pPr>
        <w:pStyle w:val="HChG"/>
        <w:rPr>
          <w:i/>
          <w:iCs/>
          <w:lang w:eastAsia="en-US"/>
        </w:rPr>
      </w:pPr>
      <w:r w:rsidRPr="009B440C">
        <w:rPr>
          <w:rFonts w:eastAsiaTheme="minorHAnsi"/>
          <w:lang w:val="fr-FR" w:eastAsia="en-US"/>
        </w:rPr>
        <w:lastRenderedPageBreak/>
        <w:tab/>
      </w:r>
      <w:r>
        <w:rPr>
          <w:rFonts w:eastAsiaTheme="minorHAnsi"/>
          <w:lang w:val="fr-FR" w:eastAsia="en-US"/>
        </w:rPr>
        <w:t>VII</w:t>
      </w:r>
      <w:r w:rsidRPr="009B440C">
        <w:rPr>
          <w:rFonts w:eastAsiaTheme="minorHAnsi"/>
          <w:lang w:val="fr-FR" w:eastAsia="en-US"/>
        </w:rPr>
        <w:t>.</w:t>
      </w:r>
      <w:r w:rsidRPr="009B440C">
        <w:rPr>
          <w:rFonts w:eastAsiaTheme="minorHAnsi"/>
          <w:lang w:val="fr-FR" w:eastAsia="en-US"/>
        </w:rPr>
        <w:tab/>
      </w:r>
      <w:r>
        <w:rPr>
          <w:lang w:val="fr-FR"/>
        </w:rPr>
        <w:t>Interprétation de l’ADR</w:t>
      </w:r>
      <w:r w:rsidRPr="009B440C">
        <w:rPr>
          <w:rFonts w:eastAsiaTheme="minorHAnsi"/>
          <w:lang w:val="fr-FR" w:eastAsia="en-US"/>
        </w:rPr>
        <w:t xml:space="preserve"> </w:t>
      </w:r>
      <w:r w:rsidRPr="00203D03">
        <w:rPr>
          <w:lang w:eastAsia="en-US"/>
        </w:rPr>
        <w:t xml:space="preserve">(point </w:t>
      </w:r>
      <w:r>
        <w:rPr>
          <w:lang w:eastAsia="en-US"/>
        </w:rPr>
        <w:t>6</w:t>
      </w:r>
      <w:r w:rsidRPr="00203D03">
        <w:rPr>
          <w:lang w:eastAsia="en-US"/>
        </w:rPr>
        <w:t xml:space="preserve"> de l’ordre du jour)</w:t>
      </w:r>
      <w:r>
        <w:rPr>
          <w:lang w:eastAsia="en-US"/>
        </w:rPr>
        <w:t xml:space="preserve"> </w:t>
      </w:r>
    </w:p>
    <w:p w14:paraId="664182F8" w14:textId="20ED957A" w:rsidR="00FF23C3" w:rsidRDefault="00FF23C3" w:rsidP="00D21A5E">
      <w:pPr>
        <w:pStyle w:val="H1G"/>
        <w:rPr>
          <w:rFonts w:eastAsiaTheme="minorHAnsi"/>
          <w:lang w:val="fr-FR" w:eastAsia="en-US"/>
        </w:rPr>
      </w:pPr>
      <w:r w:rsidRPr="00E60984">
        <w:rPr>
          <w:rFonts w:eastAsiaTheme="minorHAnsi"/>
          <w:lang w:val="fr-FR" w:eastAsia="en-US"/>
        </w:rPr>
        <w:tab/>
      </w:r>
      <w:r w:rsidR="00D21A5E">
        <w:rPr>
          <w:rFonts w:eastAsiaTheme="minorHAnsi"/>
          <w:lang w:val="fr-FR" w:eastAsia="en-US"/>
        </w:rPr>
        <w:t>A</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Formations ADR à distance</w:t>
      </w:r>
    </w:p>
    <w:p w14:paraId="7A4A5229" w14:textId="77777777" w:rsidR="00FF23C3" w:rsidRPr="005E33C3" w:rsidRDefault="00FF23C3" w:rsidP="008F2C6F">
      <w:pPr>
        <w:spacing w:after="120"/>
        <w:ind w:left="3402" w:right="1134" w:hanging="2268"/>
        <w:jc w:val="both"/>
        <w:rPr>
          <w:lang w:val="fr-FR"/>
        </w:rPr>
      </w:pPr>
      <w:r w:rsidRPr="005E33C3">
        <w:rPr>
          <w:i/>
          <w:iCs/>
          <w:lang w:val="fr-FR"/>
        </w:rPr>
        <w:t>Document </w:t>
      </w:r>
      <w:r w:rsidRPr="005E33C3">
        <w:rPr>
          <w:iCs/>
          <w:lang w:val="fr-FR"/>
        </w:rPr>
        <w:t>:</w:t>
      </w:r>
      <w:r w:rsidRPr="005E33C3">
        <w:rPr>
          <w:lang w:val="fr-FR"/>
        </w:rPr>
        <w:tab/>
        <w:t>ECE/TRANS/WP.15/</w:t>
      </w:r>
      <w:r>
        <w:rPr>
          <w:lang w:val="fr-FR"/>
        </w:rPr>
        <w:t>2022/1</w:t>
      </w:r>
      <w:r w:rsidRPr="005E33C3">
        <w:rPr>
          <w:lang w:val="fr-FR"/>
        </w:rPr>
        <w:t xml:space="preserve"> (</w:t>
      </w:r>
      <w:r>
        <w:rPr>
          <w:lang w:val="fr-FR"/>
        </w:rPr>
        <w:t>Suède</w:t>
      </w:r>
      <w:r w:rsidRPr="005E33C3">
        <w:rPr>
          <w:lang w:val="fr-FR"/>
        </w:rPr>
        <w:t>)</w:t>
      </w:r>
    </w:p>
    <w:p w14:paraId="103EE895" w14:textId="482A76C5" w:rsidR="00FF23C3" w:rsidRDefault="005E280F" w:rsidP="00FF23C3">
      <w:pPr>
        <w:pStyle w:val="SingleTxtG"/>
        <w:rPr>
          <w:lang w:val="fr-FR"/>
        </w:rPr>
      </w:pPr>
      <w:r>
        <w:rPr>
          <w:rFonts w:eastAsiaTheme="minorHAnsi"/>
          <w:lang w:eastAsia="en-US"/>
        </w:rPr>
        <w:t>45</w:t>
      </w:r>
      <w:r w:rsidR="00FF23C3">
        <w:rPr>
          <w:rFonts w:eastAsiaTheme="minorHAnsi"/>
          <w:lang w:eastAsia="en-US"/>
        </w:rPr>
        <w:t>.</w:t>
      </w:r>
      <w:r w:rsidR="00FF23C3">
        <w:rPr>
          <w:rFonts w:eastAsiaTheme="minorHAnsi"/>
          <w:lang w:eastAsia="en-US"/>
        </w:rPr>
        <w:tab/>
        <w:t xml:space="preserve">La représentante de la Suède souhaitait savoir si les dispositions du chapitre 8.2 permettaient que </w:t>
      </w:r>
      <w:r w:rsidR="00FF23C3">
        <w:rPr>
          <w:lang w:val="fr-FR"/>
        </w:rPr>
        <w:t xml:space="preserve">la partie théorique de la formation ADR puisse être dispensée par un formateur à distance. </w:t>
      </w:r>
    </w:p>
    <w:p w14:paraId="586D4F01" w14:textId="201B50D0" w:rsidR="00FF23C3" w:rsidRDefault="005E280F" w:rsidP="00FF23C3">
      <w:pPr>
        <w:pStyle w:val="SingleTxtG"/>
        <w:rPr>
          <w:lang w:val="fr-FR"/>
        </w:rPr>
      </w:pPr>
      <w:r>
        <w:rPr>
          <w:lang w:val="fr-FR"/>
        </w:rPr>
        <w:t>46</w:t>
      </w:r>
      <w:r w:rsidR="00FF23C3">
        <w:rPr>
          <w:lang w:val="fr-FR"/>
        </w:rPr>
        <w:t>.</w:t>
      </w:r>
      <w:r w:rsidR="00FF23C3">
        <w:rPr>
          <w:lang w:val="fr-FR"/>
        </w:rPr>
        <w:tab/>
        <w:t>Certaines délégations considéraient que l’ADR n’interdisait pas que la partie théorique soit réalisée par un formateur à distance. D’autres considéraient que les dispositions actuelles ne le permettent pas. Plusieurs délégations étaient favorables à faire évoluer les dispositions du chapitre 8.2 pour définir clairement un cadre pour la réalisation de ces enseignements à distance afin notamment de contrôler la présence active des participants durant toute la durée des cours dispensés et de s’assurer que les cours à distance présentent une qualité équivalente aux cours en présentiel.</w:t>
      </w:r>
    </w:p>
    <w:p w14:paraId="747CC003" w14:textId="52F80EF5" w:rsidR="00FF23C3" w:rsidRDefault="005E280F" w:rsidP="00FF23C3">
      <w:pPr>
        <w:pStyle w:val="SingleTxtG"/>
        <w:rPr>
          <w:lang w:val="fr-FR"/>
        </w:rPr>
      </w:pPr>
      <w:r>
        <w:rPr>
          <w:lang w:val="fr-FR"/>
        </w:rPr>
        <w:t>47</w:t>
      </w:r>
      <w:r w:rsidR="00FF23C3">
        <w:rPr>
          <w:lang w:val="fr-FR"/>
        </w:rPr>
        <w:t>.</w:t>
      </w:r>
      <w:r w:rsidR="00FF23C3">
        <w:rPr>
          <w:lang w:val="fr-FR"/>
        </w:rPr>
        <w:tab/>
        <w:t>Le Groupe de travail a noté avec intérêt les travaux en cours au sein du g</w:t>
      </w:r>
      <w:r w:rsidR="00FF23C3" w:rsidRPr="006350CF">
        <w:rPr>
          <w:lang w:val="fr-FR"/>
        </w:rPr>
        <w:t>roupe de travail informel de l</w:t>
      </w:r>
      <w:r w:rsidR="00FF23C3">
        <w:rPr>
          <w:lang w:val="fr-FR"/>
        </w:rPr>
        <w:t>’</w:t>
      </w:r>
      <w:r w:rsidR="00FF23C3" w:rsidRPr="006350CF">
        <w:rPr>
          <w:lang w:val="fr-FR"/>
        </w:rPr>
        <w:t>apprentissage</w:t>
      </w:r>
      <w:r w:rsidR="00FF23C3">
        <w:rPr>
          <w:lang w:val="fr-FR"/>
        </w:rPr>
        <w:t xml:space="preserve"> </w:t>
      </w:r>
      <w:r w:rsidR="00FF23C3" w:rsidRPr="006350CF">
        <w:rPr>
          <w:lang w:val="fr-FR"/>
        </w:rPr>
        <w:t>en ligne</w:t>
      </w:r>
      <w:r w:rsidR="00FF23C3">
        <w:rPr>
          <w:lang w:val="fr-FR"/>
        </w:rPr>
        <w:t xml:space="preserve"> de la Réunion commune dont le mandat porte principalement sur les formations en ligne (e-learning) mais inclut également les formations délivrées à distance par un formateur (remote training). </w:t>
      </w:r>
    </w:p>
    <w:p w14:paraId="70DF2D72" w14:textId="7FCE5B03" w:rsidR="00FF23C3" w:rsidRDefault="00FF23C3" w:rsidP="00D21A5E">
      <w:pPr>
        <w:pStyle w:val="H1G"/>
        <w:rPr>
          <w:rFonts w:eastAsiaTheme="minorHAnsi"/>
          <w:lang w:val="fr-FR" w:eastAsia="en-US"/>
        </w:rPr>
      </w:pPr>
      <w:r w:rsidRPr="00E60984">
        <w:rPr>
          <w:rFonts w:eastAsiaTheme="minorHAnsi"/>
          <w:lang w:val="fr-FR" w:eastAsia="en-US"/>
        </w:rPr>
        <w:tab/>
      </w:r>
      <w:r w:rsidR="00D21A5E">
        <w:rPr>
          <w:rFonts w:eastAsiaTheme="minorHAnsi"/>
          <w:lang w:val="fr-FR" w:eastAsia="en-US"/>
        </w:rPr>
        <w:t>B</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Dispositions relatives à la sûreté</w:t>
      </w:r>
    </w:p>
    <w:p w14:paraId="3CDF6015" w14:textId="77777777" w:rsidR="00FF23C3" w:rsidRPr="005E33C3" w:rsidRDefault="00FF23C3" w:rsidP="008F2C6F">
      <w:pPr>
        <w:spacing w:after="120"/>
        <w:ind w:left="3402" w:right="1134" w:hanging="2268"/>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INF.4</w:t>
      </w:r>
      <w:r w:rsidRPr="005E33C3">
        <w:rPr>
          <w:lang w:val="fr-FR"/>
        </w:rPr>
        <w:t xml:space="preserve"> (</w:t>
      </w:r>
      <w:r>
        <w:rPr>
          <w:lang w:val="fr-FR"/>
        </w:rPr>
        <w:t>Suède</w:t>
      </w:r>
      <w:r w:rsidRPr="005E33C3">
        <w:rPr>
          <w:lang w:val="fr-FR"/>
        </w:rPr>
        <w:t>)</w:t>
      </w:r>
    </w:p>
    <w:p w14:paraId="6075CE3C" w14:textId="1162AD37" w:rsidR="00FF23C3" w:rsidRDefault="005E280F" w:rsidP="00FF23C3">
      <w:pPr>
        <w:pStyle w:val="SingleTxtG"/>
        <w:rPr>
          <w:lang w:val="fr-FR"/>
        </w:rPr>
      </w:pPr>
      <w:r>
        <w:rPr>
          <w:lang w:val="fr-FR"/>
        </w:rPr>
        <w:t>48</w:t>
      </w:r>
      <w:r w:rsidR="00FF23C3">
        <w:rPr>
          <w:lang w:val="fr-FR"/>
        </w:rPr>
        <w:t>.</w:t>
      </w:r>
      <w:r w:rsidR="00FF23C3">
        <w:tab/>
      </w:r>
      <w:r w:rsidR="00FF23C3">
        <w:rPr>
          <w:lang w:val="fr-FR"/>
        </w:rPr>
        <w:t>Plusieurs délégations ont indiqué que les transports et la manutention des explosifs étaient également réglementés au niveau national et que, dans ce cadre, des dispositions complémentaires à celles de l’ADR pouvaient s’appliquer, notamment en ce qui concerne les fermetures</w:t>
      </w:r>
      <w:r w:rsidR="00FF23C3" w:rsidRPr="2E0EB766">
        <w:rPr>
          <w:lang w:val="fr-FR"/>
        </w:rPr>
        <w:t xml:space="preserve"> des véhicules et de leurs caisses ou les systèmes d’alarme.</w:t>
      </w:r>
    </w:p>
    <w:p w14:paraId="2275AE03" w14:textId="119BD327" w:rsidR="00FF23C3" w:rsidRDefault="005E280F" w:rsidP="00FF23C3">
      <w:pPr>
        <w:pStyle w:val="SingleTxtG"/>
        <w:rPr>
          <w:lang w:val="fr-FR"/>
        </w:rPr>
      </w:pPr>
      <w:r>
        <w:rPr>
          <w:lang w:val="fr-FR"/>
        </w:rPr>
        <w:t>49</w:t>
      </w:r>
      <w:r w:rsidR="00FF23C3">
        <w:rPr>
          <w:lang w:val="fr-FR"/>
        </w:rPr>
        <w:t>.</w:t>
      </w:r>
      <w:r w:rsidR="00FF23C3">
        <w:rPr>
          <w:lang w:val="fr-FR"/>
        </w:rPr>
        <w:tab/>
        <w:t xml:space="preserve">Les délégations qui se sont prononcées n’étaient pas favorables à rendre obligatoire l’utilisation de véhicules couverts pour les transports de marchandises dangereuses à haut risque de la classe 1. </w:t>
      </w:r>
    </w:p>
    <w:p w14:paraId="17A1773E" w14:textId="7BD1DF0D" w:rsidR="00FF23C3" w:rsidRDefault="005E280F" w:rsidP="00FF23C3">
      <w:pPr>
        <w:pStyle w:val="SingleTxtG"/>
        <w:rPr>
          <w:lang w:val="fr-FR"/>
        </w:rPr>
      </w:pPr>
      <w:r>
        <w:rPr>
          <w:lang w:val="fr-FR"/>
        </w:rPr>
        <w:t>50</w:t>
      </w:r>
      <w:r w:rsidR="00FF23C3">
        <w:rPr>
          <w:lang w:val="fr-FR"/>
        </w:rPr>
        <w:t>.</w:t>
      </w:r>
      <w:r w:rsidR="00FF23C3">
        <w:rPr>
          <w:lang w:val="fr-FR"/>
        </w:rPr>
        <w:tab/>
        <w:t>Plusieurs délégations étaient d’avis que les dispositions relatives au verrouillage des compartiments de chargement pourraient être précisées en définissant des prescriptions minimales sur le type de fermetures à utiliser par exemple en faisant référence à une norme. La représentante de la Suède a indiqué qu’elle pourrait préparer une proposition d’amendement des prescriptions figurant en S1 (7) en ce sens.</w:t>
      </w:r>
    </w:p>
    <w:p w14:paraId="28684A4F" w14:textId="4A1685DD" w:rsidR="00FF23C3" w:rsidRDefault="005E280F" w:rsidP="00FF23C3">
      <w:pPr>
        <w:pStyle w:val="SingleTxtG"/>
        <w:rPr>
          <w:lang w:val="fr-FR"/>
        </w:rPr>
      </w:pPr>
      <w:r>
        <w:rPr>
          <w:lang w:val="fr-FR"/>
        </w:rPr>
        <w:t>51</w:t>
      </w:r>
      <w:r w:rsidR="00FF23C3">
        <w:rPr>
          <w:lang w:val="fr-FR"/>
        </w:rPr>
        <w:t>.</w:t>
      </w:r>
      <w:r w:rsidR="00FF23C3">
        <w:tab/>
      </w:r>
      <w:r w:rsidR="00FF23C3">
        <w:rPr>
          <w:lang w:val="fr-FR"/>
        </w:rPr>
        <w:t xml:space="preserve">Concernant la question relative aux </w:t>
      </w:r>
      <w:r w:rsidR="00FF23C3" w:rsidRPr="006E183D">
        <w:rPr>
          <w:lang w:val="fr-FR"/>
        </w:rPr>
        <w:t>dispositifs, équipements ou</w:t>
      </w:r>
      <w:r w:rsidR="00FF23C3">
        <w:rPr>
          <w:lang w:val="fr-FR"/>
        </w:rPr>
        <w:t xml:space="preserve"> </w:t>
      </w:r>
      <w:r w:rsidR="00FF23C3" w:rsidRPr="006E183D">
        <w:rPr>
          <w:lang w:val="fr-FR"/>
        </w:rPr>
        <w:t>procédures pour la protection contre le vol</w:t>
      </w:r>
      <w:r w:rsidR="00FF23C3">
        <w:rPr>
          <w:lang w:val="fr-FR"/>
        </w:rPr>
        <w:t xml:space="preserve"> requis selon le 1.10.3.3 pour les marchandises dangereuses à haut risque, les délégations qui se sont prononcées étaient d’avis que ces dispositions avaient été rédigées de façon volontairement large pour laisser aux exploitants le choix de la meilleure méthode de protection en fonction des configurations et des marchandises transportées. Si le 1.10.3.3 n’impos</w:t>
      </w:r>
      <w:r w:rsidR="008F2C6F">
        <w:rPr>
          <w:lang w:val="fr-FR"/>
        </w:rPr>
        <w:t>ait</w:t>
      </w:r>
      <w:r w:rsidR="00FF23C3">
        <w:rPr>
          <w:lang w:val="fr-FR"/>
        </w:rPr>
        <w:t xml:space="preserve"> pas l’installation </w:t>
      </w:r>
      <w:r w:rsidR="00FF23C3" w:rsidRPr="2E0EB766">
        <w:rPr>
          <w:lang w:val="fr-FR"/>
        </w:rPr>
        <w:t xml:space="preserve">d’un système </w:t>
      </w:r>
      <w:r w:rsidR="00FF23C3">
        <w:rPr>
          <w:lang w:val="fr-FR"/>
        </w:rPr>
        <w:t>d’alarme</w:t>
      </w:r>
      <w:r w:rsidR="00FF23C3" w:rsidRPr="2E0EB766">
        <w:rPr>
          <w:lang w:val="fr-FR"/>
        </w:rPr>
        <w:t xml:space="preserve"> </w:t>
      </w:r>
      <w:r w:rsidR="00FF23C3">
        <w:rPr>
          <w:lang w:val="fr-FR"/>
        </w:rPr>
        <w:t xml:space="preserve">dans les véhicules, celui-ci </w:t>
      </w:r>
      <w:r w:rsidR="008F2C6F">
        <w:rPr>
          <w:lang w:val="fr-FR"/>
        </w:rPr>
        <w:t>pouvait</w:t>
      </w:r>
      <w:r w:rsidR="00FF23C3">
        <w:rPr>
          <w:lang w:val="fr-FR"/>
        </w:rPr>
        <w:t xml:space="preserve"> cependant être requis par d’autres règlementations applicables au niveau national.</w:t>
      </w:r>
    </w:p>
    <w:p w14:paraId="43F788CC" w14:textId="062CFE64" w:rsidR="00FF23C3" w:rsidRDefault="00FF23C3" w:rsidP="00D21A5E">
      <w:pPr>
        <w:pStyle w:val="H1G"/>
        <w:rPr>
          <w:rFonts w:eastAsiaTheme="minorHAnsi"/>
          <w:lang w:val="fr-FR" w:eastAsia="en-US"/>
        </w:rPr>
      </w:pPr>
      <w:r w:rsidRPr="00E60984">
        <w:rPr>
          <w:rFonts w:eastAsiaTheme="minorHAnsi"/>
          <w:lang w:val="fr-FR" w:eastAsia="en-US"/>
        </w:rPr>
        <w:tab/>
      </w:r>
      <w:r w:rsidR="00D21A5E">
        <w:rPr>
          <w:rFonts w:eastAsiaTheme="minorHAnsi"/>
          <w:lang w:val="fr-FR" w:eastAsia="en-US"/>
        </w:rPr>
        <w:t>C</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Définition des véhicules couverts</w:t>
      </w:r>
    </w:p>
    <w:p w14:paraId="0A47DA9F" w14:textId="77777777" w:rsidR="00FF23C3" w:rsidRPr="005E33C3" w:rsidRDefault="00FF23C3" w:rsidP="00C96559">
      <w:pPr>
        <w:spacing w:after="120"/>
        <w:ind w:left="3402" w:right="1134" w:hanging="2268"/>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INF.20</w:t>
      </w:r>
      <w:r w:rsidRPr="005E33C3">
        <w:rPr>
          <w:lang w:val="fr-FR"/>
        </w:rPr>
        <w:t xml:space="preserve"> (</w:t>
      </w:r>
      <w:r>
        <w:rPr>
          <w:lang w:val="fr-FR"/>
        </w:rPr>
        <w:t>Norvège</w:t>
      </w:r>
      <w:r w:rsidRPr="005E33C3">
        <w:rPr>
          <w:lang w:val="fr-FR"/>
        </w:rPr>
        <w:t>)</w:t>
      </w:r>
    </w:p>
    <w:p w14:paraId="019AB771" w14:textId="30FB4206" w:rsidR="00FF23C3" w:rsidRDefault="005E280F" w:rsidP="00FF23C3">
      <w:pPr>
        <w:pStyle w:val="SingleTxtG"/>
        <w:rPr>
          <w:lang w:val="fr-FR"/>
        </w:rPr>
      </w:pPr>
      <w:r>
        <w:rPr>
          <w:lang w:val="fr-FR"/>
        </w:rPr>
        <w:t>52</w:t>
      </w:r>
      <w:r w:rsidR="00FF23C3">
        <w:rPr>
          <w:lang w:val="fr-FR"/>
        </w:rPr>
        <w:t>.</w:t>
      </w:r>
      <w:r w:rsidR="00FF23C3">
        <w:rPr>
          <w:lang w:val="fr-FR"/>
        </w:rPr>
        <w:tab/>
        <w:t>Le représentant de la Norvège souhaitait savoir si la remorque présentée dans le document informel INF.20 devait être considérée comme un véhicule bâché ou comme un véhicule couvert. Les avis étaient partagés et plusieurs délégations souhaitaient avoir plus de temps pour donner un avis définitif sur cette question soumise tardivement. Le Groupe de travail est convenu que le document serait discuté à la prochaine session et que la concordance des définitions dans les différentes versions linguistiques devrait être vérifiée.</w:t>
      </w:r>
    </w:p>
    <w:p w14:paraId="5B59AFEC" w14:textId="25217996" w:rsidR="001B1EE2" w:rsidRDefault="001B1EE2" w:rsidP="00D21A5E">
      <w:pPr>
        <w:pStyle w:val="H1G"/>
        <w:rPr>
          <w:rFonts w:eastAsiaTheme="minorHAnsi"/>
          <w:lang w:val="fr-FR" w:eastAsia="en-US"/>
        </w:rPr>
      </w:pPr>
      <w:r w:rsidRPr="00E60984">
        <w:rPr>
          <w:rFonts w:eastAsiaTheme="minorHAnsi"/>
          <w:lang w:val="fr-FR" w:eastAsia="en-US"/>
        </w:rPr>
        <w:lastRenderedPageBreak/>
        <w:tab/>
      </w:r>
      <w:r w:rsidR="00D21A5E">
        <w:rPr>
          <w:rFonts w:eastAsiaTheme="minorHAnsi"/>
          <w:lang w:val="fr-FR" w:eastAsia="en-US"/>
        </w:rPr>
        <w:t>D</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Masse nette de matière explosible</w:t>
      </w:r>
    </w:p>
    <w:p w14:paraId="1ABECD0C" w14:textId="77777777" w:rsidR="001B1EE2" w:rsidRPr="005E33C3" w:rsidRDefault="001B1EE2" w:rsidP="00C96559">
      <w:pPr>
        <w:spacing w:after="120"/>
        <w:ind w:left="3402" w:right="1134" w:hanging="2268"/>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 xml:space="preserve">INF.8 </w:t>
      </w:r>
      <w:r w:rsidRPr="005E33C3">
        <w:rPr>
          <w:lang w:val="fr-FR"/>
        </w:rPr>
        <w:t>(</w:t>
      </w:r>
      <w:r>
        <w:rPr>
          <w:lang w:val="fr-FR"/>
        </w:rPr>
        <w:t>France</w:t>
      </w:r>
      <w:r w:rsidRPr="005E33C3">
        <w:rPr>
          <w:lang w:val="fr-FR"/>
        </w:rPr>
        <w:t>)</w:t>
      </w:r>
    </w:p>
    <w:p w14:paraId="24CD16CF" w14:textId="77777777" w:rsidR="001B1EE2" w:rsidRDefault="001B1EE2" w:rsidP="001B1EE2">
      <w:pPr>
        <w:tabs>
          <w:tab w:val="left" w:pos="708"/>
        </w:tabs>
        <w:kinsoku/>
        <w:overflowPunct/>
        <w:autoSpaceDE/>
        <w:autoSpaceDN/>
        <w:adjustRightInd/>
        <w:snapToGrid/>
        <w:spacing w:after="120"/>
        <w:ind w:left="1134" w:right="1134"/>
        <w:jc w:val="both"/>
        <w:rPr>
          <w:lang w:eastAsia="en-US"/>
        </w:rPr>
      </w:pPr>
      <w:r>
        <w:rPr>
          <w:lang w:eastAsia="en-US"/>
        </w:rPr>
        <w:t>53</w:t>
      </w:r>
      <w:r w:rsidRPr="007E522E">
        <w:rPr>
          <w:lang w:eastAsia="en-US"/>
        </w:rPr>
        <w:t>.</w:t>
      </w:r>
      <w:r w:rsidRPr="007E522E">
        <w:rPr>
          <w:lang w:eastAsia="en-US"/>
        </w:rPr>
        <w:tab/>
      </w:r>
      <w:r>
        <w:rPr>
          <w:lang w:eastAsia="en-US"/>
        </w:rPr>
        <w:t>Les délégations qui se sont prononcées ont confirmé que les quantités de matières pyrotechniques devaient être prises en compte dans le calcul de la masse nette de matière explosible au 7.5.5.2 ainsi que dans les autres dispositions de l’ADR qui font appel à cette notion et notamment au 1.1.3.6 et dans les dispositions relatives aux restrictions de circulation dans les tunnels.</w:t>
      </w:r>
    </w:p>
    <w:p w14:paraId="6AF0C7AE" w14:textId="238BD2DE" w:rsidR="001B1EE2" w:rsidRDefault="001B1EE2" w:rsidP="001B1EE2">
      <w:pPr>
        <w:tabs>
          <w:tab w:val="left" w:pos="708"/>
        </w:tabs>
        <w:kinsoku/>
        <w:overflowPunct/>
        <w:autoSpaceDE/>
        <w:autoSpaceDN/>
        <w:adjustRightInd/>
        <w:snapToGrid/>
        <w:spacing w:after="120"/>
        <w:ind w:left="1134" w:right="1134"/>
        <w:jc w:val="both"/>
        <w:rPr>
          <w:lang w:val="fr-FR"/>
        </w:rPr>
      </w:pPr>
      <w:r>
        <w:rPr>
          <w:lang w:eastAsia="en-US"/>
        </w:rPr>
        <w:t>54.</w:t>
      </w:r>
      <w:r>
        <w:rPr>
          <w:lang w:eastAsia="en-US"/>
        </w:rPr>
        <w:tab/>
        <w:t xml:space="preserve">Le Groupe de travail est convenu qu’il pourrait être utile de clarifier la définition de masse nette de matière explosible dans l’ADR. Il a été rappelé que cette définition </w:t>
      </w:r>
      <w:r w:rsidR="00C96559">
        <w:rPr>
          <w:lang w:eastAsia="en-US"/>
        </w:rPr>
        <w:t xml:space="preserve">provenait </w:t>
      </w:r>
      <w:r>
        <w:rPr>
          <w:lang w:eastAsia="en-US"/>
        </w:rPr>
        <w:t xml:space="preserve">du Règlement type. Ce point devrait être discuté au </w:t>
      </w:r>
      <w:r w:rsidRPr="00657F58">
        <w:rPr>
          <w:lang w:val="fr-FR"/>
        </w:rPr>
        <w:t>Sous-Comité d’experts du transport des marchandises dangereuses</w:t>
      </w:r>
      <w:r>
        <w:rPr>
          <w:lang w:val="fr-FR"/>
        </w:rPr>
        <w:t>.</w:t>
      </w:r>
    </w:p>
    <w:p w14:paraId="32295F2A" w14:textId="6865E014" w:rsidR="001B1EE2" w:rsidRDefault="001B1EE2" w:rsidP="00D21A5E">
      <w:pPr>
        <w:pStyle w:val="H1G"/>
        <w:rPr>
          <w:rFonts w:eastAsiaTheme="minorHAnsi"/>
          <w:lang w:val="fr-FR" w:eastAsia="en-US"/>
        </w:rPr>
      </w:pPr>
      <w:r w:rsidRPr="00E60984">
        <w:rPr>
          <w:rFonts w:eastAsiaTheme="minorHAnsi"/>
          <w:lang w:val="fr-FR" w:eastAsia="en-US"/>
        </w:rPr>
        <w:tab/>
      </w:r>
      <w:r w:rsidR="00D21A5E">
        <w:rPr>
          <w:rFonts w:eastAsiaTheme="minorHAnsi"/>
          <w:lang w:val="fr-FR" w:eastAsia="en-US"/>
        </w:rPr>
        <w:t>E</w:t>
      </w:r>
      <w:r w:rsidRPr="00E60984">
        <w:rPr>
          <w:rFonts w:eastAsiaTheme="minorHAnsi"/>
          <w:lang w:val="fr-FR" w:eastAsia="en-US"/>
        </w:rPr>
        <w:t>.</w:t>
      </w:r>
      <w:r w:rsidRPr="00E60984">
        <w:rPr>
          <w:rFonts w:eastAsiaTheme="minorHAnsi"/>
          <w:lang w:val="fr-FR" w:eastAsia="en-US"/>
        </w:rPr>
        <w:tab/>
      </w:r>
      <w:r>
        <w:rPr>
          <w:rFonts w:eastAsiaTheme="minorHAnsi"/>
          <w:lang w:val="fr-FR" w:eastAsia="en-US"/>
        </w:rPr>
        <w:t>Certificat d’agrément ADR pour les véhicules</w:t>
      </w:r>
    </w:p>
    <w:p w14:paraId="783498F5" w14:textId="77777777" w:rsidR="001B1EE2" w:rsidRPr="005E33C3" w:rsidRDefault="001B1EE2" w:rsidP="001B1EE2">
      <w:pPr>
        <w:spacing w:after="120"/>
        <w:ind w:left="2694" w:right="1134" w:hanging="1560"/>
        <w:jc w:val="both"/>
        <w:rPr>
          <w:lang w:val="fr-FR"/>
        </w:rPr>
      </w:pPr>
      <w:r w:rsidRPr="005E33C3">
        <w:rPr>
          <w:i/>
          <w:iCs/>
          <w:lang w:val="fr-FR"/>
        </w:rPr>
        <w:t>Document</w:t>
      </w:r>
      <w:r>
        <w:rPr>
          <w:i/>
          <w:iCs/>
          <w:lang w:val="fr-FR"/>
        </w:rPr>
        <w:t>s informels</w:t>
      </w:r>
      <w:r w:rsidRPr="005E33C3">
        <w:rPr>
          <w:i/>
          <w:iCs/>
          <w:lang w:val="fr-FR"/>
        </w:rPr>
        <w:t> </w:t>
      </w:r>
      <w:r w:rsidRPr="005E33C3">
        <w:rPr>
          <w:iCs/>
          <w:lang w:val="fr-FR"/>
        </w:rPr>
        <w:t>:</w:t>
      </w:r>
      <w:r w:rsidRPr="005E33C3">
        <w:rPr>
          <w:lang w:val="fr-FR"/>
        </w:rPr>
        <w:tab/>
      </w:r>
      <w:r>
        <w:rPr>
          <w:lang w:val="fr-FR"/>
        </w:rPr>
        <w:t xml:space="preserve">INF.24 </w:t>
      </w:r>
      <w:r w:rsidRPr="005E33C3">
        <w:rPr>
          <w:lang w:val="fr-FR"/>
        </w:rPr>
        <w:t>(</w:t>
      </w:r>
      <w:r>
        <w:rPr>
          <w:lang w:val="fr-FR"/>
        </w:rPr>
        <w:t>Autriche</w:t>
      </w:r>
      <w:r w:rsidRPr="005E33C3">
        <w:rPr>
          <w:lang w:val="fr-FR"/>
        </w:rPr>
        <w:t>)</w:t>
      </w:r>
      <w:r>
        <w:rPr>
          <w:lang w:val="fr-FR"/>
        </w:rPr>
        <w:t>, INF.27 et Add.1 (Pologne)</w:t>
      </w:r>
    </w:p>
    <w:p w14:paraId="14DCF2E1" w14:textId="77777777" w:rsidR="001B1EE2" w:rsidRDefault="001B1EE2" w:rsidP="001B1EE2">
      <w:pPr>
        <w:pStyle w:val="SingleTxtG"/>
        <w:rPr>
          <w:lang w:val="fr-FR"/>
        </w:rPr>
      </w:pPr>
      <w:r>
        <w:rPr>
          <w:lang w:val="fr-FR"/>
        </w:rPr>
        <w:t>55.</w:t>
      </w:r>
      <w:r>
        <w:rPr>
          <w:lang w:val="fr-FR"/>
        </w:rPr>
        <w:tab/>
        <w:t xml:space="preserve">Les délégations qui se sont prononcées étaient d’avis qu’il était possible d’ajouter des éléments de sûreté tel qu’hologramme, impression UV ou motif guilloché sur les certificats d’agréments pour les véhicules sans que cela ne remette en cause leur validité vis-à-vis des prescriptions du 9.1.3.3. </w:t>
      </w:r>
    </w:p>
    <w:p w14:paraId="7B5E6F96" w14:textId="089490CE" w:rsidR="001B1EE2" w:rsidRDefault="001B1EE2" w:rsidP="001B1EE2">
      <w:pPr>
        <w:pStyle w:val="SingleTxtG"/>
        <w:rPr>
          <w:lang w:val="fr-FR"/>
        </w:rPr>
      </w:pPr>
      <w:r>
        <w:rPr>
          <w:lang w:val="fr-FR"/>
        </w:rPr>
        <w:t xml:space="preserve">56. </w:t>
      </w:r>
      <w:r>
        <w:rPr>
          <w:lang w:val="fr-FR"/>
        </w:rPr>
        <w:tab/>
        <w:t>Il a également été noté que le 9.1.3.3 n’impos</w:t>
      </w:r>
      <w:r w:rsidR="00D502CD">
        <w:rPr>
          <w:lang w:val="fr-FR"/>
        </w:rPr>
        <w:t>ait</w:t>
      </w:r>
      <w:r>
        <w:rPr>
          <w:lang w:val="fr-FR"/>
        </w:rPr>
        <w:t xml:space="preserve"> pas que la diagonale rose s’étende d’un côté à l’autre de la page. Sur certains certificats, elle s’étend</w:t>
      </w:r>
      <w:r w:rsidR="00D502CD">
        <w:rPr>
          <w:lang w:val="fr-FR"/>
        </w:rPr>
        <w:t>ait</w:t>
      </w:r>
      <w:r>
        <w:rPr>
          <w:lang w:val="fr-FR"/>
        </w:rPr>
        <w:t xml:space="preserve"> uniquement d’un côté à l’autre du tableau.</w:t>
      </w:r>
    </w:p>
    <w:p w14:paraId="70EBC321" w14:textId="491AE96D" w:rsidR="001B1EE2" w:rsidRDefault="001B1EE2" w:rsidP="001B1EE2">
      <w:pPr>
        <w:pStyle w:val="SingleTxtG"/>
        <w:rPr>
          <w:lang w:val="fr-FR"/>
        </w:rPr>
      </w:pPr>
      <w:r>
        <w:rPr>
          <w:lang w:val="fr-FR"/>
        </w:rPr>
        <w:t>57.</w:t>
      </w:r>
      <w:r>
        <w:rPr>
          <w:lang w:val="fr-FR"/>
        </w:rPr>
        <w:tab/>
        <w:t>Plusieurs délégations ont confirmé qu’il serait souhaitable de modifier le 9.1.3.3 dans le futur pour prévoir explicitement la possibilité, pour les pays qui le souhaiteraient, d’ajouter des éléments de sûreté sur les certificats d’agrément qu’ils délivr</w:t>
      </w:r>
      <w:r w:rsidR="007C59E3">
        <w:rPr>
          <w:lang w:val="fr-FR"/>
        </w:rPr>
        <w:t>ai</w:t>
      </w:r>
      <w:r>
        <w:rPr>
          <w:lang w:val="fr-FR"/>
        </w:rPr>
        <w:t>ent.</w:t>
      </w:r>
    </w:p>
    <w:p w14:paraId="1FA9A9B9" w14:textId="3B11C353" w:rsidR="001B1EE2" w:rsidRPr="005E33C3" w:rsidRDefault="001B1EE2" w:rsidP="001B1EE2">
      <w:pPr>
        <w:pStyle w:val="SingleTxtG"/>
        <w:rPr>
          <w:lang w:val="fr-FR"/>
        </w:rPr>
      </w:pPr>
      <w:r>
        <w:rPr>
          <w:lang w:val="fr-FR"/>
        </w:rPr>
        <w:t>58.</w:t>
      </w:r>
      <w:r>
        <w:rPr>
          <w:lang w:val="fr-FR"/>
        </w:rPr>
        <w:tab/>
        <w:t>Le Groupe de travail a invité l’autorité compétente de la Pologne et toutes les autorités compétentes des pays qui délivr</w:t>
      </w:r>
      <w:r w:rsidR="0076193A">
        <w:rPr>
          <w:lang w:val="fr-FR"/>
        </w:rPr>
        <w:t>ai</w:t>
      </w:r>
      <w:r>
        <w:rPr>
          <w:lang w:val="fr-FR"/>
        </w:rPr>
        <w:t>ent des certificats munis d’éléments de sûreté à transmettre cette information au secrétariat pour qu’elle soit publiée sur le site internet de la Commission Economique pour l’Europe.</w:t>
      </w:r>
    </w:p>
    <w:p w14:paraId="4081E93B" w14:textId="77777777" w:rsidR="000F3C08" w:rsidRPr="007E522E" w:rsidRDefault="000F3C08" w:rsidP="000F3C08">
      <w:pPr>
        <w:keepNext/>
        <w:keepLines/>
        <w:tabs>
          <w:tab w:val="right" w:pos="851"/>
        </w:tabs>
        <w:kinsoku/>
        <w:overflowPunct/>
        <w:autoSpaceDE/>
        <w:autoSpaceDN/>
        <w:adjustRightInd/>
        <w:snapToGrid/>
        <w:spacing w:before="360" w:after="240" w:line="300" w:lineRule="exact"/>
        <w:ind w:left="1134" w:right="1134" w:hanging="1134"/>
        <w:rPr>
          <w:b/>
          <w:sz w:val="28"/>
          <w:lang w:eastAsia="en-US"/>
        </w:rPr>
      </w:pPr>
      <w:r w:rsidRPr="007E522E">
        <w:rPr>
          <w:b/>
          <w:sz w:val="28"/>
          <w:lang w:eastAsia="en-US"/>
        </w:rPr>
        <w:tab/>
      </w:r>
      <w:r>
        <w:rPr>
          <w:b/>
          <w:sz w:val="28"/>
          <w:lang w:eastAsia="en-US"/>
        </w:rPr>
        <w:t>VIII</w:t>
      </w:r>
      <w:r w:rsidRPr="007E522E">
        <w:rPr>
          <w:b/>
          <w:sz w:val="28"/>
          <w:lang w:eastAsia="en-US"/>
        </w:rPr>
        <w:t>.</w:t>
      </w:r>
      <w:r w:rsidRPr="007E522E">
        <w:rPr>
          <w:b/>
          <w:sz w:val="28"/>
          <w:lang w:eastAsia="en-US"/>
        </w:rPr>
        <w:tab/>
      </w:r>
      <w:r w:rsidRPr="007E522E">
        <w:rPr>
          <w:b/>
          <w:sz w:val="28"/>
          <w:lang w:val="fr-FR" w:eastAsia="en-US"/>
        </w:rPr>
        <w:t xml:space="preserve">Programme de travail (point 7 de l’ordre du jour) </w:t>
      </w:r>
    </w:p>
    <w:p w14:paraId="03382E32" w14:textId="59CC3F15" w:rsidR="009800DE" w:rsidRPr="007E522E" w:rsidRDefault="009800DE" w:rsidP="009800DE">
      <w:pPr>
        <w:tabs>
          <w:tab w:val="left" w:pos="708"/>
        </w:tabs>
        <w:kinsoku/>
        <w:overflowPunct/>
        <w:autoSpaceDE/>
        <w:autoSpaceDN/>
        <w:adjustRightInd/>
        <w:snapToGrid/>
        <w:spacing w:after="120"/>
        <w:ind w:left="1134" w:right="1134"/>
        <w:jc w:val="both"/>
        <w:rPr>
          <w:lang w:eastAsia="en-US"/>
        </w:rPr>
      </w:pPr>
      <w:r>
        <w:rPr>
          <w:lang w:eastAsia="en-US"/>
        </w:rPr>
        <w:t>59</w:t>
      </w:r>
      <w:r w:rsidRPr="007E522E">
        <w:rPr>
          <w:lang w:eastAsia="en-US"/>
        </w:rPr>
        <w:t>.</w:t>
      </w:r>
      <w:r w:rsidRPr="007E522E">
        <w:rPr>
          <w:lang w:eastAsia="en-US"/>
        </w:rPr>
        <w:tab/>
        <w:t>La 1</w:t>
      </w:r>
      <w:r>
        <w:rPr>
          <w:lang w:eastAsia="en-US"/>
        </w:rPr>
        <w:t>12</w:t>
      </w:r>
      <w:r w:rsidRPr="007E522E">
        <w:rPr>
          <w:vertAlign w:val="superscript"/>
          <w:lang w:eastAsia="en-US"/>
        </w:rPr>
        <w:t>e</w:t>
      </w:r>
      <w:r w:rsidRPr="007E522E">
        <w:rPr>
          <w:lang w:eastAsia="en-US"/>
        </w:rPr>
        <w:t xml:space="preserve"> </w:t>
      </w:r>
      <w:r>
        <w:rPr>
          <w:lang w:eastAsia="en-US"/>
        </w:rPr>
        <w:t xml:space="preserve">session </w:t>
      </w:r>
      <w:r w:rsidRPr="007E522E">
        <w:rPr>
          <w:lang w:eastAsia="en-US"/>
        </w:rPr>
        <w:t xml:space="preserve">du Groupe de travail a été programmée du 8 au 11 novembre </w:t>
      </w:r>
      <w:r>
        <w:rPr>
          <w:lang w:eastAsia="en-US"/>
        </w:rPr>
        <w:t>2022</w:t>
      </w:r>
      <w:r w:rsidRPr="007E522E">
        <w:rPr>
          <w:lang w:eastAsia="en-US"/>
        </w:rPr>
        <w:t>. Les points de l’ordre du jour pour cette prochaine session seront les mêmes que pour la 1</w:t>
      </w:r>
      <w:r>
        <w:rPr>
          <w:lang w:eastAsia="en-US"/>
        </w:rPr>
        <w:t>11</w:t>
      </w:r>
      <w:r w:rsidRPr="007E522E">
        <w:rPr>
          <w:vertAlign w:val="superscript"/>
          <w:lang w:eastAsia="en-US"/>
        </w:rPr>
        <w:t>e</w:t>
      </w:r>
      <w:r w:rsidRPr="007E522E">
        <w:rPr>
          <w:lang w:eastAsia="en-US"/>
        </w:rPr>
        <w:t xml:space="preserve"> session, plus un point pour l’élection du Bureau. </w:t>
      </w:r>
    </w:p>
    <w:p w14:paraId="3C08B69F" w14:textId="77777777" w:rsidR="00DC57EC" w:rsidRDefault="00DC57EC" w:rsidP="00DC57EC">
      <w:pPr>
        <w:pStyle w:val="HChG"/>
        <w:rPr>
          <w:lang w:eastAsia="en-US"/>
        </w:rPr>
      </w:pPr>
      <w:r w:rsidRPr="009B440C">
        <w:rPr>
          <w:rFonts w:eastAsiaTheme="minorHAnsi"/>
          <w:lang w:val="fr-FR" w:eastAsia="en-US"/>
        </w:rPr>
        <w:tab/>
      </w:r>
      <w:r>
        <w:rPr>
          <w:rFonts w:eastAsiaTheme="minorHAnsi"/>
          <w:lang w:val="fr-FR" w:eastAsia="en-US"/>
        </w:rPr>
        <w:t>IX</w:t>
      </w:r>
      <w:r w:rsidRPr="009B440C">
        <w:rPr>
          <w:rFonts w:eastAsiaTheme="minorHAnsi"/>
          <w:lang w:val="fr-FR" w:eastAsia="en-US"/>
        </w:rPr>
        <w:t>.</w:t>
      </w:r>
      <w:r w:rsidRPr="009B440C">
        <w:rPr>
          <w:rFonts w:eastAsiaTheme="minorHAnsi"/>
          <w:lang w:val="fr-FR" w:eastAsia="en-US"/>
        </w:rPr>
        <w:tab/>
      </w:r>
      <w:r>
        <w:rPr>
          <w:lang w:val="fr-FR"/>
        </w:rPr>
        <w:t>Questions diverses</w:t>
      </w:r>
      <w:r w:rsidRPr="009B440C">
        <w:rPr>
          <w:rFonts w:eastAsiaTheme="minorHAnsi"/>
          <w:lang w:val="fr-FR" w:eastAsia="en-US"/>
        </w:rPr>
        <w:t xml:space="preserve"> </w:t>
      </w:r>
      <w:r w:rsidRPr="00203D03">
        <w:rPr>
          <w:lang w:eastAsia="en-US"/>
        </w:rPr>
        <w:t xml:space="preserve">(point </w:t>
      </w:r>
      <w:r>
        <w:rPr>
          <w:lang w:eastAsia="en-US"/>
        </w:rPr>
        <w:t>8</w:t>
      </w:r>
      <w:r w:rsidRPr="00203D03">
        <w:rPr>
          <w:lang w:eastAsia="en-US"/>
        </w:rPr>
        <w:t xml:space="preserve"> de l’ordre du jour)</w:t>
      </w:r>
    </w:p>
    <w:p w14:paraId="038E7777" w14:textId="77777777" w:rsidR="00CB0C4F" w:rsidRPr="00355253" w:rsidRDefault="00CB0C4F" w:rsidP="00CB0C4F">
      <w:pPr>
        <w:pStyle w:val="H1G"/>
      </w:pPr>
      <w:r w:rsidRPr="002743E8">
        <w:tab/>
      </w:r>
      <w:r>
        <w:t>A</w:t>
      </w:r>
      <w:r w:rsidRPr="002743E8">
        <w:t>.</w:t>
      </w:r>
      <w:r w:rsidRPr="002743E8">
        <w:tab/>
      </w:r>
      <w:r w:rsidRPr="00355253">
        <w:t>Économie circulaire et utilisation durable des ressources naturelles</w:t>
      </w:r>
    </w:p>
    <w:p w14:paraId="0B89C821" w14:textId="20652857" w:rsidR="00CB0C4F" w:rsidRPr="005E33C3" w:rsidRDefault="00CB0C4F" w:rsidP="00E836EB">
      <w:pPr>
        <w:spacing w:after="120"/>
        <w:ind w:left="3402" w:right="1134" w:hanging="2268"/>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 xml:space="preserve">INF.21 </w:t>
      </w:r>
      <w:r w:rsidRPr="005E33C3">
        <w:rPr>
          <w:lang w:val="fr-FR"/>
        </w:rPr>
        <w:t>(</w:t>
      </w:r>
      <w:r w:rsidR="00E836EB">
        <w:rPr>
          <w:lang w:val="fr-FR"/>
        </w:rPr>
        <w:t>s</w:t>
      </w:r>
      <w:r>
        <w:rPr>
          <w:lang w:val="fr-FR"/>
        </w:rPr>
        <w:t>ecrétariat</w:t>
      </w:r>
      <w:r w:rsidRPr="005E33C3">
        <w:rPr>
          <w:lang w:val="fr-FR"/>
        </w:rPr>
        <w:t>)</w:t>
      </w:r>
    </w:p>
    <w:p w14:paraId="3FCF60CC" w14:textId="0B9CF08F" w:rsidR="00CB0C4F" w:rsidRDefault="005E280F" w:rsidP="00CB0C4F">
      <w:pPr>
        <w:pStyle w:val="SingleTxtG"/>
        <w:rPr>
          <w:rFonts w:eastAsiaTheme="minorHAnsi"/>
          <w:lang w:val="fr-FR" w:eastAsia="en-US"/>
        </w:rPr>
      </w:pPr>
      <w:r>
        <w:t>60</w:t>
      </w:r>
      <w:r w:rsidR="00CB0C4F">
        <w:t>.</w:t>
      </w:r>
      <w:r w:rsidR="00CB0C4F">
        <w:tab/>
        <w:t xml:space="preserve">Le Groupe de travail est convenu de maintenir ce point à l’ordre du jour pour la session suivante et </w:t>
      </w:r>
      <w:r w:rsidR="00CB0C4F">
        <w:rPr>
          <w:rFonts w:eastAsiaTheme="minorHAnsi"/>
          <w:lang w:val="fr-FR" w:eastAsia="en-US"/>
        </w:rPr>
        <w:t>l</w:t>
      </w:r>
      <w:r w:rsidR="00CB0C4F" w:rsidRPr="00183954">
        <w:rPr>
          <w:rFonts w:eastAsiaTheme="minorHAnsi"/>
          <w:lang w:val="fr-FR" w:eastAsia="en-US"/>
        </w:rPr>
        <w:t>es délégations qui le souhait</w:t>
      </w:r>
      <w:r w:rsidR="00CB0C4F">
        <w:rPr>
          <w:rFonts w:eastAsiaTheme="minorHAnsi"/>
          <w:lang w:val="fr-FR" w:eastAsia="en-US"/>
        </w:rPr>
        <w:t>erai</w:t>
      </w:r>
      <w:r w:rsidR="00CB0C4F" w:rsidRPr="00183954">
        <w:rPr>
          <w:rFonts w:eastAsiaTheme="minorHAnsi"/>
          <w:lang w:val="fr-FR" w:eastAsia="en-US"/>
        </w:rPr>
        <w:t xml:space="preserve">ent ont été invitées à présenter des informations sur ce sujet à la prochaine session du Groupe de travail. </w:t>
      </w:r>
    </w:p>
    <w:p w14:paraId="11C13E8A" w14:textId="21592B96" w:rsidR="00CB0C4F" w:rsidRDefault="005E280F" w:rsidP="00CB0C4F">
      <w:pPr>
        <w:pStyle w:val="SingleTxtG"/>
        <w:rPr>
          <w:rFonts w:eastAsiaTheme="minorHAnsi"/>
          <w:lang w:val="fr-FR" w:eastAsia="en-US"/>
        </w:rPr>
      </w:pPr>
      <w:r>
        <w:rPr>
          <w:rFonts w:eastAsiaTheme="minorHAnsi"/>
          <w:lang w:val="fr-FR" w:eastAsia="en-US"/>
        </w:rPr>
        <w:t>61</w:t>
      </w:r>
      <w:r w:rsidR="00CB0C4F">
        <w:rPr>
          <w:rFonts w:eastAsiaTheme="minorHAnsi"/>
          <w:lang w:val="fr-FR" w:eastAsia="en-US"/>
        </w:rPr>
        <w:t>.</w:t>
      </w:r>
      <w:r w:rsidR="00CB0C4F">
        <w:rPr>
          <w:rFonts w:eastAsiaTheme="minorHAnsi"/>
          <w:lang w:val="fr-FR" w:eastAsia="en-US"/>
        </w:rPr>
        <w:tab/>
        <w:t>Il a été précisé que des dispositions liées à l’économie circulaire</w:t>
      </w:r>
      <w:r w:rsidR="00CB0C4F" w:rsidRPr="003533CE">
        <w:rPr>
          <w:rFonts w:eastAsiaTheme="minorHAnsi"/>
          <w:lang w:val="fr-FR" w:eastAsia="en-US"/>
        </w:rPr>
        <w:t xml:space="preserve"> </w:t>
      </w:r>
      <w:r w:rsidR="00CB0C4F">
        <w:rPr>
          <w:rFonts w:eastAsiaTheme="minorHAnsi"/>
          <w:lang w:val="fr-FR" w:eastAsia="en-US"/>
        </w:rPr>
        <w:t>reprises dans l’ADR, comme celles relatives aux emballages, aux batteries usagées ou au transport des déchets, résult</w:t>
      </w:r>
      <w:r w:rsidR="00EC5F34">
        <w:rPr>
          <w:rFonts w:eastAsiaTheme="minorHAnsi"/>
          <w:lang w:val="fr-FR" w:eastAsia="en-US"/>
        </w:rPr>
        <w:t>ai</w:t>
      </w:r>
      <w:r w:rsidR="00CB0C4F">
        <w:rPr>
          <w:rFonts w:eastAsiaTheme="minorHAnsi"/>
          <w:lang w:val="fr-FR" w:eastAsia="en-US"/>
        </w:rPr>
        <w:t>ent de l’harmonisation avec le Règlement type et des travaux de la Réunion commune. Il a été suggéré que ces discussions devraient avoir lieu principalement à la Réunion commune. Le Groupe de travail a demandé au secrétariat de se coordonner avec le secrétariat de la Réunion commune afin que ces points puissent y être abordés.</w:t>
      </w:r>
    </w:p>
    <w:p w14:paraId="6F088A44" w14:textId="561E4E10" w:rsidR="009800DE" w:rsidRPr="00183954" w:rsidRDefault="009800DE" w:rsidP="009800DE">
      <w:pPr>
        <w:pStyle w:val="H1G"/>
        <w:rPr>
          <w:i/>
          <w:iCs/>
        </w:rPr>
      </w:pPr>
      <w:r w:rsidRPr="002743E8">
        <w:lastRenderedPageBreak/>
        <w:tab/>
      </w:r>
      <w:r>
        <w:t>B</w:t>
      </w:r>
      <w:r w:rsidRPr="002743E8">
        <w:t>.</w:t>
      </w:r>
      <w:r w:rsidRPr="002743E8">
        <w:tab/>
      </w:r>
      <w:r w:rsidRPr="002743E8">
        <w:tab/>
      </w:r>
      <w:r>
        <w:t>Autres questions</w:t>
      </w:r>
    </w:p>
    <w:p w14:paraId="306D616B" w14:textId="77777777" w:rsidR="00567B04" w:rsidRPr="0062463A" w:rsidRDefault="00567B04" w:rsidP="00567B04">
      <w:pPr>
        <w:keepNext/>
        <w:keepLines/>
        <w:tabs>
          <w:tab w:val="right" w:pos="851"/>
        </w:tabs>
        <w:spacing w:before="240" w:after="120" w:line="240" w:lineRule="exact"/>
        <w:ind w:left="1134" w:right="1134" w:hanging="1134"/>
        <w:outlineLvl w:val="3"/>
        <w:rPr>
          <w:rFonts w:eastAsiaTheme="minorHAnsi"/>
          <w:b/>
          <w:lang w:eastAsia="en-US"/>
        </w:rPr>
      </w:pPr>
      <w:r w:rsidRPr="0062463A">
        <w:rPr>
          <w:rFonts w:eastAsiaTheme="minorHAnsi"/>
          <w:b/>
          <w:lang w:val="fr-FR" w:eastAsia="en-US"/>
        </w:rPr>
        <w:tab/>
        <w:t>1.</w:t>
      </w:r>
      <w:r w:rsidRPr="0062463A">
        <w:rPr>
          <w:rFonts w:eastAsiaTheme="minorHAnsi"/>
          <w:b/>
          <w:lang w:val="fr-FR" w:eastAsia="en-US"/>
        </w:rPr>
        <w:tab/>
        <w:t>Tableau B de l’ADR</w:t>
      </w:r>
    </w:p>
    <w:p w14:paraId="6F3F24E1" w14:textId="6492E082" w:rsidR="00567B04" w:rsidRPr="0062463A" w:rsidRDefault="00567B04" w:rsidP="00567B04">
      <w:pPr>
        <w:spacing w:after="120"/>
        <w:ind w:left="3402" w:right="1134" w:hanging="2268"/>
        <w:jc w:val="both"/>
        <w:rPr>
          <w:lang w:val="fr-FR"/>
        </w:rPr>
      </w:pPr>
      <w:r w:rsidRPr="0062463A">
        <w:rPr>
          <w:i/>
          <w:iCs/>
          <w:lang w:val="fr-FR"/>
        </w:rPr>
        <w:t>Document informel </w:t>
      </w:r>
      <w:r w:rsidRPr="0062463A">
        <w:rPr>
          <w:lang w:val="fr-FR"/>
        </w:rPr>
        <w:t>:</w:t>
      </w:r>
      <w:r w:rsidRPr="0062463A">
        <w:rPr>
          <w:lang w:val="fr-FR"/>
        </w:rPr>
        <w:tab/>
        <w:t>INF.22 et Add.1 (secrétariat)</w:t>
      </w:r>
    </w:p>
    <w:p w14:paraId="6476B1DD" w14:textId="71BBC300" w:rsidR="00567B04" w:rsidRPr="0062463A" w:rsidRDefault="005E280F" w:rsidP="00567B04">
      <w:pPr>
        <w:spacing w:after="120"/>
        <w:ind w:left="1134" w:right="1134"/>
        <w:jc w:val="both"/>
      </w:pPr>
      <w:r>
        <w:t>62</w:t>
      </w:r>
      <w:r w:rsidR="00567B04" w:rsidRPr="0062463A">
        <w:t>.</w:t>
      </w:r>
      <w:r w:rsidR="00567B04" w:rsidRPr="0062463A">
        <w:tab/>
        <w:t>Le Groupe de travail a pris note des modifications qui seront effectuées dans le tableau B du 3.2.2 de l’édition 2023 de l’ADR.</w:t>
      </w:r>
    </w:p>
    <w:p w14:paraId="443BBA9E" w14:textId="4B34C6CB" w:rsidR="00567B04" w:rsidRPr="002743E8" w:rsidRDefault="00567B04" w:rsidP="00567B04">
      <w:pPr>
        <w:keepNext/>
        <w:keepLines/>
        <w:tabs>
          <w:tab w:val="right" w:pos="851"/>
        </w:tabs>
        <w:kinsoku/>
        <w:overflowPunct/>
        <w:autoSpaceDE/>
        <w:autoSpaceDN/>
        <w:adjustRightInd/>
        <w:snapToGrid/>
        <w:spacing w:before="240" w:after="120" w:line="240" w:lineRule="exact"/>
        <w:ind w:left="1134" w:right="1134" w:hanging="1134"/>
        <w:rPr>
          <w:b/>
          <w:lang w:eastAsia="en-US"/>
        </w:rPr>
      </w:pPr>
      <w:r w:rsidRPr="002743E8">
        <w:rPr>
          <w:b/>
          <w:lang w:eastAsia="en-US"/>
        </w:rPr>
        <w:tab/>
      </w:r>
      <w:r>
        <w:rPr>
          <w:b/>
          <w:lang w:eastAsia="en-US"/>
        </w:rPr>
        <w:t>2</w:t>
      </w:r>
      <w:r w:rsidRPr="002743E8">
        <w:rPr>
          <w:b/>
          <w:lang w:eastAsia="en-US"/>
        </w:rPr>
        <w:t>.</w:t>
      </w:r>
      <w:r w:rsidRPr="002743E8">
        <w:rPr>
          <w:b/>
          <w:lang w:eastAsia="en-US"/>
        </w:rPr>
        <w:tab/>
        <w:t xml:space="preserve">Amendements pour l’édition </w:t>
      </w:r>
      <w:r>
        <w:rPr>
          <w:b/>
          <w:lang w:eastAsia="en-US"/>
        </w:rPr>
        <w:t>2023</w:t>
      </w:r>
      <w:r w:rsidRPr="002743E8">
        <w:rPr>
          <w:b/>
          <w:lang w:eastAsia="en-US"/>
        </w:rPr>
        <w:t xml:space="preserve"> de l’ADR</w:t>
      </w:r>
    </w:p>
    <w:p w14:paraId="42730CA6" w14:textId="42BB33E3" w:rsidR="00567B04" w:rsidRPr="002743E8" w:rsidRDefault="005E280F" w:rsidP="00567B04">
      <w:pPr>
        <w:tabs>
          <w:tab w:val="left" w:pos="708"/>
        </w:tabs>
        <w:kinsoku/>
        <w:overflowPunct/>
        <w:autoSpaceDE/>
        <w:autoSpaceDN/>
        <w:adjustRightInd/>
        <w:snapToGrid/>
        <w:spacing w:after="120"/>
        <w:ind w:left="1134" w:right="1134"/>
        <w:jc w:val="both"/>
        <w:rPr>
          <w:lang w:eastAsia="en-US"/>
        </w:rPr>
      </w:pPr>
      <w:r>
        <w:rPr>
          <w:lang w:eastAsia="en-US"/>
        </w:rPr>
        <w:t>63</w:t>
      </w:r>
      <w:r w:rsidR="00567B04" w:rsidRPr="002743E8">
        <w:rPr>
          <w:lang w:eastAsia="en-US"/>
        </w:rPr>
        <w:t>.</w:t>
      </w:r>
      <w:r w:rsidR="00567B04" w:rsidRPr="002743E8">
        <w:rPr>
          <w:lang w:eastAsia="en-US"/>
        </w:rPr>
        <w:tab/>
        <w:t>Les amendements adoptés lors de sessions précédentes pour entrée en vigueur au 1</w:t>
      </w:r>
      <w:r w:rsidR="00567B04" w:rsidRPr="002743E8">
        <w:rPr>
          <w:vertAlign w:val="superscript"/>
          <w:lang w:eastAsia="en-US"/>
        </w:rPr>
        <w:t>er</w:t>
      </w:r>
      <w:r w:rsidR="00567B04" w:rsidRPr="002743E8">
        <w:rPr>
          <w:lang w:eastAsia="en-US"/>
        </w:rPr>
        <w:t xml:space="preserve"> janvier </w:t>
      </w:r>
      <w:r w:rsidR="00567B04">
        <w:rPr>
          <w:lang w:eastAsia="en-US"/>
        </w:rPr>
        <w:t>2023</w:t>
      </w:r>
      <w:r w:rsidR="00567B04" w:rsidRPr="002743E8">
        <w:rPr>
          <w:lang w:eastAsia="en-US"/>
        </w:rPr>
        <w:t xml:space="preserve"> ont déjà été diffusés dans le document ECE/TRANS/WP.15/</w:t>
      </w:r>
      <w:r w:rsidR="00567B04">
        <w:rPr>
          <w:lang w:eastAsia="en-US"/>
        </w:rPr>
        <w:t>256</w:t>
      </w:r>
      <w:r w:rsidR="00567B04" w:rsidRPr="002743E8">
        <w:rPr>
          <w:lang w:eastAsia="en-US"/>
        </w:rPr>
        <w:t>. Le Groupe de travail a prié le secrétariat de diffuser ceux adoptés à la 1</w:t>
      </w:r>
      <w:r w:rsidR="00567B04">
        <w:rPr>
          <w:lang w:eastAsia="en-US"/>
        </w:rPr>
        <w:t>11</w:t>
      </w:r>
      <w:r w:rsidR="00567B04" w:rsidRPr="002743E8">
        <w:rPr>
          <w:vertAlign w:val="superscript"/>
          <w:lang w:eastAsia="en-US"/>
        </w:rPr>
        <w:t>e</w:t>
      </w:r>
      <w:r w:rsidR="00567B04" w:rsidRPr="002743E8">
        <w:rPr>
          <w:lang w:eastAsia="en-US"/>
        </w:rPr>
        <w:t xml:space="preserve"> session et dont l’entrée en vigueur est prévue également le 1</w:t>
      </w:r>
      <w:r w:rsidR="00567B04" w:rsidRPr="002743E8">
        <w:rPr>
          <w:vertAlign w:val="superscript"/>
          <w:lang w:eastAsia="en-US"/>
        </w:rPr>
        <w:t>er</w:t>
      </w:r>
      <w:r w:rsidR="00567B04" w:rsidRPr="002743E8">
        <w:rPr>
          <w:lang w:eastAsia="en-US"/>
        </w:rPr>
        <w:t xml:space="preserve"> janvier </w:t>
      </w:r>
      <w:r w:rsidR="00567B04">
        <w:rPr>
          <w:lang w:eastAsia="en-US"/>
        </w:rPr>
        <w:t>2023</w:t>
      </w:r>
      <w:r w:rsidR="00567B04" w:rsidRPr="002743E8">
        <w:rPr>
          <w:lang w:eastAsia="en-US"/>
        </w:rPr>
        <w:t xml:space="preserve"> sous la forme d’un rectificatif (ECE/TRANS/WP.15/</w:t>
      </w:r>
      <w:r w:rsidR="00567B04">
        <w:rPr>
          <w:lang w:eastAsia="en-US"/>
        </w:rPr>
        <w:t>256</w:t>
      </w:r>
      <w:r w:rsidR="00567B04" w:rsidRPr="002743E8">
        <w:rPr>
          <w:lang w:eastAsia="en-US"/>
        </w:rPr>
        <w:t>/Corr.1) pour ceux qui modifient les amendements précédemment adoptés, et d’un additif (ECE/TRANS/WP.15/</w:t>
      </w:r>
      <w:r w:rsidR="00567B04">
        <w:rPr>
          <w:lang w:eastAsia="en-US"/>
        </w:rPr>
        <w:t>256</w:t>
      </w:r>
      <w:r w:rsidR="00567B04" w:rsidRPr="002743E8">
        <w:rPr>
          <w:lang w:eastAsia="en-US"/>
        </w:rPr>
        <w:t>/Add.1) pour les nouveaux amendements.</w:t>
      </w:r>
    </w:p>
    <w:p w14:paraId="52B9208F" w14:textId="22C252A6" w:rsidR="00567B04" w:rsidRPr="002743E8" w:rsidRDefault="005E280F" w:rsidP="00567B04">
      <w:pPr>
        <w:tabs>
          <w:tab w:val="left" w:pos="708"/>
        </w:tabs>
        <w:kinsoku/>
        <w:overflowPunct/>
        <w:autoSpaceDE/>
        <w:autoSpaceDN/>
        <w:adjustRightInd/>
        <w:snapToGrid/>
        <w:spacing w:after="120"/>
        <w:ind w:left="1134" w:right="1134"/>
        <w:jc w:val="both"/>
        <w:rPr>
          <w:lang w:eastAsia="en-US"/>
        </w:rPr>
      </w:pPr>
      <w:r>
        <w:rPr>
          <w:lang w:eastAsia="en-US"/>
        </w:rPr>
        <w:t>64</w:t>
      </w:r>
      <w:r w:rsidR="00567B04" w:rsidRPr="002743E8">
        <w:rPr>
          <w:lang w:eastAsia="en-US"/>
        </w:rPr>
        <w:t>.</w:t>
      </w:r>
      <w:r w:rsidR="00567B04" w:rsidRPr="002743E8">
        <w:rPr>
          <w:lang w:eastAsia="en-US"/>
        </w:rPr>
        <w:tab/>
        <w:t>L</w:t>
      </w:r>
      <w:r w:rsidR="00567B04">
        <w:rPr>
          <w:lang w:eastAsia="en-US"/>
        </w:rPr>
        <w:t>a</w:t>
      </w:r>
      <w:r w:rsidR="00567B04" w:rsidRPr="002743E8">
        <w:rPr>
          <w:lang w:eastAsia="en-US"/>
        </w:rPr>
        <w:t xml:space="preserve"> Président</w:t>
      </w:r>
      <w:r w:rsidR="00567B04">
        <w:rPr>
          <w:lang w:eastAsia="en-US"/>
        </w:rPr>
        <w:t>e</w:t>
      </w:r>
      <w:r w:rsidR="00567B04" w:rsidRPr="002743E8">
        <w:rPr>
          <w:lang w:eastAsia="en-US"/>
        </w:rPr>
        <w:t xml:space="preserve"> a été invité</w:t>
      </w:r>
      <w:r w:rsidR="00567B04">
        <w:rPr>
          <w:lang w:eastAsia="en-US"/>
        </w:rPr>
        <w:t>e</w:t>
      </w:r>
      <w:r w:rsidR="00567B04" w:rsidRPr="002743E8">
        <w:rPr>
          <w:lang w:eastAsia="en-US"/>
        </w:rPr>
        <w:t xml:space="preserve"> à transmettre l’ensemble des amendements au Secrétaire général par l’intermédiaire de son gouvernement, de sorte qu’ils puissent être notifiés aux Parties contractantes à l’ADR le 1</w:t>
      </w:r>
      <w:r w:rsidR="00567B04" w:rsidRPr="002743E8">
        <w:rPr>
          <w:vertAlign w:val="superscript"/>
          <w:lang w:eastAsia="en-US"/>
        </w:rPr>
        <w:t>er</w:t>
      </w:r>
      <w:r w:rsidR="00567B04" w:rsidRPr="002743E8">
        <w:rPr>
          <w:lang w:eastAsia="en-US"/>
        </w:rPr>
        <w:t xml:space="preserve"> juillet </w:t>
      </w:r>
      <w:r w:rsidR="00567B04">
        <w:rPr>
          <w:lang w:eastAsia="en-US"/>
        </w:rPr>
        <w:t>2022</w:t>
      </w:r>
      <w:r w:rsidR="00567B04" w:rsidRPr="002743E8">
        <w:rPr>
          <w:lang w:eastAsia="en-US"/>
        </w:rPr>
        <w:t xml:space="preserve"> pour acceptation conformément à la procédure énoncée à l’article 14 de l’ADR.</w:t>
      </w:r>
    </w:p>
    <w:p w14:paraId="444CE9E6" w14:textId="13E97337" w:rsidR="00137110" w:rsidRDefault="00137110" w:rsidP="00137110">
      <w:pPr>
        <w:pStyle w:val="H23G"/>
      </w:pPr>
      <w:r w:rsidRPr="00355253">
        <w:tab/>
      </w:r>
      <w:r>
        <w:t>3.</w:t>
      </w:r>
      <w:r w:rsidRPr="00355253">
        <w:tab/>
      </w:r>
      <w:r>
        <w:t xml:space="preserve">Certificats de formation ADR de conducteur </w:t>
      </w:r>
    </w:p>
    <w:p w14:paraId="55B5F99D" w14:textId="77777777" w:rsidR="00137110" w:rsidRPr="005E33C3" w:rsidRDefault="00137110" w:rsidP="00137110">
      <w:pPr>
        <w:spacing w:after="120"/>
        <w:ind w:left="2694" w:right="1134" w:hanging="1560"/>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 xml:space="preserve">INF.25 </w:t>
      </w:r>
      <w:r w:rsidRPr="005E33C3">
        <w:rPr>
          <w:lang w:val="fr-FR"/>
        </w:rPr>
        <w:t>(</w:t>
      </w:r>
      <w:r>
        <w:rPr>
          <w:lang w:val="fr-FR"/>
        </w:rPr>
        <w:t>Macédoine du Nord</w:t>
      </w:r>
      <w:r w:rsidRPr="005E33C3">
        <w:rPr>
          <w:lang w:val="fr-FR"/>
        </w:rPr>
        <w:t>)</w:t>
      </w:r>
    </w:p>
    <w:p w14:paraId="4135ECCD" w14:textId="384082A9" w:rsidR="00137110" w:rsidRDefault="005E280F" w:rsidP="00137110">
      <w:pPr>
        <w:pStyle w:val="SingleTxtG"/>
        <w:rPr>
          <w:rFonts w:eastAsiaTheme="minorHAnsi"/>
          <w:lang w:val="fr-FR" w:eastAsia="en-US"/>
        </w:rPr>
      </w:pPr>
      <w:r>
        <w:t>65</w:t>
      </w:r>
      <w:r w:rsidR="00137110">
        <w:t>.</w:t>
      </w:r>
      <w:r w:rsidR="00137110">
        <w:tab/>
        <w:t xml:space="preserve">Le Groupe de travail a noté les informations transmises par le représentant de la Macédoine du Nord concernant des certificats de qualité inférieure à la qualité habituelle qui avaient été </w:t>
      </w:r>
      <w:r w:rsidR="00137110">
        <w:rPr>
          <w:rFonts w:eastAsiaTheme="minorHAnsi"/>
          <w:lang w:val="fr-FR" w:eastAsia="en-US"/>
        </w:rPr>
        <w:t xml:space="preserve">délivrés et qui étaient en cours de remplacement. Le secrétariat a confirmé que ces informations avaient été publiées sur le site web de la Commission Economique pour l’Europe, à la page des certificats ADR </w:t>
      </w:r>
      <w:r w:rsidR="00992E4B">
        <w:rPr>
          <w:rFonts w:eastAsiaTheme="minorHAnsi"/>
          <w:lang w:val="fr-FR" w:eastAsia="en-US"/>
        </w:rPr>
        <w:t>(</w:t>
      </w:r>
      <w:hyperlink r:id="rId11" w:history="1">
        <w:r w:rsidR="00992E4B" w:rsidRPr="00262E5B">
          <w:rPr>
            <w:rStyle w:val="Hyperlink"/>
            <w:rFonts w:eastAsiaTheme="minorHAnsi"/>
            <w:lang w:val="fr-FR" w:eastAsia="en-US"/>
          </w:rPr>
          <w:t>https://unece.org/adr-certificates-0</w:t>
        </w:r>
      </w:hyperlink>
      <w:r w:rsidR="00992E4B" w:rsidRPr="00992E4B">
        <w:rPr>
          <w:rStyle w:val="Hyperlink"/>
          <w:rFonts w:eastAsiaTheme="minorHAnsi"/>
          <w:color w:val="auto"/>
          <w:lang w:val="fr-FR" w:eastAsia="en-US"/>
        </w:rPr>
        <w:t>)</w:t>
      </w:r>
      <w:r w:rsidR="00137110">
        <w:rPr>
          <w:rFonts w:eastAsiaTheme="minorHAnsi"/>
          <w:lang w:val="fr-FR" w:eastAsia="en-US"/>
        </w:rPr>
        <w:t>.</w:t>
      </w:r>
    </w:p>
    <w:p w14:paraId="4CCA5C79" w14:textId="552E23A2" w:rsidR="00137110" w:rsidRDefault="005E280F" w:rsidP="00137110">
      <w:pPr>
        <w:pStyle w:val="SingleTxtG"/>
        <w:rPr>
          <w:rFonts w:eastAsiaTheme="minorHAnsi"/>
          <w:lang w:val="fr-FR" w:eastAsia="en-US"/>
        </w:rPr>
      </w:pPr>
      <w:r>
        <w:rPr>
          <w:rFonts w:eastAsiaTheme="minorHAnsi"/>
          <w:lang w:val="fr-FR" w:eastAsia="en-US"/>
        </w:rPr>
        <w:t>66</w:t>
      </w:r>
      <w:r w:rsidR="00137110">
        <w:rPr>
          <w:rFonts w:eastAsiaTheme="minorHAnsi"/>
          <w:lang w:val="fr-FR" w:eastAsia="en-US"/>
        </w:rPr>
        <w:t>.</w:t>
      </w:r>
      <w:r w:rsidR="00137110">
        <w:rPr>
          <w:rFonts w:eastAsiaTheme="minorHAnsi"/>
          <w:lang w:val="fr-FR" w:eastAsia="en-US"/>
        </w:rPr>
        <w:tab/>
        <w:t>Le Groupe de travail a remercié le représentant de la Macédoine du Nord pour ces informations utiles pour les autorités de contrôle. Il s’est également félicité de la participation de la Macédoine du Nord à ses travaux et a invité le représentant de Macédoine du Nord à continuer à participer à ses réunions.</w:t>
      </w:r>
    </w:p>
    <w:p w14:paraId="0A4A6C4C" w14:textId="77777777" w:rsidR="00137110" w:rsidRDefault="00137110" w:rsidP="00137110">
      <w:pPr>
        <w:pStyle w:val="H23G"/>
      </w:pPr>
      <w:r w:rsidRPr="00355253">
        <w:tab/>
      </w:r>
      <w:r>
        <w:t>4.</w:t>
      </w:r>
      <w:r w:rsidRPr="00355253">
        <w:tab/>
      </w:r>
      <w:r>
        <w:t>Transport Community</w:t>
      </w:r>
    </w:p>
    <w:p w14:paraId="64294705" w14:textId="6619EA92" w:rsidR="00137110" w:rsidRDefault="005E280F" w:rsidP="00137110">
      <w:pPr>
        <w:pStyle w:val="SingleTxtG"/>
        <w:rPr>
          <w:rFonts w:eastAsiaTheme="minorHAnsi"/>
          <w:lang w:val="fr-FR" w:eastAsia="en-US"/>
        </w:rPr>
      </w:pPr>
      <w:r>
        <w:rPr>
          <w:rFonts w:eastAsiaTheme="minorHAnsi"/>
          <w:lang w:val="fr-FR" w:eastAsia="en-US"/>
        </w:rPr>
        <w:t>67</w:t>
      </w:r>
      <w:r w:rsidR="00137110">
        <w:rPr>
          <w:rFonts w:eastAsiaTheme="minorHAnsi"/>
          <w:lang w:val="fr-FR" w:eastAsia="en-US"/>
        </w:rPr>
        <w:t>.</w:t>
      </w:r>
      <w:r w:rsidR="00137110">
        <w:rPr>
          <w:rFonts w:eastAsiaTheme="minorHAnsi"/>
          <w:lang w:val="fr-FR" w:eastAsia="en-US"/>
        </w:rPr>
        <w:tab/>
        <w:t xml:space="preserve">La représentante de Transport Community a présenté cette organisation internationale ainsi que les travaux qui y étaient menés concernant les transports de marchandises dangereuses et la promotion du RID, de l’ADR et de l’ADN. </w:t>
      </w:r>
    </w:p>
    <w:p w14:paraId="1E96797D" w14:textId="77777777" w:rsidR="00137110" w:rsidRDefault="00137110" w:rsidP="00137110">
      <w:pPr>
        <w:pStyle w:val="H23G"/>
      </w:pPr>
      <w:r w:rsidRPr="00355253">
        <w:tab/>
      </w:r>
      <w:r>
        <w:t>5.</w:t>
      </w:r>
      <w:r w:rsidRPr="00355253">
        <w:tab/>
      </w:r>
      <w:r>
        <w:t>Hommages</w:t>
      </w:r>
    </w:p>
    <w:p w14:paraId="0DBF6EC1" w14:textId="0B48D263" w:rsidR="00137110" w:rsidRDefault="005E280F" w:rsidP="00137110">
      <w:pPr>
        <w:pStyle w:val="SingleTxtG"/>
        <w:rPr>
          <w:rFonts w:eastAsiaTheme="minorHAnsi"/>
          <w:lang w:val="fr-FR" w:eastAsia="en-US"/>
        </w:rPr>
      </w:pPr>
      <w:r>
        <w:rPr>
          <w:rFonts w:eastAsiaTheme="minorHAnsi"/>
          <w:lang w:val="fr-FR" w:eastAsia="en-US"/>
        </w:rPr>
        <w:t>68</w:t>
      </w:r>
      <w:r w:rsidR="00137110">
        <w:rPr>
          <w:rFonts w:eastAsiaTheme="minorHAnsi"/>
          <w:lang w:val="fr-FR" w:eastAsia="en-US"/>
        </w:rPr>
        <w:t>.</w:t>
      </w:r>
      <w:r w:rsidR="00137110">
        <w:rPr>
          <w:rFonts w:eastAsiaTheme="minorHAnsi"/>
          <w:lang w:val="fr-FR" w:eastAsia="en-US"/>
        </w:rPr>
        <w:tab/>
        <w:t xml:space="preserve">Le Groupe de travail a appris que M. Philippe Raucq de la Belgique, qui avait participé à ses travaux pendant 7 ans, travaillait dans un autre service et qu’il ne s’occupait plus des transports de marchandises dangereuses. </w:t>
      </w:r>
      <w:r w:rsidR="00137110" w:rsidRPr="009917F5">
        <w:rPr>
          <w:lang w:val="fr-FR"/>
        </w:rPr>
        <w:t xml:space="preserve">Il </w:t>
      </w:r>
      <w:r w:rsidR="00137110">
        <w:rPr>
          <w:lang w:val="fr-FR"/>
        </w:rPr>
        <w:t xml:space="preserve">l’a remercié pour sa participation active à ses travaux et son expertise de la langue française et des textes juridiques et </w:t>
      </w:r>
      <w:r w:rsidR="00137110" w:rsidRPr="009917F5">
        <w:rPr>
          <w:lang w:val="fr-FR"/>
        </w:rPr>
        <w:t>lui a souhaité une bonne continuation dans ses nouvelles fonctions.</w:t>
      </w:r>
    </w:p>
    <w:p w14:paraId="04089A63" w14:textId="03BBD04C" w:rsidR="00137110" w:rsidRPr="009917F5" w:rsidRDefault="005E280F" w:rsidP="00137110">
      <w:pPr>
        <w:spacing w:after="120"/>
        <w:ind w:left="1134" w:right="1134"/>
        <w:jc w:val="both"/>
        <w:rPr>
          <w:lang w:val="fr-FR"/>
        </w:rPr>
      </w:pPr>
      <w:r>
        <w:rPr>
          <w:rFonts w:eastAsiaTheme="minorHAnsi"/>
          <w:lang w:val="fr-FR" w:eastAsia="en-US"/>
        </w:rPr>
        <w:t>69</w:t>
      </w:r>
      <w:r w:rsidR="00137110">
        <w:rPr>
          <w:rFonts w:eastAsiaTheme="minorHAnsi"/>
          <w:lang w:val="fr-FR" w:eastAsia="en-US"/>
        </w:rPr>
        <w:t>.</w:t>
      </w:r>
      <w:r w:rsidR="00137110">
        <w:rPr>
          <w:rFonts w:eastAsiaTheme="minorHAnsi"/>
          <w:lang w:val="fr-FR" w:eastAsia="en-US"/>
        </w:rPr>
        <w:tab/>
      </w:r>
      <w:r w:rsidR="00137110" w:rsidRPr="009917F5">
        <w:rPr>
          <w:lang w:val="fr-FR"/>
        </w:rPr>
        <w:t xml:space="preserve">Le Groupe de travail a été informé que M. </w:t>
      </w:r>
      <w:r w:rsidR="00137110">
        <w:rPr>
          <w:lang w:val="fr-FR"/>
        </w:rPr>
        <w:t>David Manuel Gilabert</w:t>
      </w:r>
      <w:r w:rsidR="00137110" w:rsidRPr="009917F5">
        <w:rPr>
          <w:lang w:val="fr-FR"/>
        </w:rPr>
        <w:t xml:space="preserve"> de </w:t>
      </w:r>
      <w:r w:rsidR="00137110">
        <w:rPr>
          <w:lang w:val="fr-FR"/>
        </w:rPr>
        <w:t>la Suisse</w:t>
      </w:r>
      <w:r w:rsidR="00137110" w:rsidRPr="009917F5">
        <w:rPr>
          <w:lang w:val="fr-FR"/>
        </w:rPr>
        <w:t xml:space="preserve">, assistait à sa dernière session puisqu’il allait bientôt prendre sa retraite. </w:t>
      </w:r>
    </w:p>
    <w:p w14:paraId="59178B40" w14:textId="4E299E30" w:rsidR="00137110" w:rsidRDefault="005E280F" w:rsidP="00137110">
      <w:pPr>
        <w:spacing w:after="120"/>
        <w:ind w:left="1134" w:right="1134"/>
        <w:jc w:val="both"/>
        <w:rPr>
          <w:lang w:val="fr-FR"/>
        </w:rPr>
      </w:pPr>
      <w:r>
        <w:rPr>
          <w:lang w:val="fr-FR"/>
        </w:rPr>
        <w:t>70</w:t>
      </w:r>
      <w:r w:rsidR="00137110" w:rsidRPr="009917F5">
        <w:rPr>
          <w:lang w:val="fr-FR"/>
        </w:rPr>
        <w:t>.</w:t>
      </w:r>
      <w:r w:rsidR="00137110" w:rsidRPr="009917F5">
        <w:rPr>
          <w:lang w:val="fr-FR"/>
        </w:rPr>
        <w:tab/>
      </w:r>
      <w:r w:rsidR="00137110" w:rsidRPr="00306803">
        <w:rPr>
          <w:lang w:val="fr-FR"/>
        </w:rPr>
        <w:t xml:space="preserve">M. Gilabert a commencé à représenter la Suisse aux réunions du </w:t>
      </w:r>
      <w:r w:rsidR="00137110">
        <w:rPr>
          <w:lang w:val="fr-FR"/>
        </w:rPr>
        <w:t>Groupe de travail</w:t>
      </w:r>
      <w:r w:rsidR="00137110" w:rsidRPr="00306803">
        <w:rPr>
          <w:lang w:val="fr-FR"/>
        </w:rPr>
        <w:t>, de la Réunion commune et du Sous-Comité d’experts du transport des marchandises dangereuses en 1996. Il a donc pris part activement aux travaux de ces organes à une période d’activité effervescente</w:t>
      </w:r>
      <w:r w:rsidR="00137110">
        <w:rPr>
          <w:lang w:val="fr-FR"/>
        </w:rPr>
        <w:t> </w:t>
      </w:r>
      <w:r w:rsidR="00137110" w:rsidRPr="00306803">
        <w:rPr>
          <w:lang w:val="fr-FR"/>
        </w:rPr>
        <w:t>:</w:t>
      </w:r>
      <w:r w:rsidR="00137110">
        <w:rPr>
          <w:lang w:val="fr-FR"/>
        </w:rPr>
        <w:t xml:space="preserve"> </w:t>
      </w:r>
      <w:r w:rsidR="00137110" w:rsidRPr="00306803">
        <w:rPr>
          <w:lang w:val="fr-FR"/>
        </w:rPr>
        <w:t>restructuration du RID et de l’ADR, suivie quelques années après par l’introduction des mesures de sûreté du chapitre 1.10, et celles relatives aux restrictions de passage dans les tunnels, pour n</w:t>
      </w:r>
      <w:r w:rsidR="00137110">
        <w:rPr>
          <w:lang w:val="fr-FR"/>
        </w:rPr>
        <w:t>e</w:t>
      </w:r>
      <w:r w:rsidR="00137110" w:rsidRPr="00306803">
        <w:rPr>
          <w:lang w:val="fr-FR"/>
        </w:rPr>
        <w:t xml:space="preserve"> citer que les plus difficiles et controversées. Il avait également négocié au nom de son gouvernement et avec succès l’obtention, auprès du Conseil économique et social de l’ONU, du statut d’expert de la Suisse pour la participation </w:t>
      </w:r>
      <w:r w:rsidR="00137110" w:rsidRPr="00306803">
        <w:rPr>
          <w:lang w:val="fr-FR"/>
        </w:rPr>
        <w:lastRenderedPageBreak/>
        <w:t>aux travaux du Sous-Comité. Le Groupe de travail le remercie chaleureusement pour sa contribution active à ses travaux et lui souhaite une longue et heureuse retraite bien méritée.</w:t>
      </w:r>
      <w:r w:rsidR="00137110">
        <w:rPr>
          <w:lang w:val="fr-FR"/>
        </w:rPr>
        <w:t xml:space="preserve"> </w:t>
      </w:r>
    </w:p>
    <w:p w14:paraId="51BF2C87" w14:textId="77777777" w:rsidR="00137110" w:rsidRDefault="00137110" w:rsidP="00137110">
      <w:pPr>
        <w:pStyle w:val="H23G"/>
      </w:pPr>
      <w:r w:rsidRPr="00355253">
        <w:tab/>
      </w:r>
      <w:r>
        <w:t>6.</w:t>
      </w:r>
      <w:r w:rsidRPr="00355253">
        <w:tab/>
      </w:r>
      <w:r>
        <w:rPr>
          <w:lang w:val="fr-FR"/>
        </w:rPr>
        <w:t>Indicateurs de connectivité pour des transports intérieurs durables (SITCIN)</w:t>
      </w:r>
    </w:p>
    <w:p w14:paraId="2E1C0798" w14:textId="77777777" w:rsidR="00137110" w:rsidRPr="005E33C3" w:rsidRDefault="00137110" w:rsidP="00137110">
      <w:pPr>
        <w:spacing w:after="120"/>
        <w:ind w:left="2694" w:right="1134" w:hanging="1560"/>
        <w:jc w:val="both"/>
        <w:rPr>
          <w:lang w:val="fr-FR"/>
        </w:rPr>
      </w:pPr>
      <w:r w:rsidRPr="005E33C3">
        <w:rPr>
          <w:i/>
          <w:iCs/>
          <w:lang w:val="fr-FR"/>
        </w:rPr>
        <w:t>Document</w:t>
      </w:r>
      <w:r>
        <w:rPr>
          <w:i/>
          <w:iCs/>
          <w:lang w:val="fr-FR"/>
        </w:rPr>
        <w:t xml:space="preserve"> informel</w:t>
      </w:r>
      <w:r w:rsidRPr="005E33C3">
        <w:rPr>
          <w:i/>
          <w:iCs/>
          <w:lang w:val="fr-FR"/>
        </w:rPr>
        <w:t> </w:t>
      </w:r>
      <w:r w:rsidRPr="005E33C3">
        <w:rPr>
          <w:iCs/>
          <w:lang w:val="fr-FR"/>
        </w:rPr>
        <w:t>:</w:t>
      </w:r>
      <w:r w:rsidRPr="005E33C3">
        <w:rPr>
          <w:lang w:val="fr-FR"/>
        </w:rPr>
        <w:tab/>
      </w:r>
      <w:r>
        <w:rPr>
          <w:lang w:val="fr-FR"/>
        </w:rPr>
        <w:t xml:space="preserve">INF.28 </w:t>
      </w:r>
      <w:r w:rsidRPr="005E33C3">
        <w:rPr>
          <w:lang w:val="fr-FR"/>
        </w:rPr>
        <w:t>(</w:t>
      </w:r>
      <w:r>
        <w:rPr>
          <w:lang w:val="fr-FR"/>
        </w:rPr>
        <w:t>Secrétariat</w:t>
      </w:r>
      <w:r w:rsidRPr="005E33C3">
        <w:rPr>
          <w:lang w:val="fr-FR"/>
        </w:rPr>
        <w:t>)</w:t>
      </w:r>
    </w:p>
    <w:p w14:paraId="045C0FD0" w14:textId="5701475B" w:rsidR="00137110" w:rsidRDefault="005E280F" w:rsidP="006015FD">
      <w:pPr>
        <w:spacing w:after="120"/>
        <w:ind w:left="1134" w:right="1134"/>
        <w:jc w:val="both"/>
        <w:rPr>
          <w:lang w:val="fr-FR"/>
        </w:rPr>
      </w:pPr>
      <w:r>
        <w:rPr>
          <w:lang w:val="fr-FR"/>
        </w:rPr>
        <w:t>71.</w:t>
      </w:r>
      <w:r w:rsidR="00137110">
        <w:rPr>
          <w:lang w:val="fr-FR"/>
        </w:rPr>
        <w:tab/>
        <w:t xml:space="preserve">Le secrétaire du Groupe de travail chargé d’examiner les tendances et l’économie des transports (WP.5) a présenté les SITCIN, au nombre desquels figure un groupe d’indicateurs relatifs à l’ADR. </w:t>
      </w:r>
    </w:p>
    <w:p w14:paraId="3C404AAD" w14:textId="77777777" w:rsidR="006A2116" w:rsidRPr="007A1FC3" w:rsidRDefault="006A2116" w:rsidP="006A2116">
      <w:pPr>
        <w:keepNext/>
        <w:keepLines/>
        <w:tabs>
          <w:tab w:val="right" w:pos="851"/>
        </w:tabs>
        <w:spacing w:before="360" w:after="240" w:line="300" w:lineRule="exact"/>
        <w:ind w:left="1134" w:right="1134" w:hanging="1134"/>
        <w:rPr>
          <w:b/>
          <w:sz w:val="28"/>
          <w:lang w:val="fr-FR"/>
        </w:rPr>
      </w:pPr>
      <w:r w:rsidRPr="007A1FC3">
        <w:rPr>
          <w:b/>
          <w:sz w:val="28"/>
          <w:lang w:val="fr-FR"/>
        </w:rPr>
        <w:tab/>
        <w:t>X.</w:t>
      </w:r>
      <w:r w:rsidRPr="007A1FC3">
        <w:rPr>
          <w:b/>
          <w:sz w:val="28"/>
          <w:lang w:val="fr-FR"/>
        </w:rPr>
        <w:tab/>
        <w:t xml:space="preserve">Adoption du rapport (point </w:t>
      </w:r>
      <w:r>
        <w:rPr>
          <w:b/>
          <w:sz w:val="28"/>
          <w:lang w:val="fr-FR"/>
        </w:rPr>
        <w:t>9</w:t>
      </w:r>
      <w:r w:rsidRPr="007A1FC3">
        <w:rPr>
          <w:b/>
          <w:sz w:val="28"/>
          <w:lang w:val="fr-FR"/>
        </w:rPr>
        <w:t xml:space="preserve"> de l’ordre du jour)</w:t>
      </w:r>
    </w:p>
    <w:p w14:paraId="097DAC70" w14:textId="488CB68C" w:rsidR="006A2116" w:rsidRPr="007A1FC3" w:rsidRDefault="005E280F" w:rsidP="006A2116">
      <w:pPr>
        <w:spacing w:after="120"/>
        <w:ind w:left="1134" w:right="1134"/>
        <w:jc w:val="both"/>
        <w:rPr>
          <w:lang w:val="fr-FR"/>
        </w:rPr>
      </w:pPr>
      <w:r>
        <w:rPr>
          <w:lang w:val="fr-FR"/>
        </w:rPr>
        <w:t>72</w:t>
      </w:r>
      <w:r w:rsidR="006A2116" w:rsidRPr="007A1FC3">
        <w:rPr>
          <w:lang w:val="fr-FR"/>
        </w:rPr>
        <w:t>.</w:t>
      </w:r>
      <w:r w:rsidR="006A2116" w:rsidRPr="007A1FC3">
        <w:rPr>
          <w:lang w:val="fr-FR"/>
        </w:rPr>
        <w:tab/>
        <w:t>Le Groupe de travail a adopté le rapport de sa 11</w:t>
      </w:r>
      <w:r w:rsidR="006A2116">
        <w:rPr>
          <w:lang w:val="fr-FR"/>
        </w:rPr>
        <w:t>1</w:t>
      </w:r>
      <w:r w:rsidR="006A2116" w:rsidRPr="007A1FC3">
        <w:rPr>
          <w:vertAlign w:val="superscript"/>
          <w:lang w:val="fr-FR"/>
        </w:rPr>
        <w:t>e</w:t>
      </w:r>
      <w:r w:rsidR="006A2116" w:rsidRPr="007A1FC3">
        <w:rPr>
          <w:lang w:val="fr-FR"/>
        </w:rPr>
        <w:t xml:space="preserve"> session et ses annexes sur la base d’un projet établi par le secrétariat.</w:t>
      </w:r>
    </w:p>
    <w:p w14:paraId="354CF325" w14:textId="5943F7CB" w:rsidR="006A2116" w:rsidRDefault="005E280F" w:rsidP="006A2116">
      <w:pPr>
        <w:spacing w:after="120"/>
        <w:ind w:left="1134" w:right="1134"/>
        <w:jc w:val="both"/>
        <w:rPr>
          <w:lang w:val="fr-FR"/>
        </w:rPr>
      </w:pPr>
      <w:r>
        <w:rPr>
          <w:lang w:val="fr-FR"/>
        </w:rPr>
        <w:t>73</w:t>
      </w:r>
      <w:r w:rsidR="006A2116" w:rsidRPr="007A1FC3">
        <w:rPr>
          <w:lang w:val="fr-FR"/>
        </w:rPr>
        <w:t>.</w:t>
      </w:r>
      <w:r w:rsidR="006A2116" w:rsidRPr="007A1FC3">
        <w:rPr>
          <w:lang w:val="fr-FR"/>
        </w:rPr>
        <w:tab/>
        <w:t xml:space="preserve">Conformément aux procédures spéciales sur la prise de décision pour les réunions formelles avec participation à distance adoptées par le Comité exécutif (ECE/EX/2020/L.12), les décisions </w:t>
      </w:r>
      <w:r w:rsidR="006A2116">
        <w:rPr>
          <w:lang w:val="fr-FR"/>
        </w:rPr>
        <w:t xml:space="preserve">prises par le Groupe de travail </w:t>
      </w:r>
      <w:r w:rsidR="006A2116" w:rsidRPr="007A1FC3">
        <w:rPr>
          <w:lang w:val="fr-FR"/>
        </w:rPr>
        <w:t>ont été publiées et notifiées à toutes les missions permanentes à Genève</w:t>
      </w:r>
      <w:r w:rsidR="006A2116">
        <w:rPr>
          <w:lang w:val="fr-FR"/>
        </w:rPr>
        <w:t xml:space="preserve"> (voir </w:t>
      </w:r>
      <w:r w:rsidR="006A2116" w:rsidRPr="001922E7">
        <w:rPr>
          <w:lang w:val="fr-FR"/>
        </w:rPr>
        <w:t>https://unece.org/silence-procedure</w:t>
      </w:r>
      <w:r w:rsidR="006A2116">
        <w:rPr>
          <w:lang w:val="fr-FR"/>
        </w:rPr>
        <w:t>).</w:t>
      </w:r>
    </w:p>
    <w:p w14:paraId="64189D98" w14:textId="23354102" w:rsidR="006A2116" w:rsidRDefault="005E280F" w:rsidP="006A2116">
      <w:pPr>
        <w:spacing w:after="120"/>
        <w:ind w:left="1134" w:right="1134"/>
        <w:jc w:val="both"/>
        <w:rPr>
          <w:lang w:val="fr-FR"/>
        </w:rPr>
      </w:pPr>
      <w:r w:rsidRPr="004B508D">
        <w:rPr>
          <w:lang w:val="fr-FR"/>
        </w:rPr>
        <w:t>74</w:t>
      </w:r>
      <w:r w:rsidR="006A2116" w:rsidRPr="004B508D">
        <w:rPr>
          <w:lang w:val="fr-FR"/>
        </w:rPr>
        <w:t>.</w:t>
      </w:r>
      <w:r w:rsidR="006A2116" w:rsidRPr="004B508D">
        <w:rPr>
          <w:lang w:val="fr-FR"/>
        </w:rPr>
        <w:tab/>
        <w:t>Après publication, aucune objection n’a été reçue. Les décisions sont réputées adoptées.</w:t>
      </w:r>
      <w:r w:rsidR="006A2116">
        <w:rPr>
          <w:lang w:val="fr-FR"/>
        </w:rPr>
        <w:t xml:space="preserve"> </w:t>
      </w:r>
    </w:p>
    <w:p w14:paraId="4F195C08" w14:textId="4C4A6597" w:rsidR="0075514D" w:rsidRDefault="0075514D">
      <w:pPr>
        <w:suppressAutoHyphens w:val="0"/>
        <w:kinsoku/>
        <w:overflowPunct/>
        <w:autoSpaceDE/>
        <w:autoSpaceDN/>
        <w:adjustRightInd/>
        <w:snapToGrid/>
        <w:spacing w:after="200" w:line="276" w:lineRule="auto"/>
      </w:pPr>
      <w:r>
        <w:br w:type="page"/>
      </w:r>
    </w:p>
    <w:p w14:paraId="4382E9A4" w14:textId="77777777" w:rsidR="00D959E1" w:rsidRPr="00C64D69" w:rsidRDefault="00D959E1" w:rsidP="00D959E1">
      <w:pPr>
        <w:keepNext/>
        <w:keepLines/>
        <w:tabs>
          <w:tab w:val="right" w:pos="851"/>
        </w:tabs>
        <w:kinsoku/>
        <w:overflowPunct/>
        <w:autoSpaceDE/>
        <w:autoSpaceDN/>
        <w:adjustRightInd/>
        <w:snapToGrid/>
        <w:spacing w:before="360" w:after="240" w:line="300" w:lineRule="exact"/>
        <w:ind w:left="1134" w:right="1134" w:hanging="1134"/>
        <w:rPr>
          <w:b/>
          <w:sz w:val="28"/>
          <w:lang w:eastAsia="en-US"/>
        </w:rPr>
      </w:pPr>
      <w:r w:rsidRPr="00C64D69">
        <w:rPr>
          <w:b/>
          <w:sz w:val="28"/>
          <w:lang w:eastAsia="en-US"/>
        </w:rPr>
        <w:lastRenderedPageBreak/>
        <w:t>Annexe I</w:t>
      </w:r>
    </w:p>
    <w:p w14:paraId="104A14BE" w14:textId="77777777" w:rsidR="00D959E1" w:rsidRPr="00C64D69" w:rsidRDefault="00D959E1" w:rsidP="00D959E1">
      <w:pPr>
        <w:keepNext/>
        <w:keepLines/>
        <w:tabs>
          <w:tab w:val="right" w:pos="851"/>
        </w:tabs>
        <w:kinsoku/>
        <w:overflowPunct/>
        <w:autoSpaceDE/>
        <w:autoSpaceDN/>
        <w:adjustRightInd/>
        <w:snapToGrid/>
        <w:spacing w:before="360" w:after="240" w:line="270" w:lineRule="exact"/>
        <w:ind w:left="1134" w:right="1134" w:hanging="1134"/>
        <w:rPr>
          <w:b/>
          <w:sz w:val="24"/>
          <w:lang w:eastAsia="en-US"/>
        </w:rPr>
      </w:pPr>
      <w:r w:rsidRPr="00C64D69">
        <w:rPr>
          <w:b/>
          <w:sz w:val="24"/>
          <w:lang w:eastAsia="en-US"/>
        </w:rPr>
        <w:tab/>
      </w:r>
      <w:r w:rsidRPr="00C64D69">
        <w:rPr>
          <w:b/>
          <w:sz w:val="24"/>
          <w:lang w:eastAsia="en-US"/>
        </w:rPr>
        <w:tab/>
        <w:t xml:space="preserve">Projet d’amendements aux annexes A et B de l’ADR adopté par le Groupe de travail pour entrée en vigueur le 1er janvier </w:t>
      </w:r>
      <w:r>
        <w:rPr>
          <w:b/>
          <w:sz w:val="24"/>
          <w:lang w:eastAsia="en-US"/>
        </w:rPr>
        <w:t>2023</w:t>
      </w:r>
    </w:p>
    <w:p w14:paraId="050A808A" w14:textId="77777777" w:rsidR="00D959E1" w:rsidRPr="00C64D69" w:rsidRDefault="00D959E1" w:rsidP="00D959E1">
      <w:pPr>
        <w:kinsoku/>
        <w:overflowPunct/>
        <w:autoSpaceDE/>
        <w:autoSpaceDN/>
        <w:adjustRightInd/>
        <w:snapToGrid/>
        <w:spacing w:after="120"/>
        <w:ind w:left="1134" w:right="1134" w:firstLine="567"/>
        <w:jc w:val="both"/>
        <w:rPr>
          <w:lang w:eastAsia="en-US"/>
        </w:rPr>
      </w:pPr>
      <w:r w:rsidRPr="00C64D69">
        <w:rPr>
          <w:lang w:eastAsia="en-US"/>
        </w:rPr>
        <w:t>Les amendements adoptés modifient ou complètent les amendements adoptés à la session précédente (voir ECE/TRANS/WP.15/</w:t>
      </w:r>
      <w:r>
        <w:rPr>
          <w:lang w:eastAsia="en-US"/>
        </w:rPr>
        <w:t>256</w:t>
      </w:r>
      <w:r w:rsidRPr="00C64D69">
        <w:rPr>
          <w:lang w:eastAsia="en-US"/>
        </w:rPr>
        <w:t>). Ils ont été mis à disposition en cours de session sous les cotes ECE/TRANS/WP.15/</w:t>
      </w:r>
      <w:r>
        <w:rPr>
          <w:lang w:eastAsia="en-US"/>
        </w:rPr>
        <w:t>2022</w:t>
      </w:r>
      <w:r w:rsidRPr="00C64D69">
        <w:rPr>
          <w:lang w:eastAsia="en-US"/>
        </w:rPr>
        <w:t>/R.2 et Add.1.</w:t>
      </w:r>
    </w:p>
    <w:p w14:paraId="7EF1D47E" w14:textId="77777777" w:rsidR="00D959E1" w:rsidRPr="00C64D69" w:rsidRDefault="00D959E1" w:rsidP="00D959E1">
      <w:pPr>
        <w:kinsoku/>
        <w:overflowPunct/>
        <w:autoSpaceDE/>
        <w:autoSpaceDN/>
        <w:adjustRightInd/>
        <w:snapToGrid/>
        <w:spacing w:after="120"/>
        <w:ind w:left="1134" w:right="1134" w:firstLine="567"/>
        <w:jc w:val="both"/>
        <w:rPr>
          <w:lang w:eastAsia="en-US"/>
        </w:rPr>
      </w:pPr>
      <w:r w:rsidRPr="00C64D69">
        <w:rPr>
          <w:lang w:eastAsia="en-US"/>
        </w:rPr>
        <w:t>Les amendements qui modifient ceux précédemment adoptés sont reproduits dans le document ECE/TRANS/WP.15/</w:t>
      </w:r>
      <w:r>
        <w:rPr>
          <w:lang w:eastAsia="en-US"/>
        </w:rPr>
        <w:t>256</w:t>
      </w:r>
      <w:r w:rsidRPr="00C64D69">
        <w:rPr>
          <w:lang w:eastAsia="en-US"/>
        </w:rPr>
        <w:t>/Corr.1.</w:t>
      </w:r>
    </w:p>
    <w:p w14:paraId="1E71E5FA" w14:textId="77777777" w:rsidR="00D959E1" w:rsidRPr="00C64D69" w:rsidRDefault="00D959E1" w:rsidP="00D959E1">
      <w:pPr>
        <w:kinsoku/>
        <w:overflowPunct/>
        <w:autoSpaceDE/>
        <w:autoSpaceDN/>
        <w:adjustRightInd/>
        <w:snapToGrid/>
        <w:spacing w:after="120"/>
        <w:ind w:left="1134" w:right="1134" w:firstLine="567"/>
        <w:jc w:val="both"/>
        <w:rPr>
          <w:lang w:eastAsia="en-US"/>
        </w:rPr>
      </w:pPr>
      <w:r w:rsidRPr="00C64D69">
        <w:rPr>
          <w:lang w:eastAsia="en-US"/>
        </w:rPr>
        <w:t>Les nouveaux amendements sont reproduits dans le document ECE/TRANS/WP.15/</w:t>
      </w:r>
      <w:r>
        <w:rPr>
          <w:lang w:eastAsia="en-US"/>
        </w:rPr>
        <w:t>256</w:t>
      </w:r>
      <w:r w:rsidRPr="00C64D69">
        <w:rPr>
          <w:lang w:eastAsia="en-US"/>
        </w:rPr>
        <w:t>/Add.1.</w:t>
      </w:r>
    </w:p>
    <w:p w14:paraId="5D283B21" w14:textId="3D19523B" w:rsidR="00D959E1" w:rsidRDefault="00D959E1">
      <w:pPr>
        <w:suppressAutoHyphens w:val="0"/>
        <w:kinsoku/>
        <w:overflowPunct/>
        <w:autoSpaceDE/>
        <w:autoSpaceDN/>
        <w:adjustRightInd/>
        <w:snapToGrid/>
        <w:spacing w:after="200" w:line="276" w:lineRule="auto"/>
      </w:pPr>
      <w:r>
        <w:br w:type="page"/>
      </w:r>
    </w:p>
    <w:p w14:paraId="6C8224C8" w14:textId="4198C741" w:rsidR="00D959E1" w:rsidRPr="00C64D69" w:rsidRDefault="00D959E1" w:rsidP="00D959E1">
      <w:pPr>
        <w:keepNext/>
        <w:keepLines/>
        <w:tabs>
          <w:tab w:val="right" w:pos="851"/>
        </w:tabs>
        <w:kinsoku/>
        <w:overflowPunct/>
        <w:autoSpaceDE/>
        <w:autoSpaceDN/>
        <w:adjustRightInd/>
        <w:snapToGrid/>
        <w:spacing w:before="360" w:after="240" w:line="300" w:lineRule="exact"/>
        <w:ind w:left="1134" w:right="1134" w:hanging="1134"/>
        <w:rPr>
          <w:b/>
          <w:sz w:val="28"/>
          <w:lang w:eastAsia="en-US"/>
        </w:rPr>
      </w:pPr>
      <w:r w:rsidRPr="00C64D69">
        <w:rPr>
          <w:b/>
          <w:sz w:val="28"/>
          <w:lang w:eastAsia="en-US"/>
        </w:rPr>
        <w:lastRenderedPageBreak/>
        <w:t>Annexe I</w:t>
      </w:r>
      <w:r w:rsidR="0077305E">
        <w:rPr>
          <w:b/>
          <w:sz w:val="28"/>
          <w:lang w:eastAsia="en-US"/>
        </w:rPr>
        <w:t>I</w:t>
      </w:r>
      <w:bookmarkStart w:id="8" w:name="_GoBack"/>
      <w:bookmarkEnd w:id="8"/>
    </w:p>
    <w:p w14:paraId="57C9F747" w14:textId="6AD0A038" w:rsidR="00D959E1" w:rsidRDefault="00D959E1" w:rsidP="00D959E1">
      <w:pPr>
        <w:keepNext/>
        <w:keepLines/>
        <w:tabs>
          <w:tab w:val="right" w:pos="851"/>
        </w:tabs>
        <w:kinsoku/>
        <w:overflowPunct/>
        <w:autoSpaceDE/>
        <w:autoSpaceDN/>
        <w:adjustRightInd/>
        <w:snapToGrid/>
        <w:spacing w:before="360" w:after="240" w:line="270" w:lineRule="exact"/>
        <w:ind w:left="1134" w:right="1134" w:hanging="1134"/>
        <w:rPr>
          <w:b/>
          <w:sz w:val="24"/>
          <w:lang w:eastAsia="en-US"/>
        </w:rPr>
      </w:pPr>
      <w:r w:rsidRPr="00C64D69">
        <w:rPr>
          <w:b/>
          <w:sz w:val="24"/>
          <w:lang w:eastAsia="en-US"/>
        </w:rPr>
        <w:tab/>
      </w:r>
      <w:r w:rsidRPr="00C64D69">
        <w:rPr>
          <w:b/>
          <w:sz w:val="24"/>
          <w:lang w:eastAsia="en-US"/>
        </w:rPr>
        <w:tab/>
        <w:t xml:space="preserve">Projet d’amendements aux annexes A et B de l’ADR adopté par le Groupe de travail pour entrée en vigueur le 1er janvier </w:t>
      </w:r>
      <w:r>
        <w:rPr>
          <w:b/>
          <w:sz w:val="24"/>
          <w:lang w:eastAsia="en-US"/>
        </w:rPr>
        <w:t>2025</w:t>
      </w:r>
    </w:p>
    <w:p w14:paraId="1EFE343B" w14:textId="2A8BFAFF" w:rsidR="00BD7B57" w:rsidRPr="0057592A" w:rsidRDefault="00BD7B57" w:rsidP="00BD7B57">
      <w:pPr>
        <w:pStyle w:val="SingleTxtG"/>
        <w:ind w:right="1133"/>
        <w:rPr>
          <w:lang w:val="fr-FR"/>
        </w:rPr>
      </w:pPr>
      <w:r w:rsidRPr="002F4EEE">
        <w:rPr>
          <w:i/>
          <w:iCs/>
          <w:lang w:val="fr-FR"/>
        </w:rPr>
        <w:t>(Document de référence :</w:t>
      </w:r>
      <w:r>
        <w:rPr>
          <w:i/>
          <w:iCs/>
          <w:lang w:val="fr-FR"/>
        </w:rPr>
        <w:t xml:space="preserve"> ECE/TRANS/WP.15/AC.1/164, annexe I, B.)</w:t>
      </w:r>
    </w:p>
    <w:p w14:paraId="6FA6660F" w14:textId="77777777" w:rsidR="00D10268" w:rsidRDefault="00D10268" w:rsidP="00BD7B57">
      <w:pPr>
        <w:pStyle w:val="H1G"/>
        <w:rPr>
          <w:lang w:val="fr-FR"/>
        </w:rPr>
      </w:pPr>
      <w:r w:rsidRPr="002F4EEE">
        <w:rPr>
          <w:lang w:val="fr-FR"/>
        </w:rPr>
        <w:tab/>
      </w:r>
      <w:r w:rsidRPr="002F4EEE">
        <w:rPr>
          <w:lang w:val="fr-FR"/>
        </w:rPr>
        <w:tab/>
      </w:r>
      <w:r>
        <w:rPr>
          <w:lang w:val="fr-FR"/>
        </w:rPr>
        <w:t>Chapitre 3.2, tableau A</w:t>
      </w:r>
    </w:p>
    <w:p w14:paraId="5DA64C4D" w14:textId="77777777" w:rsidR="00D10268" w:rsidRDefault="00D10268" w:rsidP="00D10268">
      <w:pPr>
        <w:pStyle w:val="SingleTxtG"/>
        <w:ind w:right="1133"/>
      </w:pPr>
      <w:r>
        <w:rPr>
          <w:lang w:val="fr-FR"/>
        </w:rPr>
        <w:t xml:space="preserve">Pour le No ONU 3082, </w:t>
      </w:r>
      <w:r>
        <w:t>insérer « 650 » dans la colonne (6).</w:t>
      </w:r>
    </w:p>
    <w:p w14:paraId="16643DD6" w14:textId="77777777" w:rsidR="00D10268" w:rsidRPr="002F4EEE" w:rsidRDefault="00D10268" w:rsidP="00BD7B57">
      <w:pPr>
        <w:pStyle w:val="H1G"/>
        <w:rPr>
          <w:lang w:val="fr-FR"/>
        </w:rPr>
      </w:pPr>
      <w:r>
        <w:rPr>
          <w:lang w:val="fr-FR"/>
        </w:rPr>
        <w:tab/>
      </w:r>
      <w:r>
        <w:rPr>
          <w:lang w:val="fr-FR"/>
        </w:rPr>
        <w:tab/>
      </w:r>
      <w:r w:rsidRPr="002F4EEE">
        <w:rPr>
          <w:lang w:val="fr-FR"/>
        </w:rPr>
        <w:t xml:space="preserve">Chapitre </w:t>
      </w:r>
      <w:r>
        <w:rPr>
          <w:lang w:val="fr-FR"/>
        </w:rPr>
        <w:t>3.3</w:t>
      </w:r>
    </w:p>
    <w:p w14:paraId="1EA4FE1B" w14:textId="708AF0F8" w:rsidR="00D10268" w:rsidRPr="00386013" w:rsidRDefault="00D10268" w:rsidP="00D469AF">
      <w:pPr>
        <w:pStyle w:val="SingleTxtG"/>
        <w:ind w:right="1133"/>
        <w:rPr>
          <w:bCs/>
          <w:lang w:val="fr-FR"/>
        </w:rPr>
      </w:pPr>
      <w:r w:rsidRPr="00386013">
        <w:rPr>
          <w:bCs/>
          <w:lang w:val="fr-FR"/>
        </w:rPr>
        <w:t>DS 650</w:t>
      </w:r>
      <w:r w:rsidRPr="00386013">
        <w:rPr>
          <w:bCs/>
          <w:lang w:val="fr-FR"/>
        </w:rPr>
        <w:tab/>
      </w:r>
    </w:p>
    <w:p w14:paraId="3AB51099" w14:textId="7F313F1F" w:rsidR="00D10268" w:rsidRDefault="00D10268" w:rsidP="00D469AF">
      <w:pPr>
        <w:pStyle w:val="Bullet1G"/>
        <w:rPr>
          <w:lang w:val="fr-FR"/>
        </w:rPr>
      </w:pPr>
      <w:r w:rsidRPr="002F4EEE">
        <w:rPr>
          <w:rFonts w:cs="Arial"/>
          <w:szCs w:val="22"/>
          <w:lang w:val="fr-FR"/>
        </w:rPr>
        <w:tab/>
      </w:r>
      <w:r>
        <w:rPr>
          <w:lang w:val="fr-FR"/>
        </w:rPr>
        <w:t>Dans la première phrase, remplacer « </w:t>
      </w:r>
      <w:r w:rsidRPr="00263698">
        <w:rPr>
          <w:lang w:val="fr-FR"/>
        </w:rPr>
        <w:t>en tant que matières du groupe d’emballage II</w:t>
      </w:r>
      <w:r>
        <w:rPr>
          <w:lang w:val="fr-FR"/>
        </w:rPr>
        <w:t> » par « </w:t>
      </w:r>
      <w:r w:rsidRPr="005D0E7A">
        <w:rPr>
          <w:lang w:val="fr-FR"/>
        </w:rPr>
        <w:t>suivant les prescriptions prévues pour le No ONU 1263, groupe d’emballage II, ou pour le No ONU 3082, selon le cas ».</w:t>
      </w:r>
    </w:p>
    <w:p w14:paraId="4F4A9FAA" w14:textId="14282074" w:rsidR="00D10268" w:rsidRDefault="00D10268" w:rsidP="00D469AF">
      <w:pPr>
        <w:pStyle w:val="Bullet1G"/>
        <w:rPr>
          <w:lang w:val="fr-FR"/>
        </w:rPr>
      </w:pPr>
      <w:r w:rsidRPr="002F4EEE">
        <w:rPr>
          <w:rFonts w:cs="Arial"/>
          <w:szCs w:val="22"/>
          <w:lang w:val="fr-FR"/>
        </w:rPr>
        <w:tab/>
      </w:r>
      <w:r>
        <w:rPr>
          <w:lang w:val="fr-FR"/>
        </w:rPr>
        <w:t>Dans la deuxième phrase, après « </w:t>
      </w:r>
      <w:r w:rsidRPr="00263698">
        <w:rPr>
          <w:lang w:val="fr-FR"/>
        </w:rPr>
        <w:t>groupe d’emballage II,</w:t>
      </w:r>
      <w:r>
        <w:rPr>
          <w:lang w:val="fr-FR"/>
        </w:rPr>
        <w:t> », insérer « </w:t>
      </w:r>
      <w:r w:rsidRPr="005D0E7A">
        <w:rPr>
          <w:lang w:val="fr-FR"/>
        </w:rPr>
        <w:t>et du No ONU 3082, ».</w:t>
      </w:r>
    </w:p>
    <w:p w14:paraId="7CDC0DAD" w14:textId="5E78C74C" w:rsidR="00D10268" w:rsidRDefault="00D10268" w:rsidP="00D469AF">
      <w:pPr>
        <w:pStyle w:val="Bullet1G"/>
        <w:rPr>
          <w:lang w:val="fr-FR"/>
        </w:rPr>
      </w:pPr>
      <w:r w:rsidRPr="002F4EEE">
        <w:rPr>
          <w:rFonts w:cs="Arial"/>
          <w:szCs w:val="22"/>
          <w:lang w:val="fr-FR"/>
        </w:rPr>
        <w:tab/>
      </w:r>
      <w:r>
        <w:rPr>
          <w:lang w:val="fr-FR"/>
        </w:rPr>
        <w:t>À l’alinéa a), ajouter la nouvelle phrase suivante à la fin : « </w:t>
      </w:r>
      <w:r w:rsidRPr="00907A82">
        <w:rPr>
          <w:lang w:val="fr-FR"/>
        </w:rPr>
        <w:t xml:space="preserve">L’emballage en commun de déchets classés sous le No ONU 1263 </w:t>
      </w:r>
      <w:r w:rsidRPr="001A3C3A">
        <w:rPr>
          <w:lang w:val="fr-FR"/>
        </w:rPr>
        <w:t>et de déchets de peintures à base d’eau classés sous le No ONU 3082 e</w:t>
      </w:r>
      <w:r w:rsidRPr="00907A82">
        <w:rPr>
          <w:lang w:val="fr-FR"/>
        </w:rPr>
        <w:t>st autorisé ; ».</w:t>
      </w:r>
    </w:p>
    <w:p w14:paraId="2105ACA5" w14:textId="1D4B3D27" w:rsidR="00D10268" w:rsidRPr="001A3C3A" w:rsidRDefault="00D10268" w:rsidP="00D469AF">
      <w:pPr>
        <w:pStyle w:val="Bullet1G"/>
      </w:pPr>
      <w:r w:rsidRPr="002F4EEE">
        <w:rPr>
          <w:rFonts w:cs="Arial"/>
          <w:szCs w:val="22"/>
          <w:lang w:val="fr-FR"/>
        </w:rPr>
        <w:tab/>
      </w:r>
      <w:r>
        <w:rPr>
          <w:lang w:val="fr-FR"/>
        </w:rPr>
        <w:t>À l’alinéa d), après la première phrase, insérer les deux nouvelles phrases suivantes : « </w:t>
      </w:r>
      <w:r w:rsidRPr="00907A82">
        <w:rPr>
          <w:lang w:val="fr-FR"/>
        </w:rPr>
        <w:t xml:space="preserve">Les déchets classés sous le No ONU 1263 peuvent être mélangés et chargés avec des </w:t>
      </w:r>
      <w:r w:rsidRPr="001A3C3A">
        <w:rPr>
          <w:lang w:val="fr-FR"/>
        </w:rPr>
        <w:t>déchets de peintures à base d’eau classés</w:t>
      </w:r>
      <w:r w:rsidRPr="00907A82">
        <w:rPr>
          <w:lang w:val="fr-FR"/>
        </w:rPr>
        <w:t xml:space="preserve"> sous le No ONU 3082 dans le même véhicule ou conteneur.</w:t>
      </w:r>
      <w:r>
        <w:rPr>
          <w:lang w:val="fr-FR"/>
        </w:rPr>
        <w:t xml:space="preserve"> </w:t>
      </w:r>
      <w:r w:rsidRPr="00EB1DED">
        <w:rPr>
          <w:lang w:val="fr-FR"/>
        </w:rPr>
        <w:t xml:space="preserve">Dans </w:t>
      </w:r>
      <w:r>
        <w:rPr>
          <w:lang w:val="fr-FR"/>
        </w:rPr>
        <w:t>le cas d’</w:t>
      </w:r>
      <w:r w:rsidRPr="00EB1DED">
        <w:rPr>
          <w:lang w:val="fr-FR"/>
        </w:rPr>
        <w:t xml:space="preserve">un tel chargement en commun, la totalité </w:t>
      </w:r>
      <w:r>
        <w:rPr>
          <w:lang w:val="fr-FR"/>
        </w:rPr>
        <w:t xml:space="preserve">du contenu </w:t>
      </w:r>
      <w:r w:rsidRPr="00EB1DED">
        <w:rPr>
          <w:lang w:val="fr-FR"/>
        </w:rPr>
        <w:t xml:space="preserve">doit être </w:t>
      </w:r>
      <w:r w:rsidRPr="0057592A">
        <w:rPr>
          <w:lang w:val="fr-FR"/>
        </w:rPr>
        <w:t>affectée au</w:t>
      </w:r>
      <w:r w:rsidRPr="00EB1DED">
        <w:rPr>
          <w:lang w:val="fr-FR"/>
        </w:rPr>
        <w:t xml:space="preserve"> </w:t>
      </w:r>
      <w:r>
        <w:rPr>
          <w:lang w:val="fr-FR"/>
        </w:rPr>
        <w:t>numéro</w:t>
      </w:r>
      <w:r w:rsidRPr="00EB1DED">
        <w:rPr>
          <w:lang w:val="fr-FR"/>
        </w:rPr>
        <w:t xml:space="preserve"> ONU 1263.</w:t>
      </w:r>
      <w:r w:rsidRPr="001A3C3A">
        <w:t> ».</w:t>
      </w:r>
    </w:p>
    <w:p w14:paraId="71BD0716" w14:textId="28FBF1D2" w:rsidR="00D10268" w:rsidRDefault="00D10268" w:rsidP="00D469AF">
      <w:pPr>
        <w:pStyle w:val="Bullet1G"/>
        <w:rPr>
          <w:lang w:val="fr-FR"/>
        </w:rPr>
      </w:pPr>
      <w:r w:rsidRPr="002F4EEE">
        <w:rPr>
          <w:rFonts w:cs="Arial"/>
          <w:szCs w:val="22"/>
          <w:lang w:val="fr-FR"/>
        </w:rPr>
        <w:tab/>
      </w:r>
      <w:r>
        <w:rPr>
          <w:lang w:val="fr-FR"/>
        </w:rPr>
        <w:t>À l’alinéa e), après « </w:t>
      </w:r>
      <w:r w:rsidRPr="00263698">
        <w:rPr>
          <w:rFonts w:cs="Arial"/>
          <w:szCs w:val="18"/>
          <w:lang w:val="fr-FR" w:eastAsia="en-US"/>
        </w:rPr>
        <w:t>selon le 5.4.1.1.3</w:t>
      </w:r>
      <w:r w:rsidRPr="00A2290D">
        <w:rPr>
          <w:rFonts w:cs="Arial"/>
          <w:szCs w:val="18"/>
          <w:lang w:val="fr-FR" w:eastAsia="en-US"/>
        </w:rPr>
        <w:t>.1</w:t>
      </w:r>
      <w:r>
        <w:rPr>
          <w:rFonts w:cs="Arial"/>
          <w:szCs w:val="18"/>
          <w:lang w:val="fr-FR" w:eastAsia="en-US"/>
        </w:rPr>
        <w:t> » ajouter « ,</w:t>
      </w:r>
      <w:r w:rsidRPr="009539E7">
        <w:rPr>
          <w:lang w:val="fr-FR"/>
        </w:rPr>
        <w:t xml:space="preserve"> </w:t>
      </w:r>
      <w:r w:rsidRPr="00A2290D">
        <w:rPr>
          <w:lang w:val="fr-FR"/>
        </w:rPr>
        <w:t>sous le ou les numéro(s) ONU approprié(s),</w:t>
      </w:r>
      <w:r>
        <w:rPr>
          <w:lang w:val="fr-FR"/>
        </w:rPr>
        <w:t> ». À la fin, ajouter :</w:t>
      </w:r>
    </w:p>
    <w:p w14:paraId="7BC5CC54" w14:textId="77777777" w:rsidR="00D10268" w:rsidRDefault="00D10268" w:rsidP="00D469AF">
      <w:pPr>
        <w:pStyle w:val="SingleTxtG"/>
        <w:ind w:left="1701" w:right="1133" w:hanging="567"/>
      </w:pPr>
      <w:r>
        <w:tab/>
      </w:r>
      <w:r>
        <w:rPr>
          <w:rFonts w:cs="Arial"/>
          <w:szCs w:val="18"/>
          <w:lang w:val="fr-FR" w:eastAsia="en-US"/>
        </w:rPr>
        <w:t>« </w:t>
      </w:r>
      <w:r>
        <w:t>, ou</w:t>
      </w:r>
    </w:p>
    <w:p w14:paraId="6E3C9DBC" w14:textId="77777777" w:rsidR="00D10268" w:rsidRDefault="00D10268" w:rsidP="00D469AF">
      <w:pPr>
        <w:pStyle w:val="SingleTxtG"/>
        <w:ind w:left="1701" w:right="1133" w:hanging="567"/>
        <w:rPr>
          <w:lang w:val="fr-FR"/>
        </w:rPr>
      </w:pPr>
      <w:r>
        <w:tab/>
        <w:t>"</w:t>
      </w:r>
      <w:r>
        <w:rPr>
          <w:lang w:val="fr-FR"/>
        </w:rPr>
        <w:t>UN</w:t>
      </w:r>
      <w:r w:rsidRPr="009539E7">
        <w:rPr>
          <w:lang w:val="fr-FR"/>
        </w:rPr>
        <w:t xml:space="preserve"> 3082 DÉCHETS MATIÈRE DANGEREUSE POUR L</w:t>
      </w:r>
      <w:r>
        <w:rPr>
          <w:lang w:val="fr-FR"/>
        </w:rPr>
        <w:t>’</w:t>
      </w:r>
      <w:r w:rsidRPr="009539E7">
        <w:rPr>
          <w:lang w:val="fr-FR"/>
        </w:rPr>
        <w:t>ENVIRONNEMENT</w:t>
      </w:r>
      <w:r w:rsidRPr="00723DF3">
        <w:rPr>
          <w:lang w:val="fr-FR"/>
        </w:rPr>
        <w:t>, LIQUIDE, N.S.A. (PEINTURES), 9, III (ADR :), (-)</w:t>
      </w:r>
      <w:r>
        <w:t>"</w:t>
      </w:r>
      <w:r w:rsidRPr="00723DF3">
        <w:rPr>
          <w:lang w:val="fr-FR"/>
        </w:rPr>
        <w:t>, ou</w:t>
      </w:r>
    </w:p>
    <w:p w14:paraId="267C32CE" w14:textId="77777777" w:rsidR="00D10268" w:rsidRPr="00A2290D" w:rsidRDefault="00D10268" w:rsidP="00D469AF">
      <w:pPr>
        <w:pStyle w:val="SingleTxtG"/>
        <w:ind w:left="1701" w:right="1133" w:hanging="567"/>
      </w:pPr>
      <w:r>
        <w:rPr>
          <w:lang w:val="fr-FR"/>
        </w:rPr>
        <w:tab/>
      </w:r>
      <w:r>
        <w:t>"</w:t>
      </w:r>
      <w:r>
        <w:rPr>
          <w:lang w:val="fr-FR"/>
        </w:rPr>
        <w:t>UN</w:t>
      </w:r>
      <w:r w:rsidRPr="00723DF3">
        <w:rPr>
          <w:lang w:val="fr-FR"/>
        </w:rPr>
        <w:t xml:space="preserve"> 3082 DÉCHETS MATIÈRE DANGEREUSE POUR L’ENVIRONNEMENT, LIQUIDE, N.S.A. (PEINTURES), 9, GE III (ADR :), (-)</w:t>
      </w:r>
      <w:r>
        <w:t>"</w:t>
      </w:r>
      <w:r w:rsidRPr="00723DF3">
        <w:rPr>
          <w:lang w:val="fr-FR"/>
        </w:rPr>
        <w:t>.</w:t>
      </w:r>
      <w:r>
        <w:rPr>
          <w:lang w:val="fr-FR"/>
        </w:rPr>
        <w:t> »</w:t>
      </w:r>
    </w:p>
    <w:p w14:paraId="29760A2F" w14:textId="77777777" w:rsidR="00D10268" w:rsidRPr="00BD7B57" w:rsidRDefault="00D10268" w:rsidP="00BD7B57">
      <w:pPr>
        <w:pStyle w:val="H1G"/>
        <w:rPr>
          <w:lang w:val="fr-FR"/>
        </w:rPr>
      </w:pPr>
      <w:r w:rsidRPr="00BD7B57">
        <w:rPr>
          <w:lang w:val="fr-FR"/>
        </w:rPr>
        <w:tab/>
      </w:r>
      <w:r w:rsidRPr="00BD7B57">
        <w:rPr>
          <w:lang w:val="fr-FR"/>
        </w:rPr>
        <w:tab/>
        <w:t>Chapitre 4.3</w:t>
      </w:r>
    </w:p>
    <w:p w14:paraId="307169B1" w14:textId="77777777" w:rsidR="00D10268" w:rsidRPr="007D3996" w:rsidRDefault="00D10268" w:rsidP="00D10268">
      <w:pPr>
        <w:pStyle w:val="SingleTxtG"/>
        <w:ind w:right="991"/>
        <w:jc w:val="left"/>
        <w:rPr>
          <w:bCs/>
        </w:rPr>
      </w:pPr>
      <w:r w:rsidRPr="007D3996">
        <w:rPr>
          <w:bCs/>
        </w:rPr>
        <w:t>4.3.2.2.3</w:t>
      </w:r>
      <w:r w:rsidRPr="007D3996">
        <w:rPr>
          <w:bCs/>
        </w:rPr>
        <w:tab/>
        <w:t>Modifier pour lire comme suit :</w:t>
      </w:r>
    </w:p>
    <w:p w14:paraId="09F0831F" w14:textId="77777777" w:rsidR="00D10268" w:rsidRPr="007D3996" w:rsidRDefault="00D10268" w:rsidP="00D10268">
      <w:pPr>
        <w:pStyle w:val="SingleTxtG"/>
        <w:ind w:left="2268" w:hanging="1134"/>
        <w:rPr>
          <w:bCs/>
          <w:iCs/>
          <w:lang w:val="fr-FR"/>
        </w:rPr>
      </w:pPr>
      <w:r w:rsidRPr="007D3996">
        <w:rPr>
          <w:bCs/>
        </w:rPr>
        <w:t>« 4.3.2.2.3</w:t>
      </w:r>
      <w:r w:rsidRPr="007D3996">
        <w:rPr>
          <w:bCs/>
        </w:rPr>
        <w:tab/>
      </w:r>
      <w:r w:rsidRPr="007D3996">
        <w:rPr>
          <w:bCs/>
          <w:lang w:val="fr-FR"/>
        </w:rPr>
        <w:t>Les dispositions des 4.3.2.2.1 a) à d) ci-dessus ne s’appliquent pas aux citernes contenant des liquides dont la température est supérieure à 50 °C.</w:t>
      </w:r>
    </w:p>
    <w:p w14:paraId="6AE2EB3D" w14:textId="77777777" w:rsidR="00D10268" w:rsidRPr="00151BB6" w:rsidRDefault="00D10268" w:rsidP="00D10268">
      <w:pPr>
        <w:pStyle w:val="SingleTxtG"/>
        <w:ind w:left="2268"/>
        <w:rPr>
          <w:iCs/>
          <w:lang w:val="fr-FR"/>
        </w:rPr>
      </w:pPr>
      <w:r w:rsidRPr="00151BB6">
        <w:rPr>
          <w:lang w:val="fr-FR"/>
        </w:rPr>
        <w:tab/>
        <w:t>Le taux de remplissage pour</w:t>
      </w:r>
      <w:r>
        <w:rPr>
          <w:lang w:val="fr-FR"/>
        </w:rPr>
        <w:t> </w:t>
      </w:r>
      <w:r w:rsidRPr="00151BB6">
        <w:rPr>
          <w:lang w:val="fr-FR"/>
        </w:rPr>
        <w:t>:</w:t>
      </w:r>
    </w:p>
    <w:p w14:paraId="1E677F18" w14:textId="77777777" w:rsidR="00D10268" w:rsidRPr="00151BB6" w:rsidRDefault="00D10268" w:rsidP="00D10268">
      <w:pPr>
        <w:pStyle w:val="Bullet2G"/>
        <w:numPr>
          <w:ilvl w:val="0"/>
          <w:numId w:val="0"/>
        </w:numPr>
        <w:ind w:left="2694" w:hanging="426"/>
        <w:rPr>
          <w:iCs/>
          <w:lang w:val="fr-FR"/>
        </w:rPr>
      </w:pPr>
      <w:r w:rsidRPr="002F4EEE">
        <w:rPr>
          <w:rFonts w:cs="Arial"/>
          <w:szCs w:val="22"/>
          <w:lang w:val="fr-FR"/>
        </w:rPr>
        <w:t>–</w:t>
      </w:r>
      <w:r>
        <w:rPr>
          <w:rFonts w:cs="Arial"/>
          <w:szCs w:val="22"/>
          <w:lang w:val="fr-FR"/>
        </w:rPr>
        <w:tab/>
      </w:r>
      <w:r w:rsidRPr="00151BB6">
        <w:rPr>
          <w:lang w:val="fr-FR"/>
        </w:rPr>
        <w:t>les matières liquides transportées à une température supérieure à 50</w:t>
      </w:r>
      <w:r>
        <w:rPr>
          <w:lang w:val="fr-FR"/>
        </w:rPr>
        <w:t> </w:t>
      </w:r>
      <w:r w:rsidRPr="00151BB6">
        <w:rPr>
          <w:lang w:val="fr-FR"/>
        </w:rPr>
        <w:t>°C</w:t>
      </w:r>
      <w:r>
        <w:rPr>
          <w:lang w:val="fr-FR"/>
        </w:rPr>
        <w:t> ;</w:t>
      </w:r>
    </w:p>
    <w:p w14:paraId="03837FFC" w14:textId="77777777" w:rsidR="00D10268" w:rsidRPr="00151BB6" w:rsidRDefault="00D10268" w:rsidP="00D10268">
      <w:pPr>
        <w:pStyle w:val="Bullet2G"/>
        <w:numPr>
          <w:ilvl w:val="0"/>
          <w:numId w:val="0"/>
        </w:numPr>
        <w:ind w:left="2694" w:hanging="426"/>
        <w:rPr>
          <w:iCs/>
          <w:lang w:val="fr-FR"/>
        </w:rPr>
      </w:pPr>
      <w:r w:rsidRPr="002F4EEE">
        <w:rPr>
          <w:rFonts w:cs="Arial"/>
          <w:szCs w:val="22"/>
          <w:lang w:val="fr-FR"/>
        </w:rPr>
        <w:t>–</w:t>
      </w:r>
      <w:r>
        <w:rPr>
          <w:rFonts w:cs="Arial"/>
          <w:szCs w:val="22"/>
          <w:lang w:val="fr-FR"/>
        </w:rPr>
        <w:tab/>
      </w:r>
      <w:r w:rsidRPr="00151BB6">
        <w:rPr>
          <w:lang w:val="fr-FR"/>
        </w:rPr>
        <w:t>les matières liquides dont la température est inférieure à 50</w:t>
      </w:r>
      <w:r>
        <w:rPr>
          <w:lang w:val="fr-FR"/>
        </w:rPr>
        <w:t> </w:t>
      </w:r>
      <w:r w:rsidRPr="00151BB6">
        <w:rPr>
          <w:lang w:val="fr-FR"/>
        </w:rPr>
        <w:t>°C au moment du remplissage, mais qu’il est prévu de chauffer à une température supérieure à 50</w:t>
      </w:r>
      <w:r>
        <w:rPr>
          <w:lang w:val="fr-FR"/>
        </w:rPr>
        <w:t> </w:t>
      </w:r>
      <w:r w:rsidRPr="00151BB6">
        <w:rPr>
          <w:lang w:val="fr-FR"/>
        </w:rPr>
        <w:t>°C pendant le transport</w:t>
      </w:r>
      <w:r>
        <w:rPr>
          <w:lang w:val="fr-FR"/>
        </w:rPr>
        <w:t> ;</w:t>
      </w:r>
      <w:r w:rsidRPr="00151BB6">
        <w:rPr>
          <w:lang w:val="fr-FR"/>
        </w:rPr>
        <w:t xml:space="preserve"> et</w:t>
      </w:r>
    </w:p>
    <w:p w14:paraId="66D185DD" w14:textId="77777777" w:rsidR="00D10268" w:rsidRDefault="00D10268" w:rsidP="00D10268">
      <w:pPr>
        <w:pStyle w:val="Bullet2G"/>
        <w:numPr>
          <w:ilvl w:val="0"/>
          <w:numId w:val="0"/>
        </w:numPr>
        <w:ind w:left="2694" w:hanging="426"/>
        <w:rPr>
          <w:lang w:val="fr-FR"/>
        </w:rPr>
      </w:pPr>
      <w:r w:rsidRPr="002F4EEE">
        <w:rPr>
          <w:rFonts w:cs="Arial"/>
          <w:szCs w:val="22"/>
          <w:lang w:val="fr-FR"/>
        </w:rPr>
        <w:t>–</w:t>
      </w:r>
      <w:r>
        <w:rPr>
          <w:rFonts w:cs="Arial"/>
          <w:szCs w:val="22"/>
          <w:lang w:val="fr-FR"/>
        </w:rPr>
        <w:tab/>
      </w:r>
      <w:r w:rsidRPr="00151BB6">
        <w:rPr>
          <w:lang w:val="fr-FR"/>
        </w:rPr>
        <w:t>les matières solides transportées à une température supérieure à leur point de fusion</w:t>
      </w:r>
      <w:r>
        <w:rPr>
          <w:lang w:val="fr-FR"/>
        </w:rPr>
        <w:t> ;</w:t>
      </w:r>
    </w:p>
    <w:p w14:paraId="0F096CA5" w14:textId="77777777" w:rsidR="00D10268" w:rsidRPr="00151BB6" w:rsidRDefault="00D10268" w:rsidP="00D10268">
      <w:pPr>
        <w:pStyle w:val="SingleTxtG"/>
        <w:ind w:left="2268"/>
        <w:rPr>
          <w:iCs/>
          <w:lang w:val="fr-FR"/>
        </w:rPr>
      </w:pPr>
      <w:r w:rsidRPr="00151BB6">
        <w:rPr>
          <w:lang w:val="fr-FR"/>
        </w:rPr>
        <w:t xml:space="preserve">doit, au départ, être tel que la citerne n’est remplie à plus de 95 % à aucun moment pendant le transport. </w:t>
      </w:r>
    </w:p>
    <w:p w14:paraId="7799A4FE" w14:textId="77777777" w:rsidR="00D10268" w:rsidRPr="00151BB6" w:rsidRDefault="00D10268" w:rsidP="00D10268">
      <w:pPr>
        <w:pStyle w:val="SingleTxtG"/>
        <w:ind w:left="2268"/>
        <w:rPr>
          <w:iCs/>
          <w:lang w:val="fr-FR"/>
        </w:rPr>
      </w:pPr>
      <w:r w:rsidRPr="00151BB6">
        <w:rPr>
          <w:lang w:val="fr-FR"/>
        </w:rPr>
        <w:lastRenderedPageBreak/>
        <w:tab/>
        <w:t xml:space="preserve">Le taux de remplissage </w:t>
      </w:r>
      <w:r>
        <w:rPr>
          <w:lang w:val="fr-FR"/>
        </w:rPr>
        <w:t xml:space="preserve">maximal </w:t>
      </w:r>
      <w:r w:rsidRPr="00151BB6">
        <w:rPr>
          <w:lang w:val="fr-FR"/>
        </w:rPr>
        <w:t>doit être déterminé au moyen de la formule suivante</w:t>
      </w:r>
      <w:r>
        <w:rPr>
          <w:lang w:val="fr-FR"/>
        </w:rPr>
        <w:t> </w:t>
      </w:r>
      <w:r w:rsidRPr="00151BB6">
        <w:rPr>
          <w:lang w:val="fr-FR"/>
        </w:rPr>
        <w:t>:</w:t>
      </w:r>
    </w:p>
    <w:p w14:paraId="5C5BA72C" w14:textId="77777777" w:rsidR="00D10268" w:rsidRPr="00151BB6" w:rsidRDefault="00D10268" w:rsidP="00D10268">
      <w:pPr>
        <w:jc w:val="center"/>
        <w:rPr>
          <w:iCs/>
          <w:lang w:val="fr-FR"/>
        </w:rPr>
      </w:pPr>
      <m:oMath>
        <m:r>
          <m:rPr>
            <m:nor/>
          </m:rPr>
          <w:rPr>
            <w:iCs/>
            <w:lang w:val="fr-FR"/>
          </w:rPr>
          <m:t xml:space="preserve">taux de remplissage </m:t>
        </m:r>
        <m:r>
          <m:rPr>
            <m:sty m:val="p"/>
          </m:rPr>
          <w:rPr>
            <w:rFonts w:ascii="Cambria Math" w:hAnsi="Cambria Math"/>
            <w:lang w:val="fr-FR"/>
          </w:rPr>
          <m:t>=</m:t>
        </m:r>
        <m:r>
          <m:rPr>
            <m:nor/>
          </m:rPr>
          <w:rPr>
            <w:iCs/>
            <w:lang w:val="fr-FR"/>
          </w:rPr>
          <m:t xml:space="preserve"> 95 </m:t>
        </m:r>
        <m:f>
          <m:fPr>
            <m:ctrlPr>
              <w:rPr>
                <w:rFonts w:ascii="Cambria Math" w:hAnsi="Cambria Math"/>
              </w:rPr>
            </m:ctrlPr>
          </m:fPr>
          <m:num>
            <m:sSub>
              <m:sSubPr>
                <m:ctrlPr>
                  <w:rPr>
                    <w:rFonts w:ascii="Cambria Math" w:hAnsi="Cambria Math"/>
                  </w:rPr>
                </m:ctrlPr>
              </m:sSubPr>
              <m:e>
                <m:r>
                  <m:rPr>
                    <m:sty m:val="p"/>
                  </m:rPr>
                  <w:rPr>
                    <w:rFonts w:ascii="Cambria Math" w:hAnsi="Cambria Math"/>
                    <w:lang w:val="fr-FR"/>
                  </w:rPr>
                  <m:t>d</m:t>
                </m:r>
              </m:e>
              <m:sub>
                <m:r>
                  <m:rPr>
                    <m:sty m:val="p"/>
                  </m:rPr>
                  <w:rPr>
                    <w:rFonts w:ascii="Cambria Math" w:hAnsi="Cambria Math"/>
                    <w:lang w:val="fr-FR"/>
                  </w:rPr>
                  <m:t>r</m:t>
                </m:r>
              </m:sub>
            </m:sSub>
          </m:num>
          <m:den>
            <m:sSub>
              <m:sSubPr>
                <m:ctrlPr>
                  <w:rPr>
                    <w:rFonts w:ascii="Cambria Math" w:hAnsi="Cambria Math"/>
                  </w:rPr>
                </m:ctrlPr>
              </m:sSubPr>
              <m:e>
                <m:r>
                  <m:rPr>
                    <m:sty m:val="p"/>
                  </m:rPr>
                  <w:rPr>
                    <w:rFonts w:ascii="Cambria Math" w:hAnsi="Cambria Math"/>
                    <w:lang w:val="fr-FR"/>
                  </w:rPr>
                  <m:t>d</m:t>
                </m:r>
              </m:e>
              <m:sub>
                <m:r>
                  <m:rPr>
                    <m:sty m:val="p"/>
                  </m:rPr>
                  <w:rPr>
                    <w:rFonts w:ascii="Cambria Math" w:hAnsi="Cambria Math"/>
                    <w:lang w:val="fr-FR"/>
                  </w:rPr>
                  <m:t>f</m:t>
                </m:r>
              </m:sub>
            </m:sSub>
          </m:den>
        </m:f>
      </m:oMath>
      <w:r>
        <w:t xml:space="preserve"> % de la capacité</w:t>
      </w:r>
    </w:p>
    <w:p w14:paraId="43292969" w14:textId="77777777" w:rsidR="00D10268" w:rsidRPr="00151BB6" w:rsidRDefault="00D10268" w:rsidP="00D10268">
      <w:pPr>
        <w:pStyle w:val="SingleTxtG"/>
        <w:ind w:left="2268"/>
        <w:rPr>
          <w:b/>
          <w:bCs/>
          <w:iCs/>
          <w:lang w:val="fr-FR"/>
        </w:rPr>
      </w:pPr>
      <w:r w:rsidRPr="00151BB6">
        <w:rPr>
          <w:lang w:val="fr-FR"/>
        </w:rPr>
        <w:t>où d</w:t>
      </w:r>
      <w:r w:rsidRPr="00151BB6">
        <w:rPr>
          <w:vertAlign w:val="subscript"/>
          <w:lang w:val="fr-FR"/>
        </w:rPr>
        <w:t>f</w:t>
      </w:r>
      <w:r w:rsidRPr="00151BB6">
        <w:rPr>
          <w:lang w:val="fr-FR"/>
        </w:rPr>
        <w:t xml:space="preserve"> et d</w:t>
      </w:r>
      <w:r w:rsidRPr="00151BB6">
        <w:rPr>
          <w:vertAlign w:val="subscript"/>
          <w:lang w:val="fr-FR"/>
        </w:rPr>
        <w:t>r</w:t>
      </w:r>
      <w:r w:rsidRPr="00151BB6">
        <w:rPr>
          <w:lang w:val="fr-FR"/>
        </w:rPr>
        <w:t xml:space="preserve"> représentent respectivement la masse volumique de la matière à sa température moyenne au moment du remplissage et la température moyenne maximale de la charge pendant le transport.</w:t>
      </w:r>
    </w:p>
    <w:p w14:paraId="1D26869A" w14:textId="77777777" w:rsidR="00D10268" w:rsidRDefault="00D10268" w:rsidP="00D10268">
      <w:pPr>
        <w:pStyle w:val="SingleTxtG"/>
        <w:ind w:left="2268"/>
        <w:rPr>
          <w:lang w:val="fr-FR"/>
        </w:rPr>
      </w:pPr>
      <w:r w:rsidRPr="00151BB6">
        <w:rPr>
          <w:lang w:val="fr-FR"/>
        </w:rPr>
        <w:t xml:space="preserve">Dans les citernes équipées d’un dispositif de réchauffage, la température doit être réglée de telle </w:t>
      </w:r>
      <w:r w:rsidRPr="00AB2A75">
        <w:rPr>
          <w:rFonts w:cs="Arial"/>
          <w:szCs w:val="22"/>
          <w:lang w:val="fr-FR"/>
        </w:rPr>
        <w:t>sorte</w:t>
      </w:r>
      <w:r w:rsidRPr="00151BB6">
        <w:rPr>
          <w:lang w:val="fr-FR"/>
        </w:rPr>
        <w:t xml:space="preserve"> que le taux de remplissage maximal de 95 % </w:t>
      </w:r>
      <w:r>
        <w:rPr>
          <w:lang w:val="fr-FR"/>
        </w:rPr>
        <w:t xml:space="preserve">de la capacité </w:t>
      </w:r>
      <w:r w:rsidRPr="00151BB6">
        <w:rPr>
          <w:lang w:val="fr-FR"/>
        </w:rPr>
        <w:t>ne soit dépassé à aucun moment pendant le transport. »</w:t>
      </w:r>
    </w:p>
    <w:p w14:paraId="147D45CA" w14:textId="77777777" w:rsidR="00D10268" w:rsidRPr="008A4B7B" w:rsidRDefault="00D10268" w:rsidP="00BD7B57">
      <w:pPr>
        <w:pStyle w:val="H1G"/>
        <w:rPr>
          <w:lang w:val="fr-FR"/>
        </w:rPr>
      </w:pPr>
      <w:r w:rsidRPr="00BD7B57">
        <w:rPr>
          <w:lang w:val="fr-FR"/>
        </w:rPr>
        <w:tab/>
      </w:r>
      <w:r w:rsidRPr="00BD7B57">
        <w:rPr>
          <w:lang w:val="fr-FR"/>
        </w:rPr>
        <w:tab/>
        <w:t>Chapitre</w:t>
      </w:r>
      <w:r w:rsidRPr="008A4B7B">
        <w:rPr>
          <w:lang w:val="fr-FR"/>
        </w:rPr>
        <w:t xml:space="preserve"> 6.8</w:t>
      </w:r>
    </w:p>
    <w:p w14:paraId="691C80A0" w14:textId="7F5DA26F" w:rsidR="00D10268" w:rsidRPr="007D3996" w:rsidRDefault="00D10268" w:rsidP="00D10268">
      <w:pPr>
        <w:pStyle w:val="SingleTxtG"/>
        <w:ind w:left="2268" w:right="1133" w:hanging="1134"/>
        <w:rPr>
          <w:bCs/>
        </w:rPr>
      </w:pPr>
      <w:r w:rsidRPr="007D3996">
        <w:rPr>
          <w:bCs/>
        </w:rPr>
        <w:t>6.8.2.1.20</w:t>
      </w:r>
      <w:r w:rsidRPr="007D3996">
        <w:rPr>
          <w:bCs/>
        </w:rPr>
        <w:tab/>
        <w:t>Le premier amendement dans la version anglaise ne s’applique pas au texte français.</w:t>
      </w:r>
    </w:p>
    <w:p w14:paraId="057F62CE" w14:textId="29F2CC24" w:rsidR="00D10268" w:rsidRDefault="00D10268" w:rsidP="00D10268">
      <w:pPr>
        <w:pStyle w:val="SingleTxtG"/>
        <w:ind w:left="2268" w:right="1133" w:hanging="1134"/>
        <w:rPr>
          <w:bCs/>
        </w:rPr>
      </w:pPr>
      <w:r>
        <w:rPr>
          <w:bCs/>
        </w:rPr>
        <w:tab/>
      </w:r>
      <w:r w:rsidRPr="007D3996">
        <w:rPr>
          <w:bCs/>
        </w:rPr>
        <w:t>Dans la colonne de gauche, à l’alinéa b) 1., au dernier paragraphe, après « brise-flots », insérer</w:t>
      </w:r>
      <w:r>
        <w:rPr>
          <w:bCs/>
        </w:rPr>
        <w:t xml:space="preserve"> </w:t>
      </w:r>
      <w:r w:rsidRPr="007D3996">
        <w:rPr>
          <w:bCs/>
        </w:rPr>
        <w:t>« utilisés comme renforcements ».</w:t>
      </w:r>
    </w:p>
    <w:p w14:paraId="628E4423" w14:textId="06D8E25D" w:rsidR="004B508D" w:rsidRPr="004B508D" w:rsidRDefault="004B508D" w:rsidP="004B508D">
      <w:pPr>
        <w:spacing w:before="240"/>
        <w:jc w:val="center"/>
        <w:rPr>
          <w:u w:val="single"/>
        </w:rPr>
      </w:pPr>
      <w:r>
        <w:rPr>
          <w:u w:val="single"/>
        </w:rPr>
        <w:tab/>
      </w:r>
      <w:r>
        <w:rPr>
          <w:u w:val="single"/>
        </w:rPr>
        <w:tab/>
      </w:r>
      <w:r>
        <w:rPr>
          <w:u w:val="single"/>
        </w:rPr>
        <w:tab/>
      </w:r>
    </w:p>
    <w:p w14:paraId="0F746D6A" w14:textId="77777777" w:rsidR="00DC57EC" w:rsidRPr="006E49EA" w:rsidRDefault="00DC57EC" w:rsidP="00413337"/>
    <w:sectPr w:rsidR="00DC57EC" w:rsidRPr="006E49EA" w:rsidSect="006E49EA">
      <w:headerReference w:type="even" r:id="rId12"/>
      <w:headerReference w:type="default" r:id="rId13"/>
      <w:footerReference w:type="even" r:id="rId14"/>
      <w:footerReference w:type="defaul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0925" w14:textId="77777777" w:rsidR="00023F9D" w:rsidRDefault="00023F9D" w:rsidP="00F95C08">
      <w:pPr>
        <w:spacing w:line="240" w:lineRule="auto"/>
      </w:pPr>
    </w:p>
  </w:endnote>
  <w:endnote w:type="continuationSeparator" w:id="0">
    <w:p w14:paraId="3ED51654" w14:textId="77777777" w:rsidR="00023F9D" w:rsidRPr="00AC3823" w:rsidRDefault="00023F9D" w:rsidP="00AC3823">
      <w:pPr>
        <w:pStyle w:val="Footer"/>
      </w:pPr>
    </w:p>
  </w:endnote>
  <w:endnote w:type="continuationNotice" w:id="1">
    <w:p w14:paraId="491FFAC4" w14:textId="77777777" w:rsidR="00023F9D" w:rsidRDefault="00023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E5B6" w14:textId="77777777" w:rsidR="006E49EA" w:rsidRPr="006E49EA" w:rsidRDefault="006E49EA" w:rsidP="006E49EA">
    <w:pPr>
      <w:pStyle w:val="Footer"/>
      <w:tabs>
        <w:tab w:val="right" w:pos="9638"/>
      </w:tabs>
      <w:rPr>
        <w:sz w:val="18"/>
      </w:rPr>
    </w:pPr>
    <w:r w:rsidRPr="006E49EA">
      <w:rPr>
        <w:b/>
        <w:sz w:val="18"/>
      </w:rPr>
      <w:fldChar w:fldCharType="begin"/>
    </w:r>
    <w:r w:rsidRPr="006E49EA">
      <w:rPr>
        <w:b/>
        <w:sz w:val="18"/>
      </w:rPr>
      <w:instrText xml:space="preserve"> PAGE  \* MERGEFORMAT </w:instrText>
    </w:r>
    <w:r w:rsidRPr="006E49EA">
      <w:rPr>
        <w:b/>
        <w:sz w:val="18"/>
      </w:rPr>
      <w:fldChar w:fldCharType="separate"/>
    </w:r>
    <w:r w:rsidRPr="006E49EA">
      <w:rPr>
        <w:b/>
        <w:noProof/>
        <w:sz w:val="18"/>
      </w:rPr>
      <w:t>2</w:t>
    </w:r>
    <w:r w:rsidRPr="006E49E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1B43" w14:textId="77777777" w:rsidR="006E49EA" w:rsidRPr="006E49EA" w:rsidRDefault="006E49EA" w:rsidP="006E49EA">
    <w:pPr>
      <w:pStyle w:val="Footer"/>
      <w:tabs>
        <w:tab w:val="right" w:pos="9638"/>
      </w:tabs>
      <w:rPr>
        <w:b/>
        <w:sz w:val="18"/>
      </w:rPr>
    </w:pPr>
    <w:r>
      <w:tab/>
    </w:r>
    <w:r w:rsidRPr="006E49EA">
      <w:rPr>
        <w:b/>
        <w:sz w:val="18"/>
      </w:rPr>
      <w:fldChar w:fldCharType="begin"/>
    </w:r>
    <w:r w:rsidRPr="006E49EA">
      <w:rPr>
        <w:b/>
        <w:sz w:val="18"/>
      </w:rPr>
      <w:instrText xml:space="preserve"> PAGE  \* MERGEFORMAT </w:instrText>
    </w:r>
    <w:r w:rsidRPr="006E49EA">
      <w:rPr>
        <w:b/>
        <w:sz w:val="18"/>
      </w:rPr>
      <w:fldChar w:fldCharType="separate"/>
    </w:r>
    <w:r w:rsidRPr="006E49EA">
      <w:rPr>
        <w:b/>
        <w:noProof/>
        <w:sz w:val="18"/>
      </w:rPr>
      <w:t>3</w:t>
    </w:r>
    <w:r w:rsidRPr="006E49E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B413" w14:textId="77777777" w:rsidR="000D3EE9" w:rsidRPr="006E49EA" w:rsidRDefault="000942EE" w:rsidP="0001207F">
    <w:pPr>
      <w:pStyle w:val="Footer"/>
      <w:spacing w:before="120"/>
      <w:rPr>
        <w:sz w:val="20"/>
      </w:rPr>
    </w:pPr>
    <w:r w:rsidRPr="000942EE">
      <w:rPr>
        <w:noProof/>
        <w:lang w:eastAsia="fr-CH"/>
      </w:rPr>
      <w:drawing>
        <wp:anchor distT="0" distB="0" distL="114300" distR="114300" simplePos="0" relativeHeight="251658240" behindDoc="0" locked="0" layoutInCell="1" allowOverlap="0" wp14:anchorId="61CCB4F0" wp14:editId="05463628">
          <wp:simplePos x="0" y="0"/>
          <wp:positionH relativeFrom="margin">
            <wp:posOffset>5004435</wp:posOffset>
          </wp:positionH>
          <wp:positionV relativeFrom="margin">
            <wp:posOffset>9324975</wp:posOffset>
          </wp:positionV>
          <wp:extent cx="1105200" cy="234000"/>
          <wp:effectExtent l="0" t="0" r="0" b="0"/>
          <wp:wrapNone/>
          <wp:docPr id="7"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C227" w14:textId="77777777" w:rsidR="00023F9D" w:rsidRPr="00AC3823" w:rsidRDefault="00023F9D" w:rsidP="00AC3823">
      <w:pPr>
        <w:pStyle w:val="Footer"/>
        <w:tabs>
          <w:tab w:val="right" w:pos="2155"/>
        </w:tabs>
        <w:spacing w:after="80" w:line="240" w:lineRule="atLeast"/>
        <w:ind w:left="680"/>
        <w:rPr>
          <w:u w:val="single"/>
        </w:rPr>
      </w:pPr>
      <w:r>
        <w:rPr>
          <w:u w:val="single"/>
        </w:rPr>
        <w:tab/>
      </w:r>
    </w:p>
  </w:footnote>
  <w:footnote w:type="continuationSeparator" w:id="0">
    <w:p w14:paraId="3F9BD4DB" w14:textId="77777777" w:rsidR="00023F9D" w:rsidRPr="00AC3823" w:rsidRDefault="00023F9D" w:rsidP="00AC3823">
      <w:pPr>
        <w:pStyle w:val="Footer"/>
        <w:tabs>
          <w:tab w:val="right" w:pos="2155"/>
        </w:tabs>
        <w:spacing w:after="80" w:line="240" w:lineRule="atLeast"/>
        <w:ind w:left="680"/>
        <w:rPr>
          <w:u w:val="single"/>
        </w:rPr>
      </w:pPr>
      <w:r>
        <w:rPr>
          <w:u w:val="single"/>
        </w:rPr>
        <w:tab/>
      </w:r>
    </w:p>
  </w:footnote>
  <w:footnote w:type="continuationNotice" w:id="1">
    <w:p w14:paraId="68520BFD" w14:textId="77777777" w:rsidR="00023F9D" w:rsidRPr="00AC3823" w:rsidRDefault="00023F9D">
      <w:pPr>
        <w:spacing w:line="240" w:lineRule="auto"/>
        <w:rPr>
          <w:sz w:val="2"/>
          <w:szCs w:val="2"/>
        </w:rPr>
      </w:pPr>
    </w:p>
  </w:footnote>
  <w:footnote w:id="2">
    <w:p w14:paraId="66BEF6BA" w14:textId="4E8670DC" w:rsidR="00152BA6" w:rsidRDefault="00152BA6" w:rsidP="00152BA6">
      <w:pPr>
        <w:pStyle w:val="FootnoteText"/>
        <w:widowControl w:val="0"/>
        <w:tabs>
          <w:tab w:val="clear" w:pos="1021"/>
          <w:tab w:val="right" w:pos="1020"/>
        </w:tabs>
      </w:pPr>
      <w:r>
        <w:tab/>
      </w:r>
      <w:r>
        <w:rPr>
          <w:rStyle w:val="FootnoteReference"/>
        </w:rPr>
        <w:footnoteRef/>
      </w:r>
      <w:r>
        <w:tab/>
      </w:r>
      <w:r w:rsidRPr="00152BA6">
        <w:t>Le libellé des références aux Règlements ONU a été adapté après la session pour tenir compte de la terminologie utilisée dans l’ADR.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DD7" w14:textId="77777777" w:rsidR="006E49EA" w:rsidRPr="006E49EA" w:rsidRDefault="0077305E">
    <w:pPr>
      <w:pStyle w:val="Header"/>
    </w:pPr>
    <w:r>
      <w:fldChar w:fldCharType="begin"/>
    </w:r>
    <w:r>
      <w:instrText xml:space="preserve"> TITLE  \* MERGEFORMAT </w:instrText>
    </w:r>
    <w:r>
      <w:fldChar w:fldCharType="separate"/>
    </w:r>
    <w:r w:rsidR="006E49EA">
      <w:t>ECE/TRANS/WP.15/258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DE80" w14:textId="77777777" w:rsidR="006E49EA" w:rsidRPr="006E49EA" w:rsidRDefault="0077305E" w:rsidP="006E49EA">
    <w:pPr>
      <w:pStyle w:val="Header"/>
      <w:jc w:val="right"/>
    </w:pPr>
    <w:r>
      <w:fldChar w:fldCharType="begin"/>
    </w:r>
    <w:r>
      <w:instrText xml:space="preserve"> TITLE  \* MERGEFORMAT </w:instrText>
    </w:r>
    <w:r>
      <w:fldChar w:fldCharType="separate"/>
    </w:r>
    <w:r w:rsidR="006E49EA">
      <w:t>ECE/TRANS/WP.15/258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ttachedTemplate r:id="rId1"/>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2324AE-7E1B-46E0-BE39-6171A5137F5D}"/>
    <w:docVar w:name="dgnword-eventsink" w:val="646185176"/>
  </w:docVars>
  <w:rsids>
    <w:rsidRoot w:val="006E49EA"/>
    <w:rsid w:val="0001207F"/>
    <w:rsid w:val="00017F94"/>
    <w:rsid w:val="00023842"/>
    <w:rsid w:val="00023F9D"/>
    <w:rsid w:val="00031ABB"/>
    <w:rsid w:val="00031FC4"/>
    <w:rsid w:val="000334F9"/>
    <w:rsid w:val="0004639C"/>
    <w:rsid w:val="00046BC2"/>
    <w:rsid w:val="000626EE"/>
    <w:rsid w:val="000722A3"/>
    <w:rsid w:val="0007796D"/>
    <w:rsid w:val="00084BEC"/>
    <w:rsid w:val="000942EE"/>
    <w:rsid w:val="000A52BF"/>
    <w:rsid w:val="000A7899"/>
    <w:rsid w:val="000B7790"/>
    <w:rsid w:val="000D3EE9"/>
    <w:rsid w:val="000D62F3"/>
    <w:rsid w:val="000E3753"/>
    <w:rsid w:val="000F0901"/>
    <w:rsid w:val="000F3C08"/>
    <w:rsid w:val="00101257"/>
    <w:rsid w:val="00111F2F"/>
    <w:rsid w:val="00134D49"/>
    <w:rsid w:val="00137110"/>
    <w:rsid w:val="001433FD"/>
    <w:rsid w:val="0014365E"/>
    <w:rsid w:val="00152BA6"/>
    <w:rsid w:val="001541D3"/>
    <w:rsid w:val="00156B77"/>
    <w:rsid w:val="00176178"/>
    <w:rsid w:val="00177140"/>
    <w:rsid w:val="00182B75"/>
    <w:rsid w:val="001872E9"/>
    <w:rsid w:val="001955C2"/>
    <w:rsid w:val="001A44AA"/>
    <w:rsid w:val="001B0B66"/>
    <w:rsid w:val="001B1EE2"/>
    <w:rsid w:val="001D400F"/>
    <w:rsid w:val="001F525A"/>
    <w:rsid w:val="00202C74"/>
    <w:rsid w:val="00223272"/>
    <w:rsid w:val="00232404"/>
    <w:rsid w:val="00234977"/>
    <w:rsid w:val="00240333"/>
    <w:rsid w:val="00247473"/>
    <w:rsid w:val="0024779E"/>
    <w:rsid w:val="00254380"/>
    <w:rsid w:val="00274BE2"/>
    <w:rsid w:val="00282DF9"/>
    <w:rsid w:val="002832AC"/>
    <w:rsid w:val="002916B7"/>
    <w:rsid w:val="002C63BC"/>
    <w:rsid w:val="002D2955"/>
    <w:rsid w:val="002D54D7"/>
    <w:rsid w:val="002D7C93"/>
    <w:rsid w:val="003027A8"/>
    <w:rsid w:val="0030484F"/>
    <w:rsid w:val="0032380C"/>
    <w:rsid w:val="0034712B"/>
    <w:rsid w:val="0036395D"/>
    <w:rsid w:val="00370C31"/>
    <w:rsid w:val="0037241C"/>
    <w:rsid w:val="003819FF"/>
    <w:rsid w:val="003D2891"/>
    <w:rsid w:val="00413337"/>
    <w:rsid w:val="00441C3B"/>
    <w:rsid w:val="00446B0A"/>
    <w:rsid w:val="00446FE5"/>
    <w:rsid w:val="00452396"/>
    <w:rsid w:val="0045554A"/>
    <w:rsid w:val="0047089E"/>
    <w:rsid w:val="00471288"/>
    <w:rsid w:val="004749A3"/>
    <w:rsid w:val="00477741"/>
    <w:rsid w:val="0049687C"/>
    <w:rsid w:val="004B508D"/>
    <w:rsid w:val="004D3F63"/>
    <w:rsid w:val="004D4DA5"/>
    <w:rsid w:val="004E468C"/>
    <w:rsid w:val="00503BE6"/>
    <w:rsid w:val="005316B0"/>
    <w:rsid w:val="00533AF4"/>
    <w:rsid w:val="005505B7"/>
    <w:rsid w:val="005537E6"/>
    <w:rsid w:val="005665AB"/>
    <w:rsid w:val="00567B04"/>
    <w:rsid w:val="00573BE5"/>
    <w:rsid w:val="00586ED3"/>
    <w:rsid w:val="005876A1"/>
    <w:rsid w:val="00596AA9"/>
    <w:rsid w:val="005A0683"/>
    <w:rsid w:val="005B4D0F"/>
    <w:rsid w:val="005C553C"/>
    <w:rsid w:val="005E2502"/>
    <w:rsid w:val="005E280F"/>
    <w:rsid w:val="005F5B25"/>
    <w:rsid w:val="006015FD"/>
    <w:rsid w:val="0060459E"/>
    <w:rsid w:val="0062463A"/>
    <w:rsid w:val="00631FB1"/>
    <w:rsid w:val="006939DE"/>
    <w:rsid w:val="006A2116"/>
    <w:rsid w:val="006E497B"/>
    <w:rsid w:val="006E49EA"/>
    <w:rsid w:val="00703D0F"/>
    <w:rsid w:val="00706363"/>
    <w:rsid w:val="007158BB"/>
    <w:rsid w:val="0071601D"/>
    <w:rsid w:val="00736C97"/>
    <w:rsid w:val="007453A5"/>
    <w:rsid w:val="0074648D"/>
    <w:rsid w:val="0075410D"/>
    <w:rsid w:val="0075514D"/>
    <w:rsid w:val="0076193A"/>
    <w:rsid w:val="0077305E"/>
    <w:rsid w:val="00786F85"/>
    <w:rsid w:val="007A62E6"/>
    <w:rsid w:val="007A696A"/>
    <w:rsid w:val="007C0292"/>
    <w:rsid w:val="007C59E3"/>
    <w:rsid w:val="00803DF6"/>
    <w:rsid w:val="0080684C"/>
    <w:rsid w:val="008141EA"/>
    <w:rsid w:val="008204DA"/>
    <w:rsid w:val="008213C9"/>
    <w:rsid w:val="0085281A"/>
    <w:rsid w:val="008535AD"/>
    <w:rsid w:val="00871C75"/>
    <w:rsid w:val="008748CE"/>
    <w:rsid w:val="008767E8"/>
    <w:rsid w:val="008776DC"/>
    <w:rsid w:val="0088015A"/>
    <w:rsid w:val="00883605"/>
    <w:rsid w:val="008A5890"/>
    <w:rsid w:val="008E6043"/>
    <w:rsid w:val="008F0EE9"/>
    <w:rsid w:val="008F2C6F"/>
    <w:rsid w:val="00901A29"/>
    <w:rsid w:val="0091204B"/>
    <w:rsid w:val="00942B10"/>
    <w:rsid w:val="00944775"/>
    <w:rsid w:val="009560A6"/>
    <w:rsid w:val="00961E7B"/>
    <w:rsid w:val="009705C8"/>
    <w:rsid w:val="009800DE"/>
    <w:rsid w:val="00992E4B"/>
    <w:rsid w:val="009C1CF4"/>
    <w:rsid w:val="009C4CE2"/>
    <w:rsid w:val="009F02C9"/>
    <w:rsid w:val="009F6880"/>
    <w:rsid w:val="00A06B7E"/>
    <w:rsid w:val="00A30353"/>
    <w:rsid w:val="00A30E18"/>
    <w:rsid w:val="00A60E10"/>
    <w:rsid w:val="00A62D91"/>
    <w:rsid w:val="00A75E18"/>
    <w:rsid w:val="00A90D54"/>
    <w:rsid w:val="00A94DBA"/>
    <w:rsid w:val="00AA113A"/>
    <w:rsid w:val="00AA1DBD"/>
    <w:rsid w:val="00AC3823"/>
    <w:rsid w:val="00AC40F6"/>
    <w:rsid w:val="00AE323C"/>
    <w:rsid w:val="00AE3763"/>
    <w:rsid w:val="00AE627F"/>
    <w:rsid w:val="00AE7272"/>
    <w:rsid w:val="00AF7312"/>
    <w:rsid w:val="00AF774C"/>
    <w:rsid w:val="00B00181"/>
    <w:rsid w:val="00B00361"/>
    <w:rsid w:val="00B00B0D"/>
    <w:rsid w:val="00B027D6"/>
    <w:rsid w:val="00B11EF6"/>
    <w:rsid w:val="00B24DB5"/>
    <w:rsid w:val="00B40927"/>
    <w:rsid w:val="00B50E25"/>
    <w:rsid w:val="00B64918"/>
    <w:rsid w:val="00B765F7"/>
    <w:rsid w:val="00BA0CA9"/>
    <w:rsid w:val="00BD7B57"/>
    <w:rsid w:val="00C02897"/>
    <w:rsid w:val="00C1626B"/>
    <w:rsid w:val="00C17535"/>
    <w:rsid w:val="00C21F93"/>
    <w:rsid w:val="00C23FB2"/>
    <w:rsid w:val="00C34E09"/>
    <w:rsid w:val="00C47051"/>
    <w:rsid w:val="00C644E5"/>
    <w:rsid w:val="00C64D69"/>
    <w:rsid w:val="00C66A47"/>
    <w:rsid w:val="00C7616F"/>
    <w:rsid w:val="00C96559"/>
    <w:rsid w:val="00CB0C4F"/>
    <w:rsid w:val="00CB16B5"/>
    <w:rsid w:val="00CE0608"/>
    <w:rsid w:val="00D10268"/>
    <w:rsid w:val="00D21A5E"/>
    <w:rsid w:val="00D3439C"/>
    <w:rsid w:val="00D36D94"/>
    <w:rsid w:val="00D37074"/>
    <w:rsid w:val="00D44CF3"/>
    <w:rsid w:val="00D469AF"/>
    <w:rsid w:val="00D46C8C"/>
    <w:rsid w:val="00D502CD"/>
    <w:rsid w:val="00D536B3"/>
    <w:rsid w:val="00D604A2"/>
    <w:rsid w:val="00D84BAA"/>
    <w:rsid w:val="00D93DF8"/>
    <w:rsid w:val="00D959E1"/>
    <w:rsid w:val="00DB1831"/>
    <w:rsid w:val="00DC3D97"/>
    <w:rsid w:val="00DC57EC"/>
    <w:rsid w:val="00DD3BFD"/>
    <w:rsid w:val="00DE239D"/>
    <w:rsid w:val="00DF431C"/>
    <w:rsid w:val="00DF6678"/>
    <w:rsid w:val="00E175B3"/>
    <w:rsid w:val="00E428C8"/>
    <w:rsid w:val="00E4356E"/>
    <w:rsid w:val="00E4651E"/>
    <w:rsid w:val="00E50BE0"/>
    <w:rsid w:val="00E83179"/>
    <w:rsid w:val="00E836EB"/>
    <w:rsid w:val="00E96DB2"/>
    <w:rsid w:val="00EB6DE0"/>
    <w:rsid w:val="00EC5F34"/>
    <w:rsid w:val="00EC680A"/>
    <w:rsid w:val="00ED0190"/>
    <w:rsid w:val="00EF2E22"/>
    <w:rsid w:val="00F003AD"/>
    <w:rsid w:val="00F0592C"/>
    <w:rsid w:val="00F06ED4"/>
    <w:rsid w:val="00F10BCC"/>
    <w:rsid w:val="00F41625"/>
    <w:rsid w:val="00F43289"/>
    <w:rsid w:val="00F6387F"/>
    <w:rsid w:val="00F660DF"/>
    <w:rsid w:val="00F95C08"/>
    <w:rsid w:val="00FB1840"/>
    <w:rsid w:val="00FD1581"/>
    <w:rsid w:val="00FF23C3"/>
    <w:rsid w:val="00FF2A2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83D46"/>
  <w15:docId w15:val="{363A993B-7F14-48ED-9427-2AE82E44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25"/>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706363"/>
    <w:rPr>
      <w:color w:val="0000FF"/>
      <w:u w:val="none"/>
    </w:rPr>
  </w:style>
  <w:style w:type="character" w:styleId="FollowedHyperlink">
    <w:name w:val="FollowedHyperlink"/>
    <w:basedOn w:val="DefaultParagraphFont"/>
    <w:unhideWhenUsed/>
    <w:rsid w:val="00706363"/>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01207F"/>
    <w:rPr>
      <w:rFonts w:ascii="Times New Roman" w:hAnsi="Times New Roman" w:cs="Times New Roman"/>
      <w:sz w:val="20"/>
      <w:szCs w:val="20"/>
      <w:lang w:eastAsia="en-US"/>
    </w:rPr>
  </w:style>
  <w:style w:type="character" w:customStyle="1" w:styleId="HChGChar">
    <w:name w:val="_ H _Ch_G Char"/>
    <w:link w:val="HChG"/>
    <w:rsid w:val="0001207F"/>
    <w:rPr>
      <w:rFonts w:ascii="Times New Roman" w:hAnsi="Times New Roman" w:cs="Times New Roman"/>
      <w:b/>
      <w:sz w:val="28"/>
      <w:szCs w:val="20"/>
      <w:lang w:eastAsia="en-US"/>
    </w:rPr>
  </w:style>
  <w:style w:type="character" w:styleId="CommentReference">
    <w:name w:val="annotation reference"/>
    <w:basedOn w:val="DefaultParagraphFont"/>
    <w:uiPriority w:val="99"/>
    <w:semiHidden/>
    <w:unhideWhenUsed/>
    <w:rsid w:val="00F41625"/>
    <w:rPr>
      <w:sz w:val="16"/>
      <w:szCs w:val="16"/>
    </w:rPr>
  </w:style>
  <w:style w:type="paragraph" w:styleId="CommentText">
    <w:name w:val="annotation text"/>
    <w:basedOn w:val="Normal"/>
    <w:link w:val="CommentTextChar"/>
    <w:uiPriority w:val="99"/>
    <w:semiHidden/>
    <w:unhideWhenUsed/>
    <w:rsid w:val="00F41625"/>
    <w:pPr>
      <w:spacing w:line="240" w:lineRule="auto"/>
    </w:pPr>
  </w:style>
  <w:style w:type="character" w:customStyle="1" w:styleId="CommentTextChar">
    <w:name w:val="Comment Text Char"/>
    <w:basedOn w:val="DefaultParagraphFont"/>
    <w:link w:val="CommentText"/>
    <w:uiPriority w:val="99"/>
    <w:semiHidden/>
    <w:rsid w:val="00F41625"/>
  </w:style>
  <w:style w:type="paragraph" w:styleId="CommentSubject">
    <w:name w:val="annotation subject"/>
    <w:basedOn w:val="CommentText"/>
    <w:next w:val="CommentText"/>
    <w:link w:val="CommentSubjectChar"/>
    <w:uiPriority w:val="99"/>
    <w:semiHidden/>
    <w:unhideWhenUsed/>
    <w:rsid w:val="00F41625"/>
    <w:rPr>
      <w:b/>
      <w:bCs/>
    </w:rPr>
  </w:style>
  <w:style w:type="character" w:customStyle="1" w:styleId="CommentSubjectChar">
    <w:name w:val="Comment Subject Char"/>
    <w:basedOn w:val="CommentTextChar"/>
    <w:link w:val="CommentSubject"/>
    <w:uiPriority w:val="99"/>
    <w:semiHidden/>
    <w:rsid w:val="00F41625"/>
    <w:rPr>
      <w:b/>
      <w:bCs/>
    </w:rPr>
  </w:style>
  <w:style w:type="paragraph" w:styleId="Revision">
    <w:name w:val="Revision"/>
    <w:hidden/>
    <w:uiPriority w:val="99"/>
    <w:semiHidden/>
    <w:rsid w:val="00F41625"/>
    <w:pPr>
      <w:spacing w:after="0" w:line="240" w:lineRule="auto"/>
    </w:pPr>
  </w:style>
  <w:style w:type="character" w:customStyle="1" w:styleId="H23GChar">
    <w:name w:val="_ H_2/3_G Char"/>
    <w:link w:val="H23G"/>
    <w:locked/>
    <w:rsid w:val="00137110"/>
    <w:rPr>
      <w:b/>
    </w:rPr>
  </w:style>
  <w:style w:type="character" w:styleId="UnresolvedMention">
    <w:name w:val="Unresolved Mention"/>
    <w:basedOn w:val="DefaultParagraphFont"/>
    <w:uiPriority w:val="99"/>
    <w:semiHidden/>
    <w:unhideWhenUsed/>
    <w:rsid w:val="0099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05901">
      <w:bodyDiv w:val="1"/>
      <w:marLeft w:val="0"/>
      <w:marRight w:val="0"/>
      <w:marTop w:val="0"/>
      <w:marBottom w:val="0"/>
      <w:divBdr>
        <w:top w:val="none" w:sz="0" w:space="0" w:color="auto"/>
        <w:left w:val="none" w:sz="0" w:space="0" w:color="auto"/>
        <w:bottom w:val="none" w:sz="0" w:space="0" w:color="auto"/>
        <w:right w:val="none" w:sz="0" w:space="0" w:color="auto"/>
      </w:divBdr>
    </w:div>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ce.org/adr-certificates-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7AD47-2F5E-4832-89CA-DDEC4EC849F8}">
  <ds:schemaRefs>
    <ds:schemaRef ds:uri="http://schemas.microsoft.com/sharepoint/v3/contenttype/forms"/>
  </ds:schemaRefs>
</ds:datastoreItem>
</file>

<file path=customXml/itemProps2.xml><?xml version="1.0" encoding="utf-8"?>
<ds:datastoreItem xmlns:ds="http://schemas.openxmlformats.org/officeDocument/2006/customXml" ds:itemID="{81984098-AF3E-4B99-BD34-EFE8FE04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6C2E0-9262-4D84-B65D-C5BEEE6F1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TRANS_WP1_24_F.dotm</Template>
  <TotalTime>281</TotalTime>
  <Pages>15</Pages>
  <Words>5647</Words>
  <Characters>32188</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ECE/EX/22</vt:lpstr>
      <vt:lpstr>ECE/EX/22</vt:lpstr>
    </vt:vector>
  </TitlesOfParts>
  <Company>DCM</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ECE/TRANS/WP.15/258</dc:title>
  <dc:subject>FINAL</dc:subject>
  <dc:creator>Christine Barrio-Champeau</dc:creator>
  <cp:keywords/>
  <dc:description/>
  <cp:lastModifiedBy>Sabrina Mansion</cp:lastModifiedBy>
  <cp:revision>142</cp:revision>
  <cp:lastPrinted>2014-05-14T10:59:00Z</cp:lastPrinted>
  <dcterms:created xsi:type="dcterms:W3CDTF">2022-05-10T12:33:00Z</dcterms:created>
  <dcterms:modified xsi:type="dcterms:W3CDTF">2022-05-27T09:38:00Z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