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A896C" w14:textId="77777777" w:rsidR="00C300CC" w:rsidRPr="000A37F9" w:rsidRDefault="00C300CC" w:rsidP="00C300CC">
      <w:pPr>
        <w:spacing w:before="120"/>
        <w:rPr>
          <w:b/>
          <w:sz w:val="28"/>
          <w:szCs w:val="28"/>
        </w:rPr>
      </w:pPr>
      <w:r w:rsidRPr="000A37F9">
        <w:rPr>
          <w:b/>
          <w:sz w:val="28"/>
          <w:szCs w:val="28"/>
        </w:rPr>
        <w:t>Economic Commission for Europe</w:t>
      </w:r>
    </w:p>
    <w:p w14:paraId="4A46DC9C" w14:textId="77777777" w:rsidR="00C300CC" w:rsidRPr="000A37F9" w:rsidRDefault="00C300CC" w:rsidP="00C300CC">
      <w:pPr>
        <w:spacing w:before="120"/>
        <w:rPr>
          <w:sz w:val="28"/>
          <w:szCs w:val="28"/>
        </w:rPr>
      </w:pPr>
      <w:r w:rsidRPr="000A37F9">
        <w:rPr>
          <w:sz w:val="28"/>
          <w:szCs w:val="28"/>
        </w:rPr>
        <w:t>Inland Transport Committee</w:t>
      </w:r>
    </w:p>
    <w:p w14:paraId="1B8A277D" w14:textId="77777777" w:rsidR="00C300CC" w:rsidRPr="000A37F9" w:rsidRDefault="00C300CC" w:rsidP="00C300CC">
      <w:pPr>
        <w:spacing w:before="120"/>
        <w:rPr>
          <w:b/>
          <w:sz w:val="24"/>
          <w:szCs w:val="24"/>
        </w:rPr>
      </w:pPr>
      <w:r w:rsidRPr="000A37F9">
        <w:rPr>
          <w:b/>
          <w:sz w:val="24"/>
          <w:szCs w:val="24"/>
        </w:rPr>
        <w:t>Working Party on the Transport of Dangerous Goods</w:t>
      </w:r>
    </w:p>
    <w:p w14:paraId="1E199F95" w14:textId="77777777" w:rsidR="00C300CC" w:rsidRPr="000A37F9" w:rsidRDefault="00C300CC" w:rsidP="00C300CC">
      <w:pPr>
        <w:spacing w:before="120"/>
        <w:rPr>
          <w:rFonts w:eastAsia="SimSun"/>
          <w:b/>
        </w:rPr>
      </w:pPr>
      <w:r w:rsidRPr="000A37F9">
        <w:rPr>
          <w:rFonts w:eastAsia="SimSun"/>
          <w:b/>
        </w:rPr>
        <w:t>111th</w:t>
      </w:r>
      <w:r w:rsidRPr="000A37F9">
        <w:rPr>
          <w:rStyle w:val="hps"/>
          <w:rFonts w:ascii="Arial" w:hAnsi="Arial" w:cs="Arial"/>
          <w:color w:val="222222"/>
        </w:rPr>
        <w:t xml:space="preserve"> </w:t>
      </w:r>
      <w:r w:rsidRPr="000A37F9">
        <w:rPr>
          <w:rFonts w:eastAsia="SimSun"/>
          <w:b/>
        </w:rPr>
        <w:t xml:space="preserve">session </w:t>
      </w:r>
    </w:p>
    <w:p w14:paraId="580BE14F" w14:textId="77777777" w:rsidR="00C300CC" w:rsidRPr="000A37F9" w:rsidRDefault="00C300CC" w:rsidP="00C300CC">
      <w:pPr>
        <w:rPr>
          <w:rFonts w:eastAsia="SimSun"/>
        </w:rPr>
      </w:pPr>
      <w:r w:rsidRPr="000A37F9">
        <w:rPr>
          <w:rFonts w:eastAsia="SimSun"/>
        </w:rPr>
        <w:t>Geneva, 9–13 May 2022</w:t>
      </w:r>
    </w:p>
    <w:p w14:paraId="2D3E99B2" w14:textId="0442694B" w:rsidR="00E95E73" w:rsidRPr="000A37F9" w:rsidRDefault="00E95E73" w:rsidP="00E95E73">
      <w:r w:rsidRPr="000A37F9">
        <w:t>Item 5 (</w:t>
      </w:r>
      <w:r w:rsidR="00603EA3" w:rsidRPr="000A37F9">
        <w:t>a</w:t>
      </w:r>
      <w:r w:rsidRPr="000A37F9">
        <w:t>) of the provisional agenda</w:t>
      </w:r>
      <w:r w:rsidR="007F27B2" w:rsidRPr="000A37F9">
        <w:tab/>
      </w:r>
      <w:r w:rsidR="007F27B2" w:rsidRPr="000A37F9">
        <w:tab/>
      </w:r>
      <w:r w:rsidR="007F27B2" w:rsidRPr="000A37F9">
        <w:tab/>
      </w:r>
      <w:r w:rsidR="007F27B2" w:rsidRPr="000A37F9">
        <w:tab/>
      </w:r>
      <w:r w:rsidR="007F27B2" w:rsidRPr="000A37F9">
        <w:tab/>
      </w:r>
      <w:r w:rsidR="007F27B2" w:rsidRPr="000A37F9">
        <w:tab/>
      </w:r>
      <w:r w:rsidR="00312496" w:rsidRPr="000A37F9">
        <w:t>4 May</w:t>
      </w:r>
      <w:r w:rsidR="006A7F69" w:rsidRPr="000A37F9">
        <w:t xml:space="preserve"> 2022</w:t>
      </w:r>
    </w:p>
    <w:p w14:paraId="032200A4" w14:textId="77777777" w:rsidR="00180D9C" w:rsidRPr="000A37F9" w:rsidRDefault="00180D9C" w:rsidP="00180D9C">
      <w:pPr>
        <w:spacing w:line="235" w:lineRule="exact"/>
        <w:rPr>
          <w:b/>
        </w:rPr>
      </w:pPr>
      <w:r w:rsidRPr="000A37F9">
        <w:rPr>
          <w:b/>
        </w:rPr>
        <w:t xml:space="preserve">Proposals for amendments to annexes A and B of ADR: </w:t>
      </w:r>
    </w:p>
    <w:p w14:paraId="25ADE4CF" w14:textId="5B3FC5BB" w:rsidR="00180D9C" w:rsidRPr="000A37F9" w:rsidRDefault="00543F68" w:rsidP="00180D9C">
      <w:pPr>
        <w:spacing w:line="235" w:lineRule="exact"/>
        <w:rPr>
          <w:b/>
        </w:rPr>
      </w:pPr>
      <w:r w:rsidRPr="000A37F9">
        <w:rPr>
          <w:b/>
        </w:rPr>
        <w:t>c</w:t>
      </w:r>
      <w:r w:rsidR="00180D9C" w:rsidRPr="000A37F9">
        <w:rPr>
          <w:b/>
        </w:rPr>
        <w:t xml:space="preserve">onstruction and approval of vehicles </w:t>
      </w:r>
    </w:p>
    <w:p w14:paraId="7D399539" w14:textId="5A326CE9" w:rsidR="00DF0ED9" w:rsidRPr="000A37F9" w:rsidRDefault="00EE4457" w:rsidP="00DF0ED9">
      <w:pPr>
        <w:pStyle w:val="HChG"/>
        <w:tabs>
          <w:tab w:val="clear" w:pos="851"/>
          <w:tab w:val="right" w:pos="1134"/>
        </w:tabs>
        <w:ind w:firstLine="0"/>
        <w:rPr>
          <w:lang w:val="en-GB"/>
        </w:rPr>
      </w:pPr>
      <w:r w:rsidRPr="000A37F9">
        <w:rPr>
          <w:szCs w:val="28"/>
          <w:lang w:val="en-GB"/>
        </w:rPr>
        <w:tab/>
      </w:r>
      <w:r w:rsidR="00DF0ED9" w:rsidRPr="000A37F9">
        <w:rPr>
          <w:lang w:val="en-GB"/>
        </w:rPr>
        <w:t xml:space="preserve">Report of the </w:t>
      </w:r>
      <w:r w:rsidR="000A37F9" w:rsidRPr="000A37F9">
        <w:rPr>
          <w:lang w:val="en-GB"/>
        </w:rPr>
        <w:t>informal working group</w:t>
      </w:r>
      <w:r w:rsidR="00DF0ED9" w:rsidRPr="000A37F9">
        <w:rPr>
          <w:lang w:val="en-GB"/>
        </w:rPr>
        <w:t xml:space="preserve"> on Electrified Vehicles</w:t>
      </w:r>
    </w:p>
    <w:p w14:paraId="251EA04C" w14:textId="472DB3F0" w:rsidR="00DF0ED9" w:rsidRPr="000A37F9" w:rsidRDefault="00DF0ED9" w:rsidP="00DF0ED9">
      <w:pPr>
        <w:pStyle w:val="H1G"/>
        <w:tabs>
          <w:tab w:val="clear" w:pos="851"/>
        </w:tabs>
        <w:spacing w:line="300" w:lineRule="exact"/>
        <w:ind w:firstLine="0"/>
      </w:pPr>
      <w:r w:rsidRPr="000A37F9">
        <w:tab/>
        <w:t xml:space="preserve">Transmitted by the Chair of the </w:t>
      </w:r>
      <w:r w:rsidR="000A37F9" w:rsidRPr="000A37F9">
        <w:t>informal working group</w:t>
      </w:r>
    </w:p>
    <w:p w14:paraId="2B096EC4" w14:textId="6A312988" w:rsidR="00DF0ED9" w:rsidRPr="000A37F9" w:rsidRDefault="005A457C" w:rsidP="005A457C">
      <w:pPr>
        <w:pStyle w:val="HChG"/>
        <w:rPr>
          <w:lang w:val="en-GB"/>
        </w:rPr>
      </w:pPr>
      <w:r w:rsidRPr="000A37F9">
        <w:rPr>
          <w:lang w:val="en-GB"/>
        </w:rPr>
        <w:tab/>
      </w:r>
      <w:r w:rsidRPr="000A37F9">
        <w:rPr>
          <w:lang w:val="en-GB"/>
        </w:rPr>
        <w:tab/>
      </w:r>
      <w:r w:rsidR="00DF0ED9" w:rsidRPr="000A37F9">
        <w:rPr>
          <w:lang w:val="en-GB"/>
        </w:rPr>
        <w:t>Introduction</w:t>
      </w:r>
    </w:p>
    <w:p w14:paraId="23EB0FB9" w14:textId="3AD1DCA1" w:rsidR="00DF0ED9" w:rsidRPr="000A37F9" w:rsidRDefault="005A457C" w:rsidP="005A457C">
      <w:pPr>
        <w:pStyle w:val="SingleTxtG"/>
        <w:rPr>
          <w:lang w:val="en-GB"/>
        </w:rPr>
      </w:pPr>
      <w:r w:rsidRPr="000A37F9">
        <w:rPr>
          <w:lang w:val="en-GB"/>
        </w:rPr>
        <w:t>1.</w:t>
      </w:r>
      <w:r w:rsidRPr="000A37F9">
        <w:rPr>
          <w:lang w:val="en-GB"/>
        </w:rPr>
        <w:tab/>
      </w:r>
      <w:r w:rsidR="00DF0ED9" w:rsidRPr="000A37F9">
        <w:rPr>
          <w:lang w:val="en-GB"/>
        </w:rPr>
        <w:t>The mandate of the informal working group is to study the hazards presented by electrified vehicles (battery electric and hydrogen fuel cell) and to advice on amendments needed for the introduction in the ADR.</w:t>
      </w:r>
    </w:p>
    <w:p w14:paraId="6C73B536" w14:textId="336075FD" w:rsidR="00DF0ED9" w:rsidRPr="000A37F9" w:rsidRDefault="005A457C" w:rsidP="005A457C">
      <w:pPr>
        <w:pStyle w:val="SingleTxtG"/>
        <w:rPr>
          <w:lang w:val="en-GB"/>
        </w:rPr>
      </w:pPr>
      <w:r w:rsidRPr="000A37F9">
        <w:rPr>
          <w:lang w:val="en-GB"/>
        </w:rPr>
        <w:t>2.</w:t>
      </w:r>
      <w:r w:rsidRPr="000A37F9">
        <w:rPr>
          <w:lang w:val="en-GB"/>
        </w:rPr>
        <w:tab/>
      </w:r>
      <w:r w:rsidR="00DF0ED9" w:rsidRPr="000A37F9">
        <w:rPr>
          <w:lang w:val="en-GB"/>
        </w:rPr>
        <w:t>Between the November 2021 and May 2022 session of the WP.15, the working group met 7 times. The working group sessions were well attended with 87 participants on the mailing list representing competent authorities, IGO’s, NGO’s, vehicle manufacturers, chemical and gas industry, fuel suppliers, inspection bodies, etc. Many participants were active in the sub-groups that would answer specific questions and determine risks these vehicles may present.</w:t>
      </w:r>
    </w:p>
    <w:p w14:paraId="2DFBCA0F" w14:textId="5E4A442E" w:rsidR="00DF0ED9" w:rsidRPr="000A37F9" w:rsidRDefault="005A457C" w:rsidP="005A457C">
      <w:pPr>
        <w:pStyle w:val="HChG"/>
        <w:rPr>
          <w:lang w:val="en-GB"/>
        </w:rPr>
      </w:pPr>
      <w:r w:rsidRPr="000A37F9">
        <w:rPr>
          <w:lang w:val="en-GB"/>
        </w:rPr>
        <w:tab/>
      </w:r>
      <w:r w:rsidRPr="000A37F9">
        <w:rPr>
          <w:lang w:val="en-GB"/>
        </w:rPr>
        <w:tab/>
      </w:r>
      <w:r w:rsidR="00DF0ED9" w:rsidRPr="000A37F9">
        <w:rPr>
          <w:lang w:val="en-GB"/>
        </w:rPr>
        <w:t>Summary</w:t>
      </w:r>
    </w:p>
    <w:p w14:paraId="2F837B97" w14:textId="78D75034" w:rsidR="00DF0ED9" w:rsidRPr="000A37F9" w:rsidRDefault="005A457C" w:rsidP="005A457C">
      <w:pPr>
        <w:pStyle w:val="SingleTxtG"/>
        <w:rPr>
          <w:lang w:val="en-GB"/>
        </w:rPr>
      </w:pPr>
      <w:r w:rsidRPr="000A37F9">
        <w:rPr>
          <w:lang w:val="en-GB"/>
        </w:rPr>
        <w:t>3.</w:t>
      </w:r>
      <w:r w:rsidRPr="000A37F9">
        <w:rPr>
          <w:lang w:val="en-GB"/>
        </w:rPr>
        <w:tab/>
      </w:r>
      <w:r w:rsidR="00DF0ED9" w:rsidRPr="000A37F9">
        <w:rPr>
          <w:lang w:val="en-GB"/>
        </w:rPr>
        <w:t xml:space="preserve">There is support in the working group to allow the use of battery electric vehicles for the carriage of substances that require an AT vehicle for ADR 2023. However, for introduction in ADR 2023 there are also reservations that it is too </w:t>
      </w:r>
      <w:proofErr w:type="gramStart"/>
      <w:r w:rsidR="00DF0ED9" w:rsidRPr="000A37F9">
        <w:rPr>
          <w:lang w:val="en-GB"/>
        </w:rPr>
        <w:t>soon</w:t>
      </w:r>
      <w:proofErr w:type="gramEnd"/>
      <w:r w:rsidR="00DF0ED9" w:rsidRPr="000A37F9">
        <w:rPr>
          <w:lang w:val="en-GB"/>
        </w:rPr>
        <w:t xml:space="preserve"> and all evaluations are not finalized. For FL, EX/II and EX/III vehicles BEV and hydrogen fuel cell vehicles of all categories it was felt that more consideration is needed to finalize the project. Electric drive on trailers, and batteries for other purposes, will be considered in the future sessions of the working group.</w:t>
      </w:r>
    </w:p>
    <w:p w14:paraId="5D65A389" w14:textId="1F72A084" w:rsidR="00DF0ED9" w:rsidRPr="000A37F9" w:rsidRDefault="005A457C" w:rsidP="005A457C">
      <w:pPr>
        <w:pStyle w:val="SingleTxtG"/>
        <w:rPr>
          <w:lang w:val="en-GB"/>
        </w:rPr>
      </w:pPr>
      <w:r w:rsidRPr="000A37F9">
        <w:rPr>
          <w:lang w:val="en-GB"/>
        </w:rPr>
        <w:t>4.</w:t>
      </w:r>
      <w:r w:rsidRPr="000A37F9">
        <w:rPr>
          <w:lang w:val="en-GB"/>
        </w:rPr>
        <w:tab/>
      </w:r>
      <w:r w:rsidR="00DF0ED9" w:rsidRPr="000A37F9">
        <w:rPr>
          <w:lang w:val="en-GB"/>
        </w:rPr>
        <w:t xml:space="preserve">Upon request of some participants it was decided to take onboard the use hydrogen as fuel for vehicles with internal combustion engines. Although not in the scope of the mandate it was felt justified as it shared many aspects with hydrogen fuel cell vehicles. </w:t>
      </w:r>
    </w:p>
    <w:p w14:paraId="1F3FB4DC" w14:textId="0B2E54F0" w:rsidR="00DF0ED9" w:rsidRPr="000A37F9" w:rsidRDefault="005A457C" w:rsidP="005A457C">
      <w:pPr>
        <w:pStyle w:val="HChG"/>
        <w:rPr>
          <w:b w:val="0"/>
          <w:bCs/>
          <w:szCs w:val="28"/>
          <w:lang w:val="en-GB"/>
        </w:rPr>
      </w:pPr>
      <w:r w:rsidRPr="000A37F9">
        <w:rPr>
          <w:bCs/>
          <w:szCs w:val="28"/>
          <w:lang w:val="en-GB"/>
        </w:rPr>
        <w:tab/>
      </w:r>
      <w:r w:rsidRPr="000A37F9">
        <w:rPr>
          <w:bCs/>
          <w:szCs w:val="28"/>
          <w:lang w:val="en-GB"/>
        </w:rPr>
        <w:tab/>
      </w:r>
      <w:r w:rsidR="00DF0ED9" w:rsidRPr="000A37F9">
        <w:rPr>
          <w:bCs/>
          <w:szCs w:val="28"/>
          <w:lang w:val="en-GB"/>
        </w:rPr>
        <w:t>Caveat</w:t>
      </w:r>
    </w:p>
    <w:p w14:paraId="6A0A1996" w14:textId="19C8E494" w:rsidR="00DF0ED9" w:rsidRPr="000A37F9" w:rsidRDefault="005A457C" w:rsidP="005A457C">
      <w:pPr>
        <w:pStyle w:val="SingleTxtG"/>
        <w:rPr>
          <w:lang w:val="en-GB"/>
        </w:rPr>
      </w:pPr>
      <w:r w:rsidRPr="000A37F9">
        <w:rPr>
          <w:lang w:val="en-GB"/>
        </w:rPr>
        <w:t>5.</w:t>
      </w:r>
      <w:r w:rsidRPr="000A37F9">
        <w:rPr>
          <w:lang w:val="en-GB"/>
        </w:rPr>
        <w:tab/>
      </w:r>
      <w:r w:rsidR="00DF0ED9" w:rsidRPr="000A37F9">
        <w:rPr>
          <w:lang w:val="en-GB"/>
        </w:rPr>
        <w:t xml:space="preserve">The following shall be </w:t>
      </w:r>
      <w:proofErr w:type="gramStart"/>
      <w:r w:rsidR="00DF0ED9" w:rsidRPr="000A37F9">
        <w:rPr>
          <w:lang w:val="en-GB"/>
        </w:rPr>
        <w:t>taken into account</w:t>
      </w:r>
      <w:proofErr w:type="gramEnd"/>
      <w:r w:rsidR="00DF0ED9" w:rsidRPr="000A37F9">
        <w:rPr>
          <w:lang w:val="en-GB"/>
        </w:rPr>
        <w:t>:</w:t>
      </w:r>
    </w:p>
    <w:p w14:paraId="20847C24" w14:textId="77777777" w:rsidR="00DF0ED9" w:rsidRPr="000A37F9" w:rsidRDefault="00DF0ED9" w:rsidP="00312496">
      <w:pPr>
        <w:pStyle w:val="ListParagraph"/>
        <w:ind w:left="1134" w:right="1133" w:firstLine="567"/>
        <w:jc w:val="both"/>
        <w:rPr>
          <w:rFonts w:ascii="Times New Roman" w:hAnsi="Times New Roman"/>
          <w:sz w:val="20"/>
          <w:szCs w:val="20"/>
          <w:lang w:val="en-GB"/>
        </w:rPr>
      </w:pPr>
      <w:r w:rsidRPr="000A37F9">
        <w:rPr>
          <w:rFonts w:ascii="Times New Roman" w:hAnsi="Times New Roman"/>
          <w:sz w:val="20"/>
          <w:szCs w:val="20"/>
          <w:lang w:val="en-GB"/>
        </w:rPr>
        <w:t>*</w:t>
      </w:r>
      <w:r w:rsidRPr="000A37F9">
        <w:rPr>
          <w:rFonts w:ascii="Times New Roman" w:hAnsi="Times New Roman"/>
          <w:sz w:val="20"/>
          <w:szCs w:val="20"/>
          <w:lang w:val="en-GB"/>
        </w:rPr>
        <w:tab/>
        <w:t>Considerations of the working group are based on the technology of vehicles foreseen for the coming 5 years and further developments need to be carefully monitored in the coming years.</w:t>
      </w:r>
    </w:p>
    <w:p w14:paraId="159B3318" w14:textId="186CB8E0" w:rsidR="00DF0ED9" w:rsidRPr="000A37F9" w:rsidRDefault="00DF0ED9" w:rsidP="00312496">
      <w:pPr>
        <w:spacing w:before="120" w:after="120"/>
        <w:ind w:left="1134" w:right="1133" w:firstLine="567"/>
        <w:jc w:val="both"/>
      </w:pPr>
      <w:r w:rsidRPr="000A37F9">
        <w:t>*</w:t>
      </w:r>
      <w:r w:rsidRPr="000A37F9">
        <w:tab/>
        <w:t xml:space="preserve">There is concern for one-off modifications to electric drive of existing internal combustion engine vehicles as specific designed and serial produced vehicles will have seen a validation process over a longer period ironing </w:t>
      </w:r>
      <w:r w:rsidR="000A37F9" w:rsidRPr="000A37F9">
        <w:t>out weak point</w:t>
      </w:r>
      <w:r w:rsidRPr="000A37F9">
        <w:t>.</w:t>
      </w:r>
    </w:p>
    <w:p w14:paraId="73EF5527" w14:textId="08AFB7AE" w:rsidR="00DF0ED9" w:rsidRPr="000A37F9" w:rsidRDefault="000B69A4" w:rsidP="000B69A4">
      <w:pPr>
        <w:pStyle w:val="SingleTxtG"/>
        <w:rPr>
          <w:lang w:val="en-GB"/>
        </w:rPr>
      </w:pPr>
      <w:r w:rsidRPr="000A37F9">
        <w:rPr>
          <w:lang w:val="en-GB"/>
        </w:rPr>
        <w:t>6.</w:t>
      </w:r>
      <w:r w:rsidRPr="000A37F9">
        <w:rPr>
          <w:lang w:val="en-GB"/>
        </w:rPr>
        <w:tab/>
      </w:r>
      <w:r w:rsidR="00DF0ED9" w:rsidRPr="000A37F9">
        <w:rPr>
          <w:lang w:val="en-GB"/>
        </w:rPr>
        <w:t xml:space="preserve">The annex to this document contains additional requirements and modifications to Annex 1 of document ECE/TRANS/WP.15/2022/5 that became apparent in the time between </w:t>
      </w:r>
      <w:r w:rsidR="00DF0ED9" w:rsidRPr="000A37F9">
        <w:rPr>
          <w:lang w:val="en-GB"/>
        </w:rPr>
        <w:lastRenderedPageBreak/>
        <w:t>the deadline for official documents and the last session of the working group before the WP.15 meeting in May.</w:t>
      </w:r>
    </w:p>
    <w:p w14:paraId="3FA2A9C9" w14:textId="4C65891F" w:rsidR="00DF0ED9" w:rsidRPr="000A37F9" w:rsidRDefault="000B69A4" w:rsidP="000B69A4">
      <w:pPr>
        <w:pStyle w:val="HChG"/>
        <w:rPr>
          <w:lang w:val="en-GB"/>
        </w:rPr>
      </w:pPr>
      <w:r w:rsidRPr="000A37F9">
        <w:rPr>
          <w:lang w:val="en-GB"/>
        </w:rPr>
        <w:tab/>
      </w:r>
      <w:r w:rsidRPr="000A37F9">
        <w:rPr>
          <w:lang w:val="en-GB"/>
        </w:rPr>
        <w:tab/>
      </w:r>
      <w:r w:rsidR="00DF0ED9" w:rsidRPr="000A37F9">
        <w:rPr>
          <w:lang w:val="en-GB"/>
        </w:rPr>
        <w:t>Battery Electric Vehicles (BEV)</w:t>
      </w:r>
    </w:p>
    <w:p w14:paraId="5E585E28" w14:textId="3F71161F" w:rsidR="00DF0ED9" w:rsidRPr="000A37F9" w:rsidRDefault="000B69A4" w:rsidP="000B69A4">
      <w:pPr>
        <w:pStyle w:val="SingleTxtG"/>
        <w:rPr>
          <w:lang w:val="en-GB"/>
        </w:rPr>
      </w:pPr>
      <w:r w:rsidRPr="000A37F9">
        <w:rPr>
          <w:lang w:val="en-GB"/>
        </w:rPr>
        <w:t>7.</w:t>
      </w:r>
      <w:r w:rsidRPr="000A37F9">
        <w:rPr>
          <w:lang w:val="en-GB"/>
        </w:rPr>
        <w:tab/>
      </w:r>
      <w:r w:rsidR="00DF0ED9" w:rsidRPr="000A37F9">
        <w:rPr>
          <w:lang w:val="en-GB"/>
        </w:rPr>
        <w:t xml:space="preserve">The electric drive system of electrified vehicles shows many advantages over vehicles with internal combustion engines. Not only is the heat developed far less than of traditional trucks with internal combustion engines, also the temperature levels are much lower. The high voltage may be seen as a potential </w:t>
      </w:r>
      <w:proofErr w:type="gramStart"/>
      <w:r w:rsidR="00DF0ED9" w:rsidRPr="000A37F9">
        <w:rPr>
          <w:lang w:val="en-GB"/>
        </w:rPr>
        <w:t>hazard</w:t>
      </w:r>
      <w:proofErr w:type="gramEnd"/>
      <w:r w:rsidR="00DF0ED9" w:rsidRPr="000A37F9">
        <w:rPr>
          <w:lang w:val="en-GB"/>
        </w:rPr>
        <w:t xml:space="preserve"> but cables and connections are well protected and when properly laid out present a safety level at least equal to traditional trucks.</w:t>
      </w:r>
    </w:p>
    <w:p w14:paraId="32BF522C" w14:textId="0DA886A2" w:rsidR="00DF0ED9" w:rsidRPr="000A37F9" w:rsidRDefault="009276FC" w:rsidP="009276FC">
      <w:pPr>
        <w:pStyle w:val="SingleTxtG"/>
        <w:rPr>
          <w:lang w:val="en-GB"/>
        </w:rPr>
      </w:pPr>
      <w:r w:rsidRPr="000A37F9">
        <w:rPr>
          <w:lang w:val="en-GB"/>
        </w:rPr>
        <w:t>8.</w:t>
      </w:r>
      <w:r w:rsidRPr="000A37F9">
        <w:rPr>
          <w:lang w:val="en-GB"/>
        </w:rPr>
        <w:tab/>
      </w:r>
      <w:r w:rsidR="00DF0ED9" w:rsidRPr="000A37F9">
        <w:rPr>
          <w:lang w:val="en-GB"/>
        </w:rPr>
        <w:t>A point of concern is the battery pack or Rechargeable Electric Energy Storage System (REESS). The REESS contains the assembly of voltaic cells itself, battery management system, heating/</w:t>
      </w:r>
      <w:proofErr w:type="gramStart"/>
      <w:r w:rsidR="00DF0ED9" w:rsidRPr="000A37F9">
        <w:rPr>
          <w:lang w:val="en-GB"/>
        </w:rPr>
        <w:t>cooling</w:t>
      </w:r>
      <w:proofErr w:type="gramEnd"/>
      <w:r w:rsidR="00DF0ED9" w:rsidRPr="000A37F9">
        <w:rPr>
          <w:lang w:val="en-GB"/>
        </w:rPr>
        <w:t xml:space="preserve"> and the housing. The issue with Lithium-ion cells that they contain a flammable electrolyte as well as Lithium that burns violently. There are many variations in Li-ion cells and although not confirmed it is believed that LFP</w:t>
      </w:r>
      <w:r w:rsidR="00DF0ED9" w:rsidRPr="000A37F9">
        <w:rPr>
          <w:rStyle w:val="FootnoteReference"/>
          <w:lang w:val="en-GB"/>
        </w:rPr>
        <w:footnoteReference w:id="2"/>
      </w:r>
      <w:r w:rsidR="00DF0ED9" w:rsidRPr="000A37F9">
        <w:rPr>
          <w:lang w:val="en-GB"/>
        </w:rPr>
        <w:t xml:space="preserve"> type cells will be used that are less sensitive than the earlier NMC</w:t>
      </w:r>
      <w:r w:rsidR="00DF0ED9" w:rsidRPr="000A37F9">
        <w:rPr>
          <w:rStyle w:val="FootnoteReference"/>
          <w:lang w:val="en-GB"/>
        </w:rPr>
        <w:footnoteReference w:id="3"/>
      </w:r>
      <w:r w:rsidR="00DF0ED9" w:rsidRPr="000A37F9">
        <w:rPr>
          <w:lang w:val="en-GB"/>
        </w:rPr>
        <w:t xml:space="preserve"> type cells used in passenger cars. A comparison may be made with the significant number of BEV busses in circulation now with limited negative effects.</w:t>
      </w:r>
    </w:p>
    <w:p w14:paraId="1842B0A8" w14:textId="16987735" w:rsidR="00DF0ED9" w:rsidRPr="000A37F9" w:rsidRDefault="009276FC" w:rsidP="009276FC">
      <w:pPr>
        <w:pStyle w:val="SingleTxtG"/>
        <w:rPr>
          <w:lang w:val="en-GB"/>
        </w:rPr>
      </w:pPr>
      <w:r w:rsidRPr="000A37F9">
        <w:rPr>
          <w:lang w:val="en-GB"/>
        </w:rPr>
        <w:t>9.</w:t>
      </w:r>
      <w:r w:rsidRPr="000A37F9">
        <w:rPr>
          <w:lang w:val="en-GB"/>
        </w:rPr>
        <w:tab/>
      </w:r>
      <w:r w:rsidR="00DF0ED9" w:rsidRPr="000A37F9">
        <w:rPr>
          <w:lang w:val="en-GB"/>
        </w:rPr>
        <w:t xml:space="preserve">Many safeguards are included in UN Regulation No. 100 that guarantee a long and safe use of batteries in normal conditions of use. However, in abnormal conditions like external fire, ageing or shock (accident) the cells may be internally damaged leading to a thermal runaway. In the latest amendments of UN Regulation </w:t>
      </w:r>
      <w:proofErr w:type="gramStart"/>
      <w:r w:rsidR="00DF0ED9" w:rsidRPr="000A37F9">
        <w:rPr>
          <w:lang w:val="en-GB"/>
        </w:rPr>
        <w:t>No.</w:t>
      </w:r>
      <w:r w:rsidR="000A37F9">
        <w:rPr>
          <w:lang w:val="en-GB"/>
        </w:rPr>
        <w:t xml:space="preserve"> </w:t>
      </w:r>
      <w:r w:rsidR="00DF0ED9" w:rsidRPr="000A37F9">
        <w:rPr>
          <w:lang w:val="en-GB"/>
        </w:rPr>
        <w:t>100</w:t>
      </w:r>
      <w:proofErr w:type="gramEnd"/>
      <w:r w:rsidR="00DF0ED9" w:rsidRPr="000A37F9">
        <w:rPr>
          <w:lang w:val="en-GB"/>
        </w:rPr>
        <w:t xml:space="preserve"> a requirement is included that a warning will be given at least 5 minutes before a hazardous situation caused by thermal propagation by a short circuit in a single cell. It was felt that this would be essential for the introduction in the ADR. Several ideas were made to mitigate the effect of a thermal runaway, such as detachment of a tractor from the semi-trailer, to build protection to isolate and guard the heat away from the load, possibility to remove the REESS or special access in the housing of the REESS to flood with water by the emergency responders. It was also felt that the requirements in ADR should be purpose orientated.</w:t>
      </w:r>
    </w:p>
    <w:p w14:paraId="31A2438D" w14:textId="4C84E94A" w:rsidR="00DF0ED9" w:rsidRPr="000A37F9" w:rsidRDefault="006C04D0" w:rsidP="009276FC">
      <w:pPr>
        <w:pStyle w:val="SingleTxtG"/>
        <w:rPr>
          <w:lang w:val="en-GB"/>
        </w:rPr>
      </w:pPr>
      <w:r w:rsidRPr="000A37F9">
        <w:rPr>
          <w:lang w:val="en-GB"/>
        </w:rPr>
        <w:t>10.</w:t>
      </w:r>
      <w:r w:rsidRPr="000A37F9">
        <w:rPr>
          <w:lang w:val="en-GB"/>
        </w:rPr>
        <w:tab/>
      </w:r>
      <w:r w:rsidR="00DF0ED9" w:rsidRPr="000A37F9">
        <w:rPr>
          <w:lang w:val="en-GB"/>
        </w:rPr>
        <w:t xml:space="preserve">For AT vehicles the requirements for prevention of fire risks by the fuel or engine in 9.2.4 are not applicable. From this point of </w:t>
      </w:r>
      <w:proofErr w:type="gramStart"/>
      <w:r w:rsidR="00DF0ED9" w:rsidRPr="000A37F9">
        <w:rPr>
          <w:lang w:val="en-GB"/>
        </w:rPr>
        <w:t>view</w:t>
      </w:r>
      <w:proofErr w:type="gramEnd"/>
      <w:r w:rsidR="00DF0ED9" w:rsidRPr="000A37F9">
        <w:rPr>
          <w:lang w:val="en-GB"/>
        </w:rPr>
        <w:t xml:space="preserve"> it may be found that the above mentioned concerns for the REESS have a more limited effect on AT vehicles. There is a certain urgency to allow the use of electric vehicles, for example supply of bleach for swimming pools in urban zero emission zones, and the availability of these vehicles when ADR 2023 will be in force. This combined with the low hazards for the substances that require AT vehicles the introduction of BEV for the AT category may be justified.</w:t>
      </w:r>
    </w:p>
    <w:p w14:paraId="422545E2" w14:textId="10022A89" w:rsidR="00DF0ED9" w:rsidRPr="000A37F9" w:rsidRDefault="006C04D0" w:rsidP="006C04D0">
      <w:pPr>
        <w:pStyle w:val="SingleTxtG"/>
        <w:rPr>
          <w:lang w:val="en-GB"/>
        </w:rPr>
      </w:pPr>
      <w:r w:rsidRPr="000A37F9">
        <w:rPr>
          <w:lang w:val="en-GB"/>
        </w:rPr>
        <w:t>11.</w:t>
      </w:r>
      <w:r w:rsidRPr="000A37F9">
        <w:rPr>
          <w:lang w:val="en-GB"/>
        </w:rPr>
        <w:tab/>
      </w:r>
      <w:r w:rsidR="00DF0ED9" w:rsidRPr="000A37F9">
        <w:rPr>
          <w:lang w:val="en-GB"/>
        </w:rPr>
        <w:t xml:space="preserve">For FL vehicles a fire will not only see more effects on the substances loaded but </w:t>
      </w:r>
      <w:proofErr w:type="gramStart"/>
      <w:r w:rsidR="00DF0ED9" w:rsidRPr="000A37F9">
        <w:rPr>
          <w:lang w:val="en-GB"/>
        </w:rPr>
        <w:t>also</w:t>
      </w:r>
      <w:proofErr w:type="gramEnd"/>
      <w:r w:rsidR="00DF0ED9" w:rsidRPr="000A37F9">
        <w:rPr>
          <w:lang w:val="en-GB"/>
        </w:rPr>
        <w:t xml:space="preserve"> they have to be safe in areas where an explosive atmosphere may exist. FL vehicles require a switch to break the electrical circuits of the high voltage drive batteries. The electrified vehicles that are designed at this moment also have a low voltage system that needs to </w:t>
      </w:r>
      <w:proofErr w:type="gramStart"/>
      <w:r w:rsidR="00DF0ED9" w:rsidRPr="000A37F9">
        <w:rPr>
          <w:lang w:val="en-GB"/>
        </w:rPr>
        <w:t>circuits</w:t>
      </w:r>
      <w:proofErr w:type="gramEnd"/>
      <w:r w:rsidR="00DF0ED9" w:rsidRPr="000A37F9">
        <w:rPr>
          <w:lang w:val="en-GB"/>
        </w:rPr>
        <w:t xml:space="preserve"> to be broken. It is now clear that the high voltage system could be equipped with these </w:t>
      </w:r>
      <w:proofErr w:type="gramStart"/>
      <w:r w:rsidR="00DF0ED9" w:rsidRPr="000A37F9">
        <w:rPr>
          <w:lang w:val="en-GB"/>
        </w:rPr>
        <w:t>switches</w:t>
      </w:r>
      <w:proofErr w:type="gramEnd"/>
      <w:r w:rsidR="00DF0ED9" w:rsidRPr="000A37F9">
        <w:rPr>
          <w:lang w:val="en-GB"/>
        </w:rPr>
        <w:t xml:space="preserve"> but the battery management system needs to remain energized for safety reasons and as a result be safe for use in an explosive atmosphere. As explained above the REESS needs particular attention how to mitigate the effects in the case a battery fire evolves. This needs further consideration.</w:t>
      </w:r>
    </w:p>
    <w:p w14:paraId="5676AF04" w14:textId="59F61A1E" w:rsidR="00DF0ED9" w:rsidRPr="000A37F9" w:rsidRDefault="006C04D0" w:rsidP="006C04D0">
      <w:pPr>
        <w:pStyle w:val="SingleTxtG"/>
        <w:rPr>
          <w:lang w:val="en-GB"/>
        </w:rPr>
      </w:pPr>
      <w:r w:rsidRPr="000A37F9">
        <w:rPr>
          <w:lang w:val="en-GB"/>
        </w:rPr>
        <w:t>12.</w:t>
      </w:r>
      <w:r w:rsidRPr="000A37F9">
        <w:rPr>
          <w:lang w:val="en-GB"/>
        </w:rPr>
        <w:tab/>
      </w:r>
      <w:r w:rsidR="00DF0ED9" w:rsidRPr="000A37F9">
        <w:rPr>
          <w:lang w:val="en-GB"/>
        </w:rPr>
        <w:t xml:space="preserve">EX/II, EX/III and MEMUs are </w:t>
      </w:r>
      <w:proofErr w:type="gramStart"/>
      <w:r w:rsidR="00DF0ED9" w:rsidRPr="000A37F9">
        <w:rPr>
          <w:lang w:val="en-GB"/>
        </w:rPr>
        <w:t>in particular sensitive</w:t>
      </w:r>
      <w:proofErr w:type="gramEnd"/>
      <w:r w:rsidR="00DF0ED9" w:rsidRPr="000A37F9">
        <w:rPr>
          <w:lang w:val="en-GB"/>
        </w:rPr>
        <w:t xml:space="preserve"> to heating up of the load. Further consideration is needed for this category.</w:t>
      </w:r>
    </w:p>
    <w:p w14:paraId="69AC868E" w14:textId="2E67086F" w:rsidR="00DF0ED9" w:rsidRPr="000A37F9" w:rsidRDefault="006C04D0" w:rsidP="006C04D0">
      <w:pPr>
        <w:pStyle w:val="HChG"/>
        <w:rPr>
          <w:b w:val="0"/>
          <w:bCs/>
          <w:szCs w:val="28"/>
          <w:lang w:val="en-GB"/>
        </w:rPr>
      </w:pPr>
      <w:r w:rsidRPr="000A37F9">
        <w:rPr>
          <w:bCs/>
          <w:szCs w:val="28"/>
          <w:lang w:val="en-GB"/>
        </w:rPr>
        <w:tab/>
      </w:r>
      <w:r w:rsidRPr="000A37F9">
        <w:rPr>
          <w:bCs/>
          <w:szCs w:val="28"/>
          <w:lang w:val="en-GB"/>
        </w:rPr>
        <w:tab/>
      </w:r>
      <w:r w:rsidR="00DF0ED9" w:rsidRPr="000A37F9">
        <w:rPr>
          <w:bCs/>
          <w:szCs w:val="28"/>
          <w:lang w:val="en-GB"/>
        </w:rPr>
        <w:t>Hydrogen Fuel Cell Vehicles (HFCV)</w:t>
      </w:r>
    </w:p>
    <w:p w14:paraId="1AB2E156" w14:textId="7E5E4A43" w:rsidR="00DF0ED9" w:rsidRPr="000A37F9" w:rsidRDefault="006C04D0" w:rsidP="006C04D0">
      <w:pPr>
        <w:pStyle w:val="SingleTxtG"/>
        <w:rPr>
          <w:lang w:val="en-GB"/>
        </w:rPr>
      </w:pPr>
      <w:r w:rsidRPr="000A37F9">
        <w:rPr>
          <w:lang w:val="en-GB"/>
        </w:rPr>
        <w:t>13.</w:t>
      </w:r>
      <w:r w:rsidRPr="000A37F9">
        <w:rPr>
          <w:lang w:val="en-GB"/>
        </w:rPr>
        <w:tab/>
      </w:r>
      <w:r w:rsidR="00DF0ED9" w:rsidRPr="000A37F9">
        <w:rPr>
          <w:lang w:val="en-GB"/>
        </w:rPr>
        <w:t xml:space="preserve">All that applies to BEV also applies to HFCV and more. The battery will be of a limited size but is still there. In addition to this there will be a hydrogen storage system </w:t>
      </w:r>
      <w:r w:rsidR="00DF0ED9" w:rsidRPr="000A37F9">
        <w:rPr>
          <w:lang w:val="en-GB"/>
        </w:rPr>
        <w:lastRenderedPageBreak/>
        <w:t xml:space="preserve">(pressurized gas or liquefied), piping and a fuel cell assembly. Although much is known already of these vehicles, but they need further considerations. The </w:t>
      </w:r>
      <w:proofErr w:type="gramStart"/>
      <w:r w:rsidR="00DF0ED9" w:rsidRPr="000A37F9">
        <w:rPr>
          <w:lang w:val="en-GB"/>
        </w:rPr>
        <w:t>large scale</w:t>
      </w:r>
      <w:proofErr w:type="gramEnd"/>
      <w:r w:rsidR="00DF0ED9" w:rsidRPr="000A37F9">
        <w:rPr>
          <w:lang w:val="en-GB"/>
        </w:rPr>
        <w:t xml:space="preserve"> introduction of HFCV is expected to be a few years later than BEV.</w:t>
      </w:r>
    </w:p>
    <w:p w14:paraId="5B7B5B5C" w14:textId="1F577376" w:rsidR="00DF0ED9" w:rsidRPr="000A37F9" w:rsidRDefault="006C04D0" w:rsidP="006C04D0">
      <w:pPr>
        <w:pStyle w:val="HChG"/>
        <w:rPr>
          <w:szCs w:val="28"/>
          <w:lang w:val="en-GB"/>
        </w:rPr>
      </w:pPr>
      <w:r w:rsidRPr="000A37F9">
        <w:rPr>
          <w:bCs/>
          <w:szCs w:val="28"/>
          <w:lang w:val="en-GB"/>
        </w:rPr>
        <w:tab/>
      </w:r>
      <w:r w:rsidRPr="000A37F9">
        <w:rPr>
          <w:bCs/>
          <w:szCs w:val="28"/>
          <w:lang w:val="en-GB"/>
        </w:rPr>
        <w:tab/>
      </w:r>
      <w:r w:rsidR="00DF0ED9" w:rsidRPr="000A37F9">
        <w:rPr>
          <w:bCs/>
          <w:szCs w:val="28"/>
          <w:lang w:val="en-GB"/>
        </w:rPr>
        <w:t>Hydrogen as fuel for vehicles with internal combustion engines</w:t>
      </w:r>
    </w:p>
    <w:p w14:paraId="266CBE54" w14:textId="7866CCE5" w:rsidR="00DF0ED9" w:rsidRPr="000A37F9" w:rsidRDefault="006C04D0" w:rsidP="006C04D0">
      <w:pPr>
        <w:pStyle w:val="SingleTxtG"/>
        <w:rPr>
          <w:lang w:val="en-GB"/>
        </w:rPr>
      </w:pPr>
      <w:r w:rsidRPr="000A37F9">
        <w:rPr>
          <w:lang w:val="en-GB"/>
        </w:rPr>
        <w:t>14.</w:t>
      </w:r>
      <w:r w:rsidRPr="000A37F9">
        <w:rPr>
          <w:lang w:val="en-GB"/>
        </w:rPr>
        <w:tab/>
      </w:r>
      <w:r w:rsidR="00DF0ED9" w:rsidRPr="000A37F9">
        <w:rPr>
          <w:lang w:val="en-GB"/>
        </w:rPr>
        <w:t xml:space="preserve">At shorter notice hydrogen may be used on vehicles with internal combustion engines in monofuel or dual fuel configurations. Although the properties of hydrogen are different than natural gas it is seen that its behaviour will be </w:t>
      </w:r>
      <w:proofErr w:type="gramStart"/>
      <w:r w:rsidR="00DF0ED9" w:rsidRPr="000A37F9">
        <w:rPr>
          <w:lang w:val="en-GB"/>
        </w:rPr>
        <w:t>similar to</w:t>
      </w:r>
      <w:proofErr w:type="gramEnd"/>
      <w:r w:rsidR="00DF0ED9" w:rsidRPr="000A37F9">
        <w:rPr>
          <w:lang w:val="en-GB"/>
        </w:rPr>
        <w:t xml:space="preserve"> CNG or LNG. The containers for hydrogen are included in UN Regulation No. 134 and emissions regulations for vehicles are in place or will be approved shortly. As the basic vehicle configuration is the well-known traditional this would present less an issue for introduction. However, in the working group it was felt not to be problematic if this would be introduced at the same time as HFCV.</w:t>
      </w:r>
    </w:p>
    <w:p w14:paraId="34CE5131" w14:textId="27DD348C" w:rsidR="00DF0ED9" w:rsidRPr="000A37F9" w:rsidRDefault="006C04D0" w:rsidP="006C04D0">
      <w:pPr>
        <w:pStyle w:val="HChG"/>
        <w:rPr>
          <w:b w:val="0"/>
          <w:bCs/>
          <w:szCs w:val="28"/>
          <w:lang w:val="en-GB"/>
        </w:rPr>
      </w:pPr>
      <w:r w:rsidRPr="000A37F9">
        <w:rPr>
          <w:bCs/>
          <w:szCs w:val="28"/>
          <w:lang w:val="en-GB"/>
        </w:rPr>
        <w:tab/>
      </w:r>
      <w:r w:rsidRPr="000A37F9">
        <w:rPr>
          <w:bCs/>
          <w:szCs w:val="28"/>
          <w:lang w:val="en-GB"/>
        </w:rPr>
        <w:tab/>
      </w:r>
      <w:r w:rsidR="00DF0ED9" w:rsidRPr="000A37F9">
        <w:rPr>
          <w:bCs/>
          <w:szCs w:val="28"/>
          <w:lang w:val="en-GB"/>
        </w:rPr>
        <w:t>Electric heaters</w:t>
      </w:r>
    </w:p>
    <w:p w14:paraId="6A0D92E0" w14:textId="56FA8B6F" w:rsidR="00DF0ED9" w:rsidRPr="000A37F9" w:rsidRDefault="006C04D0" w:rsidP="006C04D0">
      <w:pPr>
        <w:pStyle w:val="SingleTxtG"/>
        <w:rPr>
          <w:lang w:val="en-GB"/>
        </w:rPr>
      </w:pPr>
      <w:r w:rsidRPr="000A37F9">
        <w:rPr>
          <w:lang w:val="en-GB"/>
        </w:rPr>
        <w:t>15.</w:t>
      </w:r>
      <w:r w:rsidRPr="000A37F9">
        <w:rPr>
          <w:lang w:val="en-GB"/>
        </w:rPr>
        <w:tab/>
      </w:r>
      <w:r w:rsidR="00DF0ED9" w:rsidRPr="000A37F9">
        <w:rPr>
          <w:lang w:val="en-GB"/>
        </w:rPr>
        <w:t>As presented at a previous session of the WP.15 the discussion on electric heaters has not yet been finalized. Combustion heaters draw in air (and possible flammable components), combust fuel and air, and expel warm/hot gases on the exhaust that may ignite a flammable atmosphere. Electric heaters will just heat air for example inside the cabin or heat the liquid of the general cooling/heating system of an electric vehicle. It needs to be decided by WP.15 if the amendment of combustion heaters to combustion heaters and electric heaters should be followed or not. This then would apply as well to vehicles with internal combustion engines as to electrified vehicles.</w:t>
      </w:r>
    </w:p>
    <w:p w14:paraId="17D23ECF" w14:textId="77777777" w:rsidR="00DF0ED9" w:rsidRPr="000A37F9" w:rsidRDefault="00DF0ED9" w:rsidP="00DF0ED9">
      <w:r w:rsidRPr="000A37F9">
        <w:br w:type="page"/>
      </w:r>
    </w:p>
    <w:p w14:paraId="77C044F7" w14:textId="77777777" w:rsidR="00DF0ED9" w:rsidRPr="000A37F9" w:rsidRDefault="00DF0ED9" w:rsidP="00DF0ED9">
      <w:pPr>
        <w:pStyle w:val="HChG"/>
        <w:ind w:firstLine="0"/>
        <w:rPr>
          <w:lang w:val="en-GB"/>
        </w:rPr>
      </w:pPr>
      <w:r w:rsidRPr="000A37F9">
        <w:rPr>
          <w:lang w:val="en-GB"/>
        </w:rPr>
        <w:lastRenderedPageBreak/>
        <w:t>Annex</w:t>
      </w:r>
    </w:p>
    <w:p w14:paraId="2622B9A8" w14:textId="77777777" w:rsidR="00DF0ED9" w:rsidRPr="000A37F9" w:rsidRDefault="00DF0ED9" w:rsidP="004E7791">
      <w:pPr>
        <w:pStyle w:val="H1G"/>
      </w:pPr>
      <w:r w:rsidRPr="000A37F9">
        <w:tab/>
      </w:r>
      <w:r w:rsidRPr="000A37F9">
        <w:tab/>
        <w:t>Proposals of Annex 1 of UNECE/TRANS/WP.15/2022/5 for the introduction of Battery Electric Vehicles as category AT in 9.2 of ADR (Amended wording in bold underlined text)</w:t>
      </w:r>
    </w:p>
    <w:p w14:paraId="1D393AAD" w14:textId="77777777" w:rsidR="00DF0ED9" w:rsidRPr="000A37F9" w:rsidRDefault="00DF0ED9" w:rsidP="00DF0ED9">
      <w:pPr>
        <w:pStyle w:val="SingleTxtG"/>
        <w:spacing w:before="120"/>
        <w:rPr>
          <w:lang w:val="en-GB"/>
        </w:rPr>
      </w:pPr>
      <w:r w:rsidRPr="000A37F9">
        <w:rPr>
          <w:lang w:val="en-GB"/>
        </w:rPr>
        <w:t>1.</w:t>
      </w:r>
      <w:r w:rsidRPr="000A37F9">
        <w:rPr>
          <w:lang w:val="en-GB"/>
        </w:rPr>
        <w:tab/>
        <w:t>In the table of 9.2.1.1 introduce a new 9.2.4.6 and renumber the current 9.2.4.6 and 9.2.4.7 and 9.2.4.7.1 to 9.2.4.7.6 as 9.2.4.7 and 9.2.4.8 and 9.2.4.8.1 to 9.2.4.8.6 respectively:</w:t>
      </w:r>
    </w:p>
    <w:tbl>
      <w:tblPr>
        <w:tblStyle w:val="TableGrid"/>
        <w:tblW w:w="0" w:type="auto"/>
        <w:jc w:val="center"/>
        <w:tblLook w:val="04A0" w:firstRow="1" w:lastRow="0" w:firstColumn="1" w:lastColumn="0" w:noHBand="0" w:noVBand="1"/>
      </w:tblPr>
      <w:tblGrid>
        <w:gridCol w:w="846"/>
        <w:gridCol w:w="2693"/>
        <w:gridCol w:w="343"/>
        <w:gridCol w:w="366"/>
        <w:gridCol w:w="425"/>
        <w:gridCol w:w="284"/>
        <w:gridCol w:w="2409"/>
      </w:tblGrid>
      <w:tr w:rsidR="00DF0ED9" w:rsidRPr="000A37F9" w14:paraId="41D30AB0" w14:textId="77777777" w:rsidTr="000E106B">
        <w:trPr>
          <w:jc w:val="center"/>
        </w:trPr>
        <w:tc>
          <w:tcPr>
            <w:tcW w:w="846" w:type="dxa"/>
            <w:tcBorders>
              <w:top w:val="single" w:sz="4" w:space="0" w:color="auto"/>
              <w:left w:val="single" w:sz="4" w:space="0" w:color="auto"/>
              <w:bottom w:val="single" w:sz="4" w:space="0" w:color="auto"/>
              <w:right w:val="single" w:sz="4" w:space="0" w:color="auto"/>
            </w:tcBorders>
            <w:hideMark/>
          </w:tcPr>
          <w:p w14:paraId="378CADC1" w14:textId="77777777" w:rsidR="00DF0ED9" w:rsidRPr="000A37F9" w:rsidRDefault="00DF0ED9" w:rsidP="000E106B">
            <w:pPr>
              <w:spacing w:before="60" w:after="60"/>
              <w:rPr>
                <w:i/>
                <w:iCs/>
              </w:rPr>
            </w:pPr>
            <w:r w:rsidRPr="000A37F9">
              <w:rPr>
                <w:i/>
                <w:iCs/>
              </w:rPr>
              <w:t>9.2.4.6</w:t>
            </w:r>
          </w:p>
        </w:tc>
        <w:tc>
          <w:tcPr>
            <w:tcW w:w="2693" w:type="dxa"/>
            <w:tcBorders>
              <w:top w:val="single" w:sz="4" w:space="0" w:color="auto"/>
              <w:left w:val="single" w:sz="4" w:space="0" w:color="auto"/>
              <w:bottom w:val="single" w:sz="4" w:space="0" w:color="auto"/>
              <w:right w:val="single" w:sz="4" w:space="0" w:color="auto"/>
            </w:tcBorders>
            <w:hideMark/>
          </w:tcPr>
          <w:p w14:paraId="2AF293B7" w14:textId="77777777" w:rsidR="00DF0ED9" w:rsidRPr="000A37F9" w:rsidRDefault="00DF0ED9" w:rsidP="000E106B">
            <w:pPr>
              <w:spacing w:before="60" w:after="60"/>
              <w:rPr>
                <w:i/>
                <w:iCs/>
                <w:u w:val="single"/>
              </w:rPr>
            </w:pPr>
            <w:r w:rsidRPr="000A37F9">
              <w:rPr>
                <w:i/>
                <w:iCs/>
                <w:u w:val="single"/>
              </w:rPr>
              <w:t>Electric power train system</w:t>
            </w:r>
          </w:p>
        </w:tc>
        <w:tc>
          <w:tcPr>
            <w:tcW w:w="343" w:type="dxa"/>
            <w:tcBorders>
              <w:top w:val="single" w:sz="4" w:space="0" w:color="auto"/>
              <w:left w:val="single" w:sz="4" w:space="0" w:color="auto"/>
              <w:bottom w:val="single" w:sz="4" w:space="0" w:color="auto"/>
              <w:right w:val="single" w:sz="4" w:space="0" w:color="auto"/>
            </w:tcBorders>
          </w:tcPr>
          <w:p w14:paraId="37199BB6" w14:textId="77777777" w:rsidR="00DF0ED9" w:rsidRPr="000A37F9" w:rsidRDefault="00DF0ED9" w:rsidP="000E106B">
            <w:pPr>
              <w:spacing w:before="60" w:after="60"/>
              <w:rPr>
                <w:i/>
                <w:iCs/>
              </w:rPr>
            </w:pPr>
          </w:p>
        </w:tc>
        <w:tc>
          <w:tcPr>
            <w:tcW w:w="366" w:type="dxa"/>
            <w:tcBorders>
              <w:top w:val="single" w:sz="4" w:space="0" w:color="auto"/>
              <w:left w:val="single" w:sz="4" w:space="0" w:color="auto"/>
              <w:bottom w:val="single" w:sz="4" w:space="0" w:color="auto"/>
              <w:right w:val="single" w:sz="4" w:space="0" w:color="auto"/>
            </w:tcBorders>
          </w:tcPr>
          <w:p w14:paraId="6C7772DA" w14:textId="77777777" w:rsidR="00DF0ED9" w:rsidRPr="000A37F9" w:rsidRDefault="00DF0ED9" w:rsidP="000E106B">
            <w:pPr>
              <w:spacing w:before="60" w:after="60"/>
              <w:rPr>
                <w:i/>
                <w:iCs/>
              </w:rPr>
            </w:pPr>
          </w:p>
        </w:tc>
        <w:tc>
          <w:tcPr>
            <w:tcW w:w="425" w:type="dxa"/>
            <w:tcBorders>
              <w:top w:val="single" w:sz="4" w:space="0" w:color="auto"/>
              <w:left w:val="single" w:sz="4" w:space="0" w:color="auto"/>
              <w:bottom w:val="single" w:sz="4" w:space="0" w:color="auto"/>
              <w:right w:val="single" w:sz="4" w:space="0" w:color="auto"/>
            </w:tcBorders>
            <w:hideMark/>
          </w:tcPr>
          <w:p w14:paraId="3D7DF7F4" w14:textId="77777777" w:rsidR="00DF0ED9" w:rsidRPr="000A37F9" w:rsidRDefault="00DF0ED9" w:rsidP="000E106B">
            <w:pPr>
              <w:spacing w:before="60" w:after="60"/>
              <w:rPr>
                <w:i/>
                <w:iCs/>
              </w:rPr>
            </w:pPr>
            <w:r w:rsidRPr="000A37F9">
              <w:rPr>
                <w:i/>
                <w:iCs/>
              </w:rPr>
              <w:t>X</w:t>
            </w:r>
          </w:p>
        </w:tc>
        <w:tc>
          <w:tcPr>
            <w:tcW w:w="284" w:type="dxa"/>
            <w:tcBorders>
              <w:top w:val="single" w:sz="4" w:space="0" w:color="auto"/>
              <w:left w:val="single" w:sz="4" w:space="0" w:color="auto"/>
              <w:bottom w:val="single" w:sz="4" w:space="0" w:color="auto"/>
              <w:right w:val="single" w:sz="4" w:space="0" w:color="auto"/>
            </w:tcBorders>
          </w:tcPr>
          <w:p w14:paraId="249E0EB4" w14:textId="77777777" w:rsidR="00DF0ED9" w:rsidRPr="000A37F9" w:rsidRDefault="00DF0ED9" w:rsidP="000E106B">
            <w:pPr>
              <w:spacing w:before="60" w:after="60"/>
              <w:rPr>
                <w:i/>
                <w:iCs/>
              </w:rPr>
            </w:pPr>
          </w:p>
        </w:tc>
        <w:tc>
          <w:tcPr>
            <w:tcW w:w="2409" w:type="dxa"/>
            <w:tcBorders>
              <w:top w:val="single" w:sz="4" w:space="0" w:color="auto"/>
              <w:left w:val="single" w:sz="4" w:space="0" w:color="auto"/>
              <w:bottom w:val="single" w:sz="4" w:space="0" w:color="auto"/>
              <w:right w:val="single" w:sz="4" w:space="0" w:color="auto"/>
            </w:tcBorders>
          </w:tcPr>
          <w:p w14:paraId="5EA6D8AB" w14:textId="77777777" w:rsidR="00DF0ED9" w:rsidRPr="000A37F9" w:rsidRDefault="00DF0ED9" w:rsidP="000E106B">
            <w:pPr>
              <w:spacing w:before="60" w:after="60"/>
              <w:rPr>
                <w:i/>
                <w:iCs/>
              </w:rPr>
            </w:pPr>
          </w:p>
        </w:tc>
      </w:tr>
    </w:tbl>
    <w:p w14:paraId="584DD15C" w14:textId="77777777" w:rsidR="00DF0ED9" w:rsidRPr="000A37F9" w:rsidRDefault="00DF0ED9" w:rsidP="00DF0ED9">
      <w:pPr>
        <w:pStyle w:val="SingleTxtG"/>
        <w:spacing w:before="120"/>
        <w:rPr>
          <w:lang w:val="en-GB" w:eastAsia="fr-FR"/>
        </w:rPr>
      </w:pPr>
      <w:r w:rsidRPr="000A37F9">
        <w:rPr>
          <w:lang w:val="en-GB"/>
        </w:rPr>
        <w:t>2.</w:t>
      </w:r>
      <w:r w:rsidRPr="000A37F9">
        <w:rPr>
          <w:lang w:val="en-GB"/>
        </w:rPr>
        <w:tab/>
        <w:t>In the table of 9.2.1.1 amend the heading of the new 9.2.4.8 to read:</w:t>
      </w:r>
    </w:p>
    <w:tbl>
      <w:tblPr>
        <w:tblStyle w:val="TableGrid"/>
        <w:tblW w:w="0" w:type="auto"/>
        <w:jc w:val="center"/>
        <w:tblLook w:val="04A0" w:firstRow="1" w:lastRow="0" w:firstColumn="1" w:lastColumn="0" w:noHBand="0" w:noVBand="1"/>
      </w:tblPr>
      <w:tblGrid>
        <w:gridCol w:w="846"/>
        <w:gridCol w:w="2693"/>
        <w:gridCol w:w="343"/>
        <w:gridCol w:w="366"/>
        <w:gridCol w:w="425"/>
        <w:gridCol w:w="284"/>
        <w:gridCol w:w="2409"/>
      </w:tblGrid>
      <w:tr w:rsidR="00DF0ED9" w:rsidRPr="000A37F9" w14:paraId="5D7688B8" w14:textId="77777777" w:rsidTr="000E106B">
        <w:trPr>
          <w:jc w:val="center"/>
        </w:trPr>
        <w:tc>
          <w:tcPr>
            <w:tcW w:w="846" w:type="dxa"/>
            <w:tcBorders>
              <w:top w:val="single" w:sz="4" w:space="0" w:color="auto"/>
              <w:left w:val="single" w:sz="4" w:space="0" w:color="auto"/>
              <w:bottom w:val="single" w:sz="4" w:space="0" w:color="auto"/>
              <w:right w:val="single" w:sz="4" w:space="0" w:color="auto"/>
            </w:tcBorders>
            <w:hideMark/>
          </w:tcPr>
          <w:p w14:paraId="3C65A4F1" w14:textId="77777777" w:rsidR="00DF0ED9" w:rsidRPr="000A37F9" w:rsidRDefault="00DF0ED9" w:rsidP="000E106B">
            <w:pPr>
              <w:spacing w:before="60" w:after="60"/>
              <w:rPr>
                <w:i/>
                <w:iCs/>
              </w:rPr>
            </w:pPr>
            <w:r w:rsidRPr="000A37F9">
              <w:rPr>
                <w:i/>
                <w:iCs/>
              </w:rPr>
              <w:t>9.2.4.8</w:t>
            </w:r>
          </w:p>
        </w:tc>
        <w:tc>
          <w:tcPr>
            <w:tcW w:w="2693" w:type="dxa"/>
            <w:tcBorders>
              <w:top w:val="single" w:sz="4" w:space="0" w:color="auto"/>
              <w:left w:val="single" w:sz="4" w:space="0" w:color="auto"/>
              <w:bottom w:val="single" w:sz="4" w:space="0" w:color="auto"/>
              <w:right w:val="single" w:sz="4" w:space="0" w:color="auto"/>
            </w:tcBorders>
            <w:hideMark/>
          </w:tcPr>
          <w:p w14:paraId="22758852" w14:textId="77777777" w:rsidR="00DF0ED9" w:rsidRPr="000A37F9" w:rsidRDefault="00DF0ED9" w:rsidP="000E106B">
            <w:pPr>
              <w:spacing w:before="60" w:after="60"/>
              <w:rPr>
                <w:i/>
                <w:iCs/>
              </w:rPr>
            </w:pPr>
            <w:r w:rsidRPr="000A37F9">
              <w:rPr>
                <w:i/>
                <w:iCs/>
              </w:rPr>
              <w:t xml:space="preserve">Combustion </w:t>
            </w:r>
            <w:r w:rsidRPr="000A37F9">
              <w:rPr>
                <w:i/>
                <w:iCs/>
                <w:u w:val="single"/>
              </w:rPr>
              <w:t>and electric</w:t>
            </w:r>
            <w:r w:rsidRPr="000A37F9">
              <w:rPr>
                <w:b/>
                <w:bCs/>
                <w:i/>
                <w:iCs/>
                <w:strike/>
                <w:u w:val="single"/>
              </w:rPr>
              <w:t>al</w:t>
            </w:r>
            <w:r w:rsidRPr="000A37F9">
              <w:rPr>
                <w:i/>
                <w:iCs/>
              </w:rPr>
              <w:t xml:space="preserve"> heaters</w:t>
            </w:r>
          </w:p>
        </w:tc>
        <w:tc>
          <w:tcPr>
            <w:tcW w:w="343" w:type="dxa"/>
            <w:tcBorders>
              <w:top w:val="single" w:sz="4" w:space="0" w:color="auto"/>
              <w:left w:val="single" w:sz="4" w:space="0" w:color="auto"/>
              <w:bottom w:val="single" w:sz="4" w:space="0" w:color="auto"/>
              <w:right w:val="single" w:sz="4" w:space="0" w:color="auto"/>
            </w:tcBorders>
          </w:tcPr>
          <w:p w14:paraId="11FB724E" w14:textId="77777777" w:rsidR="00DF0ED9" w:rsidRPr="000A37F9" w:rsidRDefault="00DF0ED9" w:rsidP="000E106B">
            <w:pPr>
              <w:spacing w:before="60" w:after="60"/>
              <w:rPr>
                <w:i/>
                <w:iCs/>
              </w:rPr>
            </w:pPr>
          </w:p>
        </w:tc>
        <w:tc>
          <w:tcPr>
            <w:tcW w:w="366" w:type="dxa"/>
            <w:tcBorders>
              <w:top w:val="single" w:sz="4" w:space="0" w:color="auto"/>
              <w:left w:val="single" w:sz="4" w:space="0" w:color="auto"/>
              <w:bottom w:val="single" w:sz="4" w:space="0" w:color="auto"/>
              <w:right w:val="single" w:sz="4" w:space="0" w:color="auto"/>
            </w:tcBorders>
          </w:tcPr>
          <w:p w14:paraId="765CDCDF" w14:textId="77777777" w:rsidR="00DF0ED9" w:rsidRPr="000A37F9" w:rsidRDefault="00DF0ED9" w:rsidP="000E106B">
            <w:pPr>
              <w:spacing w:before="60" w:after="60"/>
              <w:rPr>
                <w:i/>
                <w:iCs/>
              </w:rPr>
            </w:pPr>
          </w:p>
        </w:tc>
        <w:tc>
          <w:tcPr>
            <w:tcW w:w="425" w:type="dxa"/>
            <w:tcBorders>
              <w:top w:val="single" w:sz="4" w:space="0" w:color="auto"/>
              <w:left w:val="single" w:sz="4" w:space="0" w:color="auto"/>
              <w:bottom w:val="single" w:sz="4" w:space="0" w:color="auto"/>
              <w:right w:val="single" w:sz="4" w:space="0" w:color="auto"/>
            </w:tcBorders>
          </w:tcPr>
          <w:p w14:paraId="63923C3D" w14:textId="77777777" w:rsidR="00DF0ED9" w:rsidRPr="000A37F9" w:rsidRDefault="00DF0ED9" w:rsidP="000E106B">
            <w:pPr>
              <w:spacing w:before="60" w:after="60"/>
              <w:rPr>
                <w:i/>
                <w:iCs/>
              </w:rPr>
            </w:pPr>
          </w:p>
        </w:tc>
        <w:tc>
          <w:tcPr>
            <w:tcW w:w="284" w:type="dxa"/>
            <w:tcBorders>
              <w:top w:val="single" w:sz="4" w:space="0" w:color="auto"/>
              <w:left w:val="single" w:sz="4" w:space="0" w:color="auto"/>
              <w:bottom w:val="single" w:sz="4" w:space="0" w:color="auto"/>
              <w:right w:val="single" w:sz="4" w:space="0" w:color="auto"/>
            </w:tcBorders>
          </w:tcPr>
          <w:p w14:paraId="7C1DD948" w14:textId="77777777" w:rsidR="00DF0ED9" w:rsidRPr="000A37F9" w:rsidRDefault="00DF0ED9" w:rsidP="000E106B">
            <w:pPr>
              <w:spacing w:before="60" w:after="60"/>
              <w:rPr>
                <w:i/>
                <w:iCs/>
              </w:rPr>
            </w:pPr>
          </w:p>
        </w:tc>
        <w:tc>
          <w:tcPr>
            <w:tcW w:w="2409" w:type="dxa"/>
            <w:tcBorders>
              <w:top w:val="single" w:sz="4" w:space="0" w:color="auto"/>
              <w:left w:val="single" w:sz="4" w:space="0" w:color="auto"/>
              <w:bottom w:val="single" w:sz="4" w:space="0" w:color="auto"/>
              <w:right w:val="single" w:sz="4" w:space="0" w:color="auto"/>
            </w:tcBorders>
          </w:tcPr>
          <w:p w14:paraId="2025994B" w14:textId="77777777" w:rsidR="00DF0ED9" w:rsidRPr="000A37F9" w:rsidRDefault="00DF0ED9" w:rsidP="000E106B">
            <w:pPr>
              <w:spacing w:before="60" w:after="60"/>
              <w:rPr>
                <w:i/>
                <w:iCs/>
              </w:rPr>
            </w:pPr>
          </w:p>
        </w:tc>
      </w:tr>
    </w:tbl>
    <w:p w14:paraId="2767D6B5" w14:textId="77777777" w:rsidR="00DF0ED9" w:rsidRPr="000A37F9" w:rsidRDefault="00DF0ED9" w:rsidP="00DF0ED9">
      <w:pPr>
        <w:pStyle w:val="SingleTxtG"/>
        <w:spacing w:before="120"/>
        <w:rPr>
          <w:lang w:val="en-GB" w:eastAsia="fr-FR"/>
        </w:rPr>
      </w:pPr>
      <w:r w:rsidRPr="000A37F9">
        <w:rPr>
          <w:lang w:val="en-GB"/>
        </w:rPr>
        <w:t>3.</w:t>
      </w:r>
      <w:r w:rsidRPr="000A37F9">
        <w:rPr>
          <w:lang w:val="en-GB"/>
        </w:rPr>
        <w:tab/>
        <w:t>Amend the second paragraph of 9.2.2.1 to read (new wording underlined):</w:t>
      </w:r>
    </w:p>
    <w:p w14:paraId="55A4ABC1" w14:textId="77777777" w:rsidR="00DF0ED9" w:rsidRPr="000A37F9" w:rsidRDefault="00DF0ED9" w:rsidP="00DF0ED9">
      <w:pPr>
        <w:pStyle w:val="SingleTxtG"/>
        <w:spacing w:before="120"/>
        <w:rPr>
          <w:lang w:val="en-GB"/>
        </w:rPr>
      </w:pPr>
      <w:r w:rsidRPr="000A37F9">
        <w:rPr>
          <w:lang w:val="en-GB"/>
        </w:rPr>
        <w:t xml:space="preserve">“The electrical installation </w:t>
      </w:r>
      <w:r w:rsidRPr="000A37F9">
        <w:rPr>
          <w:strike/>
          <w:lang w:val="en-GB"/>
        </w:rPr>
        <w:t>as a whole</w:t>
      </w:r>
      <w:r w:rsidRPr="000A37F9">
        <w:rPr>
          <w:u w:val="single"/>
          <w:lang w:val="en-GB"/>
        </w:rPr>
        <w:t xml:space="preserve">, with the exception of the </w:t>
      </w:r>
      <w:r w:rsidRPr="000A37F9">
        <w:rPr>
          <w:b/>
          <w:i/>
          <w:u w:val="single"/>
          <w:lang w:val="en-GB"/>
        </w:rPr>
        <w:t>electric power train</w:t>
      </w:r>
      <w:r w:rsidRPr="000A37F9">
        <w:rPr>
          <w:u w:val="single"/>
          <w:lang w:val="en-GB"/>
        </w:rPr>
        <w:t xml:space="preserve"> </w:t>
      </w:r>
      <w:r w:rsidRPr="000A37F9">
        <w:rPr>
          <w:b/>
          <w:i/>
          <w:strike/>
          <w:u w:val="single"/>
          <w:lang w:val="en-GB"/>
        </w:rPr>
        <w:t>high voltage</w:t>
      </w:r>
      <w:r w:rsidRPr="000A37F9">
        <w:rPr>
          <w:b/>
          <w:i/>
          <w:u w:val="single"/>
          <w:lang w:val="en-GB"/>
        </w:rPr>
        <w:t xml:space="preserve"> </w:t>
      </w:r>
      <w:r w:rsidRPr="000A37F9">
        <w:rPr>
          <w:b/>
          <w:i/>
          <w:strike/>
          <w:u w:val="single"/>
          <w:lang w:val="en-GB"/>
        </w:rPr>
        <w:t>drive</w:t>
      </w:r>
      <w:r w:rsidRPr="000A37F9">
        <w:rPr>
          <w:strike/>
          <w:u w:val="single"/>
          <w:lang w:val="en-GB"/>
        </w:rPr>
        <w:t xml:space="preserve"> </w:t>
      </w:r>
      <w:r w:rsidRPr="000A37F9">
        <w:rPr>
          <w:u w:val="single"/>
          <w:lang w:val="en-GB"/>
        </w:rPr>
        <w:t xml:space="preserve">system in compliance with the technical provisions of UN Regulation No. 100 </w:t>
      </w:r>
      <w:r w:rsidRPr="000A37F9">
        <w:rPr>
          <w:b/>
          <w:i/>
          <w:u w:val="single"/>
          <w:lang w:val="en-GB"/>
        </w:rPr>
        <w:t>(Supplement 1 to the 03 series of amendments)</w:t>
      </w:r>
      <w:r w:rsidRPr="000A37F9">
        <w:rPr>
          <w:u w:val="single"/>
          <w:lang w:val="en-GB"/>
        </w:rPr>
        <w:t xml:space="preserve">, </w:t>
      </w:r>
      <w:r w:rsidRPr="000A37F9">
        <w:rPr>
          <w:lang w:val="en-GB"/>
        </w:rPr>
        <w:t>shall meet the provisions of 9.2.2.2 to 9.2.2.9 in accordance with the table of 9.2.1.”</w:t>
      </w:r>
    </w:p>
    <w:p w14:paraId="295DE853" w14:textId="77777777" w:rsidR="00DF0ED9" w:rsidRPr="000A37F9" w:rsidRDefault="00DF0ED9" w:rsidP="00DF0ED9">
      <w:pPr>
        <w:pStyle w:val="SingleTxtG"/>
        <w:snapToGrid w:val="0"/>
        <w:spacing w:before="120"/>
        <w:rPr>
          <w:lang w:val="en-GB"/>
        </w:rPr>
      </w:pPr>
      <w:r w:rsidRPr="000A37F9">
        <w:rPr>
          <w:lang w:val="en-GB"/>
        </w:rPr>
        <w:t>4.</w:t>
      </w:r>
      <w:r w:rsidRPr="000A37F9">
        <w:rPr>
          <w:lang w:val="en-GB"/>
        </w:rPr>
        <w:tab/>
        <w:t>Amend 9.2.3.1.1 to read (new wording underlined):</w:t>
      </w:r>
    </w:p>
    <w:p w14:paraId="12A6907F" w14:textId="77777777" w:rsidR="00DF0ED9" w:rsidRPr="000A37F9" w:rsidRDefault="00DF0ED9" w:rsidP="00DF0ED9">
      <w:pPr>
        <w:pStyle w:val="SingleTxtG"/>
        <w:snapToGrid w:val="0"/>
        <w:spacing w:before="120"/>
        <w:rPr>
          <w:lang w:val="en-GB"/>
        </w:rPr>
      </w:pPr>
      <w:r w:rsidRPr="000A37F9">
        <w:rPr>
          <w:lang w:val="en-GB"/>
        </w:rPr>
        <w:t xml:space="preserve">“Motor vehicles and trailers intended for use as transport units for dangerous goods shall fulfil all relevant technical requirements of UN Regulation No.13⁴, as amended, in accordance with the dates of application specified therein. </w:t>
      </w:r>
      <w:r w:rsidRPr="000A37F9">
        <w:rPr>
          <w:b/>
          <w:i/>
          <w:u w:val="single"/>
          <w:lang w:val="en-GB"/>
        </w:rPr>
        <w:t>Vehicles equipped with an electric regenerative braking system</w:t>
      </w:r>
      <w:r w:rsidRPr="000A37F9">
        <w:rPr>
          <w:u w:val="single"/>
          <w:lang w:val="en-GB"/>
        </w:rPr>
        <w:t xml:space="preserve"> </w:t>
      </w:r>
      <w:r w:rsidRPr="000A37F9">
        <w:rPr>
          <w:b/>
          <w:i/>
          <w:strike/>
          <w:u w:val="single"/>
          <w:lang w:val="en-GB"/>
        </w:rPr>
        <w:t>Battery Electric Vehicles</w:t>
      </w:r>
      <w:r w:rsidRPr="000A37F9">
        <w:rPr>
          <w:u w:val="single"/>
          <w:lang w:val="en-GB"/>
        </w:rPr>
        <w:t xml:space="preserve"> shall fulfil all relevant technical requirements </w:t>
      </w:r>
      <w:r w:rsidRPr="000A37F9">
        <w:rPr>
          <w:strike/>
          <w:u w:val="single"/>
          <w:lang w:val="en-GB"/>
        </w:rPr>
        <w:t xml:space="preserve">of Revision 11 or higher </w:t>
      </w:r>
      <w:r w:rsidRPr="000A37F9">
        <w:rPr>
          <w:u w:val="single"/>
          <w:lang w:val="en-GB"/>
        </w:rPr>
        <w:t xml:space="preserve">of </w:t>
      </w:r>
      <w:r w:rsidRPr="000A37F9">
        <w:rPr>
          <w:b/>
          <w:i/>
          <w:u w:val="single"/>
          <w:lang w:val="en-GB"/>
        </w:rPr>
        <w:t>the</w:t>
      </w:r>
      <w:r w:rsidRPr="000A37F9">
        <w:rPr>
          <w:u w:val="single"/>
          <w:lang w:val="en-GB"/>
        </w:rPr>
        <w:t xml:space="preserve"> UN Regulation No. 13 </w:t>
      </w:r>
      <w:r w:rsidRPr="000A37F9">
        <w:rPr>
          <w:b/>
          <w:i/>
          <w:u w:val="single"/>
          <w:lang w:val="en-GB"/>
        </w:rPr>
        <w:t xml:space="preserve">at least up to and including Supplement 18 of the </w:t>
      </w:r>
      <w:proofErr w:type="gramStart"/>
      <w:r w:rsidRPr="000A37F9">
        <w:rPr>
          <w:b/>
          <w:i/>
          <w:u w:val="single"/>
          <w:lang w:val="en-GB"/>
        </w:rPr>
        <w:t>11  series</w:t>
      </w:r>
      <w:proofErr w:type="gramEnd"/>
      <w:r w:rsidRPr="000A37F9">
        <w:rPr>
          <w:b/>
          <w:i/>
          <w:u w:val="single"/>
          <w:lang w:val="en-GB"/>
        </w:rPr>
        <w:t xml:space="preserve"> of amendments</w:t>
      </w:r>
      <w:r w:rsidRPr="000A37F9">
        <w:rPr>
          <w:u w:val="single"/>
          <w:lang w:val="en-GB"/>
        </w:rPr>
        <w:t xml:space="preserve"> as applicable.</w:t>
      </w:r>
      <w:r w:rsidRPr="000A37F9">
        <w:rPr>
          <w:lang w:val="en-GB"/>
        </w:rPr>
        <w:t>”</w:t>
      </w:r>
    </w:p>
    <w:p w14:paraId="1B021189" w14:textId="77777777" w:rsidR="00DF0ED9" w:rsidRPr="000A37F9" w:rsidRDefault="00DF0ED9" w:rsidP="00DF0ED9">
      <w:pPr>
        <w:pStyle w:val="SingleTxtG"/>
        <w:snapToGrid w:val="0"/>
        <w:spacing w:before="120"/>
        <w:rPr>
          <w:lang w:val="en-GB"/>
        </w:rPr>
      </w:pPr>
      <w:r w:rsidRPr="000A37F9">
        <w:rPr>
          <w:lang w:val="en-GB"/>
        </w:rPr>
        <w:t>5.</w:t>
      </w:r>
      <w:r w:rsidRPr="000A37F9">
        <w:rPr>
          <w:lang w:val="en-GB"/>
        </w:rPr>
        <w:tab/>
        <w:t>Introduce a note after the heading of 9.2.4.3 to read:</w:t>
      </w:r>
    </w:p>
    <w:p w14:paraId="39676D7E" w14:textId="77777777" w:rsidR="00DF0ED9" w:rsidRPr="000A37F9" w:rsidRDefault="00DF0ED9" w:rsidP="00DF0ED9">
      <w:pPr>
        <w:pStyle w:val="SingleTxtG"/>
        <w:spacing w:before="120"/>
        <w:rPr>
          <w:lang w:val="en-GB"/>
        </w:rPr>
      </w:pPr>
      <w:r w:rsidRPr="000A37F9">
        <w:rPr>
          <w:lang w:val="en-GB"/>
        </w:rPr>
        <w:t>“</w:t>
      </w:r>
      <w:r w:rsidRPr="000A37F9">
        <w:rPr>
          <w:b/>
          <w:bCs/>
          <w:i/>
          <w:iCs/>
          <w:lang w:val="en-GB"/>
        </w:rPr>
        <w:t>NOTE:</w:t>
      </w:r>
      <w:r w:rsidRPr="000A37F9">
        <w:rPr>
          <w:i/>
          <w:iCs/>
          <w:lang w:val="en-GB"/>
        </w:rPr>
        <w:t xml:space="preserve"> 9.2.4.3 likewise applies to fuel tanks and cylinders used for hybrid vehicles which include an electric </w:t>
      </w:r>
      <w:r w:rsidRPr="000A37F9">
        <w:rPr>
          <w:b/>
          <w:i/>
          <w:iCs/>
          <w:u w:val="single"/>
          <w:lang w:val="en-GB"/>
        </w:rPr>
        <w:t>power train</w:t>
      </w:r>
      <w:r w:rsidRPr="000A37F9">
        <w:rPr>
          <w:i/>
          <w:iCs/>
          <w:lang w:val="en-GB"/>
        </w:rPr>
        <w:t xml:space="preserve"> </w:t>
      </w:r>
      <w:r w:rsidRPr="000A37F9">
        <w:rPr>
          <w:b/>
          <w:i/>
          <w:iCs/>
          <w:strike/>
          <w:u w:val="single"/>
          <w:lang w:val="en-GB"/>
        </w:rPr>
        <w:t>drive</w:t>
      </w:r>
      <w:r w:rsidRPr="000A37F9">
        <w:rPr>
          <w:i/>
          <w:iCs/>
          <w:lang w:val="en-GB"/>
        </w:rPr>
        <w:t xml:space="preserve"> system in the mechanical driveline of the internal combustion engine or use an internal combustion engine to </w:t>
      </w:r>
      <w:proofErr w:type="gramStart"/>
      <w:r w:rsidRPr="000A37F9">
        <w:rPr>
          <w:i/>
          <w:iCs/>
          <w:lang w:val="en-GB"/>
        </w:rPr>
        <w:t>driving</w:t>
      </w:r>
      <w:proofErr w:type="gramEnd"/>
      <w:r w:rsidRPr="000A37F9">
        <w:rPr>
          <w:i/>
          <w:iCs/>
          <w:lang w:val="en-GB"/>
        </w:rPr>
        <w:t xml:space="preserve"> a generator to energize the electric drive system.</w:t>
      </w:r>
      <w:r w:rsidRPr="000A37F9">
        <w:rPr>
          <w:lang w:val="en-GB"/>
        </w:rPr>
        <w:t>”</w:t>
      </w:r>
    </w:p>
    <w:p w14:paraId="4FE04181" w14:textId="77777777" w:rsidR="00DF0ED9" w:rsidRPr="000A37F9" w:rsidRDefault="00DF0ED9" w:rsidP="00DF0ED9">
      <w:pPr>
        <w:pStyle w:val="SingleTxtG"/>
        <w:spacing w:before="120"/>
        <w:rPr>
          <w:lang w:val="en-GB"/>
        </w:rPr>
      </w:pPr>
      <w:r w:rsidRPr="000A37F9">
        <w:rPr>
          <w:lang w:val="en-GB"/>
        </w:rPr>
        <w:t>6.</w:t>
      </w:r>
      <w:r w:rsidRPr="000A37F9">
        <w:rPr>
          <w:lang w:val="en-GB"/>
        </w:rPr>
        <w:tab/>
        <w:t>Introduce a note after the heading of 9.2.4.4 to read:</w:t>
      </w:r>
    </w:p>
    <w:p w14:paraId="693DDDAF" w14:textId="77777777" w:rsidR="00DF0ED9" w:rsidRPr="000A37F9" w:rsidRDefault="00DF0ED9" w:rsidP="00DF0ED9">
      <w:pPr>
        <w:pStyle w:val="SingleTxtG"/>
        <w:spacing w:before="120"/>
        <w:rPr>
          <w:lang w:val="en-GB"/>
        </w:rPr>
      </w:pPr>
      <w:r w:rsidRPr="000A37F9">
        <w:rPr>
          <w:lang w:val="en-GB"/>
        </w:rPr>
        <w:t>“</w:t>
      </w:r>
      <w:r w:rsidRPr="000A37F9">
        <w:rPr>
          <w:b/>
          <w:bCs/>
          <w:i/>
          <w:iCs/>
          <w:lang w:val="en-GB"/>
        </w:rPr>
        <w:t>NOTE:</w:t>
      </w:r>
      <w:r w:rsidRPr="000A37F9">
        <w:rPr>
          <w:lang w:val="en-GB"/>
        </w:rPr>
        <w:t xml:space="preserve"> </w:t>
      </w:r>
      <w:r w:rsidRPr="000A37F9">
        <w:rPr>
          <w:i/>
          <w:iCs/>
          <w:lang w:val="en-GB"/>
        </w:rPr>
        <w:t xml:space="preserve">9.2.4.4 likewise applies to hybrid vehicles which include an electric </w:t>
      </w:r>
      <w:r w:rsidRPr="000A37F9">
        <w:rPr>
          <w:b/>
          <w:i/>
          <w:iCs/>
          <w:u w:val="single"/>
          <w:lang w:val="en-GB"/>
        </w:rPr>
        <w:t>power train</w:t>
      </w:r>
      <w:r w:rsidRPr="000A37F9">
        <w:rPr>
          <w:i/>
          <w:iCs/>
          <w:lang w:val="en-GB"/>
        </w:rPr>
        <w:t xml:space="preserve"> </w:t>
      </w:r>
      <w:r w:rsidRPr="000A37F9">
        <w:rPr>
          <w:b/>
          <w:i/>
          <w:iCs/>
          <w:strike/>
          <w:u w:val="single"/>
          <w:lang w:val="en-GB"/>
        </w:rPr>
        <w:t>drive</w:t>
      </w:r>
      <w:r w:rsidRPr="000A37F9">
        <w:rPr>
          <w:i/>
          <w:iCs/>
          <w:lang w:val="en-GB"/>
        </w:rPr>
        <w:t xml:space="preserve"> system in the mechanical driveline of the internal combustion engine or use an internal combustion engine to </w:t>
      </w:r>
      <w:proofErr w:type="gramStart"/>
      <w:r w:rsidRPr="000A37F9">
        <w:rPr>
          <w:i/>
          <w:iCs/>
          <w:lang w:val="en-GB"/>
        </w:rPr>
        <w:t>driving</w:t>
      </w:r>
      <w:proofErr w:type="gramEnd"/>
      <w:r w:rsidRPr="000A37F9">
        <w:rPr>
          <w:i/>
          <w:iCs/>
          <w:lang w:val="en-GB"/>
        </w:rPr>
        <w:t xml:space="preserve"> a generator to energize the electric drive system.</w:t>
      </w:r>
      <w:r w:rsidRPr="000A37F9">
        <w:rPr>
          <w:lang w:val="en-GB"/>
        </w:rPr>
        <w:t>”</w:t>
      </w:r>
    </w:p>
    <w:p w14:paraId="056E6B07" w14:textId="77777777" w:rsidR="00DF0ED9" w:rsidRPr="000A37F9" w:rsidRDefault="00DF0ED9" w:rsidP="00DF0ED9">
      <w:pPr>
        <w:pStyle w:val="SingleTxtG"/>
        <w:spacing w:before="120"/>
        <w:rPr>
          <w:lang w:val="en-GB"/>
        </w:rPr>
      </w:pPr>
      <w:r w:rsidRPr="000A37F9">
        <w:rPr>
          <w:lang w:val="en-GB"/>
        </w:rPr>
        <w:t>7.</w:t>
      </w:r>
      <w:r w:rsidRPr="000A37F9">
        <w:rPr>
          <w:lang w:val="en-GB"/>
        </w:rPr>
        <w:tab/>
        <w:t>Introduce a new subsection 9.2.4.6 to read:</w:t>
      </w:r>
    </w:p>
    <w:p w14:paraId="780CA6F5" w14:textId="77777777" w:rsidR="00DF0ED9" w:rsidRPr="000A37F9" w:rsidRDefault="00DF0ED9" w:rsidP="00DF0ED9">
      <w:pPr>
        <w:pStyle w:val="SingleTxtG"/>
        <w:spacing w:before="120"/>
        <w:rPr>
          <w:rFonts w:eastAsia="SimSun"/>
          <w:b/>
          <w:i/>
          <w:iCs/>
          <w:lang w:val="en-GB"/>
        </w:rPr>
      </w:pPr>
      <w:r w:rsidRPr="000A37F9">
        <w:rPr>
          <w:rFonts w:eastAsia="SimSun"/>
          <w:b/>
          <w:lang w:val="en-GB"/>
        </w:rPr>
        <w:t>“9.2.4.6</w:t>
      </w:r>
      <w:r w:rsidRPr="000A37F9">
        <w:rPr>
          <w:rFonts w:eastAsia="SimSun"/>
          <w:b/>
          <w:lang w:val="en-GB"/>
        </w:rPr>
        <w:tab/>
      </w:r>
      <w:r w:rsidRPr="000A37F9">
        <w:rPr>
          <w:rFonts w:eastAsia="SimSun"/>
          <w:b/>
          <w:i/>
          <w:iCs/>
          <w:lang w:val="en-GB"/>
        </w:rPr>
        <w:t xml:space="preserve">Electric </w:t>
      </w:r>
      <w:r w:rsidRPr="000A37F9">
        <w:rPr>
          <w:rFonts w:eastAsia="SimSun"/>
          <w:b/>
          <w:i/>
          <w:iCs/>
          <w:u w:val="single"/>
          <w:lang w:val="en-GB"/>
        </w:rPr>
        <w:t>power train</w:t>
      </w:r>
      <w:r w:rsidRPr="000A37F9">
        <w:rPr>
          <w:rFonts w:eastAsia="SimSun"/>
          <w:b/>
          <w:i/>
          <w:iCs/>
          <w:lang w:val="en-GB"/>
        </w:rPr>
        <w:t xml:space="preserve"> </w:t>
      </w:r>
      <w:r w:rsidRPr="000A37F9">
        <w:rPr>
          <w:rFonts w:eastAsia="SimSun"/>
          <w:b/>
          <w:i/>
          <w:iCs/>
          <w:strike/>
          <w:u w:val="single"/>
          <w:lang w:val="en-GB"/>
        </w:rPr>
        <w:t>drive</w:t>
      </w:r>
      <w:r w:rsidRPr="000A37F9">
        <w:rPr>
          <w:rFonts w:eastAsia="SimSun"/>
          <w:b/>
          <w:i/>
          <w:iCs/>
          <w:lang w:val="en-GB"/>
        </w:rPr>
        <w:t xml:space="preserve"> system</w:t>
      </w:r>
    </w:p>
    <w:p w14:paraId="186E06C8" w14:textId="77777777" w:rsidR="00DF0ED9" w:rsidRPr="000A37F9" w:rsidRDefault="00DF0ED9" w:rsidP="00DF0ED9">
      <w:pPr>
        <w:spacing w:before="120" w:after="120" w:line="240" w:lineRule="auto"/>
        <w:ind w:left="2268" w:right="1134"/>
        <w:jc w:val="both"/>
      </w:pPr>
      <w:r w:rsidRPr="000A37F9">
        <w:rPr>
          <w:b/>
          <w:bCs/>
          <w:i/>
          <w:iCs/>
        </w:rPr>
        <w:t>NOTE:</w:t>
      </w:r>
      <w:r w:rsidRPr="000A37F9">
        <w:rPr>
          <w:i/>
          <w:iCs/>
        </w:rPr>
        <w:t xml:space="preserve"> 9.2.4.6 likewise applies to hybrid vehicles that include an electric </w:t>
      </w:r>
      <w:r w:rsidRPr="000A37F9">
        <w:rPr>
          <w:b/>
          <w:i/>
          <w:iCs/>
          <w:u w:val="single"/>
        </w:rPr>
        <w:t xml:space="preserve">power train </w:t>
      </w:r>
      <w:r w:rsidRPr="000A37F9">
        <w:rPr>
          <w:b/>
          <w:i/>
          <w:iCs/>
          <w:strike/>
          <w:u w:val="single"/>
        </w:rPr>
        <w:t>drive</w:t>
      </w:r>
      <w:r w:rsidRPr="000A37F9">
        <w:rPr>
          <w:i/>
          <w:iCs/>
        </w:rPr>
        <w:t xml:space="preserve"> system in the mechanical driveline of an internal combustion engine. Electric </w:t>
      </w:r>
      <w:r w:rsidRPr="000A37F9">
        <w:rPr>
          <w:b/>
          <w:i/>
          <w:iCs/>
          <w:u w:val="single"/>
        </w:rPr>
        <w:t>power train</w:t>
      </w:r>
      <w:r w:rsidRPr="000A37F9">
        <w:rPr>
          <w:i/>
          <w:iCs/>
        </w:rPr>
        <w:t xml:space="preserve"> </w:t>
      </w:r>
      <w:r w:rsidRPr="000A37F9">
        <w:rPr>
          <w:b/>
          <w:i/>
          <w:iCs/>
          <w:strike/>
          <w:u w:val="single"/>
        </w:rPr>
        <w:t>drive</w:t>
      </w:r>
      <w:r w:rsidRPr="000A37F9">
        <w:rPr>
          <w:i/>
          <w:iCs/>
        </w:rPr>
        <w:t xml:space="preserve"> systems shall not be used for EX and FL vehicles. [Electric </w:t>
      </w:r>
      <w:r w:rsidRPr="000A37F9">
        <w:rPr>
          <w:b/>
          <w:i/>
          <w:iCs/>
          <w:u w:val="single"/>
        </w:rPr>
        <w:t>power train</w:t>
      </w:r>
      <w:r w:rsidRPr="000A37F9">
        <w:rPr>
          <w:i/>
          <w:iCs/>
        </w:rPr>
        <w:t xml:space="preserve"> </w:t>
      </w:r>
      <w:r w:rsidRPr="000A37F9">
        <w:rPr>
          <w:b/>
          <w:i/>
          <w:iCs/>
          <w:strike/>
          <w:u w:val="single"/>
        </w:rPr>
        <w:t>drive</w:t>
      </w:r>
      <w:r w:rsidRPr="000A37F9">
        <w:rPr>
          <w:i/>
          <w:iCs/>
        </w:rPr>
        <w:t xml:space="preserve"> shall only be used on tractors for semi-trailers.]</w:t>
      </w:r>
    </w:p>
    <w:p w14:paraId="5006F136" w14:textId="77777777" w:rsidR="00DF0ED9" w:rsidRPr="000A37F9" w:rsidRDefault="00DF0ED9" w:rsidP="00DF0ED9">
      <w:pPr>
        <w:spacing w:before="120" w:after="120" w:line="240" w:lineRule="auto"/>
        <w:ind w:left="2268" w:right="1134"/>
        <w:jc w:val="both"/>
      </w:pPr>
      <w:r w:rsidRPr="000A37F9">
        <w:tab/>
        <w:t xml:space="preserve">The electric </w:t>
      </w:r>
      <w:r w:rsidRPr="000A37F9">
        <w:rPr>
          <w:b/>
          <w:i/>
          <w:iCs/>
          <w:u w:val="single"/>
        </w:rPr>
        <w:t>power train</w:t>
      </w:r>
      <w:r w:rsidRPr="000A37F9">
        <w:rPr>
          <w:i/>
          <w:iCs/>
        </w:rPr>
        <w:t xml:space="preserve"> </w:t>
      </w:r>
      <w:r w:rsidRPr="000A37F9">
        <w:rPr>
          <w:b/>
          <w:i/>
          <w:strike/>
          <w:u w:val="single"/>
        </w:rPr>
        <w:t>drive</w:t>
      </w:r>
      <w:r w:rsidRPr="000A37F9">
        <w:t xml:space="preserve"> system shall meet the requirements of UN Regulation No. 100 </w:t>
      </w:r>
      <w:r w:rsidRPr="000A37F9">
        <w:rPr>
          <w:b/>
          <w:i/>
          <w:u w:val="single"/>
        </w:rPr>
        <w:t>at least 03 series of amendments</w:t>
      </w:r>
      <w:r w:rsidRPr="000A37F9">
        <w:rPr>
          <w:vertAlign w:val="superscript"/>
        </w:rPr>
        <w:t>8</w:t>
      </w:r>
      <w:r w:rsidRPr="000A37F9">
        <w:t>. Measures shall be taken to prevent any danger to the load by heating or ignition.”</w:t>
      </w:r>
    </w:p>
    <w:p w14:paraId="35607431" w14:textId="77777777" w:rsidR="00DF0ED9" w:rsidRPr="000A37F9" w:rsidRDefault="00DF0ED9" w:rsidP="00DF0ED9">
      <w:pPr>
        <w:pStyle w:val="SingleTxtG"/>
        <w:spacing w:before="120"/>
        <w:rPr>
          <w:i/>
          <w:iCs/>
          <w:lang w:val="en-GB"/>
        </w:rPr>
      </w:pPr>
      <w:r w:rsidRPr="000A37F9">
        <w:rPr>
          <w:lang w:val="en-GB"/>
        </w:rPr>
        <w:tab/>
      </w:r>
      <w:r w:rsidRPr="000A37F9">
        <w:rPr>
          <w:lang w:val="en-GB"/>
        </w:rPr>
        <w:tab/>
        <w:t>Footnote 8 reads:</w:t>
      </w:r>
      <w:r w:rsidRPr="000A37F9">
        <w:rPr>
          <w:i/>
          <w:iCs/>
          <w:lang w:val="en-GB"/>
        </w:rPr>
        <w:t xml:space="preserve"> </w:t>
      </w:r>
    </w:p>
    <w:p w14:paraId="505651E5" w14:textId="77777777" w:rsidR="00DF0ED9" w:rsidRPr="000A37F9" w:rsidRDefault="00DF0ED9" w:rsidP="00DF0ED9">
      <w:pPr>
        <w:pStyle w:val="SingleTxtG"/>
        <w:spacing w:before="120"/>
        <w:ind w:left="2268" w:hanging="1134"/>
        <w:rPr>
          <w:i/>
          <w:iCs/>
          <w:lang w:val="en-GB"/>
        </w:rPr>
      </w:pPr>
      <w:r w:rsidRPr="000A37F9">
        <w:rPr>
          <w:i/>
          <w:iCs/>
          <w:lang w:val="en-GB"/>
        </w:rPr>
        <w:t>“</w:t>
      </w:r>
      <w:r w:rsidRPr="000A37F9">
        <w:rPr>
          <w:b/>
          <w:bCs/>
          <w:vertAlign w:val="superscript"/>
          <w:lang w:val="en-GB"/>
        </w:rPr>
        <w:t>8</w:t>
      </w:r>
      <w:r w:rsidRPr="000A37F9">
        <w:rPr>
          <w:i/>
          <w:iCs/>
          <w:lang w:val="en-GB"/>
        </w:rPr>
        <w:tab/>
        <w:t>UN Regulation No. 100 (Uniform provisions concerning the approval of vehicles with regard to specific requirements for the electric power train).”</w:t>
      </w:r>
    </w:p>
    <w:p w14:paraId="1A908CB8" w14:textId="77777777" w:rsidR="00DF0ED9" w:rsidRPr="000A37F9" w:rsidRDefault="00DF0ED9" w:rsidP="00DF0ED9">
      <w:pPr>
        <w:pStyle w:val="SingleTxtG"/>
        <w:spacing w:before="120"/>
        <w:rPr>
          <w:lang w:val="en-GB"/>
        </w:rPr>
      </w:pPr>
      <w:r w:rsidRPr="000A37F9">
        <w:rPr>
          <w:lang w:val="en-GB"/>
        </w:rPr>
        <w:tab/>
      </w:r>
      <w:r w:rsidRPr="000A37F9">
        <w:rPr>
          <w:lang w:val="en-GB"/>
        </w:rPr>
        <w:tab/>
        <w:t xml:space="preserve">In Chapter 9.2, renumber subsequent footnotes accordingly. </w:t>
      </w:r>
    </w:p>
    <w:p w14:paraId="3673301B" w14:textId="77777777" w:rsidR="00DF0ED9" w:rsidRPr="000A37F9" w:rsidRDefault="00DF0ED9" w:rsidP="00DF0ED9">
      <w:pPr>
        <w:pStyle w:val="SingleTxtG"/>
        <w:spacing w:before="120"/>
        <w:rPr>
          <w:lang w:val="en-GB"/>
        </w:rPr>
      </w:pPr>
      <w:r w:rsidRPr="000A37F9">
        <w:rPr>
          <w:lang w:val="en-GB"/>
        </w:rPr>
        <w:lastRenderedPageBreak/>
        <w:t>8.</w:t>
      </w:r>
      <w:r w:rsidRPr="000A37F9">
        <w:rPr>
          <w:lang w:val="en-GB"/>
        </w:rPr>
        <w:tab/>
        <w:t>Renumber the existing 9.2.4.6 and 9.2.4.7 as 9.2.4.7 and 9.2.4.8 respectively. Under 9.2.4.7, renumber the paragraphs and cross-references accordingly. In 9.3.2.2, replace “9.2.4.7.1, 9.2.4.7.2, 9.2.4.7.5 and 9.2.4.7.6” by “9.2.4.8.1, 9.2.4.8.2, 9.2.4.8.5 and 9.2.4.8.6”. In 9.7.7.1, in the first sentence, replace “9.2.4.7.1, 9.2.4.7.2, 9.2.4.7.5” by “9.2.4.8.1, 9.2.4.8.2, 9.2.4.8.5”. In 9.7.7.1, in the last sentence, replace “9.2.4.7.3 and 9.2.4.7.4” by “9.2.4.8.3 and 9.2.4.8.4”. In 9.8.6.1, replace “9.2.4.7.1, 9.2.4.7.2, 9.2.4.7.5, 9.2.4.7.6” by “9.2.4.8.1, 9.2.4.8.2, 9.2.4.8.5, 9.2.4.8.6”.</w:t>
      </w:r>
    </w:p>
    <w:p w14:paraId="7C095DA9" w14:textId="77777777" w:rsidR="00DF0ED9" w:rsidRPr="000A37F9" w:rsidRDefault="00DF0ED9" w:rsidP="00DF0ED9">
      <w:pPr>
        <w:pStyle w:val="SingleTxtG"/>
        <w:spacing w:before="120"/>
        <w:rPr>
          <w:lang w:val="en-GB"/>
        </w:rPr>
      </w:pPr>
      <w:r w:rsidRPr="000A37F9">
        <w:rPr>
          <w:lang w:val="en-GB"/>
        </w:rPr>
        <w:t>9.</w:t>
      </w:r>
      <w:r w:rsidRPr="000A37F9">
        <w:rPr>
          <w:lang w:val="en-GB"/>
        </w:rPr>
        <w:tab/>
        <w:t>Amend the heading of the renumbered 9.2.4.8 to read (deleted wording stricken through):</w:t>
      </w:r>
    </w:p>
    <w:p w14:paraId="0E5B2524" w14:textId="77777777" w:rsidR="00DF0ED9" w:rsidRPr="000A37F9" w:rsidRDefault="00DF0ED9" w:rsidP="00DF0ED9">
      <w:pPr>
        <w:pStyle w:val="SingleTxtG"/>
        <w:spacing w:before="120"/>
        <w:rPr>
          <w:i/>
          <w:lang w:val="en-GB"/>
        </w:rPr>
      </w:pPr>
      <w:r w:rsidRPr="000A37F9">
        <w:rPr>
          <w:i/>
          <w:iCs/>
          <w:lang w:val="en-GB"/>
        </w:rPr>
        <w:t>“</w:t>
      </w:r>
      <w:r w:rsidRPr="000A37F9">
        <w:rPr>
          <w:b/>
          <w:bCs/>
          <w:i/>
          <w:iCs/>
          <w:lang w:val="en-GB"/>
        </w:rPr>
        <w:t xml:space="preserve">Combustion </w:t>
      </w:r>
      <w:r w:rsidRPr="000A37F9">
        <w:rPr>
          <w:b/>
          <w:bCs/>
          <w:i/>
          <w:iCs/>
          <w:u w:val="single"/>
          <w:lang w:val="en-GB"/>
        </w:rPr>
        <w:t>and electric</w:t>
      </w:r>
      <w:r w:rsidRPr="000A37F9">
        <w:rPr>
          <w:b/>
          <w:bCs/>
          <w:i/>
          <w:iCs/>
          <w:strike/>
          <w:u w:val="single"/>
          <w:lang w:val="en-GB"/>
        </w:rPr>
        <w:t>al</w:t>
      </w:r>
      <w:r w:rsidRPr="000A37F9">
        <w:rPr>
          <w:b/>
          <w:bCs/>
          <w:i/>
          <w:lang w:val="en-GB"/>
        </w:rPr>
        <w:t xml:space="preserve"> heaters</w:t>
      </w:r>
      <w:r w:rsidRPr="000A37F9">
        <w:rPr>
          <w:i/>
          <w:lang w:val="en-GB"/>
        </w:rPr>
        <w:t>”</w:t>
      </w:r>
    </w:p>
    <w:p w14:paraId="59AC9C96" w14:textId="77777777" w:rsidR="00DF0ED9" w:rsidRPr="000A37F9" w:rsidRDefault="00DF0ED9" w:rsidP="00DF0ED9">
      <w:pPr>
        <w:pStyle w:val="SingleTxtG"/>
        <w:spacing w:before="120"/>
        <w:rPr>
          <w:lang w:val="en-GB"/>
        </w:rPr>
      </w:pPr>
      <w:r w:rsidRPr="000A37F9">
        <w:rPr>
          <w:lang w:val="en-GB"/>
        </w:rPr>
        <w:t>10.</w:t>
      </w:r>
      <w:r w:rsidRPr="000A37F9">
        <w:rPr>
          <w:lang w:val="en-GB"/>
        </w:rPr>
        <w:tab/>
        <w:t>Amend the renumbered 9.2.4.8.1 to read as follows (new wording underlined). Footnote 8 is renumbered as 9.</w:t>
      </w:r>
    </w:p>
    <w:p w14:paraId="4DFFFD69" w14:textId="77777777" w:rsidR="00DF0ED9" w:rsidRPr="000A37F9" w:rsidRDefault="00DF0ED9" w:rsidP="00DF0ED9">
      <w:pPr>
        <w:pStyle w:val="SingleTxtG"/>
        <w:spacing w:before="120"/>
        <w:ind w:left="2268" w:hanging="1134"/>
        <w:rPr>
          <w:lang w:val="en-GB"/>
        </w:rPr>
      </w:pPr>
      <w:r w:rsidRPr="000A37F9">
        <w:rPr>
          <w:lang w:val="en-GB"/>
        </w:rPr>
        <w:t>“9.2.4.8.1</w:t>
      </w:r>
      <w:r w:rsidRPr="000A37F9">
        <w:rPr>
          <w:lang w:val="en-GB"/>
        </w:rPr>
        <w:tab/>
        <w:t xml:space="preserve">Combustion </w:t>
      </w:r>
      <w:r w:rsidRPr="000A37F9">
        <w:rPr>
          <w:u w:val="single"/>
          <w:lang w:val="en-GB"/>
        </w:rPr>
        <w:t>and electric</w:t>
      </w:r>
      <w:r w:rsidRPr="000A37F9">
        <w:rPr>
          <w:b/>
          <w:i/>
          <w:strike/>
          <w:u w:val="single"/>
          <w:lang w:val="en-GB"/>
        </w:rPr>
        <w:t>al</w:t>
      </w:r>
      <w:r w:rsidRPr="000A37F9">
        <w:rPr>
          <w:lang w:val="en-GB"/>
        </w:rPr>
        <w:t xml:space="preserve"> heaters shall comply with the relevant technical requirements of UN Regulation No. 122⁹, as amended, in accordance with the dates of application specified therein and the provisions of 9.2.4.8.2 to 9.2.4.8.6 applicable according to the table in 9.2.1.”</w:t>
      </w:r>
    </w:p>
    <w:p w14:paraId="70A97398" w14:textId="77777777" w:rsidR="00DF0ED9" w:rsidRPr="000A37F9" w:rsidRDefault="00DF0ED9" w:rsidP="00DF0ED9">
      <w:pPr>
        <w:pStyle w:val="SingleTxtG"/>
        <w:spacing w:before="120"/>
        <w:rPr>
          <w:lang w:val="en-GB"/>
        </w:rPr>
      </w:pPr>
      <w:r w:rsidRPr="000A37F9">
        <w:rPr>
          <w:lang w:val="en-GB"/>
        </w:rPr>
        <w:t>11.</w:t>
      </w:r>
      <w:r w:rsidRPr="000A37F9">
        <w:rPr>
          <w:lang w:val="en-GB"/>
        </w:rPr>
        <w:tab/>
        <w:t>Amend the renumbered 9.2.4.8.5 to read (new wording underlined):</w:t>
      </w:r>
    </w:p>
    <w:p w14:paraId="2FC46EE1" w14:textId="77777777" w:rsidR="00DF0ED9" w:rsidRPr="000A37F9" w:rsidRDefault="00DF0ED9" w:rsidP="00DF0ED9">
      <w:pPr>
        <w:pStyle w:val="SingleTxtG"/>
        <w:spacing w:before="120"/>
        <w:ind w:left="2268" w:hanging="1134"/>
        <w:rPr>
          <w:lang w:val="en-GB"/>
        </w:rPr>
      </w:pPr>
      <w:r w:rsidRPr="000A37F9">
        <w:rPr>
          <w:lang w:val="en-GB"/>
        </w:rPr>
        <w:t>“9.2.4.8.</w:t>
      </w:r>
      <w:r w:rsidRPr="000A37F9">
        <w:rPr>
          <w:b/>
          <w:i/>
          <w:u w:val="single"/>
          <w:lang w:val="en-GB"/>
        </w:rPr>
        <w:t xml:space="preserve">5 </w:t>
      </w:r>
      <w:r w:rsidRPr="000A37F9">
        <w:rPr>
          <w:b/>
          <w:i/>
          <w:strike/>
          <w:u w:val="single"/>
          <w:lang w:val="en-GB"/>
        </w:rPr>
        <w:t>1</w:t>
      </w:r>
      <w:r w:rsidRPr="000A37F9">
        <w:rPr>
          <w:lang w:val="en-GB"/>
        </w:rPr>
        <w:tab/>
        <w:t>The combustion heater</w:t>
      </w:r>
      <w:r w:rsidRPr="000A37F9">
        <w:rPr>
          <w:u w:val="single"/>
          <w:lang w:val="en-GB"/>
        </w:rPr>
        <w:t>, or electric</w:t>
      </w:r>
      <w:r w:rsidRPr="000A37F9">
        <w:rPr>
          <w:b/>
          <w:i/>
          <w:strike/>
          <w:u w:val="single"/>
          <w:lang w:val="en-GB"/>
        </w:rPr>
        <w:t>al</w:t>
      </w:r>
      <w:r w:rsidRPr="000A37F9">
        <w:rPr>
          <w:strike/>
          <w:u w:val="single"/>
          <w:lang w:val="en-GB"/>
        </w:rPr>
        <w:t xml:space="preserve"> </w:t>
      </w:r>
      <w:r w:rsidRPr="000A37F9">
        <w:rPr>
          <w:u w:val="single"/>
          <w:lang w:val="en-GB"/>
        </w:rPr>
        <w:t>heater [for the drivers cab,]</w:t>
      </w:r>
      <w:r w:rsidRPr="000A37F9">
        <w:rPr>
          <w:lang w:val="en-GB"/>
        </w:rPr>
        <w:t xml:space="preserve"> shall be switched on manually. Programming devices shall be prohibited.”</w:t>
      </w:r>
    </w:p>
    <w:p w14:paraId="503CAC75" w14:textId="42B0D74D" w:rsidR="0020185F" w:rsidRPr="000A37F9" w:rsidRDefault="0020185F" w:rsidP="0020185F">
      <w:pPr>
        <w:spacing w:before="240"/>
        <w:jc w:val="center"/>
        <w:rPr>
          <w:u w:val="single"/>
        </w:rPr>
      </w:pPr>
      <w:r w:rsidRPr="000A37F9">
        <w:rPr>
          <w:u w:val="single"/>
        </w:rPr>
        <w:tab/>
      </w:r>
      <w:r w:rsidRPr="000A37F9">
        <w:rPr>
          <w:u w:val="single"/>
        </w:rPr>
        <w:tab/>
      </w:r>
      <w:r w:rsidRPr="000A37F9">
        <w:rPr>
          <w:u w:val="single"/>
        </w:rPr>
        <w:tab/>
      </w:r>
    </w:p>
    <w:p w14:paraId="7A7F4EDD" w14:textId="1DDE6D81" w:rsidR="004804CE" w:rsidRPr="000A37F9" w:rsidRDefault="004804CE" w:rsidP="00DF0ED9">
      <w:pPr>
        <w:pStyle w:val="HChG"/>
        <w:rPr>
          <w:u w:val="single"/>
          <w:lang w:val="en-GB"/>
        </w:rPr>
      </w:pPr>
    </w:p>
    <w:sectPr w:rsidR="004804CE" w:rsidRPr="000A37F9" w:rsidSect="0066083C">
      <w:headerReference w:type="even" r:id="rId11"/>
      <w:headerReference w:type="default" r:id="rId12"/>
      <w:footerReference w:type="even" r:id="rId13"/>
      <w:footerReference w:type="default" r:id="rId14"/>
      <w:headerReference w:type="first" r:id="rId15"/>
      <w:type w:val="continuous"/>
      <w:pgSz w:w="11906" w:h="16838" w:code="9"/>
      <w:pgMar w:top="1418" w:right="1134" w:bottom="1134" w:left="1134" w:header="851" w:footer="567" w:gutter="0"/>
      <w:cols w:space="720"/>
      <w:formProt w:val="0"/>
      <w:titlePg/>
      <w:docGrid w:linePitch="31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85373" w14:textId="77777777" w:rsidR="0089434D" w:rsidRDefault="0089434D">
      <w:pPr>
        <w:spacing w:line="240" w:lineRule="auto"/>
      </w:pPr>
      <w:r>
        <w:separator/>
      </w:r>
    </w:p>
  </w:endnote>
  <w:endnote w:type="continuationSeparator" w:id="0">
    <w:p w14:paraId="2FDDA11D" w14:textId="77777777" w:rsidR="0089434D" w:rsidRDefault="0089434D">
      <w:pPr>
        <w:spacing w:line="240" w:lineRule="auto"/>
      </w:pPr>
      <w:r>
        <w:continuationSeparator/>
      </w:r>
    </w:p>
  </w:endnote>
  <w:endnote w:type="continuationNotice" w:id="1">
    <w:p w14:paraId="5005FA4C" w14:textId="77777777" w:rsidR="0089434D" w:rsidRDefault="008943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7161" w14:textId="77777777" w:rsidR="00C23796" w:rsidRPr="00E023B1" w:rsidRDefault="00C23796">
    <w:pPr>
      <w:pStyle w:val="Footer"/>
      <w:rPr>
        <w:sz w:val="18"/>
        <w:szCs w:val="18"/>
      </w:rPr>
    </w:pPr>
    <w:r w:rsidRPr="00BE3581">
      <w:rPr>
        <w:b/>
        <w:sz w:val="18"/>
        <w:szCs w:val="18"/>
      </w:rPr>
      <w:fldChar w:fldCharType="begin"/>
    </w:r>
    <w:r w:rsidRPr="00BE3581">
      <w:rPr>
        <w:b/>
        <w:sz w:val="18"/>
        <w:szCs w:val="18"/>
      </w:rPr>
      <w:instrText xml:space="preserve"> PAGE   \* MERGEFORMAT </w:instrText>
    </w:r>
    <w:r w:rsidRPr="00BE3581">
      <w:rPr>
        <w:b/>
        <w:sz w:val="18"/>
        <w:szCs w:val="18"/>
      </w:rPr>
      <w:fldChar w:fldCharType="separate"/>
    </w:r>
    <w:r w:rsidR="00481EA8">
      <w:rPr>
        <w:b/>
        <w:noProof/>
        <w:sz w:val="18"/>
        <w:szCs w:val="18"/>
      </w:rPr>
      <w:t>2</w:t>
    </w:r>
    <w:r w:rsidRPr="00BE3581">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460F1" w14:textId="77777777" w:rsidR="00C23796" w:rsidRPr="00E023B1" w:rsidRDefault="00C23796">
    <w:pPr>
      <w:pStyle w:val="Footer"/>
      <w:jc w:val="right"/>
      <w:rPr>
        <w:b/>
        <w:sz w:val="18"/>
        <w:szCs w:val="18"/>
      </w:rPr>
    </w:pPr>
    <w:r w:rsidRPr="00E023B1">
      <w:rPr>
        <w:b/>
        <w:sz w:val="18"/>
        <w:szCs w:val="18"/>
      </w:rPr>
      <w:fldChar w:fldCharType="begin"/>
    </w:r>
    <w:r w:rsidRPr="00E023B1">
      <w:rPr>
        <w:b/>
        <w:sz w:val="18"/>
        <w:szCs w:val="18"/>
      </w:rPr>
      <w:instrText xml:space="preserve"> PAGE   \* MERGEFORMAT </w:instrText>
    </w:r>
    <w:r w:rsidRPr="00E023B1">
      <w:rPr>
        <w:b/>
        <w:sz w:val="18"/>
        <w:szCs w:val="18"/>
      </w:rPr>
      <w:fldChar w:fldCharType="separate"/>
    </w:r>
    <w:r>
      <w:rPr>
        <w:b/>
        <w:noProof/>
        <w:sz w:val="18"/>
        <w:szCs w:val="18"/>
      </w:rPr>
      <w:t>3</w:t>
    </w:r>
    <w:r w:rsidRPr="00E023B1">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C8BD8" w14:textId="77777777" w:rsidR="0089434D" w:rsidRDefault="0089434D">
      <w:r>
        <w:separator/>
      </w:r>
    </w:p>
  </w:footnote>
  <w:footnote w:type="continuationSeparator" w:id="0">
    <w:p w14:paraId="5ABA5B4C" w14:textId="77777777" w:rsidR="0089434D" w:rsidRDefault="0089434D">
      <w:r>
        <w:continuationSeparator/>
      </w:r>
    </w:p>
  </w:footnote>
  <w:footnote w:type="continuationNotice" w:id="1">
    <w:p w14:paraId="41AE92A2" w14:textId="77777777" w:rsidR="0089434D" w:rsidRDefault="0089434D">
      <w:pPr>
        <w:spacing w:line="240" w:lineRule="auto"/>
      </w:pPr>
    </w:p>
  </w:footnote>
  <w:footnote w:id="2">
    <w:p w14:paraId="791BB771" w14:textId="01C35782" w:rsidR="00DF0ED9" w:rsidRPr="00420528" w:rsidRDefault="00312496" w:rsidP="00DF0ED9">
      <w:pPr>
        <w:pStyle w:val="FootnoteText"/>
        <w:rPr>
          <w:lang w:val="en-US"/>
        </w:rPr>
      </w:pPr>
      <w:r>
        <w:tab/>
      </w:r>
      <w:r w:rsidR="00675560">
        <w:tab/>
      </w:r>
      <w:r w:rsidR="00DF0ED9" w:rsidRPr="00312496">
        <w:rPr>
          <w:rStyle w:val="FootnoteReference"/>
          <w:b/>
          <w:bCs/>
          <w:sz w:val="20"/>
        </w:rPr>
        <w:footnoteRef/>
      </w:r>
      <w:r>
        <w:tab/>
      </w:r>
      <w:r w:rsidR="00DF0ED9" w:rsidRPr="00312496">
        <w:rPr>
          <w:szCs w:val="18"/>
          <w:lang w:val="en-US"/>
        </w:rPr>
        <w:t>Lithium iron phosphate (LiFePO4).</w:t>
      </w:r>
    </w:p>
  </w:footnote>
  <w:footnote w:id="3">
    <w:p w14:paraId="37595221" w14:textId="3E00B8C5" w:rsidR="00DF0ED9" w:rsidRPr="00420528" w:rsidRDefault="00312496" w:rsidP="00DF0ED9">
      <w:pPr>
        <w:pStyle w:val="FootnoteText"/>
        <w:rPr>
          <w:lang w:val="nl-NL"/>
        </w:rPr>
      </w:pPr>
      <w:r>
        <w:rPr>
          <w:lang w:val="nl-NL"/>
        </w:rPr>
        <w:tab/>
      </w:r>
      <w:r w:rsidR="00675560">
        <w:rPr>
          <w:lang w:val="nl-NL"/>
        </w:rPr>
        <w:tab/>
      </w:r>
      <w:r w:rsidR="00DF0ED9" w:rsidRPr="00312496">
        <w:rPr>
          <w:rStyle w:val="FootnoteReference"/>
          <w:b/>
          <w:bCs/>
          <w:sz w:val="20"/>
        </w:rPr>
        <w:footnoteRef/>
      </w:r>
      <w:r>
        <w:rPr>
          <w:lang w:val="nl-NL"/>
        </w:rPr>
        <w:tab/>
      </w:r>
      <w:r w:rsidR="00DF0ED9" w:rsidRPr="00420528">
        <w:rPr>
          <w:lang w:val="nl-NL"/>
        </w:rPr>
        <w:t xml:space="preserve">Lithium Nickel </w:t>
      </w:r>
      <w:proofErr w:type="spellStart"/>
      <w:r w:rsidR="00DF0ED9" w:rsidRPr="00420528">
        <w:rPr>
          <w:lang w:val="nl-NL"/>
        </w:rPr>
        <w:t>Manganese</w:t>
      </w:r>
      <w:proofErr w:type="spellEnd"/>
      <w:r w:rsidR="00DF0ED9" w:rsidRPr="00420528">
        <w:rPr>
          <w:lang w:val="nl-NL"/>
        </w:rPr>
        <w:t xml:space="preserve"> </w:t>
      </w:r>
      <w:proofErr w:type="spellStart"/>
      <w:r w:rsidR="00DF0ED9" w:rsidRPr="00420528">
        <w:rPr>
          <w:lang w:val="nl-NL"/>
        </w:rPr>
        <w:t>Cobalt</w:t>
      </w:r>
      <w:proofErr w:type="spellEnd"/>
      <w:r w:rsidR="00DF0ED9" w:rsidRPr="00420528">
        <w:rPr>
          <w:lang w:val="nl-NL"/>
        </w:rPr>
        <w:t xml:space="preserve"> Oxide (LiNiM</w:t>
      </w:r>
      <w:r w:rsidR="00DF0ED9">
        <w:rPr>
          <w:lang w:val="nl-NL"/>
        </w:rPr>
        <w:t>nCoO2).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7202" w14:textId="69ED5892" w:rsidR="00C23796" w:rsidRPr="00630413" w:rsidRDefault="00C23796" w:rsidP="00E023B1">
    <w:pPr>
      <w:pStyle w:val="Header"/>
      <w:pBdr>
        <w:bottom w:val="single" w:sz="4" w:space="1" w:color="auto"/>
      </w:pBdr>
      <w:rPr>
        <w:b w:val="0"/>
        <w:szCs w:val="18"/>
      </w:rPr>
    </w:pPr>
    <w:r>
      <w:rPr>
        <w:szCs w:val="18"/>
      </w:rPr>
      <w:t>INF.</w:t>
    </w:r>
    <w:r w:rsidR="00B13F9F">
      <w:rPr>
        <w:szCs w:val="18"/>
      </w:rPr>
      <w:t>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9E1A" w14:textId="36DDFDCE" w:rsidR="00C23796" w:rsidRPr="00E023B1" w:rsidRDefault="00C23796" w:rsidP="00E023B1">
    <w:pPr>
      <w:pStyle w:val="Header"/>
      <w:pBdr>
        <w:bottom w:val="single" w:sz="4" w:space="1" w:color="auto"/>
      </w:pBdr>
      <w:jc w:val="right"/>
      <w:rPr>
        <w:szCs w:val="18"/>
      </w:rPr>
    </w:pPr>
    <w:r>
      <w:rPr>
        <w:szCs w:val="18"/>
      </w:rPr>
      <w:t>INF.</w:t>
    </w:r>
    <w:r w:rsidR="00462E79">
      <w:rPr>
        <w:szCs w:val="18"/>
      </w:rPr>
      <w:t>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282A" w14:textId="72AB93A7" w:rsidR="00C23796" w:rsidRPr="00E023B1" w:rsidRDefault="00C23796" w:rsidP="00E023B1">
    <w:pPr>
      <w:pStyle w:val="Header"/>
      <w:pBdr>
        <w:bottom w:val="single" w:sz="4" w:space="1" w:color="auto"/>
      </w:pBdr>
      <w:jc w:val="right"/>
      <w:rPr>
        <w:b w:val="0"/>
        <w:sz w:val="28"/>
        <w:szCs w:val="28"/>
      </w:rPr>
    </w:pPr>
    <w:r w:rsidRPr="00E023B1">
      <w:rPr>
        <w:sz w:val="28"/>
        <w:szCs w:val="28"/>
      </w:rPr>
      <w:t>INF.</w:t>
    </w:r>
    <w:r w:rsidR="00B13F9F">
      <w:rPr>
        <w:sz w:val="28"/>
        <w:szCs w:val="28"/>
      </w:rPr>
      <w:t>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7E252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02E57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8F06D7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2ECD8D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6F8AB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F491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026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3A4E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0845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22E8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4D562D"/>
    <w:multiLevelType w:val="hybridMultilevel"/>
    <w:tmpl w:val="AB8244C2"/>
    <w:lvl w:ilvl="0" w:tplc="090EC70C">
      <w:start w:val="1"/>
      <w:numFmt w:val="lowerLetter"/>
      <w:lvlText w:val="(%1)"/>
      <w:lvlJc w:val="left"/>
      <w:pPr>
        <w:ind w:left="2271" w:hanging="57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1" w15:restartNumberingAfterBreak="0">
    <w:nsid w:val="15116794"/>
    <w:multiLevelType w:val="hybridMultilevel"/>
    <w:tmpl w:val="771A8AC0"/>
    <w:lvl w:ilvl="0" w:tplc="BAB43F9A">
      <w:start w:val="13"/>
      <w:numFmt w:val="bullet"/>
      <w:lvlText w:val="-"/>
      <w:lvlJc w:val="left"/>
      <w:pPr>
        <w:ind w:left="1500" w:hanging="360"/>
      </w:pPr>
      <w:rPr>
        <w:rFonts w:ascii="Times New Roman" w:eastAsia="Times New Roman" w:hAnsi="Times New Roman" w:cs="Times New Roman" w:hint="default"/>
      </w:rPr>
    </w:lvl>
    <w:lvl w:ilvl="1" w:tplc="04130003" w:tentative="1">
      <w:start w:val="1"/>
      <w:numFmt w:val="bullet"/>
      <w:lvlText w:val="o"/>
      <w:lvlJc w:val="left"/>
      <w:pPr>
        <w:ind w:left="2220" w:hanging="360"/>
      </w:pPr>
      <w:rPr>
        <w:rFonts w:ascii="Courier New" w:hAnsi="Courier New" w:cs="Courier New"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abstractNum w:abstractNumId="12" w15:restartNumberingAfterBreak="0">
    <w:nsid w:val="22AC57CF"/>
    <w:multiLevelType w:val="hybridMultilevel"/>
    <w:tmpl w:val="7DD4B26C"/>
    <w:lvl w:ilvl="0" w:tplc="8EAA985C">
      <w:start w:val="1"/>
      <w:numFmt w:val="lowerLetter"/>
      <w:lvlText w:val="%1)"/>
      <w:lvlJc w:val="left"/>
      <w:pPr>
        <w:ind w:left="792" w:hanging="360"/>
      </w:pPr>
      <w:rPr>
        <w:rFonts w:cs="Times New Roman" w:hint="default"/>
      </w:rPr>
    </w:lvl>
    <w:lvl w:ilvl="1" w:tplc="040C0019" w:tentative="1">
      <w:start w:val="1"/>
      <w:numFmt w:val="lowerLetter"/>
      <w:lvlText w:val="%2."/>
      <w:lvlJc w:val="left"/>
      <w:pPr>
        <w:ind w:left="1512" w:hanging="360"/>
      </w:pPr>
      <w:rPr>
        <w:rFonts w:cs="Times New Roman"/>
      </w:rPr>
    </w:lvl>
    <w:lvl w:ilvl="2" w:tplc="040C001B" w:tentative="1">
      <w:start w:val="1"/>
      <w:numFmt w:val="lowerRoman"/>
      <w:lvlText w:val="%3."/>
      <w:lvlJc w:val="right"/>
      <w:pPr>
        <w:ind w:left="2232" w:hanging="180"/>
      </w:pPr>
      <w:rPr>
        <w:rFonts w:cs="Times New Roman"/>
      </w:rPr>
    </w:lvl>
    <w:lvl w:ilvl="3" w:tplc="040C000F" w:tentative="1">
      <w:start w:val="1"/>
      <w:numFmt w:val="decimal"/>
      <w:lvlText w:val="%4."/>
      <w:lvlJc w:val="left"/>
      <w:pPr>
        <w:ind w:left="2952" w:hanging="360"/>
      </w:pPr>
      <w:rPr>
        <w:rFonts w:cs="Times New Roman"/>
      </w:rPr>
    </w:lvl>
    <w:lvl w:ilvl="4" w:tplc="040C0019" w:tentative="1">
      <w:start w:val="1"/>
      <w:numFmt w:val="lowerLetter"/>
      <w:lvlText w:val="%5."/>
      <w:lvlJc w:val="left"/>
      <w:pPr>
        <w:ind w:left="3672" w:hanging="360"/>
      </w:pPr>
      <w:rPr>
        <w:rFonts w:cs="Times New Roman"/>
      </w:rPr>
    </w:lvl>
    <w:lvl w:ilvl="5" w:tplc="040C001B" w:tentative="1">
      <w:start w:val="1"/>
      <w:numFmt w:val="lowerRoman"/>
      <w:lvlText w:val="%6."/>
      <w:lvlJc w:val="right"/>
      <w:pPr>
        <w:ind w:left="4392" w:hanging="180"/>
      </w:pPr>
      <w:rPr>
        <w:rFonts w:cs="Times New Roman"/>
      </w:rPr>
    </w:lvl>
    <w:lvl w:ilvl="6" w:tplc="040C000F" w:tentative="1">
      <w:start w:val="1"/>
      <w:numFmt w:val="decimal"/>
      <w:lvlText w:val="%7."/>
      <w:lvlJc w:val="left"/>
      <w:pPr>
        <w:ind w:left="5112" w:hanging="360"/>
      </w:pPr>
      <w:rPr>
        <w:rFonts w:cs="Times New Roman"/>
      </w:rPr>
    </w:lvl>
    <w:lvl w:ilvl="7" w:tplc="040C0019" w:tentative="1">
      <w:start w:val="1"/>
      <w:numFmt w:val="lowerLetter"/>
      <w:lvlText w:val="%8."/>
      <w:lvlJc w:val="left"/>
      <w:pPr>
        <w:ind w:left="5832" w:hanging="360"/>
      </w:pPr>
      <w:rPr>
        <w:rFonts w:cs="Times New Roman"/>
      </w:rPr>
    </w:lvl>
    <w:lvl w:ilvl="8" w:tplc="040C001B" w:tentative="1">
      <w:start w:val="1"/>
      <w:numFmt w:val="lowerRoman"/>
      <w:lvlText w:val="%9."/>
      <w:lvlJc w:val="right"/>
      <w:pPr>
        <w:ind w:left="6552" w:hanging="180"/>
      </w:pPr>
      <w:rPr>
        <w:rFonts w:cs="Times New Roman"/>
      </w:rPr>
    </w:lvl>
  </w:abstractNum>
  <w:abstractNum w:abstractNumId="13" w15:restartNumberingAfterBreak="0">
    <w:nsid w:val="49335FE2"/>
    <w:multiLevelType w:val="hybridMultilevel"/>
    <w:tmpl w:val="332A5F72"/>
    <w:lvl w:ilvl="0" w:tplc="0814245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4BEA235A"/>
    <w:multiLevelType w:val="hybridMultilevel"/>
    <w:tmpl w:val="6D2A6824"/>
    <w:lvl w:ilvl="0" w:tplc="C50AA696">
      <w:start w:val="4"/>
      <w:numFmt w:val="bullet"/>
      <w:lvlText w:val="-"/>
      <w:lvlJc w:val="left"/>
      <w:pPr>
        <w:ind w:left="644" w:hanging="360"/>
      </w:pPr>
      <w:rPr>
        <w:rFonts w:ascii="Arial" w:eastAsia="Times New Roman" w:hAnsi="Arial"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15:restartNumberingAfterBreak="0">
    <w:nsid w:val="4E2F2F7D"/>
    <w:multiLevelType w:val="hybridMultilevel"/>
    <w:tmpl w:val="846CA6F2"/>
    <w:lvl w:ilvl="0" w:tplc="42621E80">
      <w:start w:val="1"/>
      <w:numFmt w:val="decimal"/>
      <w:lvlText w:val="%1."/>
      <w:lvlJc w:val="left"/>
      <w:pPr>
        <w:ind w:left="1853" w:hanging="576"/>
      </w:pPr>
      <w:rPr>
        <w:rFonts w:cs="Times New Roman" w:hint="default"/>
      </w:rPr>
    </w:lvl>
    <w:lvl w:ilvl="1" w:tplc="100C0019" w:tentative="1">
      <w:start w:val="1"/>
      <w:numFmt w:val="lowerLetter"/>
      <w:lvlText w:val="%2."/>
      <w:lvlJc w:val="left"/>
      <w:pPr>
        <w:ind w:left="2357" w:hanging="360"/>
      </w:pPr>
      <w:rPr>
        <w:rFonts w:cs="Times New Roman"/>
      </w:rPr>
    </w:lvl>
    <w:lvl w:ilvl="2" w:tplc="100C001B" w:tentative="1">
      <w:start w:val="1"/>
      <w:numFmt w:val="lowerRoman"/>
      <w:lvlText w:val="%3."/>
      <w:lvlJc w:val="right"/>
      <w:pPr>
        <w:ind w:left="3077" w:hanging="180"/>
      </w:pPr>
      <w:rPr>
        <w:rFonts w:cs="Times New Roman"/>
      </w:rPr>
    </w:lvl>
    <w:lvl w:ilvl="3" w:tplc="100C000F" w:tentative="1">
      <w:start w:val="1"/>
      <w:numFmt w:val="decimal"/>
      <w:lvlText w:val="%4."/>
      <w:lvlJc w:val="left"/>
      <w:pPr>
        <w:ind w:left="3797" w:hanging="360"/>
      </w:pPr>
      <w:rPr>
        <w:rFonts w:cs="Times New Roman"/>
      </w:rPr>
    </w:lvl>
    <w:lvl w:ilvl="4" w:tplc="100C0019" w:tentative="1">
      <w:start w:val="1"/>
      <w:numFmt w:val="lowerLetter"/>
      <w:lvlText w:val="%5."/>
      <w:lvlJc w:val="left"/>
      <w:pPr>
        <w:ind w:left="4517" w:hanging="360"/>
      </w:pPr>
      <w:rPr>
        <w:rFonts w:cs="Times New Roman"/>
      </w:rPr>
    </w:lvl>
    <w:lvl w:ilvl="5" w:tplc="100C001B" w:tentative="1">
      <w:start w:val="1"/>
      <w:numFmt w:val="lowerRoman"/>
      <w:lvlText w:val="%6."/>
      <w:lvlJc w:val="right"/>
      <w:pPr>
        <w:ind w:left="5237" w:hanging="180"/>
      </w:pPr>
      <w:rPr>
        <w:rFonts w:cs="Times New Roman"/>
      </w:rPr>
    </w:lvl>
    <w:lvl w:ilvl="6" w:tplc="100C000F" w:tentative="1">
      <w:start w:val="1"/>
      <w:numFmt w:val="decimal"/>
      <w:lvlText w:val="%7."/>
      <w:lvlJc w:val="left"/>
      <w:pPr>
        <w:ind w:left="5957" w:hanging="360"/>
      </w:pPr>
      <w:rPr>
        <w:rFonts w:cs="Times New Roman"/>
      </w:rPr>
    </w:lvl>
    <w:lvl w:ilvl="7" w:tplc="100C0019" w:tentative="1">
      <w:start w:val="1"/>
      <w:numFmt w:val="lowerLetter"/>
      <w:lvlText w:val="%8."/>
      <w:lvlJc w:val="left"/>
      <w:pPr>
        <w:ind w:left="6677" w:hanging="360"/>
      </w:pPr>
      <w:rPr>
        <w:rFonts w:cs="Times New Roman"/>
      </w:rPr>
    </w:lvl>
    <w:lvl w:ilvl="8" w:tplc="100C001B" w:tentative="1">
      <w:start w:val="1"/>
      <w:numFmt w:val="lowerRoman"/>
      <w:lvlText w:val="%9."/>
      <w:lvlJc w:val="right"/>
      <w:pPr>
        <w:ind w:left="7397" w:hanging="180"/>
      </w:pPr>
      <w:rPr>
        <w:rFonts w:cs="Times New Roman"/>
      </w:rPr>
    </w:lvl>
  </w:abstractNum>
  <w:abstractNum w:abstractNumId="16" w15:restartNumberingAfterBreak="0">
    <w:nsid w:val="622D2E33"/>
    <w:multiLevelType w:val="hybridMultilevel"/>
    <w:tmpl w:val="BFC8FF2C"/>
    <w:lvl w:ilvl="0" w:tplc="703E60EC">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7" w15:restartNumberingAfterBreak="0">
    <w:nsid w:val="6E5D468A"/>
    <w:multiLevelType w:val="hybridMultilevel"/>
    <w:tmpl w:val="024A424A"/>
    <w:lvl w:ilvl="0" w:tplc="584020BA">
      <w:start w:val="1"/>
      <w:numFmt w:val="lowerLetter"/>
      <w:lvlText w:val="(%1)"/>
      <w:lvlJc w:val="left"/>
      <w:pPr>
        <w:ind w:left="2061" w:hanging="360"/>
      </w:pPr>
      <w:rPr>
        <w:rFonts w:hint="default"/>
      </w:rPr>
    </w:lvl>
    <w:lvl w:ilvl="1" w:tplc="04130019" w:tentative="1">
      <w:start w:val="1"/>
      <w:numFmt w:val="lowerLetter"/>
      <w:lvlText w:val="%2."/>
      <w:lvlJc w:val="left"/>
      <w:pPr>
        <w:ind w:left="3565" w:hanging="360"/>
      </w:pPr>
    </w:lvl>
    <w:lvl w:ilvl="2" w:tplc="0413001B" w:tentative="1">
      <w:start w:val="1"/>
      <w:numFmt w:val="lowerRoman"/>
      <w:lvlText w:val="%3."/>
      <w:lvlJc w:val="right"/>
      <w:pPr>
        <w:ind w:left="4285" w:hanging="180"/>
      </w:pPr>
    </w:lvl>
    <w:lvl w:ilvl="3" w:tplc="0413000F" w:tentative="1">
      <w:start w:val="1"/>
      <w:numFmt w:val="decimal"/>
      <w:lvlText w:val="%4."/>
      <w:lvlJc w:val="left"/>
      <w:pPr>
        <w:ind w:left="5005" w:hanging="360"/>
      </w:pPr>
    </w:lvl>
    <w:lvl w:ilvl="4" w:tplc="04130019" w:tentative="1">
      <w:start w:val="1"/>
      <w:numFmt w:val="lowerLetter"/>
      <w:lvlText w:val="%5."/>
      <w:lvlJc w:val="left"/>
      <w:pPr>
        <w:ind w:left="5725" w:hanging="360"/>
      </w:pPr>
    </w:lvl>
    <w:lvl w:ilvl="5" w:tplc="0413001B" w:tentative="1">
      <w:start w:val="1"/>
      <w:numFmt w:val="lowerRoman"/>
      <w:lvlText w:val="%6."/>
      <w:lvlJc w:val="right"/>
      <w:pPr>
        <w:ind w:left="6445" w:hanging="180"/>
      </w:pPr>
    </w:lvl>
    <w:lvl w:ilvl="6" w:tplc="0413000F" w:tentative="1">
      <w:start w:val="1"/>
      <w:numFmt w:val="decimal"/>
      <w:lvlText w:val="%7."/>
      <w:lvlJc w:val="left"/>
      <w:pPr>
        <w:ind w:left="7165" w:hanging="360"/>
      </w:pPr>
    </w:lvl>
    <w:lvl w:ilvl="7" w:tplc="04130019" w:tentative="1">
      <w:start w:val="1"/>
      <w:numFmt w:val="lowerLetter"/>
      <w:lvlText w:val="%8."/>
      <w:lvlJc w:val="left"/>
      <w:pPr>
        <w:ind w:left="7885" w:hanging="360"/>
      </w:pPr>
    </w:lvl>
    <w:lvl w:ilvl="8" w:tplc="0413001B" w:tentative="1">
      <w:start w:val="1"/>
      <w:numFmt w:val="lowerRoman"/>
      <w:lvlText w:val="%9."/>
      <w:lvlJc w:val="right"/>
      <w:pPr>
        <w:ind w:left="8605" w:hanging="180"/>
      </w:pPr>
    </w:lvl>
  </w:abstractNum>
  <w:abstractNum w:abstractNumId="18" w15:restartNumberingAfterBreak="0">
    <w:nsid w:val="74AF34E2"/>
    <w:multiLevelType w:val="hybridMultilevel"/>
    <w:tmpl w:val="1BC013A4"/>
    <w:lvl w:ilvl="0" w:tplc="CF081C96">
      <w:start w:val="1"/>
      <w:numFmt w:val="decimal"/>
      <w:lvlText w:val="%1."/>
      <w:lvlJc w:val="left"/>
      <w:pPr>
        <w:ind w:left="1710" w:hanging="576"/>
      </w:pPr>
      <w:rPr>
        <w:rFonts w:hint="default"/>
      </w:rPr>
    </w:lvl>
    <w:lvl w:ilvl="1" w:tplc="04130019">
      <w:start w:val="1"/>
      <w:numFmt w:val="lowerLetter"/>
      <w:lvlText w:val="%2."/>
      <w:lvlJc w:val="left"/>
      <w:pPr>
        <w:ind w:left="2214" w:hanging="360"/>
      </w:pPr>
    </w:lvl>
    <w:lvl w:ilvl="2" w:tplc="0413001B">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9" w15:restartNumberingAfterBreak="0">
    <w:nsid w:val="7B3C7299"/>
    <w:multiLevelType w:val="hybridMultilevel"/>
    <w:tmpl w:val="F3FA8310"/>
    <w:lvl w:ilvl="0" w:tplc="7AB27206">
      <w:numFmt w:val="bullet"/>
      <w:lvlText w:val="-"/>
      <w:lvlJc w:val="left"/>
      <w:pPr>
        <w:ind w:left="1494" w:hanging="360"/>
      </w:pPr>
      <w:rPr>
        <w:rFonts w:ascii="Times New Roman" w:eastAsia="Times New Roman" w:hAnsi="Times New Roman" w:hint="default"/>
      </w:rPr>
    </w:lvl>
    <w:lvl w:ilvl="1" w:tplc="04130003" w:tentative="1">
      <w:start w:val="1"/>
      <w:numFmt w:val="bullet"/>
      <w:lvlText w:val="o"/>
      <w:lvlJc w:val="left"/>
      <w:pPr>
        <w:ind w:left="2214" w:hanging="360"/>
      </w:pPr>
      <w:rPr>
        <w:rFonts w:ascii="Courier New" w:hAnsi="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hint="default"/>
      </w:rPr>
    </w:lvl>
    <w:lvl w:ilvl="8" w:tplc="04130005" w:tentative="1">
      <w:start w:val="1"/>
      <w:numFmt w:val="bullet"/>
      <w:lvlText w:val=""/>
      <w:lvlJc w:val="left"/>
      <w:pPr>
        <w:ind w:left="725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4"/>
  </w:num>
  <w:num w:numId="42">
    <w:abstractNumId w:val="12"/>
  </w:num>
  <w:num w:numId="43">
    <w:abstractNumId w:val="15"/>
  </w:num>
  <w:num w:numId="44">
    <w:abstractNumId w:val="19"/>
  </w:num>
  <w:num w:numId="45">
    <w:abstractNumId w:val="13"/>
  </w:num>
  <w:num w:numId="46">
    <w:abstractNumId w:val="18"/>
  </w:num>
  <w:num w:numId="47">
    <w:abstractNumId w:val="17"/>
  </w:num>
  <w:num w:numId="48">
    <w:abstractNumId w:val="10"/>
  </w:num>
  <w:num w:numId="49">
    <w:abstractNumId w:val="11"/>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473"/>
    <w:rsid w:val="00001347"/>
    <w:rsid w:val="00004139"/>
    <w:rsid w:val="00004F9C"/>
    <w:rsid w:val="000204AF"/>
    <w:rsid w:val="00020846"/>
    <w:rsid w:val="000244CF"/>
    <w:rsid w:val="00030553"/>
    <w:rsid w:val="00031B6E"/>
    <w:rsid w:val="00032ED8"/>
    <w:rsid w:val="00037051"/>
    <w:rsid w:val="00065A36"/>
    <w:rsid w:val="000770F1"/>
    <w:rsid w:val="000A26E9"/>
    <w:rsid w:val="000A28B0"/>
    <w:rsid w:val="000A37F9"/>
    <w:rsid w:val="000B0482"/>
    <w:rsid w:val="000B3036"/>
    <w:rsid w:val="000B46A9"/>
    <w:rsid w:val="000B69A4"/>
    <w:rsid w:val="000D6455"/>
    <w:rsid w:val="000E1B70"/>
    <w:rsid w:val="000E416F"/>
    <w:rsid w:val="00111CE4"/>
    <w:rsid w:val="00121296"/>
    <w:rsid w:val="00124248"/>
    <w:rsid w:val="00124A6C"/>
    <w:rsid w:val="00124B77"/>
    <w:rsid w:val="00126B65"/>
    <w:rsid w:val="00130A61"/>
    <w:rsid w:val="00152473"/>
    <w:rsid w:val="0015267E"/>
    <w:rsid w:val="00162796"/>
    <w:rsid w:val="00180D9C"/>
    <w:rsid w:val="00187F82"/>
    <w:rsid w:val="00190B9E"/>
    <w:rsid w:val="00191375"/>
    <w:rsid w:val="001A32E7"/>
    <w:rsid w:val="001A71CF"/>
    <w:rsid w:val="001C39CE"/>
    <w:rsid w:val="001E44B6"/>
    <w:rsid w:val="001E5133"/>
    <w:rsid w:val="001F0D4E"/>
    <w:rsid w:val="001F16F5"/>
    <w:rsid w:val="001F657D"/>
    <w:rsid w:val="0020185F"/>
    <w:rsid w:val="00205832"/>
    <w:rsid w:val="002064AC"/>
    <w:rsid w:val="0021751C"/>
    <w:rsid w:val="00221AEA"/>
    <w:rsid w:val="00222BA9"/>
    <w:rsid w:val="002467CD"/>
    <w:rsid w:val="0025172E"/>
    <w:rsid w:val="002728F3"/>
    <w:rsid w:val="00274A7B"/>
    <w:rsid w:val="0027501F"/>
    <w:rsid w:val="00275A39"/>
    <w:rsid w:val="00290FD6"/>
    <w:rsid w:val="002A1E9A"/>
    <w:rsid w:val="002E404C"/>
    <w:rsid w:val="00312496"/>
    <w:rsid w:val="00316B80"/>
    <w:rsid w:val="003341D4"/>
    <w:rsid w:val="003348D4"/>
    <w:rsid w:val="00336A68"/>
    <w:rsid w:val="0034699D"/>
    <w:rsid w:val="00351228"/>
    <w:rsid w:val="00361661"/>
    <w:rsid w:val="00365836"/>
    <w:rsid w:val="00372FA0"/>
    <w:rsid w:val="003902F2"/>
    <w:rsid w:val="003A3CDE"/>
    <w:rsid w:val="003B0E8E"/>
    <w:rsid w:val="003B6F48"/>
    <w:rsid w:val="003C6374"/>
    <w:rsid w:val="003D24BD"/>
    <w:rsid w:val="003E3D3D"/>
    <w:rsid w:val="004027D9"/>
    <w:rsid w:val="00421B6C"/>
    <w:rsid w:val="00425748"/>
    <w:rsid w:val="00431D6C"/>
    <w:rsid w:val="00447288"/>
    <w:rsid w:val="00462E79"/>
    <w:rsid w:val="0047131A"/>
    <w:rsid w:val="004714C0"/>
    <w:rsid w:val="004804CE"/>
    <w:rsid w:val="00481EA8"/>
    <w:rsid w:val="00485AEF"/>
    <w:rsid w:val="004938A4"/>
    <w:rsid w:val="004A53C8"/>
    <w:rsid w:val="004A6057"/>
    <w:rsid w:val="004C4BF9"/>
    <w:rsid w:val="004D422C"/>
    <w:rsid w:val="004D6A03"/>
    <w:rsid w:val="004E209D"/>
    <w:rsid w:val="004E7791"/>
    <w:rsid w:val="004F71FA"/>
    <w:rsid w:val="0050636F"/>
    <w:rsid w:val="00541B25"/>
    <w:rsid w:val="00543F68"/>
    <w:rsid w:val="005649B5"/>
    <w:rsid w:val="00580801"/>
    <w:rsid w:val="00582C34"/>
    <w:rsid w:val="00592A26"/>
    <w:rsid w:val="005A249B"/>
    <w:rsid w:val="005A2A9D"/>
    <w:rsid w:val="005A457C"/>
    <w:rsid w:val="005B76C7"/>
    <w:rsid w:val="005D5FFB"/>
    <w:rsid w:val="005E6D91"/>
    <w:rsid w:val="005F5000"/>
    <w:rsid w:val="005F5F42"/>
    <w:rsid w:val="005F7D50"/>
    <w:rsid w:val="0060110F"/>
    <w:rsid w:val="00603EA3"/>
    <w:rsid w:val="00604860"/>
    <w:rsid w:val="00607B70"/>
    <w:rsid w:val="00616AD7"/>
    <w:rsid w:val="00630413"/>
    <w:rsid w:val="00632E91"/>
    <w:rsid w:val="006435E8"/>
    <w:rsid w:val="0064761B"/>
    <w:rsid w:val="0066083C"/>
    <w:rsid w:val="00675560"/>
    <w:rsid w:val="00677416"/>
    <w:rsid w:val="0069422F"/>
    <w:rsid w:val="006A3FBB"/>
    <w:rsid w:val="006A7F69"/>
    <w:rsid w:val="006B1505"/>
    <w:rsid w:val="006B2556"/>
    <w:rsid w:val="006C04D0"/>
    <w:rsid w:val="006D651C"/>
    <w:rsid w:val="006E2338"/>
    <w:rsid w:val="0070514D"/>
    <w:rsid w:val="00713BE2"/>
    <w:rsid w:val="007247CC"/>
    <w:rsid w:val="00725432"/>
    <w:rsid w:val="00727E18"/>
    <w:rsid w:val="007313AA"/>
    <w:rsid w:val="00737EBF"/>
    <w:rsid w:val="007701AF"/>
    <w:rsid w:val="00777F58"/>
    <w:rsid w:val="007959C8"/>
    <w:rsid w:val="007A34D3"/>
    <w:rsid w:val="007C735B"/>
    <w:rsid w:val="007D7C22"/>
    <w:rsid w:val="007E2F86"/>
    <w:rsid w:val="007F27B2"/>
    <w:rsid w:val="008277DB"/>
    <w:rsid w:val="00830530"/>
    <w:rsid w:val="00840CB5"/>
    <w:rsid w:val="0084145B"/>
    <w:rsid w:val="008416E2"/>
    <w:rsid w:val="00847A09"/>
    <w:rsid w:val="00851DF1"/>
    <w:rsid w:val="00872079"/>
    <w:rsid w:val="00877F4B"/>
    <w:rsid w:val="00886715"/>
    <w:rsid w:val="00890FFB"/>
    <w:rsid w:val="0089434D"/>
    <w:rsid w:val="008A49FA"/>
    <w:rsid w:val="008B0C17"/>
    <w:rsid w:val="008B1779"/>
    <w:rsid w:val="008C5B63"/>
    <w:rsid w:val="008C640D"/>
    <w:rsid w:val="008F302A"/>
    <w:rsid w:val="009052CC"/>
    <w:rsid w:val="00910763"/>
    <w:rsid w:val="009121E7"/>
    <w:rsid w:val="00913EC2"/>
    <w:rsid w:val="00917720"/>
    <w:rsid w:val="009276FC"/>
    <w:rsid w:val="0095119C"/>
    <w:rsid w:val="009521AF"/>
    <w:rsid w:val="00952E4B"/>
    <w:rsid w:val="00956453"/>
    <w:rsid w:val="00964211"/>
    <w:rsid w:val="00990E8A"/>
    <w:rsid w:val="009A1D6E"/>
    <w:rsid w:val="009A7A7A"/>
    <w:rsid w:val="009D6E87"/>
    <w:rsid w:val="009E188F"/>
    <w:rsid w:val="009F0BA5"/>
    <w:rsid w:val="009F70C1"/>
    <w:rsid w:val="00A01885"/>
    <w:rsid w:val="00A0681F"/>
    <w:rsid w:val="00A07FD9"/>
    <w:rsid w:val="00A2258E"/>
    <w:rsid w:val="00A372BF"/>
    <w:rsid w:val="00A50A9D"/>
    <w:rsid w:val="00A572AD"/>
    <w:rsid w:val="00A918D1"/>
    <w:rsid w:val="00A92CBF"/>
    <w:rsid w:val="00AB2826"/>
    <w:rsid w:val="00AC2105"/>
    <w:rsid w:val="00B03CAA"/>
    <w:rsid w:val="00B13F9F"/>
    <w:rsid w:val="00B262E5"/>
    <w:rsid w:val="00B33B1C"/>
    <w:rsid w:val="00B3602D"/>
    <w:rsid w:val="00B70CBD"/>
    <w:rsid w:val="00B86720"/>
    <w:rsid w:val="00B87CEC"/>
    <w:rsid w:val="00B95D9A"/>
    <w:rsid w:val="00BA0E50"/>
    <w:rsid w:val="00BA5615"/>
    <w:rsid w:val="00BE1004"/>
    <w:rsid w:val="00BE1488"/>
    <w:rsid w:val="00BE3581"/>
    <w:rsid w:val="00C02A46"/>
    <w:rsid w:val="00C13D1B"/>
    <w:rsid w:val="00C23796"/>
    <w:rsid w:val="00C300CC"/>
    <w:rsid w:val="00C74C38"/>
    <w:rsid w:val="00C929EE"/>
    <w:rsid w:val="00C979C8"/>
    <w:rsid w:val="00CA5E6B"/>
    <w:rsid w:val="00CD2EDE"/>
    <w:rsid w:val="00CE5320"/>
    <w:rsid w:val="00D0791D"/>
    <w:rsid w:val="00D332D7"/>
    <w:rsid w:val="00D42273"/>
    <w:rsid w:val="00D4775C"/>
    <w:rsid w:val="00D52557"/>
    <w:rsid w:val="00D626DA"/>
    <w:rsid w:val="00D6316A"/>
    <w:rsid w:val="00D92145"/>
    <w:rsid w:val="00D924DC"/>
    <w:rsid w:val="00DA566B"/>
    <w:rsid w:val="00DB3917"/>
    <w:rsid w:val="00DC1883"/>
    <w:rsid w:val="00DC1B7D"/>
    <w:rsid w:val="00DE2A2E"/>
    <w:rsid w:val="00DF0ED9"/>
    <w:rsid w:val="00E023B1"/>
    <w:rsid w:val="00E05920"/>
    <w:rsid w:val="00E103E3"/>
    <w:rsid w:val="00E50A7F"/>
    <w:rsid w:val="00E50DC8"/>
    <w:rsid w:val="00E604DC"/>
    <w:rsid w:val="00E610C2"/>
    <w:rsid w:val="00E95E73"/>
    <w:rsid w:val="00E97B94"/>
    <w:rsid w:val="00EA6D8A"/>
    <w:rsid w:val="00EB0359"/>
    <w:rsid w:val="00EC6F8C"/>
    <w:rsid w:val="00EE4457"/>
    <w:rsid w:val="00F0675E"/>
    <w:rsid w:val="00F1433E"/>
    <w:rsid w:val="00F1453F"/>
    <w:rsid w:val="00F25544"/>
    <w:rsid w:val="00F255C5"/>
    <w:rsid w:val="00F4079A"/>
    <w:rsid w:val="00F43DED"/>
    <w:rsid w:val="00F47565"/>
    <w:rsid w:val="00F65015"/>
    <w:rsid w:val="00F76683"/>
    <w:rsid w:val="00F838CB"/>
    <w:rsid w:val="00F83938"/>
    <w:rsid w:val="00F84D4B"/>
    <w:rsid w:val="00F948BB"/>
    <w:rsid w:val="00FB037D"/>
    <w:rsid w:val="00FB2FFF"/>
    <w:rsid w:val="00FD637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8BED022"/>
  <w15:docId w15:val="{23A9CF2A-4EBF-452A-BF37-CCAAD412A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F9C"/>
    <w:pPr>
      <w:suppressAutoHyphens/>
      <w:spacing w:line="240" w:lineRule="atLeast"/>
    </w:pPr>
    <w:rPr>
      <w:sz w:val="20"/>
      <w:szCs w:val="20"/>
      <w:lang w:val="en-GB" w:eastAsia="en-US"/>
    </w:rPr>
  </w:style>
  <w:style w:type="paragraph" w:styleId="Heading1">
    <w:name w:val="heading 1"/>
    <w:basedOn w:val="Normal"/>
    <w:link w:val="Heading1Char"/>
    <w:uiPriority w:val="99"/>
    <w:qFormat/>
    <w:rsid w:val="00004F9C"/>
    <w:pPr>
      <w:widowControl w:val="0"/>
      <w:suppressAutoHyphens w:val="0"/>
      <w:spacing w:line="240" w:lineRule="auto"/>
      <w:outlineLvl w:val="0"/>
    </w:pPr>
    <w:rPr>
      <w:lang w:eastAsia="en-GB"/>
    </w:rPr>
  </w:style>
  <w:style w:type="paragraph" w:styleId="Heading2">
    <w:name w:val="heading 2"/>
    <w:basedOn w:val="Normal"/>
    <w:next w:val="Normal"/>
    <w:link w:val="Heading2Char"/>
    <w:uiPriority w:val="99"/>
    <w:qFormat/>
    <w:rsid w:val="007A34D3"/>
    <w:pPr>
      <w:spacing w:line="240" w:lineRule="auto"/>
      <w:outlineLvl w:val="1"/>
    </w:pPr>
  </w:style>
  <w:style w:type="paragraph" w:styleId="Heading3">
    <w:name w:val="heading 3"/>
    <w:basedOn w:val="Normal"/>
    <w:next w:val="Normal"/>
    <w:link w:val="Heading3Char"/>
    <w:uiPriority w:val="99"/>
    <w:qFormat/>
    <w:rsid w:val="007A34D3"/>
    <w:pPr>
      <w:spacing w:line="240" w:lineRule="auto"/>
      <w:outlineLvl w:val="2"/>
    </w:pPr>
  </w:style>
  <w:style w:type="paragraph" w:styleId="Heading4">
    <w:name w:val="heading 4"/>
    <w:basedOn w:val="Normal"/>
    <w:next w:val="Normal"/>
    <w:link w:val="Heading4Char"/>
    <w:uiPriority w:val="99"/>
    <w:qFormat/>
    <w:rsid w:val="007A34D3"/>
    <w:pPr>
      <w:spacing w:line="240" w:lineRule="auto"/>
      <w:outlineLvl w:val="3"/>
    </w:pPr>
  </w:style>
  <w:style w:type="paragraph" w:styleId="Heading5">
    <w:name w:val="heading 5"/>
    <w:basedOn w:val="Normal"/>
    <w:next w:val="Normal"/>
    <w:link w:val="Heading5Char"/>
    <w:uiPriority w:val="99"/>
    <w:qFormat/>
    <w:rsid w:val="007A34D3"/>
    <w:pPr>
      <w:spacing w:line="240" w:lineRule="auto"/>
      <w:outlineLvl w:val="4"/>
    </w:pPr>
  </w:style>
  <w:style w:type="paragraph" w:styleId="Heading6">
    <w:name w:val="heading 6"/>
    <w:basedOn w:val="Normal"/>
    <w:next w:val="Normal"/>
    <w:link w:val="Heading6Char"/>
    <w:uiPriority w:val="99"/>
    <w:qFormat/>
    <w:rsid w:val="007A34D3"/>
    <w:pPr>
      <w:spacing w:line="240" w:lineRule="auto"/>
      <w:outlineLvl w:val="5"/>
    </w:pPr>
  </w:style>
  <w:style w:type="paragraph" w:styleId="Heading7">
    <w:name w:val="heading 7"/>
    <w:basedOn w:val="Normal"/>
    <w:next w:val="Normal"/>
    <w:link w:val="Heading7Char"/>
    <w:uiPriority w:val="99"/>
    <w:qFormat/>
    <w:rsid w:val="007A34D3"/>
    <w:pPr>
      <w:spacing w:line="240" w:lineRule="auto"/>
      <w:outlineLvl w:val="6"/>
    </w:pPr>
  </w:style>
  <w:style w:type="paragraph" w:styleId="Heading8">
    <w:name w:val="heading 8"/>
    <w:basedOn w:val="Normal"/>
    <w:next w:val="Normal"/>
    <w:link w:val="Heading8Char"/>
    <w:uiPriority w:val="99"/>
    <w:qFormat/>
    <w:rsid w:val="007A34D3"/>
    <w:pPr>
      <w:spacing w:line="240" w:lineRule="auto"/>
      <w:outlineLvl w:val="7"/>
    </w:pPr>
  </w:style>
  <w:style w:type="paragraph" w:styleId="Heading9">
    <w:name w:val="heading 9"/>
    <w:basedOn w:val="Normal"/>
    <w:next w:val="Normal"/>
    <w:link w:val="Heading9Char"/>
    <w:uiPriority w:val="99"/>
    <w:qFormat/>
    <w:rsid w:val="007A34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6057"/>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4A6057"/>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4A6057"/>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4A6057"/>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4A6057"/>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4A6057"/>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4A6057"/>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4A6057"/>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4A6057"/>
    <w:rPr>
      <w:rFonts w:ascii="Cambria" w:hAnsi="Cambria" w:cs="Times New Roman"/>
      <w:lang w:val="en-GB" w:eastAsia="en-US"/>
    </w:rPr>
  </w:style>
  <w:style w:type="paragraph" w:styleId="BalloonText">
    <w:name w:val="Balloon Text"/>
    <w:basedOn w:val="Normal"/>
    <w:link w:val="BalloonTextChar"/>
    <w:uiPriority w:val="99"/>
    <w:rsid w:val="00004F9C"/>
    <w:pPr>
      <w:spacing w:line="240" w:lineRule="auto"/>
    </w:pPr>
    <w:rPr>
      <w:rFonts w:ascii="Tahoma" w:hAnsi="Tahoma"/>
      <w:sz w:val="16"/>
      <w:szCs w:val="16"/>
      <w:lang w:val="fr-FR"/>
    </w:rPr>
  </w:style>
  <w:style w:type="character" w:customStyle="1" w:styleId="BalloonTextChar">
    <w:name w:val="Balloon Text Char"/>
    <w:basedOn w:val="DefaultParagraphFont"/>
    <w:link w:val="BalloonText"/>
    <w:uiPriority w:val="99"/>
    <w:locked/>
    <w:rsid w:val="00004F9C"/>
    <w:rPr>
      <w:rFonts w:ascii="Tahoma" w:hAnsi="Tahoma" w:cs="Times New Roman"/>
      <w:sz w:val="16"/>
      <w:lang w:eastAsia="en-US"/>
    </w:rPr>
  </w:style>
  <w:style w:type="character" w:styleId="PageNumber">
    <w:name w:val="page number"/>
    <w:basedOn w:val="DefaultParagraphFont"/>
    <w:uiPriority w:val="99"/>
    <w:rsid w:val="00004F9C"/>
    <w:rPr>
      <w:rFonts w:ascii="Times New Roman" w:hAnsi="Times New Roman" w:cs="Times New Roman"/>
      <w:b/>
      <w:sz w:val="18"/>
    </w:rPr>
  </w:style>
  <w:style w:type="character" w:styleId="EndnoteReference">
    <w:name w:val="endnote reference"/>
    <w:basedOn w:val="DefaultParagraphFont"/>
    <w:uiPriority w:val="99"/>
    <w:rsid w:val="00004F9C"/>
    <w:rPr>
      <w:rFonts w:ascii="Times New Roman" w:hAnsi="Times New Roman" w:cs="Times New Roman"/>
      <w:sz w:val="18"/>
      <w:vertAlign w:val="superscript"/>
    </w:rPr>
  </w:style>
  <w:style w:type="character" w:styleId="FootnoteReference">
    <w:name w:val="footnote reference"/>
    <w:basedOn w:val="DefaultParagraphFont"/>
    <w:uiPriority w:val="99"/>
    <w:rsid w:val="00004F9C"/>
    <w:rPr>
      <w:rFonts w:ascii="Times New Roman" w:hAnsi="Times New Roman" w:cs="Times New Roman"/>
      <w:sz w:val="18"/>
      <w:vertAlign w:val="superscript"/>
    </w:rPr>
  </w:style>
  <w:style w:type="character" w:styleId="CommentReference">
    <w:name w:val="annotation reference"/>
    <w:basedOn w:val="DefaultParagraphFont"/>
    <w:uiPriority w:val="99"/>
    <w:semiHidden/>
    <w:rsid w:val="007A34D3"/>
    <w:rPr>
      <w:rFonts w:cs="Times New Roman"/>
      <w:sz w:val="6"/>
    </w:rPr>
  </w:style>
  <w:style w:type="character" w:styleId="LineNumber">
    <w:name w:val="line number"/>
    <w:basedOn w:val="DefaultParagraphFont"/>
    <w:uiPriority w:val="99"/>
    <w:semiHidden/>
    <w:rsid w:val="007A34D3"/>
    <w:rPr>
      <w:rFonts w:cs="Times New Roman"/>
      <w:sz w:val="14"/>
    </w:rPr>
  </w:style>
  <w:style w:type="character" w:styleId="Emphasis">
    <w:name w:val="Emphasis"/>
    <w:basedOn w:val="DefaultParagraphFont"/>
    <w:uiPriority w:val="99"/>
    <w:qFormat/>
    <w:rsid w:val="00004F9C"/>
    <w:rPr>
      <w:rFonts w:cs="Times New Roman"/>
      <w:i/>
    </w:rPr>
  </w:style>
  <w:style w:type="character" w:styleId="FollowedHyperlink">
    <w:name w:val="FollowedHyperlink"/>
    <w:basedOn w:val="DefaultParagraphFont"/>
    <w:uiPriority w:val="99"/>
    <w:semiHidden/>
    <w:rsid w:val="00004F9C"/>
    <w:rPr>
      <w:rFonts w:cs="Times New Roman"/>
      <w:color w:val="800080"/>
      <w:u w:val="single"/>
    </w:rPr>
  </w:style>
  <w:style w:type="character" w:styleId="HTMLAcronym">
    <w:name w:val="HTML Acronym"/>
    <w:basedOn w:val="DefaultParagraphFont"/>
    <w:uiPriority w:val="99"/>
    <w:semiHidden/>
    <w:rsid w:val="00004F9C"/>
    <w:rPr>
      <w:rFonts w:cs="Times New Roman"/>
    </w:rPr>
  </w:style>
  <w:style w:type="character" w:styleId="HTMLCite">
    <w:name w:val="HTML Cite"/>
    <w:basedOn w:val="DefaultParagraphFont"/>
    <w:uiPriority w:val="99"/>
    <w:semiHidden/>
    <w:rsid w:val="00004F9C"/>
    <w:rPr>
      <w:rFonts w:cs="Times New Roman"/>
      <w:i/>
    </w:rPr>
  </w:style>
  <w:style w:type="character" w:styleId="HTMLCode">
    <w:name w:val="HTML Code"/>
    <w:basedOn w:val="DefaultParagraphFont"/>
    <w:uiPriority w:val="99"/>
    <w:semiHidden/>
    <w:rsid w:val="00004F9C"/>
    <w:rPr>
      <w:rFonts w:ascii="Courier New" w:hAnsi="Courier New" w:cs="Times New Roman"/>
      <w:sz w:val="20"/>
    </w:rPr>
  </w:style>
  <w:style w:type="character" w:styleId="HTMLDefinition">
    <w:name w:val="HTML Definition"/>
    <w:basedOn w:val="DefaultParagraphFont"/>
    <w:uiPriority w:val="99"/>
    <w:semiHidden/>
    <w:rsid w:val="00004F9C"/>
    <w:rPr>
      <w:rFonts w:cs="Times New Roman"/>
      <w:i/>
    </w:rPr>
  </w:style>
  <w:style w:type="character" w:styleId="HTMLKeyboard">
    <w:name w:val="HTML Keyboard"/>
    <w:basedOn w:val="DefaultParagraphFont"/>
    <w:uiPriority w:val="99"/>
    <w:semiHidden/>
    <w:rsid w:val="00004F9C"/>
    <w:rPr>
      <w:rFonts w:ascii="Courier New" w:hAnsi="Courier New" w:cs="Times New Roman"/>
      <w:sz w:val="20"/>
    </w:rPr>
  </w:style>
  <w:style w:type="character" w:styleId="HTMLSample">
    <w:name w:val="HTML Sample"/>
    <w:basedOn w:val="DefaultParagraphFont"/>
    <w:uiPriority w:val="99"/>
    <w:semiHidden/>
    <w:rsid w:val="00004F9C"/>
    <w:rPr>
      <w:rFonts w:ascii="Courier New" w:hAnsi="Courier New" w:cs="Times New Roman"/>
    </w:rPr>
  </w:style>
  <w:style w:type="character" w:styleId="HTMLTypewriter">
    <w:name w:val="HTML Typewriter"/>
    <w:basedOn w:val="DefaultParagraphFont"/>
    <w:uiPriority w:val="99"/>
    <w:semiHidden/>
    <w:rsid w:val="00004F9C"/>
    <w:rPr>
      <w:rFonts w:ascii="Courier New" w:hAnsi="Courier New" w:cs="Times New Roman"/>
      <w:sz w:val="20"/>
    </w:rPr>
  </w:style>
  <w:style w:type="character" w:styleId="HTMLVariable">
    <w:name w:val="HTML Variable"/>
    <w:basedOn w:val="DefaultParagraphFont"/>
    <w:uiPriority w:val="99"/>
    <w:semiHidden/>
    <w:rsid w:val="00004F9C"/>
    <w:rPr>
      <w:rFonts w:cs="Times New Roman"/>
      <w:i/>
    </w:rPr>
  </w:style>
  <w:style w:type="character" w:customStyle="1" w:styleId="LienInternet">
    <w:name w:val="Lien Internet"/>
    <w:uiPriority w:val="99"/>
    <w:semiHidden/>
    <w:rsid w:val="00004F9C"/>
    <w:rPr>
      <w:color w:val="0000FF"/>
      <w:u w:val="single"/>
    </w:rPr>
  </w:style>
  <w:style w:type="character" w:styleId="Strong">
    <w:name w:val="Strong"/>
    <w:basedOn w:val="DefaultParagraphFont"/>
    <w:uiPriority w:val="22"/>
    <w:qFormat/>
    <w:rsid w:val="00004F9C"/>
    <w:rPr>
      <w:rFonts w:cs="Times New Roman"/>
      <w:b/>
    </w:rPr>
  </w:style>
  <w:style w:type="character" w:customStyle="1" w:styleId="H1GChar">
    <w:name w:val="_ H_1_G Char"/>
    <w:link w:val="H1G"/>
    <w:locked/>
    <w:rsid w:val="00004F9C"/>
    <w:rPr>
      <w:b/>
      <w:sz w:val="24"/>
      <w:lang w:val="en-GB" w:eastAsia="en-US"/>
    </w:rPr>
  </w:style>
  <w:style w:type="character" w:customStyle="1" w:styleId="SingleTxtGChar">
    <w:name w:val="_ Single Txt_G Char"/>
    <w:link w:val="SingleTxtG"/>
    <w:qFormat/>
    <w:locked/>
    <w:rsid w:val="00004F9C"/>
    <w:rPr>
      <w:lang w:eastAsia="en-US"/>
    </w:rPr>
  </w:style>
  <w:style w:type="character" w:customStyle="1" w:styleId="SingleTxtGCar">
    <w:name w:val="_ Single Txt_G Car"/>
    <w:rsid w:val="00004F9C"/>
    <w:rPr>
      <w:lang w:val="en-GB" w:eastAsia="en-US"/>
    </w:rPr>
  </w:style>
  <w:style w:type="character" w:customStyle="1" w:styleId="HChGChar">
    <w:name w:val="_ H _Ch_G Char"/>
    <w:link w:val="HChG"/>
    <w:qFormat/>
    <w:locked/>
    <w:rsid w:val="00004F9C"/>
    <w:rPr>
      <w:b/>
      <w:sz w:val="28"/>
      <w:lang w:eastAsia="en-US"/>
    </w:rPr>
  </w:style>
  <w:style w:type="character" w:customStyle="1" w:styleId="HeaderChar">
    <w:name w:val="Header Char"/>
    <w:uiPriority w:val="99"/>
    <w:locked/>
    <w:rsid w:val="00004F9C"/>
    <w:rPr>
      <w:b/>
      <w:sz w:val="18"/>
      <w:lang w:eastAsia="en-US"/>
    </w:rPr>
  </w:style>
  <w:style w:type="character" w:customStyle="1" w:styleId="FootnoteTextChar">
    <w:name w:val="Footnote Text Char"/>
    <w:uiPriority w:val="99"/>
    <w:locked/>
    <w:rsid w:val="00004F9C"/>
    <w:rPr>
      <w:sz w:val="18"/>
      <w:lang w:eastAsia="en-US"/>
    </w:rPr>
  </w:style>
  <w:style w:type="character" w:customStyle="1" w:styleId="ListLabel1">
    <w:name w:val="ListLabel 1"/>
    <w:uiPriority w:val="99"/>
    <w:rsid w:val="007A34D3"/>
    <w:rPr>
      <w:sz w:val="20"/>
    </w:rPr>
  </w:style>
  <w:style w:type="character" w:customStyle="1" w:styleId="ListLabel2">
    <w:name w:val="ListLabel 2"/>
    <w:uiPriority w:val="99"/>
    <w:rsid w:val="007A34D3"/>
  </w:style>
  <w:style w:type="character" w:customStyle="1" w:styleId="ListLabel3">
    <w:name w:val="ListLabel 3"/>
    <w:uiPriority w:val="99"/>
    <w:rsid w:val="007A34D3"/>
    <w:rPr>
      <w:sz w:val="20"/>
    </w:rPr>
  </w:style>
  <w:style w:type="character" w:customStyle="1" w:styleId="ListLabel4">
    <w:name w:val="ListLabel 4"/>
    <w:uiPriority w:val="99"/>
    <w:rsid w:val="007A34D3"/>
    <w:rPr>
      <w:rFonts w:eastAsia="Times New Roman"/>
    </w:rPr>
  </w:style>
  <w:style w:type="character" w:customStyle="1" w:styleId="ListLabel5">
    <w:name w:val="ListLabel 5"/>
    <w:uiPriority w:val="99"/>
    <w:rsid w:val="007A34D3"/>
  </w:style>
  <w:style w:type="character" w:customStyle="1" w:styleId="ListLabel6">
    <w:name w:val="ListLabel 6"/>
    <w:uiPriority w:val="99"/>
    <w:rsid w:val="007A34D3"/>
  </w:style>
  <w:style w:type="character" w:customStyle="1" w:styleId="ListLabel7">
    <w:name w:val="ListLabel 7"/>
    <w:uiPriority w:val="99"/>
    <w:rsid w:val="007A34D3"/>
  </w:style>
  <w:style w:type="character" w:customStyle="1" w:styleId="ListLabel8">
    <w:name w:val="ListLabel 8"/>
    <w:uiPriority w:val="99"/>
    <w:rsid w:val="007A34D3"/>
    <w:rPr>
      <w:rFonts w:eastAsia="Times New Roman"/>
    </w:rPr>
  </w:style>
  <w:style w:type="character" w:customStyle="1" w:styleId="ListLabel9">
    <w:name w:val="ListLabel 9"/>
    <w:uiPriority w:val="99"/>
    <w:rsid w:val="007A34D3"/>
  </w:style>
  <w:style w:type="character" w:customStyle="1" w:styleId="ListLabel10">
    <w:name w:val="ListLabel 10"/>
    <w:uiPriority w:val="99"/>
    <w:rsid w:val="007A34D3"/>
  </w:style>
  <w:style w:type="character" w:customStyle="1" w:styleId="ListLabel11">
    <w:name w:val="ListLabel 11"/>
    <w:uiPriority w:val="99"/>
    <w:rsid w:val="007A34D3"/>
  </w:style>
  <w:style w:type="character" w:customStyle="1" w:styleId="ListLabel12">
    <w:name w:val="ListLabel 12"/>
    <w:uiPriority w:val="99"/>
    <w:rsid w:val="007A34D3"/>
    <w:rPr>
      <w:sz w:val="20"/>
    </w:rPr>
  </w:style>
  <w:style w:type="character" w:customStyle="1" w:styleId="ListLabel13">
    <w:name w:val="ListLabel 13"/>
    <w:uiPriority w:val="99"/>
    <w:rsid w:val="007A34D3"/>
  </w:style>
  <w:style w:type="character" w:customStyle="1" w:styleId="ListLabel14">
    <w:name w:val="ListLabel 14"/>
    <w:uiPriority w:val="99"/>
    <w:rsid w:val="007A34D3"/>
  </w:style>
  <w:style w:type="character" w:customStyle="1" w:styleId="ListLabel15">
    <w:name w:val="ListLabel 15"/>
    <w:uiPriority w:val="99"/>
    <w:rsid w:val="007A34D3"/>
  </w:style>
  <w:style w:type="character" w:customStyle="1" w:styleId="ListLabel16">
    <w:name w:val="ListLabel 16"/>
    <w:uiPriority w:val="99"/>
    <w:rsid w:val="007A34D3"/>
    <w:rPr>
      <w:b/>
    </w:rPr>
  </w:style>
  <w:style w:type="character" w:customStyle="1" w:styleId="ListLabel17">
    <w:name w:val="ListLabel 17"/>
    <w:uiPriority w:val="99"/>
    <w:rsid w:val="007A34D3"/>
  </w:style>
  <w:style w:type="character" w:customStyle="1" w:styleId="ListLabel18">
    <w:name w:val="ListLabel 18"/>
    <w:uiPriority w:val="99"/>
    <w:rsid w:val="007A34D3"/>
  </w:style>
  <w:style w:type="character" w:customStyle="1" w:styleId="ListLabel19">
    <w:name w:val="ListLabel 19"/>
    <w:uiPriority w:val="99"/>
    <w:rsid w:val="007A34D3"/>
    <w:rPr>
      <w:sz w:val="20"/>
    </w:rPr>
  </w:style>
  <w:style w:type="character" w:customStyle="1" w:styleId="ListLabel20">
    <w:name w:val="ListLabel 20"/>
    <w:uiPriority w:val="99"/>
    <w:rsid w:val="007A34D3"/>
    <w:rPr>
      <w:sz w:val="24"/>
    </w:rPr>
  </w:style>
  <w:style w:type="character" w:customStyle="1" w:styleId="ListLabel21">
    <w:name w:val="ListLabel 21"/>
    <w:uiPriority w:val="99"/>
    <w:rsid w:val="007A34D3"/>
    <w:rPr>
      <w:sz w:val="24"/>
    </w:rPr>
  </w:style>
  <w:style w:type="character" w:customStyle="1" w:styleId="ListLabel22">
    <w:name w:val="ListLabel 22"/>
    <w:uiPriority w:val="99"/>
    <w:rsid w:val="007A34D3"/>
    <w:rPr>
      <w:sz w:val="20"/>
    </w:rPr>
  </w:style>
  <w:style w:type="character" w:customStyle="1" w:styleId="ListLabel23">
    <w:name w:val="ListLabel 23"/>
    <w:uiPriority w:val="99"/>
    <w:rsid w:val="007A34D3"/>
    <w:rPr>
      <w:sz w:val="20"/>
    </w:rPr>
  </w:style>
  <w:style w:type="character" w:customStyle="1" w:styleId="ListLabel24">
    <w:name w:val="ListLabel 24"/>
    <w:uiPriority w:val="99"/>
    <w:rsid w:val="007A34D3"/>
    <w:rPr>
      <w:sz w:val="20"/>
    </w:rPr>
  </w:style>
  <w:style w:type="character" w:customStyle="1" w:styleId="ListLabel25">
    <w:name w:val="ListLabel 25"/>
    <w:uiPriority w:val="99"/>
    <w:rsid w:val="007A34D3"/>
    <w:rPr>
      <w:sz w:val="20"/>
    </w:rPr>
  </w:style>
  <w:style w:type="character" w:customStyle="1" w:styleId="ListLabel26">
    <w:name w:val="ListLabel 26"/>
    <w:uiPriority w:val="99"/>
    <w:rsid w:val="007A34D3"/>
    <w:rPr>
      <w:sz w:val="20"/>
    </w:rPr>
  </w:style>
  <w:style w:type="character" w:customStyle="1" w:styleId="ListLabel27">
    <w:name w:val="ListLabel 27"/>
    <w:uiPriority w:val="99"/>
    <w:rsid w:val="007A34D3"/>
    <w:rPr>
      <w:sz w:val="20"/>
    </w:rPr>
  </w:style>
  <w:style w:type="character" w:customStyle="1" w:styleId="ListLabel28">
    <w:name w:val="ListLabel 28"/>
    <w:uiPriority w:val="99"/>
    <w:rsid w:val="007A34D3"/>
    <w:rPr>
      <w:sz w:val="20"/>
    </w:rPr>
  </w:style>
  <w:style w:type="character" w:customStyle="1" w:styleId="ListLabel29">
    <w:name w:val="ListLabel 29"/>
    <w:uiPriority w:val="99"/>
    <w:rsid w:val="007A34D3"/>
    <w:rPr>
      <w:sz w:val="20"/>
    </w:rPr>
  </w:style>
  <w:style w:type="character" w:customStyle="1" w:styleId="ListLabel30">
    <w:name w:val="ListLabel 30"/>
    <w:uiPriority w:val="99"/>
    <w:rsid w:val="007A34D3"/>
    <w:rPr>
      <w:sz w:val="20"/>
    </w:rPr>
  </w:style>
  <w:style w:type="character" w:customStyle="1" w:styleId="ListLabel31">
    <w:name w:val="ListLabel 31"/>
    <w:uiPriority w:val="99"/>
    <w:rsid w:val="007A34D3"/>
    <w:rPr>
      <w:sz w:val="20"/>
    </w:rPr>
  </w:style>
  <w:style w:type="character" w:customStyle="1" w:styleId="ListLabel32">
    <w:name w:val="ListLabel 32"/>
    <w:uiPriority w:val="99"/>
    <w:rsid w:val="007A34D3"/>
    <w:rPr>
      <w:sz w:val="20"/>
    </w:rPr>
  </w:style>
  <w:style w:type="character" w:customStyle="1" w:styleId="ListLabel33">
    <w:name w:val="ListLabel 33"/>
    <w:uiPriority w:val="99"/>
    <w:rsid w:val="007A34D3"/>
    <w:rPr>
      <w:sz w:val="20"/>
    </w:rPr>
  </w:style>
  <w:style w:type="character" w:customStyle="1" w:styleId="ListLabel34">
    <w:name w:val="ListLabel 34"/>
    <w:uiPriority w:val="99"/>
    <w:rsid w:val="007A34D3"/>
    <w:rPr>
      <w:sz w:val="20"/>
    </w:rPr>
  </w:style>
  <w:style w:type="character" w:customStyle="1" w:styleId="ListLabel35">
    <w:name w:val="ListLabel 35"/>
    <w:uiPriority w:val="99"/>
    <w:rsid w:val="007A34D3"/>
    <w:rPr>
      <w:sz w:val="20"/>
    </w:rPr>
  </w:style>
  <w:style w:type="character" w:customStyle="1" w:styleId="ListLabel36">
    <w:name w:val="ListLabel 36"/>
    <w:uiPriority w:val="99"/>
    <w:rsid w:val="007A34D3"/>
    <w:rPr>
      <w:sz w:val="20"/>
    </w:rPr>
  </w:style>
  <w:style w:type="character" w:customStyle="1" w:styleId="ListLabel37">
    <w:name w:val="ListLabel 37"/>
    <w:uiPriority w:val="99"/>
    <w:rsid w:val="007A34D3"/>
    <w:rPr>
      <w:rFonts w:eastAsia="Times New Roman"/>
    </w:rPr>
  </w:style>
  <w:style w:type="character" w:customStyle="1" w:styleId="ListLabel38">
    <w:name w:val="ListLabel 38"/>
    <w:uiPriority w:val="99"/>
    <w:rsid w:val="007A34D3"/>
  </w:style>
  <w:style w:type="character" w:customStyle="1" w:styleId="ListLabel39">
    <w:name w:val="ListLabel 39"/>
    <w:uiPriority w:val="99"/>
    <w:rsid w:val="007A34D3"/>
  </w:style>
  <w:style w:type="character" w:customStyle="1" w:styleId="ListLabel40">
    <w:name w:val="ListLabel 40"/>
    <w:uiPriority w:val="99"/>
    <w:rsid w:val="007A34D3"/>
  </w:style>
  <w:style w:type="character" w:customStyle="1" w:styleId="ListLabel41">
    <w:name w:val="ListLabel 41"/>
    <w:uiPriority w:val="99"/>
    <w:rsid w:val="007A34D3"/>
    <w:rPr>
      <w:rFonts w:eastAsia="Times New Roman"/>
    </w:rPr>
  </w:style>
  <w:style w:type="character" w:customStyle="1" w:styleId="ListLabel42">
    <w:name w:val="ListLabel 42"/>
    <w:uiPriority w:val="99"/>
    <w:rsid w:val="007A34D3"/>
  </w:style>
  <w:style w:type="character" w:customStyle="1" w:styleId="ListLabel43">
    <w:name w:val="ListLabel 43"/>
    <w:uiPriority w:val="99"/>
    <w:rsid w:val="007A34D3"/>
  </w:style>
  <w:style w:type="character" w:customStyle="1" w:styleId="ListLabel44">
    <w:name w:val="ListLabel 44"/>
    <w:uiPriority w:val="99"/>
    <w:rsid w:val="007A34D3"/>
  </w:style>
  <w:style w:type="character" w:customStyle="1" w:styleId="ListLabel45">
    <w:name w:val="ListLabel 45"/>
    <w:uiPriority w:val="99"/>
    <w:rsid w:val="007A34D3"/>
    <w:rPr>
      <w:rFonts w:eastAsia="Times New Roman"/>
    </w:rPr>
  </w:style>
  <w:style w:type="character" w:customStyle="1" w:styleId="ListLabel46">
    <w:name w:val="ListLabel 46"/>
    <w:uiPriority w:val="99"/>
    <w:rsid w:val="007A34D3"/>
  </w:style>
  <w:style w:type="character" w:customStyle="1" w:styleId="ListLabel47">
    <w:name w:val="ListLabel 47"/>
    <w:uiPriority w:val="99"/>
    <w:rsid w:val="007A34D3"/>
  </w:style>
  <w:style w:type="character" w:customStyle="1" w:styleId="ListLabel48">
    <w:name w:val="ListLabel 48"/>
    <w:uiPriority w:val="99"/>
    <w:rsid w:val="007A34D3"/>
  </w:style>
  <w:style w:type="character" w:customStyle="1" w:styleId="ListLabel49">
    <w:name w:val="ListLabel 49"/>
    <w:uiPriority w:val="99"/>
    <w:rsid w:val="007A34D3"/>
    <w:rPr>
      <w:rFonts w:eastAsia="Times New Roman"/>
    </w:rPr>
  </w:style>
  <w:style w:type="character" w:customStyle="1" w:styleId="ListLabel50">
    <w:name w:val="ListLabel 50"/>
    <w:uiPriority w:val="99"/>
    <w:rsid w:val="007A34D3"/>
  </w:style>
  <w:style w:type="character" w:customStyle="1" w:styleId="ListLabel51">
    <w:name w:val="ListLabel 51"/>
    <w:uiPriority w:val="99"/>
    <w:rsid w:val="007A34D3"/>
  </w:style>
  <w:style w:type="character" w:customStyle="1" w:styleId="ListLabel52">
    <w:name w:val="ListLabel 52"/>
    <w:uiPriority w:val="99"/>
    <w:rsid w:val="007A34D3"/>
  </w:style>
  <w:style w:type="character" w:customStyle="1" w:styleId="ListLabel53">
    <w:name w:val="ListLabel 53"/>
    <w:uiPriority w:val="99"/>
    <w:rsid w:val="007A34D3"/>
    <w:rPr>
      <w:rFonts w:eastAsia="Times New Roman"/>
    </w:rPr>
  </w:style>
  <w:style w:type="character" w:customStyle="1" w:styleId="ListLabel54">
    <w:name w:val="ListLabel 54"/>
    <w:uiPriority w:val="99"/>
    <w:rsid w:val="007A34D3"/>
  </w:style>
  <w:style w:type="character" w:customStyle="1" w:styleId="ListLabel55">
    <w:name w:val="ListLabel 55"/>
    <w:uiPriority w:val="99"/>
    <w:rsid w:val="007A34D3"/>
  </w:style>
  <w:style w:type="character" w:customStyle="1" w:styleId="ListLabel56">
    <w:name w:val="ListLabel 56"/>
    <w:uiPriority w:val="99"/>
    <w:rsid w:val="007A34D3"/>
  </w:style>
  <w:style w:type="character" w:customStyle="1" w:styleId="ListLabel57">
    <w:name w:val="ListLabel 57"/>
    <w:uiPriority w:val="99"/>
    <w:rsid w:val="007A34D3"/>
    <w:rPr>
      <w:rFonts w:eastAsia="Times New Roman"/>
    </w:rPr>
  </w:style>
  <w:style w:type="character" w:customStyle="1" w:styleId="ListLabel58">
    <w:name w:val="ListLabel 58"/>
    <w:uiPriority w:val="99"/>
    <w:rsid w:val="007A34D3"/>
  </w:style>
  <w:style w:type="character" w:customStyle="1" w:styleId="ListLabel59">
    <w:name w:val="ListLabel 59"/>
    <w:uiPriority w:val="99"/>
    <w:rsid w:val="007A34D3"/>
  </w:style>
  <w:style w:type="character" w:customStyle="1" w:styleId="ListLabel60">
    <w:name w:val="ListLabel 60"/>
    <w:uiPriority w:val="99"/>
    <w:rsid w:val="007A34D3"/>
  </w:style>
  <w:style w:type="character" w:customStyle="1" w:styleId="ListLabel61">
    <w:name w:val="ListLabel 61"/>
    <w:uiPriority w:val="99"/>
    <w:rsid w:val="007A34D3"/>
    <w:rPr>
      <w:rFonts w:eastAsia="Times New Roman"/>
      <w:sz w:val="16"/>
    </w:rPr>
  </w:style>
  <w:style w:type="character" w:customStyle="1" w:styleId="ListLabel62">
    <w:name w:val="ListLabel 62"/>
    <w:uiPriority w:val="99"/>
    <w:rsid w:val="007A34D3"/>
  </w:style>
  <w:style w:type="character" w:customStyle="1" w:styleId="ListLabel63">
    <w:name w:val="ListLabel 63"/>
    <w:uiPriority w:val="99"/>
    <w:rsid w:val="007A34D3"/>
  </w:style>
  <w:style w:type="character" w:customStyle="1" w:styleId="ListLabel64">
    <w:name w:val="ListLabel 64"/>
    <w:uiPriority w:val="99"/>
    <w:rsid w:val="007A34D3"/>
  </w:style>
  <w:style w:type="character" w:customStyle="1" w:styleId="Caractresdenotedefin">
    <w:name w:val="Caractères de note de fin"/>
    <w:uiPriority w:val="99"/>
    <w:rsid w:val="007A34D3"/>
  </w:style>
  <w:style w:type="character" w:customStyle="1" w:styleId="Caractresdenotedebasdepage">
    <w:name w:val="Caractères de note de bas de page"/>
    <w:uiPriority w:val="99"/>
    <w:rsid w:val="007A34D3"/>
  </w:style>
  <w:style w:type="character" w:customStyle="1" w:styleId="Ancredenotedebasdepage">
    <w:name w:val="Ancre de note de bas de page"/>
    <w:uiPriority w:val="99"/>
    <w:rsid w:val="007A34D3"/>
    <w:rPr>
      <w:vertAlign w:val="superscript"/>
    </w:rPr>
  </w:style>
  <w:style w:type="character" w:customStyle="1" w:styleId="Ancredenotedefin">
    <w:name w:val="Ancre de note de fin"/>
    <w:uiPriority w:val="99"/>
    <w:rsid w:val="007A34D3"/>
    <w:rPr>
      <w:vertAlign w:val="superscript"/>
    </w:rPr>
  </w:style>
  <w:style w:type="paragraph" w:styleId="Title">
    <w:name w:val="Title"/>
    <w:basedOn w:val="Normal"/>
    <w:next w:val="BodyText"/>
    <w:link w:val="TitleChar"/>
    <w:uiPriority w:val="99"/>
    <w:qFormat/>
    <w:rsid w:val="007A34D3"/>
    <w:pPr>
      <w:keepNext/>
      <w:spacing w:before="240" w:after="120"/>
    </w:pPr>
    <w:rPr>
      <w:rFonts w:ascii="Liberation Sans" w:eastAsia="Microsoft YaHei" w:hAnsi="Liberation Sans" w:cs="Mangal"/>
      <w:sz w:val="28"/>
      <w:szCs w:val="28"/>
    </w:rPr>
  </w:style>
  <w:style w:type="character" w:customStyle="1" w:styleId="TitleChar">
    <w:name w:val="Title Char"/>
    <w:basedOn w:val="DefaultParagraphFont"/>
    <w:link w:val="Title"/>
    <w:uiPriority w:val="99"/>
    <w:locked/>
    <w:rsid w:val="004A6057"/>
    <w:rPr>
      <w:rFonts w:ascii="Cambria" w:hAnsi="Cambria" w:cs="Times New Roman"/>
      <w:b/>
      <w:bCs/>
      <w:kern w:val="28"/>
      <w:sz w:val="32"/>
      <w:szCs w:val="32"/>
      <w:lang w:val="en-GB" w:eastAsia="en-US"/>
    </w:rPr>
  </w:style>
  <w:style w:type="paragraph" w:styleId="BodyText">
    <w:name w:val="Body Text"/>
    <w:basedOn w:val="Normal"/>
    <w:next w:val="Normal"/>
    <w:link w:val="BodyTextChar"/>
    <w:uiPriority w:val="99"/>
    <w:semiHidden/>
    <w:rsid w:val="007A34D3"/>
  </w:style>
  <w:style w:type="character" w:customStyle="1" w:styleId="BodyTextChar">
    <w:name w:val="Body Text Char"/>
    <w:basedOn w:val="DefaultParagraphFont"/>
    <w:link w:val="BodyText"/>
    <w:uiPriority w:val="99"/>
    <w:semiHidden/>
    <w:locked/>
    <w:rsid w:val="004A6057"/>
    <w:rPr>
      <w:rFonts w:cs="Times New Roman"/>
      <w:sz w:val="20"/>
      <w:szCs w:val="20"/>
      <w:lang w:val="en-GB" w:eastAsia="en-US"/>
    </w:rPr>
  </w:style>
  <w:style w:type="paragraph" w:styleId="List">
    <w:name w:val="List"/>
    <w:basedOn w:val="Normal"/>
    <w:uiPriority w:val="99"/>
    <w:semiHidden/>
    <w:rsid w:val="00004F9C"/>
    <w:pPr>
      <w:ind w:left="283" w:hanging="283"/>
    </w:pPr>
  </w:style>
  <w:style w:type="paragraph" w:styleId="Caption">
    <w:name w:val="caption"/>
    <w:basedOn w:val="Normal"/>
    <w:uiPriority w:val="99"/>
    <w:qFormat/>
    <w:rsid w:val="007A34D3"/>
    <w:pPr>
      <w:suppressLineNumbers/>
      <w:spacing w:before="120" w:after="120"/>
    </w:pPr>
    <w:rPr>
      <w:rFonts w:cs="Mangal"/>
      <w:i/>
      <w:iCs/>
      <w:sz w:val="24"/>
      <w:szCs w:val="24"/>
    </w:rPr>
  </w:style>
  <w:style w:type="paragraph" w:customStyle="1" w:styleId="Index">
    <w:name w:val="Index"/>
    <w:basedOn w:val="Normal"/>
    <w:uiPriority w:val="99"/>
    <w:rsid w:val="007A34D3"/>
    <w:pPr>
      <w:suppressLineNumbers/>
    </w:pPr>
    <w:rPr>
      <w:rFonts w:cs="Mangal"/>
    </w:rPr>
  </w:style>
  <w:style w:type="paragraph" w:customStyle="1" w:styleId="HMG">
    <w:name w:val="_ H __M_G"/>
    <w:basedOn w:val="Normal"/>
    <w:next w:val="Normal"/>
    <w:uiPriority w:val="99"/>
    <w:rsid w:val="007A34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A34D3"/>
    <w:pPr>
      <w:keepNext/>
      <w:keepLines/>
      <w:tabs>
        <w:tab w:val="right" w:pos="851"/>
      </w:tabs>
      <w:spacing w:before="360" w:after="240" w:line="300" w:lineRule="exact"/>
      <w:ind w:left="1134" w:right="1134" w:hanging="1134"/>
    </w:pPr>
    <w:rPr>
      <w:b/>
      <w:sz w:val="28"/>
      <w:lang w:val="fr-FR"/>
    </w:rPr>
  </w:style>
  <w:style w:type="paragraph" w:customStyle="1" w:styleId="ParaNoG">
    <w:name w:val="_ParaNo._G"/>
    <w:uiPriority w:val="99"/>
    <w:rsid w:val="007A34D3"/>
    <w:pPr>
      <w:widowControl w:val="0"/>
    </w:pPr>
    <w:rPr>
      <w:sz w:val="20"/>
      <w:szCs w:val="20"/>
      <w:lang w:val="en-GB" w:eastAsia="en-GB"/>
    </w:rPr>
  </w:style>
  <w:style w:type="paragraph" w:customStyle="1" w:styleId="SingleTxtG">
    <w:name w:val="_ Single Txt_G"/>
    <w:basedOn w:val="Normal"/>
    <w:link w:val="SingleTxtGChar"/>
    <w:qFormat/>
    <w:rsid w:val="007A34D3"/>
    <w:pPr>
      <w:spacing w:after="120"/>
      <w:ind w:left="1134" w:right="1134"/>
      <w:jc w:val="both"/>
    </w:pPr>
    <w:rPr>
      <w:lang w:val="fr-FR"/>
    </w:rPr>
  </w:style>
  <w:style w:type="paragraph" w:styleId="PlainText">
    <w:name w:val="Plain Text"/>
    <w:basedOn w:val="Normal"/>
    <w:link w:val="PlainTextChar"/>
    <w:uiPriority w:val="99"/>
    <w:semiHidden/>
    <w:rsid w:val="007A34D3"/>
    <w:rPr>
      <w:rFonts w:cs="Courier New"/>
    </w:rPr>
  </w:style>
  <w:style w:type="character" w:customStyle="1" w:styleId="PlainTextChar">
    <w:name w:val="Plain Text Char"/>
    <w:basedOn w:val="DefaultParagraphFont"/>
    <w:link w:val="PlainText"/>
    <w:uiPriority w:val="99"/>
    <w:semiHidden/>
    <w:locked/>
    <w:rsid w:val="004A6057"/>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7A34D3"/>
    <w:pPr>
      <w:spacing w:after="120"/>
      <w:ind w:left="283"/>
    </w:pPr>
  </w:style>
  <w:style w:type="paragraph" w:styleId="BlockText">
    <w:name w:val="Block Text"/>
    <w:basedOn w:val="Normal"/>
    <w:uiPriority w:val="99"/>
    <w:semiHidden/>
    <w:rsid w:val="007A34D3"/>
    <w:pPr>
      <w:ind w:left="1440" w:right="1440"/>
    </w:pPr>
  </w:style>
  <w:style w:type="paragraph" w:customStyle="1" w:styleId="SMG">
    <w:name w:val="__S_M_G"/>
    <w:basedOn w:val="Normal"/>
    <w:next w:val="Normal"/>
    <w:uiPriority w:val="99"/>
    <w:rsid w:val="00004F9C"/>
    <w:pPr>
      <w:keepNext/>
      <w:keepLines/>
      <w:spacing w:before="240" w:after="240" w:line="420" w:lineRule="exact"/>
      <w:ind w:left="1134" w:right="1134"/>
    </w:pPr>
    <w:rPr>
      <w:b/>
      <w:sz w:val="40"/>
    </w:rPr>
  </w:style>
  <w:style w:type="paragraph" w:customStyle="1" w:styleId="SLG">
    <w:name w:val="__S_L_G"/>
    <w:basedOn w:val="Normal"/>
    <w:next w:val="Normal"/>
    <w:uiPriority w:val="99"/>
    <w:rsid w:val="00004F9C"/>
    <w:pPr>
      <w:keepNext/>
      <w:keepLines/>
      <w:spacing w:before="240" w:after="240" w:line="580" w:lineRule="exact"/>
      <w:ind w:left="1134" w:right="1134"/>
    </w:pPr>
    <w:rPr>
      <w:b/>
      <w:sz w:val="56"/>
    </w:rPr>
  </w:style>
  <w:style w:type="paragraph" w:customStyle="1" w:styleId="SSG">
    <w:name w:val="__S_S_G"/>
    <w:basedOn w:val="Normal"/>
    <w:next w:val="Normal"/>
    <w:uiPriority w:val="99"/>
    <w:rsid w:val="00004F9C"/>
    <w:pPr>
      <w:keepNext/>
      <w:keepLines/>
      <w:spacing w:before="240" w:after="240" w:line="300" w:lineRule="exact"/>
      <w:ind w:left="1134" w:right="1134"/>
    </w:pPr>
    <w:rPr>
      <w:b/>
      <w:sz w:val="28"/>
    </w:rPr>
  </w:style>
  <w:style w:type="paragraph" w:styleId="FootnoteText">
    <w:name w:val="footnote text"/>
    <w:basedOn w:val="Normal"/>
    <w:link w:val="FootnoteTextChar1"/>
    <w:uiPriority w:val="99"/>
    <w:rsid w:val="007A34D3"/>
    <w:rPr>
      <w:sz w:val="18"/>
      <w:lang w:val="fr-FR"/>
    </w:rPr>
  </w:style>
  <w:style w:type="character" w:customStyle="1" w:styleId="FootnoteTextChar1">
    <w:name w:val="Footnote Text Char1"/>
    <w:basedOn w:val="DefaultParagraphFont"/>
    <w:link w:val="FootnoteText"/>
    <w:uiPriority w:val="99"/>
    <w:semiHidden/>
    <w:locked/>
    <w:rsid w:val="004A6057"/>
    <w:rPr>
      <w:rFonts w:cs="Times New Roman"/>
      <w:sz w:val="20"/>
      <w:szCs w:val="20"/>
      <w:lang w:val="en-GB" w:eastAsia="en-US"/>
    </w:rPr>
  </w:style>
  <w:style w:type="paragraph" w:customStyle="1" w:styleId="XLargeG">
    <w:name w:val="__XLarge_G"/>
    <w:basedOn w:val="Normal"/>
    <w:next w:val="Normal"/>
    <w:uiPriority w:val="99"/>
    <w:rsid w:val="00004F9C"/>
    <w:pPr>
      <w:keepNext/>
      <w:keepLines/>
      <w:spacing w:before="240" w:after="240" w:line="420" w:lineRule="exact"/>
      <w:ind w:left="1134" w:right="1134"/>
    </w:pPr>
    <w:rPr>
      <w:b/>
      <w:sz w:val="40"/>
    </w:rPr>
  </w:style>
  <w:style w:type="paragraph" w:customStyle="1" w:styleId="Bullet1G">
    <w:name w:val="_Bullet 1_G"/>
    <w:basedOn w:val="Normal"/>
    <w:uiPriority w:val="99"/>
    <w:rsid w:val="00004F9C"/>
    <w:pPr>
      <w:spacing w:after="120"/>
      <w:ind w:right="1134"/>
      <w:jc w:val="both"/>
    </w:pPr>
  </w:style>
  <w:style w:type="paragraph" w:styleId="EndnoteText">
    <w:name w:val="endnote text"/>
    <w:basedOn w:val="FootnoteText"/>
    <w:link w:val="EndnoteTextChar"/>
    <w:uiPriority w:val="99"/>
    <w:rsid w:val="00004F9C"/>
    <w:pPr>
      <w:tabs>
        <w:tab w:val="right" w:pos="1021"/>
      </w:tabs>
      <w:spacing w:line="220" w:lineRule="exact"/>
      <w:ind w:left="1134" w:right="1134" w:hanging="1134"/>
    </w:pPr>
  </w:style>
  <w:style w:type="character" w:customStyle="1" w:styleId="EndnoteTextChar">
    <w:name w:val="Endnote Text Char"/>
    <w:basedOn w:val="DefaultParagraphFont"/>
    <w:link w:val="EndnoteText"/>
    <w:uiPriority w:val="99"/>
    <w:semiHidden/>
    <w:locked/>
    <w:rsid w:val="004A6057"/>
    <w:rPr>
      <w:rFonts w:cs="Times New Roman"/>
      <w:sz w:val="20"/>
      <w:szCs w:val="20"/>
      <w:lang w:val="en-GB" w:eastAsia="en-US"/>
    </w:rPr>
  </w:style>
  <w:style w:type="paragraph" w:styleId="CommentText">
    <w:name w:val="annotation text"/>
    <w:basedOn w:val="Normal"/>
    <w:link w:val="CommentTextChar"/>
    <w:uiPriority w:val="99"/>
    <w:semiHidden/>
    <w:rsid w:val="007A34D3"/>
  </w:style>
  <w:style w:type="character" w:customStyle="1" w:styleId="CommentTextChar">
    <w:name w:val="Comment Text Char"/>
    <w:basedOn w:val="DefaultParagraphFont"/>
    <w:link w:val="CommentText"/>
    <w:uiPriority w:val="99"/>
    <w:semiHidden/>
    <w:locked/>
    <w:rsid w:val="004A6057"/>
    <w:rPr>
      <w:rFonts w:cs="Times New Roman"/>
      <w:sz w:val="20"/>
      <w:szCs w:val="20"/>
      <w:lang w:val="en-GB" w:eastAsia="en-US"/>
    </w:rPr>
  </w:style>
  <w:style w:type="paragraph" w:customStyle="1" w:styleId="Bullet2G">
    <w:name w:val="_Bullet 2_G"/>
    <w:basedOn w:val="Normal"/>
    <w:uiPriority w:val="99"/>
    <w:rsid w:val="00004F9C"/>
    <w:pPr>
      <w:spacing w:after="120"/>
      <w:ind w:right="1134"/>
      <w:jc w:val="both"/>
    </w:pPr>
  </w:style>
  <w:style w:type="paragraph" w:customStyle="1" w:styleId="H1G">
    <w:name w:val="_ H_1_G"/>
    <w:basedOn w:val="Normal"/>
    <w:next w:val="Normal"/>
    <w:link w:val="H1GChar"/>
    <w:qFormat/>
    <w:rsid w:val="007A34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7A34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7A34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7A34D3"/>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004F9C"/>
    <w:pPr>
      <w:spacing w:after="120" w:line="480" w:lineRule="auto"/>
    </w:pPr>
  </w:style>
  <w:style w:type="character" w:customStyle="1" w:styleId="BodyText2Char">
    <w:name w:val="Body Text 2 Char"/>
    <w:basedOn w:val="DefaultParagraphFont"/>
    <w:link w:val="BodyText2"/>
    <w:uiPriority w:val="99"/>
    <w:semiHidden/>
    <w:locked/>
    <w:rsid w:val="004A6057"/>
    <w:rPr>
      <w:rFonts w:cs="Times New Roman"/>
      <w:sz w:val="20"/>
      <w:szCs w:val="20"/>
      <w:lang w:val="en-GB" w:eastAsia="en-US"/>
    </w:rPr>
  </w:style>
  <w:style w:type="paragraph" w:styleId="BodyText3">
    <w:name w:val="Body Text 3"/>
    <w:basedOn w:val="Normal"/>
    <w:link w:val="BodyText3Char"/>
    <w:uiPriority w:val="99"/>
    <w:semiHidden/>
    <w:rsid w:val="00004F9C"/>
    <w:pPr>
      <w:spacing w:after="120"/>
    </w:pPr>
    <w:rPr>
      <w:sz w:val="16"/>
      <w:szCs w:val="16"/>
    </w:rPr>
  </w:style>
  <w:style w:type="character" w:customStyle="1" w:styleId="BodyText3Char">
    <w:name w:val="Body Text 3 Char"/>
    <w:basedOn w:val="DefaultParagraphFont"/>
    <w:link w:val="BodyText3"/>
    <w:uiPriority w:val="99"/>
    <w:semiHidden/>
    <w:locked/>
    <w:rsid w:val="004A6057"/>
    <w:rPr>
      <w:rFonts w:cs="Times New Roman"/>
      <w:sz w:val="16"/>
      <w:szCs w:val="16"/>
      <w:lang w:val="en-GB" w:eastAsia="en-US"/>
    </w:rPr>
  </w:style>
  <w:style w:type="paragraph" w:styleId="BodyTextIndent">
    <w:name w:val="Body Text Indent"/>
    <w:basedOn w:val="BodyText"/>
    <w:link w:val="BodyTextIndentChar"/>
    <w:uiPriority w:val="99"/>
    <w:semiHidden/>
    <w:rsid w:val="00004F9C"/>
    <w:pPr>
      <w:spacing w:after="120"/>
      <w:ind w:firstLine="210"/>
    </w:pPr>
  </w:style>
  <w:style w:type="character" w:customStyle="1" w:styleId="BodyTextIndentChar">
    <w:name w:val="Body Text Indent Char"/>
    <w:basedOn w:val="DefaultParagraphFont"/>
    <w:link w:val="BodyTextIndent"/>
    <w:uiPriority w:val="99"/>
    <w:semiHidden/>
    <w:locked/>
    <w:rsid w:val="004A6057"/>
    <w:rPr>
      <w:rFonts w:cs="Times New Roman"/>
      <w:sz w:val="20"/>
      <w:szCs w:val="20"/>
      <w:lang w:val="en-GB" w:eastAsia="en-US"/>
    </w:rPr>
  </w:style>
  <w:style w:type="paragraph" w:styleId="BodyTextFirstIndent2">
    <w:name w:val="Body Text First Indent 2"/>
    <w:basedOn w:val="Retraitdecorpsdetexte"/>
    <w:link w:val="BodyTextFirstIndent2Char"/>
    <w:uiPriority w:val="99"/>
    <w:semiHidden/>
    <w:rsid w:val="00004F9C"/>
    <w:pPr>
      <w:ind w:firstLine="210"/>
    </w:pPr>
  </w:style>
  <w:style w:type="character" w:customStyle="1" w:styleId="BodyTextFirstIndent2Char">
    <w:name w:val="Body Text First Indent 2 Char"/>
    <w:basedOn w:val="BodyTextIndentChar"/>
    <w:link w:val="BodyTextFirstIndent2"/>
    <w:uiPriority w:val="99"/>
    <w:semiHidden/>
    <w:locked/>
    <w:rsid w:val="004A6057"/>
    <w:rPr>
      <w:rFonts w:cs="Times New Roman"/>
      <w:sz w:val="20"/>
      <w:szCs w:val="20"/>
      <w:lang w:val="en-GB" w:eastAsia="en-US"/>
    </w:rPr>
  </w:style>
  <w:style w:type="paragraph" w:styleId="BodyTextIndent2">
    <w:name w:val="Body Text Indent 2"/>
    <w:basedOn w:val="Normal"/>
    <w:link w:val="BodyTextIndent2Char"/>
    <w:uiPriority w:val="99"/>
    <w:semiHidden/>
    <w:rsid w:val="00004F9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A6057"/>
    <w:rPr>
      <w:rFonts w:cs="Times New Roman"/>
      <w:sz w:val="20"/>
      <w:szCs w:val="20"/>
      <w:lang w:val="en-GB" w:eastAsia="en-US"/>
    </w:rPr>
  </w:style>
  <w:style w:type="paragraph" w:styleId="BodyTextIndent3">
    <w:name w:val="Body Text Indent 3"/>
    <w:basedOn w:val="Normal"/>
    <w:link w:val="BodyTextIndent3Char"/>
    <w:uiPriority w:val="99"/>
    <w:semiHidden/>
    <w:rsid w:val="00004F9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4A6057"/>
    <w:rPr>
      <w:rFonts w:cs="Times New Roman"/>
      <w:sz w:val="16"/>
      <w:szCs w:val="16"/>
      <w:lang w:val="en-GB" w:eastAsia="en-US"/>
    </w:rPr>
  </w:style>
  <w:style w:type="paragraph" w:styleId="Closing">
    <w:name w:val="Closing"/>
    <w:basedOn w:val="Normal"/>
    <w:link w:val="ClosingChar"/>
    <w:uiPriority w:val="99"/>
    <w:semiHidden/>
    <w:rsid w:val="00004F9C"/>
    <w:pPr>
      <w:ind w:left="4252"/>
    </w:pPr>
  </w:style>
  <w:style w:type="character" w:customStyle="1" w:styleId="ClosingChar">
    <w:name w:val="Closing Char"/>
    <w:basedOn w:val="DefaultParagraphFont"/>
    <w:link w:val="Closing"/>
    <w:uiPriority w:val="99"/>
    <w:semiHidden/>
    <w:locked/>
    <w:rsid w:val="004A6057"/>
    <w:rPr>
      <w:rFonts w:cs="Times New Roman"/>
      <w:sz w:val="20"/>
      <w:szCs w:val="20"/>
      <w:lang w:val="en-GB" w:eastAsia="en-US"/>
    </w:rPr>
  </w:style>
  <w:style w:type="paragraph" w:styleId="Date">
    <w:name w:val="Date"/>
    <w:basedOn w:val="Normal"/>
    <w:next w:val="Normal"/>
    <w:link w:val="DateChar"/>
    <w:uiPriority w:val="99"/>
    <w:semiHidden/>
    <w:rsid w:val="00004F9C"/>
  </w:style>
  <w:style w:type="character" w:customStyle="1" w:styleId="DateChar">
    <w:name w:val="Date Char"/>
    <w:basedOn w:val="DefaultParagraphFont"/>
    <w:link w:val="Date"/>
    <w:uiPriority w:val="99"/>
    <w:semiHidden/>
    <w:locked/>
    <w:rsid w:val="004A6057"/>
    <w:rPr>
      <w:rFonts w:cs="Times New Roman"/>
      <w:sz w:val="20"/>
      <w:szCs w:val="20"/>
      <w:lang w:val="en-GB" w:eastAsia="en-US"/>
    </w:rPr>
  </w:style>
  <w:style w:type="paragraph" w:styleId="E-mailSignature">
    <w:name w:val="E-mail Signature"/>
    <w:basedOn w:val="Normal"/>
    <w:link w:val="E-mailSignatureChar"/>
    <w:uiPriority w:val="99"/>
    <w:semiHidden/>
    <w:rsid w:val="00004F9C"/>
  </w:style>
  <w:style w:type="character" w:customStyle="1" w:styleId="E-mailSignatureChar">
    <w:name w:val="E-mail Signature Char"/>
    <w:basedOn w:val="DefaultParagraphFont"/>
    <w:link w:val="E-mailSignature"/>
    <w:uiPriority w:val="99"/>
    <w:semiHidden/>
    <w:locked/>
    <w:rsid w:val="004A6057"/>
    <w:rPr>
      <w:rFonts w:cs="Times New Roman"/>
      <w:sz w:val="20"/>
      <w:szCs w:val="20"/>
      <w:lang w:val="en-GB" w:eastAsia="en-US"/>
    </w:rPr>
  </w:style>
  <w:style w:type="paragraph" w:styleId="EnvelopeReturn">
    <w:name w:val="envelope return"/>
    <w:basedOn w:val="Normal"/>
    <w:uiPriority w:val="99"/>
    <w:semiHidden/>
    <w:rsid w:val="00004F9C"/>
    <w:rPr>
      <w:rFonts w:ascii="Arial" w:hAnsi="Arial" w:cs="Arial"/>
    </w:rPr>
  </w:style>
  <w:style w:type="paragraph" w:styleId="HTMLAddress">
    <w:name w:val="HTML Address"/>
    <w:basedOn w:val="Normal"/>
    <w:link w:val="HTMLAddressChar"/>
    <w:uiPriority w:val="99"/>
    <w:semiHidden/>
    <w:rsid w:val="00004F9C"/>
    <w:rPr>
      <w:i/>
      <w:iCs/>
    </w:rPr>
  </w:style>
  <w:style w:type="character" w:customStyle="1" w:styleId="HTMLAddressChar">
    <w:name w:val="HTML Address Char"/>
    <w:basedOn w:val="DefaultParagraphFont"/>
    <w:link w:val="HTMLAddress"/>
    <w:uiPriority w:val="99"/>
    <w:semiHidden/>
    <w:locked/>
    <w:rsid w:val="004A6057"/>
    <w:rPr>
      <w:rFonts w:cs="Times New Roman"/>
      <w:i/>
      <w:iCs/>
      <w:sz w:val="20"/>
      <w:szCs w:val="20"/>
      <w:lang w:val="en-GB" w:eastAsia="en-US"/>
    </w:rPr>
  </w:style>
  <w:style w:type="paragraph" w:styleId="HTMLPreformatted">
    <w:name w:val="HTML Preformatted"/>
    <w:basedOn w:val="Normal"/>
    <w:link w:val="HTMLPreformattedChar"/>
    <w:uiPriority w:val="99"/>
    <w:semiHidden/>
    <w:rsid w:val="00004F9C"/>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4A6057"/>
    <w:rPr>
      <w:rFonts w:ascii="Courier New" w:hAnsi="Courier New" w:cs="Courier New"/>
      <w:sz w:val="20"/>
      <w:szCs w:val="20"/>
      <w:lang w:val="en-GB" w:eastAsia="en-US"/>
    </w:rPr>
  </w:style>
  <w:style w:type="paragraph" w:customStyle="1" w:styleId="Puce2">
    <w:name w:val="Puce 2"/>
    <w:basedOn w:val="Normal"/>
    <w:uiPriority w:val="99"/>
    <w:semiHidden/>
    <w:rsid w:val="00004F9C"/>
    <w:pPr>
      <w:ind w:left="566" w:hanging="283"/>
    </w:pPr>
  </w:style>
  <w:style w:type="paragraph" w:customStyle="1" w:styleId="Puce3">
    <w:name w:val="Puce 3"/>
    <w:basedOn w:val="Normal"/>
    <w:uiPriority w:val="99"/>
    <w:semiHidden/>
    <w:rsid w:val="00004F9C"/>
    <w:pPr>
      <w:ind w:left="849" w:hanging="283"/>
    </w:pPr>
  </w:style>
  <w:style w:type="paragraph" w:customStyle="1" w:styleId="Puce4">
    <w:name w:val="Puce 4"/>
    <w:basedOn w:val="Normal"/>
    <w:uiPriority w:val="99"/>
    <w:semiHidden/>
    <w:rsid w:val="00004F9C"/>
    <w:pPr>
      <w:ind w:left="1132" w:hanging="283"/>
    </w:pPr>
  </w:style>
  <w:style w:type="paragraph" w:customStyle="1" w:styleId="Puce5">
    <w:name w:val="Puce 5"/>
    <w:basedOn w:val="Normal"/>
    <w:uiPriority w:val="99"/>
    <w:semiHidden/>
    <w:rsid w:val="00004F9C"/>
    <w:pPr>
      <w:ind w:left="1415" w:hanging="283"/>
    </w:pPr>
  </w:style>
  <w:style w:type="paragraph" w:styleId="ListBullet">
    <w:name w:val="List Bullet"/>
    <w:basedOn w:val="Normal"/>
    <w:uiPriority w:val="99"/>
    <w:semiHidden/>
    <w:rsid w:val="00004F9C"/>
  </w:style>
  <w:style w:type="paragraph" w:styleId="ListBullet2">
    <w:name w:val="List Bullet 2"/>
    <w:basedOn w:val="Normal"/>
    <w:uiPriority w:val="99"/>
    <w:semiHidden/>
    <w:rsid w:val="00004F9C"/>
  </w:style>
  <w:style w:type="paragraph" w:styleId="ListBullet3">
    <w:name w:val="List Bullet 3"/>
    <w:basedOn w:val="Normal"/>
    <w:uiPriority w:val="99"/>
    <w:semiHidden/>
    <w:rsid w:val="00004F9C"/>
  </w:style>
  <w:style w:type="paragraph" w:styleId="ListBullet4">
    <w:name w:val="List Bullet 4"/>
    <w:basedOn w:val="Normal"/>
    <w:uiPriority w:val="99"/>
    <w:semiHidden/>
    <w:rsid w:val="00004F9C"/>
  </w:style>
  <w:style w:type="paragraph" w:styleId="ListBullet5">
    <w:name w:val="List Bullet 5"/>
    <w:basedOn w:val="Normal"/>
    <w:uiPriority w:val="99"/>
    <w:semiHidden/>
    <w:rsid w:val="00004F9C"/>
  </w:style>
  <w:style w:type="paragraph" w:styleId="ListContinue">
    <w:name w:val="List Continue"/>
    <w:basedOn w:val="Normal"/>
    <w:uiPriority w:val="99"/>
    <w:rsid w:val="00004F9C"/>
    <w:pPr>
      <w:spacing w:after="120"/>
      <w:ind w:left="283"/>
    </w:pPr>
  </w:style>
  <w:style w:type="paragraph" w:styleId="ListContinue2">
    <w:name w:val="List Continue 2"/>
    <w:basedOn w:val="Normal"/>
    <w:uiPriority w:val="99"/>
    <w:semiHidden/>
    <w:rsid w:val="00004F9C"/>
    <w:pPr>
      <w:spacing w:after="120"/>
      <w:ind w:left="566"/>
    </w:pPr>
  </w:style>
  <w:style w:type="paragraph" w:styleId="ListContinue3">
    <w:name w:val="List Continue 3"/>
    <w:basedOn w:val="Normal"/>
    <w:uiPriority w:val="99"/>
    <w:semiHidden/>
    <w:rsid w:val="00004F9C"/>
    <w:pPr>
      <w:spacing w:after="120"/>
      <w:ind w:left="849"/>
    </w:pPr>
  </w:style>
  <w:style w:type="paragraph" w:styleId="ListContinue4">
    <w:name w:val="List Continue 4"/>
    <w:basedOn w:val="Normal"/>
    <w:uiPriority w:val="99"/>
    <w:semiHidden/>
    <w:rsid w:val="00004F9C"/>
    <w:pPr>
      <w:spacing w:after="120"/>
      <w:ind w:left="1132"/>
    </w:pPr>
  </w:style>
  <w:style w:type="paragraph" w:styleId="ListContinue5">
    <w:name w:val="List Continue 5"/>
    <w:basedOn w:val="Normal"/>
    <w:uiPriority w:val="99"/>
    <w:semiHidden/>
    <w:rsid w:val="00004F9C"/>
    <w:pPr>
      <w:spacing w:after="120"/>
      <w:ind w:left="1415"/>
    </w:pPr>
  </w:style>
  <w:style w:type="paragraph" w:styleId="ListNumber">
    <w:name w:val="List Number"/>
    <w:basedOn w:val="Normal"/>
    <w:uiPriority w:val="99"/>
    <w:semiHidden/>
    <w:rsid w:val="00004F9C"/>
  </w:style>
  <w:style w:type="paragraph" w:styleId="ListNumber2">
    <w:name w:val="List Number 2"/>
    <w:basedOn w:val="Normal"/>
    <w:uiPriority w:val="99"/>
    <w:semiHidden/>
    <w:rsid w:val="00004F9C"/>
  </w:style>
  <w:style w:type="paragraph" w:styleId="ListNumber3">
    <w:name w:val="List Number 3"/>
    <w:basedOn w:val="Normal"/>
    <w:uiPriority w:val="99"/>
    <w:semiHidden/>
    <w:rsid w:val="00004F9C"/>
  </w:style>
  <w:style w:type="paragraph" w:styleId="ListNumber4">
    <w:name w:val="List Number 4"/>
    <w:basedOn w:val="Normal"/>
    <w:uiPriority w:val="99"/>
    <w:semiHidden/>
    <w:rsid w:val="00004F9C"/>
  </w:style>
  <w:style w:type="paragraph" w:styleId="ListNumber5">
    <w:name w:val="List Number 5"/>
    <w:basedOn w:val="Normal"/>
    <w:uiPriority w:val="99"/>
    <w:semiHidden/>
    <w:rsid w:val="00004F9C"/>
  </w:style>
  <w:style w:type="paragraph" w:styleId="MessageHeader">
    <w:name w:val="Message Header"/>
    <w:basedOn w:val="Normal"/>
    <w:link w:val="MessageHeaderChar"/>
    <w:uiPriority w:val="99"/>
    <w:semiHidden/>
    <w:rsid w:val="00004F9C"/>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4A6057"/>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004F9C"/>
    <w:rPr>
      <w:sz w:val="24"/>
      <w:szCs w:val="24"/>
    </w:rPr>
  </w:style>
  <w:style w:type="paragraph" w:styleId="NormalIndent">
    <w:name w:val="Normal Indent"/>
    <w:basedOn w:val="Normal"/>
    <w:uiPriority w:val="99"/>
    <w:semiHidden/>
    <w:rsid w:val="00004F9C"/>
    <w:pPr>
      <w:ind w:left="567"/>
    </w:pPr>
  </w:style>
  <w:style w:type="paragraph" w:styleId="NoteHeading">
    <w:name w:val="Note Heading"/>
    <w:basedOn w:val="Normal"/>
    <w:next w:val="Normal"/>
    <w:link w:val="NoteHeadingChar"/>
    <w:uiPriority w:val="99"/>
    <w:semiHidden/>
    <w:rsid w:val="00004F9C"/>
  </w:style>
  <w:style w:type="character" w:customStyle="1" w:styleId="NoteHeadingChar">
    <w:name w:val="Note Heading Char"/>
    <w:basedOn w:val="DefaultParagraphFont"/>
    <w:link w:val="NoteHeading"/>
    <w:uiPriority w:val="99"/>
    <w:semiHidden/>
    <w:locked/>
    <w:rsid w:val="004A6057"/>
    <w:rPr>
      <w:rFonts w:cs="Times New Roman"/>
      <w:sz w:val="20"/>
      <w:szCs w:val="20"/>
      <w:lang w:val="en-GB" w:eastAsia="en-US"/>
    </w:rPr>
  </w:style>
  <w:style w:type="paragraph" w:customStyle="1" w:styleId="Formulefinale">
    <w:name w:val="Formule finale"/>
    <w:basedOn w:val="Normal"/>
    <w:next w:val="Normal"/>
    <w:uiPriority w:val="99"/>
    <w:semiHidden/>
    <w:rsid w:val="00004F9C"/>
  </w:style>
  <w:style w:type="paragraph" w:styleId="Signature">
    <w:name w:val="Signature"/>
    <w:basedOn w:val="Normal"/>
    <w:link w:val="SignatureChar"/>
    <w:uiPriority w:val="99"/>
    <w:semiHidden/>
    <w:rsid w:val="00004F9C"/>
    <w:pPr>
      <w:ind w:left="4252"/>
    </w:pPr>
  </w:style>
  <w:style w:type="character" w:customStyle="1" w:styleId="SignatureChar">
    <w:name w:val="Signature Char"/>
    <w:basedOn w:val="DefaultParagraphFont"/>
    <w:link w:val="Signature"/>
    <w:uiPriority w:val="99"/>
    <w:semiHidden/>
    <w:locked/>
    <w:rsid w:val="004A6057"/>
    <w:rPr>
      <w:rFonts w:cs="Times New Roman"/>
      <w:sz w:val="20"/>
      <w:szCs w:val="20"/>
      <w:lang w:val="en-GB" w:eastAsia="en-US"/>
    </w:rPr>
  </w:style>
  <w:style w:type="paragraph" w:styleId="Subtitle">
    <w:name w:val="Subtitle"/>
    <w:basedOn w:val="Normal"/>
    <w:link w:val="SubtitleChar"/>
    <w:uiPriority w:val="99"/>
    <w:qFormat/>
    <w:rsid w:val="00004F9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4A6057"/>
    <w:rPr>
      <w:rFonts w:ascii="Cambria" w:hAnsi="Cambria" w:cs="Times New Roman"/>
      <w:sz w:val="24"/>
      <w:szCs w:val="24"/>
      <w:lang w:val="en-GB" w:eastAsia="en-US"/>
    </w:rPr>
  </w:style>
  <w:style w:type="paragraph" w:customStyle="1" w:styleId="Titreprincipal">
    <w:name w:val="Titre principal"/>
    <w:basedOn w:val="Normal"/>
    <w:uiPriority w:val="99"/>
    <w:rsid w:val="00004F9C"/>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rsid w:val="00004F9C"/>
    <w:pPr>
      <w:ind w:left="2880"/>
    </w:pPr>
    <w:rPr>
      <w:rFonts w:ascii="Arial" w:hAnsi="Arial" w:cs="Arial"/>
      <w:sz w:val="24"/>
      <w:szCs w:val="24"/>
    </w:rPr>
  </w:style>
  <w:style w:type="paragraph" w:styleId="Footer">
    <w:name w:val="footer"/>
    <w:basedOn w:val="Normal"/>
    <w:link w:val="FooterChar"/>
    <w:uiPriority w:val="99"/>
    <w:rsid w:val="008B1779"/>
    <w:pPr>
      <w:tabs>
        <w:tab w:val="center" w:pos="4680"/>
        <w:tab w:val="right" w:pos="9360"/>
      </w:tabs>
      <w:spacing w:line="240" w:lineRule="auto"/>
    </w:pPr>
  </w:style>
  <w:style w:type="character" w:customStyle="1" w:styleId="FooterChar">
    <w:name w:val="Footer Char"/>
    <w:basedOn w:val="DefaultParagraphFont"/>
    <w:link w:val="Footer"/>
    <w:uiPriority w:val="99"/>
    <w:locked/>
    <w:rsid w:val="008B1779"/>
    <w:rPr>
      <w:rFonts w:cs="Times New Roman"/>
      <w:lang w:eastAsia="en-US"/>
    </w:rPr>
  </w:style>
  <w:style w:type="paragraph" w:styleId="Header">
    <w:name w:val="header"/>
    <w:basedOn w:val="Normal"/>
    <w:link w:val="HeaderChar1"/>
    <w:uiPriority w:val="99"/>
    <w:rsid w:val="008B1779"/>
    <w:pPr>
      <w:tabs>
        <w:tab w:val="center" w:pos="4680"/>
        <w:tab w:val="right" w:pos="9360"/>
      </w:tabs>
      <w:spacing w:line="240" w:lineRule="auto"/>
    </w:pPr>
    <w:rPr>
      <w:b/>
      <w:sz w:val="18"/>
      <w:lang w:val="fr-FR"/>
    </w:rPr>
  </w:style>
  <w:style w:type="character" w:customStyle="1" w:styleId="HeaderChar1">
    <w:name w:val="Header Char1"/>
    <w:basedOn w:val="DefaultParagraphFont"/>
    <w:link w:val="Header"/>
    <w:uiPriority w:val="99"/>
    <w:locked/>
    <w:rsid w:val="008B1779"/>
    <w:rPr>
      <w:rFonts w:cs="Times New Roman"/>
      <w:lang w:eastAsia="en-US"/>
    </w:rPr>
  </w:style>
  <w:style w:type="paragraph" w:customStyle="1" w:styleId="Tabletitle">
    <w:name w:val="Table title"/>
    <w:basedOn w:val="Normal"/>
    <w:next w:val="Normal"/>
    <w:uiPriority w:val="99"/>
    <w:rsid w:val="00004F9C"/>
    <w:pPr>
      <w:keepNext/>
      <w:spacing w:before="120" w:after="120" w:line="230" w:lineRule="exact"/>
      <w:jc w:val="center"/>
    </w:pPr>
    <w:rPr>
      <w:rFonts w:ascii="Arial" w:eastAsia="MS Mincho" w:hAnsi="Arial"/>
      <w:b/>
      <w:lang w:eastAsia="fr-FR"/>
    </w:rPr>
  </w:style>
  <w:style w:type="paragraph" w:styleId="ListParagraph">
    <w:name w:val="List Paragraph"/>
    <w:basedOn w:val="Normal"/>
    <w:uiPriority w:val="34"/>
    <w:qFormat/>
    <w:rsid w:val="00004F9C"/>
    <w:pPr>
      <w:suppressAutoHyphens w:val="0"/>
      <w:spacing w:after="200" w:line="276" w:lineRule="auto"/>
      <w:ind w:left="720"/>
      <w:contextualSpacing/>
    </w:pPr>
    <w:rPr>
      <w:rFonts w:ascii="Calibri" w:hAnsi="Calibri"/>
      <w:sz w:val="22"/>
      <w:szCs w:val="22"/>
      <w:lang w:val="en-US"/>
    </w:rPr>
  </w:style>
  <w:style w:type="paragraph" w:customStyle="1" w:styleId="Default">
    <w:name w:val="Default"/>
    <w:uiPriority w:val="99"/>
    <w:rsid w:val="00004F9C"/>
    <w:rPr>
      <w:color w:val="000000"/>
      <w:sz w:val="24"/>
      <w:szCs w:val="24"/>
      <w:lang w:val="en-GB" w:eastAsia="en-GB"/>
    </w:rPr>
  </w:style>
  <w:style w:type="paragraph" w:customStyle="1" w:styleId="Contenudecadre">
    <w:name w:val="Contenu de cadre"/>
    <w:basedOn w:val="Normal"/>
    <w:uiPriority w:val="99"/>
    <w:rsid w:val="007A34D3"/>
  </w:style>
  <w:style w:type="table" w:styleId="Table3Deffects1">
    <w:name w:val="Table 3D effects 1"/>
    <w:basedOn w:val="TableNormal"/>
    <w:uiPriority w:val="99"/>
    <w:semiHidden/>
    <w:rsid w:val="00004F9C"/>
    <w:pPr>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04F9C"/>
    <w:pPr>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04F9C"/>
    <w:pPr>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04F9C"/>
    <w:pPr>
      <w:spacing w:line="240" w:lineRule="atLeast"/>
    </w:pPr>
    <w:rPr>
      <w:sz w:val="20"/>
      <w:szCs w:val="20"/>
    </w:r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04F9C"/>
    <w:pPr>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04F9C"/>
    <w:pPr>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04F9C"/>
    <w:pPr>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04F9C"/>
    <w:pPr>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04F9C"/>
    <w:pPr>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04F9C"/>
    <w:pPr>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04F9C"/>
    <w:pPr>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04F9C"/>
    <w:pPr>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04F9C"/>
    <w:pPr>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04F9C"/>
    <w:pPr>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04F9C"/>
    <w:pPr>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04F9C"/>
    <w:pPr>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04F9C"/>
    <w:pPr>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rsid w:val="00004F9C"/>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rsid w:val="00004F9C"/>
    <w:pPr>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04F9C"/>
    <w:pPr>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04F9C"/>
    <w:pPr>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04F9C"/>
    <w:pPr>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04F9C"/>
    <w:pPr>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04F9C"/>
    <w:pPr>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04F9C"/>
    <w:pPr>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04F9C"/>
    <w:pPr>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04F9C"/>
    <w:pPr>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04F9C"/>
    <w:pPr>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04F9C"/>
    <w:pPr>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04F9C"/>
    <w:pPr>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04F9C"/>
    <w:pPr>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04F9C"/>
    <w:pPr>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04F9C"/>
    <w:pPr>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04F9C"/>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04F9C"/>
    <w:pPr>
      <w:spacing w:line="240" w:lineRule="atLeast"/>
    </w:pPr>
    <w:rPr>
      <w:sz w:val="20"/>
      <w:szCs w:val="20"/>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04F9C"/>
    <w:pPr>
      <w:spacing w:line="240" w:lineRule="atLeast"/>
    </w:pPr>
    <w:rPr>
      <w:sz w:val="20"/>
      <w:szCs w:val="20"/>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04F9C"/>
    <w:pPr>
      <w:spacing w:line="240" w:lineRule="atLeast"/>
    </w:pPr>
    <w:rPr>
      <w:sz w:val="20"/>
      <w:szCs w:val="20"/>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paragraph" w:styleId="NoSpacing">
    <w:name w:val="No Spacing"/>
    <w:uiPriority w:val="99"/>
    <w:qFormat/>
    <w:rsid w:val="00E610C2"/>
    <w:rPr>
      <w:rFonts w:ascii="Calibri" w:hAnsi="Calibri" w:cs="Calibri"/>
    </w:rPr>
  </w:style>
  <w:style w:type="character" w:styleId="Hyperlink">
    <w:name w:val="Hyperlink"/>
    <w:basedOn w:val="DefaultParagraphFont"/>
    <w:uiPriority w:val="99"/>
    <w:semiHidden/>
    <w:rsid w:val="001E44B6"/>
    <w:rPr>
      <w:rFonts w:cs="Times New Roman"/>
      <w:color w:val="auto"/>
      <w:u w:val="none"/>
    </w:rPr>
  </w:style>
  <w:style w:type="paragraph" w:customStyle="1" w:styleId="western">
    <w:name w:val="western"/>
    <w:basedOn w:val="Normal"/>
    <w:uiPriority w:val="99"/>
    <w:rsid w:val="006B2556"/>
    <w:pPr>
      <w:suppressAutoHyphens w:val="0"/>
      <w:spacing w:before="100" w:beforeAutospacing="1" w:line="240" w:lineRule="auto"/>
      <w:ind w:left="1418" w:hanging="1418"/>
      <w:jc w:val="both"/>
    </w:pPr>
    <w:rPr>
      <w:rFonts w:ascii="CG Times" w:hAnsi="CG Times"/>
      <w:sz w:val="22"/>
      <w:szCs w:val="22"/>
      <w:lang w:val="fr-FR" w:eastAsia="fr-FR"/>
    </w:rPr>
  </w:style>
  <w:style w:type="character" w:styleId="SubtleEmphasis">
    <w:name w:val="Subtle Emphasis"/>
    <w:basedOn w:val="DefaultParagraphFont"/>
    <w:uiPriority w:val="19"/>
    <w:qFormat/>
    <w:rsid w:val="007247CC"/>
    <w:rPr>
      <w:i/>
      <w:iCs/>
      <w:color w:val="808080" w:themeColor="text1" w:themeTint="7F"/>
    </w:rPr>
  </w:style>
  <w:style w:type="paragraph" w:styleId="CommentSubject">
    <w:name w:val="annotation subject"/>
    <w:basedOn w:val="CommentText"/>
    <w:next w:val="CommentText"/>
    <w:link w:val="CommentSubjectChar"/>
    <w:uiPriority w:val="99"/>
    <w:semiHidden/>
    <w:unhideWhenUsed/>
    <w:locked/>
    <w:rsid w:val="0069422F"/>
    <w:pPr>
      <w:spacing w:line="240" w:lineRule="auto"/>
    </w:pPr>
    <w:rPr>
      <w:b/>
      <w:bCs/>
    </w:rPr>
  </w:style>
  <w:style w:type="character" w:customStyle="1" w:styleId="CommentSubjectChar">
    <w:name w:val="Comment Subject Char"/>
    <w:basedOn w:val="CommentTextChar"/>
    <w:link w:val="CommentSubject"/>
    <w:uiPriority w:val="99"/>
    <w:semiHidden/>
    <w:rsid w:val="0069422F"/>
    <w:rPr>
      <w:rFonts w:cs="Times New Roman"/>
      <w:b/>
      <w:bCs/>
      <w:sz w:val="20"/>
      <w:szCs w:val="20"/>
      <w:lang w:val="en-GB" w:eastAsia="en-US"/>
    </w:rPr>
  </w:style>
  <w:style w:type="character" w:customStyle="1" w:styleId="hps">
    <w:name w:val="hps"/>
    <w:basedOn w:val="DefaultParagraphFont"/>
    <w:rsid w:val="00C30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0020">
      <w:marLeft w:val="0"/>
      <w:marRight w:val="0"/>
      <w:marTop w:val="0"/>
      <w:marBottom w:val="0"/>
      <w:divBdr>
        <w:top w:val="none" w:sz="0" w:space="0" w:color="auto"/>
        <w:left w:val="none" w:sz="0" w:space="0" w:color="auto"/>
        <w:bottom w:val="none" w:sz="0" w:space="0" w:color="auto"/>
        <w:right w:val="none" w:sz="0" w:space="0" w:color="auto"/>
      </w:divBdr>
    </w:div>
    <w:div w:id="16540021">
      <w:marLeft w:val="0"/>
      <w:marRight w:val="0"/>
      <w:marTop w:val="0"/>
      <w:marBottom w:val="0"/>
      <w:divBdr>
        <w:top w:val="none" w:sz="0" w:space="0" w:color="auto"/>
        <w:left w:val="none" w:sz="0" w:space="0" w:color="auto"/>
        <w:bottom w:val="none" w:sz="0" w:space="0" w:color="auto"/>
        <w:right w:val="none" w:sz="0" w:space="0" w:color="auto"/>
      </w:divBdr>
    </w:div>
    <w:div w:id="231551980">
      <w:bodyDiv w:val="1"/>
      <w:marLeft w:val="0"/>
      <w:marRight w:val="0"/>
      <w:marTop w:val="0"/>
      <w:marBottom w:val="0"/>
      <w:divBdr>
        <w:top w:val="none" w:sz="0" w:space="0" w:color="auto"/>
        <w:left w:val="none" w:sz="0" w:space="0" w:color="auto"/>
        <w:bottom w:val="none" w:sz="0" w:space="0" w:color="auto"/>
        <w:right w:val="none" w:sz="0" w:space="0" w:color="auto"/>
      </w:divBdr>
    </w:div>
    <w:div w:id="324094559">
      <w:bodyDiv w:val="1"/>
      <w:marLeft w:val="0"/>
      <w:marRight w:val="0"/>
      <w:marTop w:val="0"/>
      <w:marBottom w:val="0"/>
      <w:divBdr>
        <w:top w:val="none" w:sz="0" w:space="0" w:color="auto"/>
        <w:left w:val="none" w:sz="0" w:space="0" w:color="auto"/>
        <w:bottom w:val="none" w:sz="0" w:space="0" w:color="auto"/>
        <w:right w:val="none" w:sz="0" w:space="0" w:color="auto"/>
      </w:divBdr>
    </w:div>
    <w:div w:id="809398560">
      <w:bodyDiv w:val="1"/>
      <w:marLeft w:val="0"/>
      <w:marRight w:val="0"/>
      <w:marTop w:val="0"/>
      <w:marBottom w:val="0"/>
      <w:divBdr>
        <w:top w:val="none" w:sz="0" w:space="0" w:color="auto"/>
        <w:left w:val="none" w:sz="0" w:space="0" w:color="auto"/>
        <w:bottom w:val="none" w:sz="0" w:space="0" w:color="auto"/>
        <w:right w:val="none" w:sz="0" w:space="0" w:color="auto"/>
      </w:divBdr>
    </w:div>
    <w:div w:id="1588609255">
      <w:bodyDiv w:val="1"/>
      <w:marLeft w:val="0"/>
      <w:marRight w:val="0"/>
      <w:marTop w:val="0"/>
      <w:marBottom w:val="0"/>
      <w:divBdr>
        <w:top w:val="none" w:sz="0" w:space="0" w:color="auto"/>
        <w:left w:val="none" w:sz="0" w:space="0" w:color="auto"/>
        <w:bottom w:val="none" w:sz="0" w:space="0" w:color="auto"/>
        <w:right w:val="none" w:sz="0" w:space="0" w:color="auto"/>
      </w:divBdr>
    </w:div>
    <w:div w:id="178549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CC3A17-5E7A-4D9B-A125-E03636953E79}">
  <ds:schemaRefs>
    <ds:schemaRef ds:uri="http://schemas.openxmlformats.org/officeDocument/2006/bibliography"/>
  </ds:schemaRefs>
</ds:datastoreItem>
</file>

<file path=customXml/itemProps2.xml><?xml version="1.0" encoding="utf-8"?>
<ds:datastoreItem xmlns:ds="http://schemas.openxmlformats.org/officeDocument/2006/customXml" ds:itemID="{6A7A1F12-2DFD-4FD8-94E0-96E47D86D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8C8FA2-0E4C-4DD0-ACFB-0FCE12A0EB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673062-57A6-49A9-A93B-3CF08FBEA5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2005</Words>
  <Characters>10524</Characters>
  <Application>Microsoft Office Word</Application>
  <DocSecurity>0</DocSecurity>
  <Lines>87</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1126259</vt:lpstr>
      <vt:lpstr>1126259</vt:lpstr>
    </vt:vector>
  </TitlesOfParts>
  <Company>CSD</Company>
  <LinksUpToDate>false</LinksUpToDate>
  <CharactersWithSpaces>12504</CharactersWithSpaces>
  <SharedDoc>false</SharedDoc>
  <HLinks>
    <vt:vector size="6" baseType="variant">
      <vt:variant>
        <vt:i4>262245</vt:i4>
      </vt:variant>
      <vt:variant>
        <vt:i4>0</vt:i4>
      </vt:variant>
      <vt:variant>
        <vt:i4>0</vt:i4>
      </vt:variant>
      <vt:variant>
        <vt:i4>5</vt:i4>
      </vt:variant>
      <vt:variant>
        <vt:lpwstr>https://unece.org/sites/default/files/2021-12/ECE-TRANS-WP15-255e_corrected.pdf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subject/>
  <dc:creator>ADH</dc:creator>
  <cp:keywords/>
  <dc:description>Final</dc:description>
  <cp:lastModifiedBy>Sabrina Mansion</cp:lastModifiedBy>
  <cp:revision>15</cp:revision>
  <cp:lastPrinted>2019-11-04T09:52:00Z</cp:lastPrinted>
  <dcterms:created xsi:type="dcterms:W3CDTF">2022-05-04T10:44:00Z</dcterms:created>
  <dcterms:modified xsi:type="dcterms:W3CDTF">2022-05-04T13:17:00Z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ies>
</file>