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17A3" w14:textId="4E388A4D" w:rsidR="00F8067A" w:rsidRPr="00A40F2F" w:rsidRDefault="006518B9"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A40F2F">
        <w:rPr>
          <w:rFonts w:ascii="Arial" w:eastAsia="Arial" w:hAnsi="Arial" w:cs="Arial"/>
          <w:bCs/>
          <w:noProof/>
          <w:szCs w:val="24"/>
          <w:lang w:eastAsia="de-DE"/>
        </w:rPr>
        <w:drawing>
          <wp:anchor distT="0" distB="0" distL="114300" distR="114300" simplePos="0" relativeHeight="251659264" behindDoc="0" locked="0" layoutInCell="1" allowOverlap="1" wp14:anchorId="1B98A430" wp14:editId="53C53349">
            <wp:simplePos x="0" y="0"/>
            <wp:positionH relativeFrom="column">
              <wp:posOffset>153926</wp:posOffset>
            </wp:positionH>
            <wp:positionV relativeFrom="paragraph">
              <wp:posOffset>8330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sidRPr="00A40F2F">
        <w:rPr>
          <w:rFonts w:ascii="Arial" w:eastAsia="Arial" w:hAnsi="Arial" w:cs="Arial"/>
          <w:bCs/>
          <w:szCs w:val="24"/>
          <w:lang w:eastAsia="de-DE"/>
        </w:rPr>
        <w:t>CCNR-ZKR/ADN/WP.15/AC.2/20</w:t>
      </w:r>
      <w:r w:rsidR="003D2797" w:rsidRPr="00A40F2F">
        <w:rPr>
          <w:rFonts w:ascii="Arial" w:eastAsia="Arial" w:hAnsi="Arial" w:cs="Arial"/>
          <w:bCs/>
          <w:szCs w:val="24"/>
          <w:lang w:eastAsia="de-DE"/>
        </w:rPr>
        <w:t>2</w:t>
      </w:r>
      <w:r w:rsidR="0038256E" w:rsidRPr="00A40F2F">
        <w:rPr>
          <w:rFonts w:ascii="Arial" w:eastAsia="Arial" w:hAnsi="Arial" w:cs="Arial"/>
          <w:bCs/>
          <w:szCs w:val="24"/>
          <w:lang w:eastAsia="de-DE"/>
        </w:rPr>
        <w:t>2</w:t>
      </w:r>
      <w:r w:rsidR="00F8067A" w:rsidRPr="00A40F2F">
        <w:rPr>
          <w:rFonts w:ascii="Arial" w:eastAsia="Arial" w:hAnsi="Arial" w:cs="Arial"/>
          <w:bCs/>
          <w:szCs w:val="24"/>
          <w:lang w:eastAsia="de-DE"/>
        </w:rPr>
        <w:t>/</w:t>
      </w:r>
      <w:r w:rsidR="002011A3">
        <w:rPr>
          <w:rFonts w:ascii="Arial" w:eastAsia="Arial" w:hAnsi="Arial" w:cs="Arial"/>
          <w:bCs/>
          <w:szCs w:val="24"/>
          <w:lang w:eastAsia="de-DE"/>
        </w:rPr>
        <w:t>31</w:t>
      </w:r>
    </w:p>
    <w:p w14:paraId="1870CF8A" w14:textId="77777777" w:rsidR="00F8067A" w:rsidRPr="00A40F2F"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40F2F">
        <w:rPr>
          <w:rFonts w:ascii="Arial" w:hAnsi="Arial" w:cs="Arial"/>
          <w:sz w:val="16"/>
          <w:szCs w:val="24"/>
          <w:lang w:eastAsia="de-DE"/>
        </w:rPr>
        <w:t>Allgemeine Verteilung</w:t>
      </w:r>
    </w:p>
    <w:p w14:paraId="3AD69668" w14:textId="1D0C4EF6" w:rsidR="00F8067A" w:rsidRPr="00A40F2F" w:rsidRDefault="002011A3"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20</w:t>
      </w:r>
      <w:r w:rsidR="00F8067A" w:rsidRPr="00A40F2F">
        <w:rPr>
          <w:rFonts w:ascii="Arial" w:eastAsia="Arial" w:hAnsi="Arial" w:cs="Arial"/>
          <w:szCs w:val="24"/>
          <w:lang w:eastAsia="de-DE"/>
        </w:rPr>
        <w:t xml:space="preserve">. </w:t>
      </w:r>
      <w:r w:rsidR="00E44452" w:rsidRPr="00A40F2F">
        <w:rPr>
          <w:rFonts w:ascii="Arial" w:eastAsia="Arial" w:hAnsi="Arial" w:cs="Arial"/>
          <w:szCs w:val="24"/>
          <w:lang w:eastAsia="de-DE"/>
        </w:rPr>
        <w:t>M</w:t>
      </w:r>
      <w:r>
        <w:rPr>
          <w:rFonts w:ascii="Arial" w:eastAsia="Arial" w:hAnsi="Arial" w:cs="Arial"/>
          <w:szCs w:val="24"/>
          <w:lang w:eastAsia="de-DE"/>
        </w:rPr>
        <w:t>ai</w:t>
      </w:r>
      <w:r w:rsidR="00F8067A" w:rsidRPr="00A40F2F">
        <w:rPr>
          <w:rFonts w:ascii="Arial" w:eastAsia="Arial" w:hAnsi="Arial" w:cs="Arial"/>
          <w:szCs w:val="24"/>
          <w:lang w:eastAsia="de-DE"/>
        </w:rPr>
        <w:t xml:space="preserve"> </w:t>
      </w:r>
      <w:r w:rsidR="00DA2CDC" w:rsidRPr="00A40F2F">
        <w:rPr>
          <w:rFonts w:ascii="Arial" w:eastAsia="Arial" w:hAnsi="Arial" w:cs="Arial"/>
          <w:szCs w:val="24"/>
          <w:lang w:eastAsia="de-DE"/>
        </w:rPr>
        <w:t>202</w:t>
      </w:r>
      <w:r w:rsidR="00E44452" w:rsidRPr="00A40F2F">
        <w:rPr>
          <w:rFonts w:ascii="Arial" w:eastAsia="Arial" w:hAnsi="Arial" w:cs="Arial"/>
          <w:szCs w:val="24"/>
          <w:lang w:eastAsia="de-DE"/>
        </w:rPr>
        <w:t>2</w:t>
      </w:r>
    </w:p>
    <w:p w14:paraId="5554F33D" w14:textId="60B5107E" w:rsidR="00F8067A" w:rsidRPr="00A40F2F"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A40F2F">
        <w:rPr>
          <w:rFonts w:ascii="Arial" w:eastAsia="Arial" w:hAnsi="Arial" w:cs="Arial"/>
          <w:sz w:val="16"/>
          <w:szCs w:val="24"/>
          <w:lang w:eastAsia="de-DE"/>
        </w:rPr>
        <w:t>Or</w:t>
      </w:r>
      <w:proofErr w:type="spellEnd"/>
      <w:r w:rsidRPr="00A40F2F">
        <w:rPr>
          <w:rFonts w:ascii="Arial" w:eastAsia="Arial" w:hAnsi="Arial" w:cs="Arial"/>
          <w:sz w:val="16"/>
          <w:szCs w:val="24"/>
          <w:lang w:eastAsia="de-DE"/>
        </w:rPr>
        <w:t xml:space="preserve">. </w:t>
      </w:r>
      <w:r w:rsidR="00BE7600" w:rsidRPr="00A40F2F">
        <w:rPr>
          <w:rFonts w:ascii="Arial" w:eastAsia="Arial" w:hAnsi="Arial" w:cs="Arial"/>
          <w:sz w:val="16"/>
          <w:szCs w:val="24"/>
          <w:lang w:eastAsia="de-DE"/>
        </w:rPr>
        <w:t>DEUTSCH</w:t>
      </w:r>
    </w:p>
    <w:p w14:paraId="370454BC" w14:textId="291CC07E"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6ABAFA24" w:rsidR="00F8067A" w:rsidRPr="00A40F2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58FC0036" w14:textId="1E4C7297" w:rsidR="003A5F4F" w:rsidRPr="00A40F2F" w:rsidRDefault="003A5F4F" w:rsidP="00E566A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40F2F">
        <w:rPr>
          <w:rFonts w:ascii="Arial" w:hAnsi="Arial"/>
          <w:noProof/>
          <w:sz w:val="16"/>
          <w:szCs w:val="24"/>
        </w:rPr>
        <w:t xml:space="preserve">GEMEINSAME EXPERTENTAGUNG FÜR DIE DEM ÜBEREINKOMMEN ÜBER DIE INTERNATIONALE BEFÖRDERUNG VON GEFÄHRLICHEN GÜTERN AUF </w:t>
      </w:r>
      <w:r w:rsidRPr="00A40F2F">
        <w:rPr>
          <w:rFonts w:ascii="Arial" w:eastAsia="Calibri" w:hAnsi="Arial" w:cs="Arial"/>
          <w:sz w:val="16"/>
          <w:szCs w:val="16"/>
          <w:lang w:eastAsia="en-US"/>
        </w:rPr>
        <w:t xml:space="preserve">BINNENWASSERSTRAẞEN (ADN) </w:t>
      </w:r>
      <w:r w:rsidRPr="00A40F2F">
        <w:rPr>
          <w:rFonts w:ascii="Arial" w:hAnsi="Arial"/>
          <w:noProof/>
          <w:sz w:val="16"/>
          <w:szCs w:val="24"/>
        </w:rPr>
        <w:t>BEIGEFÜGTE VERORDNUNG (SICHERHEITSAUSSCHUSS)</w:t>
      </w:r>
    </w:p>
    <w:p w14:paraId="4170B042" w14:textId="460F088B"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sz w:val="16"/>
          <w:szCs w:val="24"/>
        </w:rPr>
      </w:pPr>
      <w:r w:rsidRPr="00A40F2F">
        <w:rPr>
          <w:rFonts w:ascii="Arial" w:hAnsi="Arial"/>
          <w:sz w:val="16"/>
          <w:szCs w:val="24"/>
        </w:rPr>
        <w:t>(</w:t>
      </w:r>
      <w:r w:rsidR="00E44452" w:rsidRPr="00A40F2F">
        <w:rPr>
          <w:rFonts w:ascii="Arial" w:hAnsi="Arial"/>
          <w:sz w:val="16"/>
          <w:szCs w:val="24"/>
        </w:rPr>
        <w:t>40</w:t>
      </w:r>
      <w:r w:rsidRPr="00A40F2F">
        <w:rPr>
          <w:rFonts w:ascii="Arial" w:hAnsi="Arial"/>
          <w:sz w:val="16"/>
          <w:szCs w:val="24"/>
        </w:rPr>
        <w:t xml:space="preserve">. Tagung, Genf, </w:t>
      </w:r>
      <w:r w:rsidR="00E44452" w:rsidRPr="00A40F2F">
        <w:rPr>
          <w:rFonts w:ascii="Arial" w:hAnsi="Arial"/>
          <w:sz w:val="16"/>
          <w:szCs w:val="24"/>
        </w:rPr>
        <w:t>22</w:t>
      </w:r>
      <w:r w:rsidRPr="00A40F2F">
        <w:rPr>
          <w:rFonts w:ascii="Arial" w:hAnsi="Arial"/>
          <w:sz w:val="16"/>
          <w:szCs w:val="24"/>
        </w:rPr>
        <w:t xml:space="preserve">. bis </w:t>
      </w:r>
      <w:r w:rsidR="00E44452" w:rsidRPr="00A40F2F">
        <w:rPr>
          <w:rFonts w:ascii="Arial" w:hAnsi="Arial"/>
          <w:sz w:val="16"/>
          <w:szCs w:val="24"/>
        </w:rPr>
        <w:t>26</w:t>
      </w:r>
      <w:r w:rsidRPr="00A40F2F">
        <w:rPr>
          <w:rFonts w:ascii="Arial" w:hAnsi="Arial"/>
          <w:sz w:val="16"/>
          <w:szCs w:val="24"/>
        </w:rPr>
        <w:t xml:space="preserve">. </w:t>
      </w:r>
      <w:r w:rsidR="00DA2CDC" w:rsidRPr="00A40F2F">
        <w:rPr>
          <w:rFonts w:ascii="Arial" w:hAnsi="Arial"/>
          <w:sz w:val="16"/>
          <w:szCs w:val="24"/>
        </w:rPr>
        <w:t xml:space="preserve">August </w:t>
      </w:r>
      <w:r w:rsidR="00A10928" w:rsidRPr="00A40F2F">
        <w:rPr>
          <w:rFonts w:ascii="Arial" w:hAnsi="Arial"/>
          <w:sz w:val="16"/>
          <w:szCs w:val="24"/>
        </w:rPr>
        <w:t>202</w:t>
      </w:r>
      <w:r w:rsidR="00E44452" w:rsidRPr="00A40F2F">
        <w:rPr>
          <w:rFonts w:ascii="Arial" w:hAnsi="Arial"/>
          <w:sz w:val="16"/>
          <w:szCs w:val="24"/>
        </w:rPr>
        <w:t>2</w:t>
      </w:r>
      <w:r w:rsidRPr="00A40F2F">
        <w:rPr>
          <w:rFonts w:ascii="Arial" w:hAnsi="Arial"/>
          <w:sz w:val="16"/>
          <w:szCs w:val="24"/>
        </w:rPr>
        <w:t>)</w:t>
      </w:r>
    </w:p>
    <w:p w14:paraId="1B26AAF9" w14:textId="4B5A2650"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40F2F">
        <w:rPr>
          <w:rFonts w:ascii="Arial" w:hAnsi="Arial" w:cs="Arial"/>
          <w:sz w:val="16"/>
          <w:szCs w:val="16"/>
          <w:lang w:eastAsia="en-US"/>
        </w:rPr>
        <w:t xml:space="preserve">Punkt </w:t>
      </w:r>
      <w:r w:rsidR="002011A3">
        <w:rPr>
          <w:rFonts w:ascii="Arial" w:hAnsi="Arial" w:cs="Arial"/>
          <w:sz w:val="16"/>
          <w:szCs w:val="16"/>
          <w:lang w:eastAsia="en-US"/>
        </w:rPr>
        <w:t>4 b)</w:t>
      </w:r>
      <w:r w:rsidRPr="00A40F2F">
        <w:rPr>
          <w:rFonts w:ascii="Arial" w:hAnsi="Arial" w:cs="Arial"/>
          <w:sz w:val="16"/>
          <w:szCs w:val="16"/>
          <w:lang w:eastAsia="en-US"/>
        </w:rPr>
        <w:t xml:space="preserve"> zur vorläufigen Tagesordnung</w:t>
      </w:r>
    </w:p>
    <w:p w14:paraId="3579C183" w14:textId="29E8731E" w:rsidR="00F8067A" w:rsidRPr="00A40F2F" w:rsidRDefault="00F8067A" w:rsidP="00E566A7">
      <w:pPr>
        <w:spacing w:after="120"/>
        <w:ind w:left="3958" w:firstLine="11"/>
        <w:rPr>
          <w:rFonts w:ascii="Arial" w:hAnsi="Arial" w:cs="Arial"/>
          <w:b/>
          <w:sz w:val="16"/>
          <w:szCs w:val="16"/>
          <w:lang w:eastAsia="en-US"/>
        </w:rPr>
      </w:pPr>
      <w:r w:rsidRPr="00A40F2F">
        <w:rPr>
          <w:rFonts w:ascii="Arial" w:hAnsi="Arial" w:cs="Arial"/>
          <w:b/>
          <w:sz w:val="16"/>
          <w:szCs w:val="16"/>
          <w:lang w:eastAsia="en-US"/>
        </w:rPr>
        <w:t xml:space="preserve">Vorschläge für Änderungen der dem ADN beigefügten Verordnung: </w:t>
      </w:r>
      <w:r w:rsidR="003A5F4F" w:rsidRPr="00A40F2F">
        <w:rPr>
          <w:rFonts w:ascii="Arial" w:hAnsi="Arial" w:cs="Arial"/>
          <w:b/>
          <w:sz w:val="16"/>
          <w:szCs w:val="16"/>
          <w:lang w:eastAsia="en-US"/>
        </w:rPr>
        <w:t>Weitere Änderungsvorschläge</w:t>
      </w:r>
    </w:p>
    <w:p w14:paraId="1B019B21" w14:textId="77777777" w:rsidR="00F8067A" w:rsidRPr="00A40F2F" w:rsidRDefault="00F8067A" w:rsidP="00E566A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580E98A" w14:textId="77777777" w:rsidR="00A40F2F" w:rsidRPr="005B2518" w:rsidRDefault="00A40F2F" w:rsidP="00A40F2F">
      <w:pPr>
        <w:widowControl/>
        <w:overflowPunct/>
        <w:autoSpaceDE/>
        <w:autoSpaceDN/>
        <w:adjustRightInd/>
        <w:snapToGrid w:val="0"/>
        <w:spacing w:after="120"/>
        <w:ind w:firstLine="0"/>
        <w:textAlignment w:val="auto"/>
        <w:rPr>
          <w:b/>
          <w:sz w:val="24"/>
          <w:szCs w:val="24"/>
          <w:lang w:eastAsia="en-GB"/>
        </w:rPr>
      </w:pPr>
      <w:r w:rsidRPr="005B2518">
        <w:rPr>
          <w:b/>
          <w:sz w:val="24"/>
          <w:szCs w:val="24"/>
          <w:lang w:eastAsia="en-GB"/>
        </w:rPr>
        <w:t>Änderungsvorschläge, die am 1. Januar 2025 in Kraft treten sollen</w:t>
      </w:r>
    </w:p>
    <w:p w14:paraId="27A900FB" w14:textId="77777777" w:rsidR="00F8067A" w:rsidRPr="00A40F2F"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997554F" w14:textId="77777777" w:rsidR="00F8067A" w:rsidRPr="00A40F2F"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C00D230" w14:textId="2326D235" w:rsidR="006518B9" w:rsidRPr="00A40F2F" w:rsidRDefault="00243C1E" w:rsidP="006518B9">
      <w:pPr>
        <w:ind w:firstLine="0"/>
        <w:rPr>
          <w:b/>
          <w:sz w:val="28"/>
          <w:szCs w:val="28"/>
          <w:lang w:eastAsia="en-GB"/>
        </w:rPr>
      </w:pPr>
      <w:r w:rsidRPr="00A40F2F">
        <w:rPr>
          <w:b/>
          <w:sz w:val="28"/>
          <w:szCs w:val="28"/>
          <w:lang w:eastAsia="en-GB"/>
        </w:rPr>
        <w:t>Unterabschnitt 1.6.7.2 ADN Übergangsbestimmungen</w:t>
      </w:r>
    </w:p>
    <w:p w14:paraId="54544BC9" w14:textId="52D880CE" w:rsidR="00130FAA" w:rsidRPr="00A40F2F" w:rsidRDefault="00130FAA" w:rsidP="00767C2A">
      <w:pPr>
        <w:keepNext/>
        <w:keepLines/>
        <w:widowControl/>
        <w:suppressAutoHyphens/>
        <w:overflowPunct/>
        <w:autoSpaceDE/>
        <w:autoSpaceDN/>
        <w:adjustRightInd/>
        <w:snapToGrid w:val="0"/>
        <w:spacing w:before="360" w:after="240" w:line="270" w:lineRule="exact"/>
        <w:ind w:right="1134" w:firstLine="0"/>
        <w:jc w:val="left"/>
        <w:textAlignment w:val="auto"/>
        <w:rPr>
          <w:b/>
          <w:sz w:val="18"/>
          <w:vertAlign w:val="superscript"/>
        </w:rPr>
      </w:pPr>
      <w:r w:rsidRPr="00A40F2F">
        <w:rPr>
          <w:b/>
          <w:sz w:val="24"/>
        </w:rPr>
        <w:t xml:space="preserve">Eingereicht von </w:t>
      </w:r>
      <w:r w:rsidR="00B249C4" w:rsidRPr="00A40F2F">
        <w:rPr>
          <w:b/>
          <w:sz w:val="24"/>
        </w:rPr>
        <w:t>Deutschland</w:t>
      </w:r>
      <w:r w:rsidR="00767C2A" w:rsidRPr="00A40F2F">
        <w:rPr>
          <w:bCs/>
          <w:lang w:eastAsia="en-US"/>
        </w:rPr>
        <w:footnoteReference w:customMarkFollows="1" w:id="1"/>
        <w:t>*</w:t>
      </w:r>
      <w:r w:rsidR="00767C2A" w:rsidRPr="00A40F2F">
        <w:rPr>
          <w:bCs/>
          <w:vertAlign w:val="superscript"/>
          <w:lang w:eastAsia="en-US"/>
        </w:rPr>
        <w:t>,</w:t>
      </w:r>
      <w:r w:rsidR="00767C2A" w:rsidRPr="00A40F2F">
        <w:rPr>
          <w:b/>
          <w:vertAlign w:val="superscript"/>
          <w:lang w:eastAsia="en-US"/>
        </w:rPr>
        <w:t xml:space="preserve"> </w:t>
      </w:r>
      <w:r w:rsidR="00767C2A" w:rsidRPr="00A40F2F">
        <w:rPr>
          <w:bCs/>
          <w:lang w:eastAsia="en-US"/>
        </w:rPr>
        <w:footnoteReference w:customMarkFollows="1" w:id="2"/>
        <w:t>**</w:t>
      </w:r>
    </w:p>
    <w:p w14:paraId="749CF090" w14:textId="77777777" w:rsidR="00243C1E" w:rsidRPr="00A40F2F" w:rsidRDefault="00243C1E" w:rsidP="00243C1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szCs w:val="28"/>
        </w:rPr>
      </w:pPr>
      <w:r w:rsidRPr="00A40F2F">
        <w:rPr>
          <w:b/>
          <w:sz w:val="28"/>
          <w:szCs w:val="28"/>
        </w:rPr>
        <w:tab/>
        <w:t>I.</w:t>
      </w:r>
      <w:r w:rsidRPr="00A40F2F">
        <w:rPr>
          <w:b/>
          <w:sz w:val="28"/>
          <w:szCs w:val="28"/>
        </w:rPr>
        <w:tab/>
        <w:t>Antrag</w:t>
      </w:r>
    </w:p>
    <w:p w14:paraId="18B2149D" w14:textId="69E6B184" w:rsidR="00F058FC" w:rsidRPr="00A40F2F" w:rsidRDefault="00F058FC" w:rsidP="00243C1E">
      <w:pPr>
        <w:widowControl/>
        <w:tabs>
          <w:tab w:val="left" w:pos="567"/>
          <w:tab w:val="left" w:pos="1701"/>
        </w:tabs>
        <w:suppressAutoHyphens/>
        <w:overflowPunct/>
        <w:autoSpaceDE/>
        <w:autoSpaceDN/>
        <w:adjustRightInd/>
        <w:spacing w:line="240" w:lineRule="atLeast"/>
        <w:ind w:right="1134" w:firstLine="0"/>
        <w:textAlignment w:val="auto"/>
        <w:rPr>
          <w:szCs w:val="24"/>
          <w:lang w:eastAsia="de-DE"/>
        </w:rPr>
      </w:pPr>
      <w:r w:rsidRPr="00A40F2F">
        <w:rPr>
          <w:szCs w:val="24"/>
          <w:lang w:eastAsia="de-DE"/>
        </w:rPr>
        <w:t>1.</w:t>
      </w:r>
      <w:r w:rsidRPr="00A40F2F">
        <w:rPr>
          <w:szCs w:val="24"/>
          <w:lang w:eastAsia="de-DE"/>
        </w:rPr>
        <w:tab/>
      </w:r>
      <w:r w:rsidRPr="00A40F2F">
        <w:rPr>
          <w:lang w:eastAsia="en-GB"/>
        </w:rPr>
        <w:t>Deutschland</w:t>
      </w:r>
      <w:r w:rsidRPr="00A40F2F">
        <w:rPr>
          <w:szCs w:val="24"/>
          <w:lang w:eastAsia="de-DE"/>
        </w:rPr>
        <w:t xml:space="preserve"> schlägt vor, in Unterabschnitt 1.6.7.2 ADN die folgenden Übergangsvorschriften mit Wirkung vom 1. Januar 2025 (ADN 2025) zu streichen</w:t>
      </w:r>
      <w:r w:rsidR="000C3CE5" w:rsidRPr="00A40F2F">
        <w:rPr>
          <w:szCs w:val="24"/>
          <w:lang w:eastAsia="de-DE"/>
        </w:rPr>
        <w:t>:</w:t>
      </w:r>
    </w:p>
    <w:p w14:paraId="52350B1D" w14:textId="77777777" w:rsidR="00467F4E" w:rsidRPr="00A40F2F" w:rsidRDefault="00467F4E" w:rsidP="00243C1E">
      <w:pPr>
        <w:widowControl/>
        <w:tabs>
          <w:tab w:val="left" w:pos="567"/>
          <w:tab w:val="left" w:pos="1701"/>
        </w:tabs>
        <w:suppressAutoHyphens/>
        <w:overflowPunct/>
        <w:autoSpaceDE/>
        <w:autoSpaceDN/>
        <w:adjustRightInd/>
        <w:spacing w:line="240" w:lineRule="atLeast"/>
        <w:ind w:right="1134" w:firstLine="0"/>
        <w:textAlignment w:val="auto"/>
        <w:rPr>
          <w:szCs w:val="24"/>
          <w:lang w:eastAsia="de-DE"/>
        </w:rPr>
      </w:pPr>
    </w:p>
    <w:tbl>
      <w:tblPr>
        <w:tblW w:w="922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2985"/>
        <w:gridCol w:w="4820"/>
      </w:tblGrid>
      <w:tr w:rsidR="00F058FC" w:rsidRPr="00A40F2F" w14:paraId="4D6D860E" w14:textId="77777777" w:rsidTr="00467F4E">
        <w:trPr>
          <w:cantSplit/>
          <w:tblHeader/>
        </w:trPr>
        <w:tc>
          <w:tcPr>
            <w:tcW w:w="9222" w:type="dxa"/>
            <w:gridSpan w:val="3"/>
          </w:tcPr>
          <w:p w14:paraId="233899B5" w14:textId="77777777" w:rsidR="00F058FC" w:rsidRPr="00A40F2F" w:rsidRDefault="00F058FC" w:rsidP="000C3CE5">
            <w:pPr>
              <w:spacing w:before="60" w:after="60" w:line="240" w:lineRule="atLeast"/>
              <w:ind w:left="0" w:firstLine="0"/>
              <w:jc w:val="center"/>
            </w:pPr>
            <w:bookmarkStart w:id="0" w:name="_Hlk100067312"/>
            <w:r w:rsidRPr="00A40F2F">
              <w:t>1.6.7.2.1.1 Tabelle der allgemeinen Übergangsvorschriften: Trockengüter</w:t>
            </w:r>
          </w:p>
        </w:tc>
      </w:tr>
      <w:tr w:rsidR="00F058FC" w:rsidRPr="00A40F2F" w14:paraId="4B0EE6B7" w14:textId="77777777" w:rsidTr="00467F4E">
        <w:trPr>
          <w:cantSplit/>
          <w:tblHeader/>
        </w:trPr>
        <w:tc>
          <w:tcPr>
            <w:tcW w:w="1417" w:type="dxa"/>
          </w:tcPr>
          <w:p w14:paraId="7DBC94A2" w14:textId="77777777" w:rsidR="00F058FC" w:rsidRPr="00A40F2F" w:rsidRDefault="00F058FC" w:rsidP="000C3CE5">
            <w:pPr>
              <w:spacing w:before="60" w:after="60" w:line="240" w:lineRule="atLeast"/>
              <w:ind w:left="0" w:firstLine="0"/>
              <w:jc w:val="center"/>
            </w:pPr>
            <w:r w:rsidRPr="00A40F2F">
              <w:t>Absatz</w:t>
            </w:r>
          </w:p>
        </w:tc>
        <w:tc>
          <w:tcPr>
            <w:tcW w:w="2985" w:type="dxa"/>
          </w:tcPr>
          <w:p w14:paraId="469F0AFB" w14:textId="77777777" w:rsidR="00F058FC" w:rsidRPr="00A40F2F" w:rsidRDefault="00F058FC" w:rsidP="000C3CE5">
            <w:pPr>
              <w:spacing w:before="60" w:after="60" w:line="240" w:lineRule="atLeast"/>
              <w:ind w:left="0" w:firstLine="0"/>
              <w:jc w:val="center"/>
            </w:pPr>
            <w:r w:rsidRPr="00A40F2F">
              <w:t>Inhalt</w:t>
            </w:r>
          </w:p>
        </w:tc>
        <w:tc>
          <w:tcPr>
            <w:tcW w:w="4820" w:type="dxa"/>
          </w:tcPr>
          <w:p w14:paraId="5E750A09" w14:textId="77777777" w:rsidR="00F058FC" w:rsidRPr="00A40F2F" w:rsidRDefault="00F058FC" w:rsidP="000C3CE5">
            <w:pPr>
              <w:spacing w:before="60" w:after="60" w:line="240" w:lineRule="atLeast"/>
              <w:ind w:left="0" w:firstLine="0"/>
              <w:jc w:val="center"/>
            </w:pPr>
            <w:r w:rsidRPr="00A40F2F">
              <w:t>Frist und Nebenbestimmungen</w:t>
            </w:r>
          </w:p>
        </w:tc>
      </w:tr>
      <w:bookmarkEnd w:id="0"/>
      <w:tr w:rsidR="00F058FC" w:rsidRPr="00A40F2F" w14:paraId="29821AD0" w14:textId="77777777" w:rsidTr="00467F4E">
        <w:trPr>
          <w:cantSplit/>
        </w:trPr>
        <w:tc>
          <w:tcPr>
            <w:tcW w:w="1417" w:type="dxa"/>
          </w:tcPr>
          <w:p w14:paraId="15B5E674" w14:textId="77777777" w:rsidR="00F058FC" w:rsidRPr="00A40F2F" w:rsidRDefault="00F058FC" w:rsidP="000C3CE5">
            <w:pPr>
              <w:spacing w:before="60" w:after="60" w:line="240" w:lineRule="atLeast"/>
              <w:ind w:left="0" w:firstLine="0"/>
              <w:jc w:val="center"/>
            </w:pPr>
            <w:r w:rsidRPr="00A40F2F">
              <w:t>8.6.1.1</w:t>
            </w:r>
            <w:r w:rsidRPr="00A40F2F">
              <w:br/>
              <w:t>8.6.1.2</w:t>
            </w:r>
          </w:p>
        </w:tc>
        <w:tc>
          <w:tcPr>
            <w:tcW w:w="2985" w:type="dxa"/>
          </w:tcPr>
          <w:p w14:paraId="7E56C029" w14:textId="77777777" w:rsidR="00F058FC" w:rsidRPr="00A40F2F" w:rsidRDefault="00F058FC" w:rsidP="000C3CE5">
            <w:pPr>
              <w:spacing w:before="60" w:after="60" w:line="240" w:lineRule="atLeast"/>
              <w:ind w:left="0" w:firstLine="0"/>
              <w:jc w:val="center"/>
            </w:pPr>
            <w:r w:rsidRPr="00A40F2F">
              <w:t>Änderung Zulassungszeugnis</w:t>
            </w:r>
          </w:p>
        </w:tc>
        <w:tc>
          <w:tcPr>
            <w:tcW w:w="4820" w:type="dxa"/>
          </w:tcPr>
          <w:p w14:paraId="6116E4CC" w14:textId="77777777" w:rsidR="00F058FC" w:rsidRPr="00A40F2F" w:rsidRDefault="00F058FC" w:rsidP="000C3CE5">
            <w:pPr>
              <w:spacing w:before="60" w:after="60" w:line="240" w:lineRule="atLeast"/>
              <w:ind w:left="0" w:firstLine="0"/>
              <w:jc w:val="center"/>
            </w:pPr>
            <w:r w:rsidRPr="00A40F2F">
              <w:t>N.E.U. ab 1. Januar 2019</w:t>
            </w:r>
          </w:p>
          <w:p w14:paraId="46544259" w14:textId="77777777" w:rsidR="00F058FC" w:rsidRPr="00A40F2F" w:rsidRDefault="00F058FC" w:rsidP="000C3CE5">
            <w:pPr>
              <w:spacing w:before="60" w:after="60" w:line="240" w:lineRule="atLeast"/>
              <w:ind w:left="0" w:firstLine="0"/>
              <w:jc w:val="center"/>
            </w:pPr>
            <w:r w:rsidRPr="00A40F2F">
              <w:t>Erneuerung des Zulassungszeugnisses nach dem 31. Dezember 2018</w:t>
            </w:r>
          </w:p>
        </w:tc>
      </w:tr>
      <w:tr w:rsidR="00F058FC" w:rsidRPr="00A40F2F" w14:paraId="650B06E0" w14:textId="77777777" w:rsidTr="00467F4E">
        <w:trPr>
          <w:cantSplit/>
        </w:trPr>
        <w:tc>
          <w:tcPr>
            <w:tcW w:w="1417" w:type="dxa"/>
          </w:tcPr>
          <w:p w14:paraId="7F4B662A" w14:textId="77777777" w:rsidR="00F058FC" w:rsidRPr="00A40F2F" w:rsidRDefault="00F058FC" w:rsidP="000C3CE5">
            <w:pPr>
              <w:spacing w:before="60" w:after="60" w:line="240" w:lineRule="atLeast"/>
              <w:ind w:left="0" w:firstLine="0"/>
              <w:jc w:val="center"/>
            </w:pPr>
            <w:r w:rsidRPr="00A40F2F">
              <w:t>9.1.0.12.1</w:t>
            </w:r>
          </w:p>
        </w:tc>
        <w:tc>
          <w:tcPr>
            <w:tcW w:w="2985" w:type="dxa"/>
          </w:tcPr>
          <w:p w14:paraId="0A9B59D7" w14:textId="77777777" w:rsidR="00F058FC" w:rsidRPr="00A40F2F" w:rsidRDefault="00F058FC" w:rsidP="000C3CE5">
            <w:pPr>
              <w:spacing w:before="60" w:after="60" w:line="240" w:lineRule="atLeast"/>
              <w:ind w:left="0" w:firstLine="0"/>
              <w:jc w:val="center"/>
            </w:pPr>
            <w:r w:rsidRPr="00A40F2F">
              <w:t>Lüftung Laderäume</w:t>
            </w:r>
          </w:p>
        </w:tc>
        <w:tc>
          <w:tcPr>
            <w:tcW w:w="4820" w:type="dxa"/>
          </w:tcPr>
          <w:p w14:paraId="04D234E5"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0F43F9FB" w14:textId="77777777" w:rsidR="00F058FC" w:rsidRPr="00A40F2F" w:rsidRDefault="00F058FC" w:rsidP="000C3CE5">
            <w:pPr>
              <w:spacing w:before="60" w:after="60" w:line="240" w:lineRule="atLeast"/>
              <w:ind w:left="0" w:firstLine="0"/>
              <w:jc w:val="center"/>
            </w:pPr>
            <w:r w:rsidRPr="00A40F2F">
              <w:t>An Bord von in Betrieb befindlichen Schiffen müssen bis dahin folgende Vorschriften eingehalten werden:</w:t>
            </w:r>
          </w:p>
          <w:p w14:paraId="3DD9BBEB" w14:textId="77777777" w:rsidR="00F058FC" w:rsidRPr="00A40F2F" w:rsidRDefault="00F058FC" w:rsidP="000C3CE5">
            <w:pPr>
              <w:spacing w:before="60" w:after="60" w:line="240" w:lineRule="atLeast"/>
              <w:ind w:left="0" w:firstLine="0"/>
              <w:jc w:val="center"/>
            </w:pPr>
            <w:r w:rsidRPr="00A40F2F">
              <w:t xml:space="preserve">Jeder Laderaum muss angemessen </w:t>
            </w:r>
            <w:proofErr w:type="gramStart"/>
            <w:r w:rsidRPr="00A40F2F">
              <w:t>natürlich oder</w:t>
            </w:r>
            <w:proofErr w:type="gramEnd"/>
            <w:r w:rsidRPr="00A40F2F">
              <w:t xml:space="preserve"> künstlich gelüftet werden können; bei Beförderung von Stoffen der Klasse 4.3 muss jeder Laderaum künstlich gelüftet werden; die zu diesem Zweck verwendeten Vorrichtungen müssen so beschaffen sein, dass kein Wasser in den Laderaum eindringen kann.</w:t>
            </w:r>
          </w:p>
        </w:tc>
      </w:tr>
      <w:tr w:rsidR="00F058FC" w:rsidRPr="00A40F2F" w14:paraId="0B15D45F" w14:textId="77777777" w:rsidTr="00467F4E">
        <w:trPr>
          <w:cantSplit/>
        </w:trPr>
        <w:tc>
          <w:tcPr>
            <w:tcW w:w="1417" w:type="dxa"/>
          </w:tcPr>
          <w:p w14:paraId="7313BDC7" w14:textId="77777777" w:rsidR="00F058FC" w:rsidRPr="00A40F2F" w:rsidRDefault="00F058FC" w:rsidP="000C3CE5">
            <w:pPr>
              <w:spacing w:before="60" w:after="60" w:line="240" w:lineRule="atLeast"/>
              <w:ind w:left="0" w:firstLine="0"/>
              <w:jc w:val="center"/>
            </w:pPr>
            <w:r w:rsidRPr="00A40F2F">
              <w:t>9.1.0.12.3</w:t>
            </w:r>
          </w:p>
        </w:tc>
        <w:tc>
          <w:tcPr>
            <w:tcW w:w="2985" w:type="dxa"/>
          </w:tcPr>
          <w:p w14:paraId="5764658A" w14:textId="77777777" w:rsidR="00F058FC" w:rsidRPr="00A40F2F" w:rsidRDefault="00F058FC" w:rsidP="000C3CE5">
            <w:pPr>
              <w:spacing w:before="60" w:after="60" w:line="240" w:lineRule="atLeast"/>
              <w:ind w:left="0" w:firstLine="0"/>
              <w:jc w:val="center"/>
            </w:pPr>
            <w:r w:rsidRPr="00A40F2F">
              <w:t>Lüftung Betriebsräume</w:t>
            </w:r>
          </w:p>
        </w:tc>
        <w:tc>
          <w:tcPr>
            <w:tcW w:w="4820" w:type="dxa"/>
          </w:tcPr>
          <w:p w14:paraId="41984EDA"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tc>
      </w:tr>
      <w:tr w:rsidR="00F058FC" w:rsidRPr="00A40F2F" w14:paraId="4FF28815" w14:textId="77777777" w:rsidTr="00467F4E">
        <w:trPr>
          <w:cantSplit/>
        </w:trPr>
        <w:tc>
          <w:tcPr>
            <w:tcW w:w="1417" w:type="dxa"/>
          </w:tcPr>
          <w:p w14:paraId="6EEF5BAB" w14:textId="77777777" w:rsidR="00F058FC" w:rsidRPr="00A40F2F" w:rsidRDefault="00F058FC" w:rsidP="000C3CE5">
            <w:pPr>
              <w:spacing w:before="60" w:after="60" w:line="240" w:lineRule="atLeast"/>
              <w:ind w:left="0" w:firstLine="0"/>
              <w:jc w:val="center"/>
            </w:pPr>
            <w:r w:rsidRPr="00A40F2F">
              <w:t>9.1.0.17.2</w:t>
            </w:r>
          </w:p>
        </w:tc>
        <w:tc>
          <w:tcPr>
            <w:tcW w:w="2985" w:type="dxa"/>
          </w:tcPr>
          <w:p w14:paraId="6F9CA8BA" w14:textId="77777777" w:rsidR="00F058FC" w:rsidRPr="00A40F2F" w:rsidRDefault="00F058FC" w:rsidP="000C3CE5">
            <w:pPr>
              <w:spacing w:before="60" w:after="60" w:line="240" w:lineRule="atLeast"/>
              <w:ind w:left="0" w:firstLine="0"/>
              <w:jc w:val="center"/>
            </w:pPr>
            <w:r w:rsidRPr="00A40F2F">
              <w:t>Zu den Laderäumen gerichtete Öffnungen müssen gasdicht sein</w:t>
            </w:r>
          </w:p>
        </w:tc>
        <w:tc>
          <w:tcPr>
            <w:tcW w:w="4820" w:type="dxa"/>
          </w:tcPr>
          <w:p w14:paraId="6801E047"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2B05F59C" w14:textId="77777777" w:rsidR="00F058FC" w:rsidRPr="00A40F2F" w:rsidRDefault="00F058FC" w:rsidP="000C3CE5">
            <w:pPr>
              <w:spacing w:before="60" w:after="60" w:line="240" w:lineRule="atLeast"/>
              <w:ind w:left="0" w:firstLine="0"/>
              <w:jc w:val="center"/>
            </w:pPr>
            <w:r w:rsidRPr="00A40F2F">
              <w:t>An Bord von in Betrieb befindlichen Schiffen müssen bis dahin folgende Vorschriften eingehalten werden:</w:t>
            </w:r>
          </w:p>
          <w:p w14:paraId="1EAC3824" w14:textId="77777777" w:rsidR="00F058FC" w:rsidRPr="00A40F2F" w:rsidRDefault="00F058FC" w:rsidP="000C3CE5">
            <w:pPr>
              <w:spacing w:before="60" w:after="60" w:line="240" w:lineRule="atLeast"/>
              <w:ind w:left="0" w:firstLine="0"/>
              <w:jc w:val="center"/>
            </w:pPr>
            <w:r w:rsidRPr="00A40F2F">
              <w:t>Die zu den Laderäumen gerichteten Öffnungen der Wohnungen und des Steuerhauses müssen gut geschlossen werden können.</w:t>
            </w:r>
          </w:p>
        </w:tc>
      </w:tr>
      <w:tr w:rsidR="00F058FC" w:rsidRPr="00A40F2F" w14:paraId="0F2D169E" w14:textId="77777777" w:rsidTr="00467F4E">
        <w:trPr>
          <w:cantSplit/>
        </w:trPr>
        <w:tc>
          <w:tcPr>
            <w:tcW w:w="1417" w:type="dxa"/>
          </w:tcPr>
          <w:p w14:paraId="265B60A7" w14:textId="77777777" w:rsidR="00F058FC" w:rsidRPr="00A40F2F" w:rsidRDefault="00F058FC" w:rsidP="000C3CE5">
            <w:pPr>
              <w:spacing w:before="60" w:after="60" w:line="240" w:lineRule="atLeast"/>
              <w:ind w:left="0" w:firstLine="0"/>
              <w:jc w:val="center"/>
            </w:pPr>
            <w:r w:rsidRPr="00A40F2F">
              <w:lastRenderedPageBreak/>
              <w:t>9.1.0.17.3</w:t>
            </w:r>
          </w:p>
        </w:tc>
        <w:tc>
          <w:tcPr>
            <w:tcW w:w="2985" w:type="dxa"/>
          </w:tcPr>
          <w:p w14:paraId="1A97A409" w14:textId="77777777" w:rsidR="00F058FC" w:rsidRPr="00A40F2F" w:rsidRDefault="00F058FC" w:rsidP="000C3CE5">
            <w:pPr>
              <w:spacing w:before="60" w:after="60" w:line="240" w:lineRule="atLeast"/>
              <w:ind w:left="0" w:firstLine="0"/>
              <w:jc w:val="center"/>
            </w:pPr>
            <w:r w:rsidRPr="00A40F2F">
              <w:t>Zugänge und Öffnungen zum geschützten Bereich</w:t>
            </w:r>
          </w:p>
        </w:tc>
        <w:tc>
          <w:tcPr>
            <w:tcW w:w="4820" w:type="dxa"/>
          </w:tcPr>
          <w:p w14:paraId="467CBE0B"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3A937E7E" w14:textId="77777777" w:rsidR="00F058FC" w:rsidRPr="00A40F2F" w:rsidRDefault="00F058FC" w:rsidP="000C3CE5">
            <w:pPr>
              <w:spacing w:before="60" w:after="60" w:line="240" w:lineRule="atLeast"/>
              <w:ind w:left="0" w:firstLine="0"/>
              <w:jc w:val="center"/>
            </w:pPr>
            <w:r w:rsidRPr="00A40F2F">
              <w:t>An Bord von in Betrieb befindlichen Schiffen müssen bis dahin folgende Vorschriften eingehalten werden:</w:t>
            </w:r>
          </w:p>
          <w:p w14:paraId="47688116" w14:textId="77777777" w:rsidR="00F058FC" w:rsidRPr="00A40F2F" w:rsidRDefault="00F058FC" w:rsidP="000C3CE5">
            <w:pPr>
              <w:spacing w:before="60" w:after="60" w:line="240" w:lineRule="atLeast"/>
              <w:ind w:left="0" w:firstLine="0"/>
              <w:jc w:val="center"/>
            </w:pPr>
            <w:r w:rsidRPr="00A40F2F">
              <w:t>Die nach den Laderäumen gerichteten Öffnungen der Maschinenräume und der Betriebsräume müssen gut geschlossen werden können.</w:t>
            </w:r>
          </w:p>
        </w:tc>
      </w:tr>
      <w:tr w:rsidR="00F058FC" w:rsidRPr="00A40F2F" w14:paraId="33356B02" w14:textId="77777777" w:rsidTr="00467F4E">
        <w:trPr>
          <w:cantSplit/>
        </w:trPr>
        <w:tc>
          <w:tcPr>
            <w:tcW w:w="1417" w:type="dxa"/>
          </w:tcPr>
          <w:p w14:paraId="4FC954E8" w14:textId="77777777" w:rsidR="00F058FC" w:rsidRPr="00A40F2F" w:rsidRDefault="00F058FC" w:rsidP="000C3CE5">
            <w:pPr>
              <w:spacing w:before="60" w:after="60" w:line="240" w:lineRule="atLeast"/>
              <w:ind w:left="0" w:firstLine="0"/>
              <w:jc w:val="center"/>
            </w:pPr>
            <w:r w:rsidRPr="00A40F2F">
              <w:t>9.1.0.32.2</w:t>
            </w:r>
          </w:p>
        </w:tc>
        <w:tc>
          <w:tcPr>
            <w:tcW w:w="2985" w:type="dxa"/>
          </w:tcPr>
          <w:p w14:paraId="79CB3A3E" w14:textId="77777777" w:rsidR="00F058FC" w:rsidRPr="00A40F2F" w:rsidRDefault="00F058FC" w:rsidP="000C3CE5">
            <w:pPr>
              <w:spacing w:before="60" w:after="60" w:line="240" w:lineRule="atLeast"/>
              <w:ind w:left="0" w:firstLine="0"/>
              <w:jc w:val="center"/>
            </w:pPr>
            <w:r w:rsidRPr="00A40F2F">
              <w:t>Öffnungen der Lüftungsrohre mindestens 0,50 m über das freie Deck</w:t>
            </w:r>
          </w:p>
        </w:tc>
        <w:tc>
          <w:tcPr>
            <w:tcW w:w="4820" w:type="dxa"/>
          </w:tcPr>
          <w:p w14:paraId="0486674B"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tc>
      </w:tr>
      <w:tr w:rsidR="00F058FC" w:rsidRPr="00A40F2F" w14:paraId="5A973F02" w14:textId="77777777" w:rsidTr="00467F4E">
        <w:trPr>
          <w:cantSplit/>
        </w:trPr>
        <w:tc>
          <w:tcPr>
            <w:tcW w:w="1417" w:type="dxa"/>
          </w:tcPr>
          <w:p w14:paraId="2356FF80" w14:textId="77777777" w:rsidR="00F058FC" w:rsidRPr="00A40F2F" w:rsidRDefault="00F058FC" w:rsidP="000C3CE5">
            <w:pPr>
              <w:spacing w:before="60" w:after="60" w:line="240" w:lineRule="atLeast"/>
              <w:ind w:left="0" w:firstLine="0"/>
              <w:jc w:val="center"/>
            </w:pPr>
            <w:r w:rsidRPr="00A40F2F">
              <w:t>9.1.0.34.1</w:t>
            </w:r>
          </w:p>
        </w:tc>
        <w:tc>
          <w:tcPr>
            <w:tcW w:w="2985" w:type="dxa"/>
          </w:tcPr>
          <w:p w14:paraId="5B9487D2" w14:textId="77777777" w:rsidR="00F058FC" w:rsidRPr="00A40F2F" w:rsidRDefault="00F058FC" w:rsidP="000C3CE5">
            <w:pPr>
              <w:spacing w:before="60" w:after="60" w:line="240" w:lineRule="atLeast"/>
              <w:ind w:left="0" w:firstLine="0"/>
              <w:jc w:val="center"/>
            </w:pPr>
            <w:r w:rsidRPr="00A40F2F">
              <w:t>Position der Abgasrohre</w:t>
            </w:r>
          </w:p>
        </w:tc>
        <w:tc>
          <w:tcPr>
            <w:tcW w:w="4820" w:type="dxa"/>
          </w:tcPr>
          <w:p w14:paraId="6C2B7793"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tc>
      </w:tr>
      <w:tr w:rsidR="00F058FC" w:rsidRPr="00A40F2F" w14:paraId="44585548" w14:textId="77777777" w:rsidTr="00467F4E">
        <w:trPr>
          <w:cantSplit/>
        </w:trPr>
        <w:tc>
          <w:tcPr>
            <w:tcW w:w="1417" w:type="dxa"/>
          </w:tcPr>
          <w:p w14:paraId="77590C43" w14:textId="77777777" w:rsidR="00F058FC" w:rsidRPr="00A40F2F" w:rsidRDefault="00F058FC" w:rsidP="000C3CE5">
            <w:pPr>
              <w:tabs>
                <w:tab w:val="left" w:pos="170"/>
              </w:tabs>
              <w:spacing w:line="240" w:lineRule="exact"/>
              <w:ind w:left="0" w:firstLine="0"/>
              <w:jc w:val="center"/>
            </w:pPr>
            <w:r w:rsidRPr="00A40F2F">
              <w:t>9.1.0.35</w:t>
            </w:r>
          </w:p>
        </w:tc>
        <w:tc>
          <w:tcPr>
            <w:tcW w:w="2985" w:type="dxa"/>
          </w:tcPr>
          <w:p w14:paraId="2E384CB1" w14:textId="77777777" w:rsidR="00F058FC" w:rsidRPr="00A40F2F" w:rsidRDefault="00F058FC" w:rsidP="000C3CE5">
            <w:pPr>
              <w:tabs>
                <w:tab w:val="left" w:pos="170"/>
              </w:tabs>
              <w:spacing w:line="240" w:lineRule="exact"/>
              <w:ind w:left="0" w:firstLine="0"/>
              <w:jc w:val="center"/>
            </w:pPr>
            <w:r w:rsidRPr="00A40F2F">
              <w:t>Lenzpumpen im geschützten Bereich</w:t>
            </w:r>
          </w:p>
        </w:tc>
        <w:tc>
          <w:tcPr>
            <w:tcW w:w="4820" w:type="dxa"/>
          </w:tcPr>
          <w:p w14:paraId="40E300EF"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5FA7BA79" w14:textId="77777777" w:rsidR="00F058FC" w:rsidRPr="00A40F2F" w:rsidRDefault="00F058FC" w:rsidP="000C3CE5">
            <w:pPr>
              <w:tabs>
                <w:tab w:val="left" w:pos="170"/>
              </w:tabs>
              <w:spacing w:line="240" w:lineRule="exact"/>
              <w:ind w:left="0" w:firstLine="0"/>
              <w:jc w:val="center"/>
            </w:pPr>
            <w:r w:rsidRPr="00A40F2F">
              <w:t>An Bord von in Betrieb befindlichen Schiffen müssen bis dahin folgende Vorschriften eingehalten werden:</w:t>
            </w:r>
          </w:p>
          <w:p w14:paraId="40A99224" w14:textId="77777777" w:rsidR="00F058FC" w:rsidRPr="00A40F2F" w:rsidRDefault="00F058FC" w:rsidP="000C3CE5">
            <w:pPr>
              <w:tabs>
                <w:tab w:val="left" w:pos="170"/>
              </w:tabs>
              <w:spacing w:line="240" w:lineRule="exact"/>
              <w:ind w:left="0" w:firstLine="0"/>
              <w:jc w:val="center"/>
            </w:pPr>
            <w:r w:rsidRPr="00A40F2F">
              <w:t>Bei der Beförderung von Gütern der Klasse 4.1, UN 3175, allen Gütern der Klasse 4.3 in loser Schüttung oder unverpackt und schäumbaren Polymer-Kügelchen der Klasse 9, UN 2211 darf das Lenzen der Laderäume nur mit Hilfe einer im geschützten Bereich aufgestellten Lenzeinrichtung stattfinden. Die Lenzeinrichtung über dem Maschinenraum muss blindgeflanscht sein.</w:t>
            </w:r>
          </w:p>
        </w:tc>
      </w:tr>
      <w:tr w:rsidR="00F058FC" w:rsidRPr="00A40F2F" w14:paraId="52493370" w14:textId="77777777" w:rsidTr="00467F4E">
        <w:trPr>
          <w:cantSplit/>
        </w:trPr>
        <w:tc>
          <w:tcPr>
            <w:tcW w:w="1417" w:type="dxa"/>
          </w:tcPr>
          <w:p w14:paraId="0BCC7BB5" w14:textId="77777777" w:rsidR="00F058FC" w:rsidRPr="00A40F2F" w:rsidRDefault="00F058FC" w:rsidP="000C3CE5">
            <w:pPr>
              <w:spacing w:before="60" w:after="60" w:line="240" w:lineRule="atLeast"/>
              <w:ind w:left="0" w:firstLine="0"/>
              <w:jc w:val="center"/>
            </w:pPr>
            <w:r w:rsidRPr="00A40F2F">
              <w:t>9.1.0.40.1</w:t>
            </w:r>
          </w:p>
        </w:tc>
        <w:tc>
          <w:tcPr>
            <w:tcW w:w="2985" w:type="dxa"/>
          </w:tcPr>
          <w:p w14:paraId="3EB28C58" w14:textId="77777777" w:rsidR="00F058FC" w:rsidRPr="00A40F2F" w:rsidRDefault="00F058FC" w:rsidP="000C3CE5">
            <w:pPr>
              <w:spacing w:before="60" w:after="60" w:line="240" w:lineRule="atLeast"/>
              <w:ind w:left="0" w:firstLine="0"/>
              <w:jc w:val="center"/>
            </w:pPr>
            <w:r w:rsidRPr="00A40F2F">
              <w:t>Feuerlöscheinrichtung,</w:t>
            </w:r>
            <w:r w:rsidRPr="00A40F2F">
              <w:br/>
              <w:t>zwei Pumpen usw.</w:t>
            </w:r>
          </w:p>
        </w:tc>
        <w:tc>
          <w:tcPr>
            <w:tcW w:w="4820" w:type="dxa"/>
          </w:tcPr>
          <w:p w14:paraId="62BEF1A5"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tc>
      </w:tr>
      <w:tr w:rsidR="00F058FC" w:rsidRPr="00A40F2F" w14:paraId="3194A5DE" w14:textId="77777777" w:rsidTr="00467F4E">
        <w:trPr>
          <w:cantSplit/>
        </w:trPr>
        <w:tc>
          <w:tcPr>
            <w:tcW w:w="1417" w:type="dxa"/>
          </w:tcPr>
          <w:p w14:paraId="5D472A20" w14:textId="77777777" w:rsidR="00F058FC" w:rsidRPr="00A40F2F" w:rsidRDefault="00F058FC" w:rsidP="000C3CE5">
            <w:pPr>
              <w:spacing w:before="60" w:after="60" w:line="240" w:lineRule="atLeast"/>
              <w:ind w:left="0" w:firstLine="0"/>
              <w:jc w:val="center"/>
            </w:pPr>
            <w:r w:rsidRPr="00A40F2F">
              <w:t>9.1.0.41</w:t>
            </w:r>
            <w:r w:rsidRPr="00A40F2F">
              <w:br/>
              <w:t>in Verbindung</w:t>
            </w:r>
            <w:r w:rsidRPr="00A40F2F">
              <w:br/>
              <w:t>mit 7.1.3.41</w:t>
            </w:r>
          </w:p>
        </w:tc>
        <w:tc>
          <w:tcPr>
            <w:tcW w:w="2985" w:type="dxa"/>
          </w:tcPr>
          <w:p w14:paraId="0E27F0AF" w14:textId="77777777" w:rsidR="00F058FC" w:rsidRPr="00A40F2F" w:rsidRDefault="00F058FC" w:rsidP="000C3CE5">
            <w:pPr>
              <w:spacing w:before="60" w:after="60" w:line="240" w:lineRule="atLeast"/>
              <w:ind w:left="0" w:firstLine="0"/>
              <w:jc w:val="center"/>
            </w:pPr>
            <w:r w:rsidRPr="00A40F2F">
              <w:t>Feuer und offenes Licht</w:t>
            </w:r>
          </w:p>
        </w:tc>
        <w:tc>
          <w:tcPr>
            <w:tcW w:w="4820" w:type="dxa"/>
          </w:tcPr>
          <w:p w14:paraId="2D4921FF"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69AA04DB" w14:textId="77777777" w:rsidR="00F058FC" w:rsidRPr="00A40F2F" w:rsidRDefault="00F058FC" w:rsidP="000C3CE5">
            <w:pPr>
              <w:spacing w:before="60" w:after="60" w:line="240" w:lineRule="atLeast"/>
              <w:ind w:left="0" w:firstLine="0"/>
              <w:jc w:val="center"/>
            </w:pPr>
            <w:r w:rsidRPr="00A40F2F">
              <w:t>An Bord von in Betrieb befindlichen Schiffen müssen bis dahin folgende Vorschriften eingehalten werden:</w:t>
            </w:r>
          </w:p>
          <w:p w14:paraId="3A8941DE" w14:textId="77777777" w:rsidR="00F058FC" w:rsidRPr="00A40F2F" w:rsidRDefault="00F058FC" w:rsidP="000C3CE5">
            <w:pPr>
              <w:spacing w:before="60" w:after="60" w:line="240" w:lineRule="atLeast"/>
              <w:ind w:left="0" w:firstLine="0"/>
              <w:jc w:val="center"/>
            </w:pPr>
            <w:r w:rsidRPr="00A40F2F">
              <w:t>Die Mündungen der Schornsteine müssen sich mindestens 2 m vom nächstgelegenen Punkt der Laderaumluken entfernt befinden. Heiz- und Kochgeräte sind nur in geschlossenen Wohnungen und Steuerhäusern mit Metallunterbau zugelassen. Es ist jedoch zugelassen:</w:t>
            </w:r>
          </w:p>
          <w:p w14:paraId="3EB0A23D" w14:textId="77777777" w:rsidR="00F058FC" w:rsidRPr="00A40F2F" w:rsidRDefault="00F058FC" w:rsidP="000C3CE5">
            <w:pPr>
              <w:spacing w:before="60" w:after="60" w:line="240" w:lineRule="atLeast"/>
              <w:ind w:left="0" w:firstLine="0"/>
              <w:jc w:val="center"/>
            </w:pPr>
            <w:r w:rsidRPr="00A40F2F">
              <w:t>-</w:t>
            </w:r>
            <w:r w:rsidRPr="00A40F2F">
              <w:tab/>
              <w:t>im Maschinenraum Heizgeräte für flüssigen Brennstoff mit einem Flammpunkt von mehr als 55 °C aufzustellen;</w:t>
            </w:r>
          </w:p>
          <w:p w14:paraId="194CC7AB" w14:textId="77777777" w:rsidR="00F058FC" w:rsidRPr="00A40F2F" w:rsidRDefault="00F058FC" w:rsidP="000C3CE5">
            <w:pPr>
              <w:spacing w:before="60" w:after="60" w:line="240" w:lineRule="atLeast"/>
              <w:ind w:left="0" w:firstLine="0"/>
              <w:jc w:val="center"/>
            </w:pPr>
            <w:r w:rsidRPr="00A40F2F">
              <w:t>-</w:t>
            </w:r>
            <w:r w:rsidRPr="00A40F2F">
              <w:tab/>
              <w:t>Zentralheizungskessel für festen Brennstoff in einem unter Deck gelegenen und nur von Deck aus zugänglichen Raum aufzustellen.</w:t>
            </w:r>
          </w:p>
        </w:tc>
      </w:tr>
      <w:tr w:rsidR="00F058FC" w:rsidRPr="00A40F2F" w14:paraId="610AF366" w14:textId="77777777" w:rsidTr="00467F4E">
        <w:trPr>
          <w:cantSplit/>
        </w:trPr>
        <w:tc>
          <w:tcPr>
            <w:tcW w:w="1417" w:type="dxa"/>
          </w:tcPr>
          <w:p w14:paraId="2EABF8B6" w14:textId="77777777" w:rsidR="00F058FC" w:rsidRPr="00A40F2F" w:rsidRDefault="00F058FC" w:rsidP="000C3CE5">
            <w:pPr>
              <w:spacing w:before="60" w:after="60" w:line="240" w:lineRule="atLeast"/>
              <w:ind w:left="0" w:firstLine="0"/>
              <w:jc w:val="center"/>
            </w:pPr>
            <w:r w:rsidRPr="00A40F2F">
              <w:t>9.2.0.34.1</w:t>
            </w:r>
          </w:p>
        </w:tc>
        <w:tc>
          <w:tcPr>
            <w:tcW w:w="2985" w:type="dxa"/>
          </w:tcPr>
          <w:p w14:paraId="16712766" w14:textId="77777777" w:rsidR="00F058FC" w:rsidRPr="00A40F2F" w:rsidRDefault="00F058FC" w:rsidP="000C3CE5">
            <w:pPr>
              <w:spacing w:before="60" w:after="60" w:line="240" w:lineRule="atLeast"/>
              <w:ind w:left="0" w:firstLine="0"/>
              <w:jc w:val="center"/>
            </w:pPr>
            <w:r w:rsidRPr="00A40F2F">
              <w:t>Position der Abgasrohre</w:t>
            </w:r>
          </w:p>
        </w:tc>
        <w:tc>
          <w:tcPr>
            <w:tcW w:w="4820" w:type="dxa"/>
          </w:tcPr>
          <w:p w14:paraId="0E014043"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tc>
      </w:tr>
      <w:tr w:rsidR="00F058FC" w:rsidRPr="00A40F2F" w14:paraId="1F217CC8" w14:textId="77777777" w:rsidTr="00467F4E">
        <w:trPr>
          <w:cantSplit/>
        </w:trPr>
        <w:tc>
          <w:tcPr>
            <w:tcW w:w="1417" w:type="dxa"/>
          </w:tcPr>
          <w:p w14:paraId="7C287E92" w14:textId="77777777" w:rsidR="00F058FC" w:rsidRPr="00A40F2F" w:rsidRDefault="00F058FC" w:rsidP="000C3CE5">
            <w:pPr>
              <w:spacing w:before="60" w:after="60" w:line="240" w:lineRule="atLeast"/>
              <w:ind w:left="0" w:firstLine="0"/>
              <w:jc w:val="center"/>
            </w:pPr>
            <w:r w:rsidRPr="00A40F2F">
              <w:lastRenderedPageBreak/>
              <w:t>9.2.0.41 in Verbindung mit 7.1.3.41</w:t>
            </w:r>
          </w:p>
        </w:tc>
        <w:tc>
          <w:tcPr>
            <w:tcW w:w="2985" w:type="dxa"/>
          </w:tcPr>
          <w:p w14:paraId="388CA42C" w14:textId="77777777" w:rsidR="00F058FC" w:rsidRPr="00A40F2F" w:rsidRDefault="00F058FC" w:rsidP="000C3CE5">
            <w:pPr>
              <w:spacing w:before="60" w:after="60" w:line="240" w:lineRule="atLeast"/>
              <w:ind w:left="0" w:firstLine="0"/>
              <w:jc w:val="center"/>
            </w:pPr>
            <w:r w:rsidRPr="00A40F2F">
              <w:t>Feuer und offenes Licht</w:t>
            </w:r>
          </w:p>
        </w:tc>
        <w:tc>
          <w:tcPr>
            <w:tcW w:w="4820" w:type="dxa"/>
          </w:tcPr>
          <w:p w14:paraId="0682ECA7" w14:textId="77777777" w:rsidR="00F058FC" w:rsidRPr="00A40F2F" w:rsidRDefault="00F058FC" w:rsidP="000C3CE5">
            <w:pPr>
              <w:spacing w:before="60" w:after="60" w:line="240" w:lineRule="atLeast"/>
              <w:ind w:left="0" w:firstLine="0"/>
              <w:jc w:val="center"/>
            </w:pPr>
            <w:r w:rsidRPr="00A40F2F">
              <w:t>N.E.U., Erneuerung des Zulassungszeugnisses nach dem 31. Dezember 2018</w:t>
            </w:r>
          </w:p>
          <w:p w14:paraId="67BD6CC7" w14:textId="77777777" w:rsidR="00F058FC" w:rsidRPr="00A40F2F" w:rsidRDefault="00F058FC" w:rsidP="000C3CE5">
            <w:pPr>
              <w:spacing w:before="60" w:after="60" w:line="240" w:lineRule="atLeast"/>
              <w:ind w:left="0" w:firstLine="0"/>
              <w:jc w:val="center"/>
            </w:pPr>
            <w:r w:rsidRPr="00A40F2F">
              <w:t>An Bord von in Betrieb befindlichen Schiffen müssen bis dahin folgende Vorschriften eingehalten werden:</w:t>
            </w:r>
          </w:p>
          <w:p w14:paraId="6902EB47" w14:textId="77777777" w:rsidR="00F058FC" w:rsidRPr="00A40F2F" w:rsidRDefault="00F058FC" w:rsidP="000C3CE5">
            <w:pPr>
              <w:spacing w:before="60" w:after="60" w:line="240" w:lineRule="atLeast"/>
              <w:ind w:left="0" w:firstLine="0"/>
              <w:jc w:val="center"/>
            </w:pPr>
            <w:r w:rsidRPr="00A40F2F">
              <w:t>Die Mündungen der Schornsteine müssen sich mindestens 2 m vom nächstgelegenen Punkt der Laderaumluken entfernt befinden. Heiz- und Kochgeräte sind nur in geschlossenen Wohnungen und Steuerhäusern mit Metallunterbau zugelassen. Es ist jedoch zugelassen:</w:t>
            </w:r>
          </w:p>
          <w:p w14:paraId="3008EC98" w14:textId="77777777" w:rsidR="00F058FC" w:rsidRPr="00A40F2F" w:rsidRDefault="00F058FC" w:rsidP="000C3CE5">
            <w:pPr>
              <w:spacing w:before="60" w:after="60" w:line="240" w:lineRule="atLeast"/>
              <w:ind w:left="0" w:firstLine="0"/>
              <w:jc w:val="center"/>
            </w:pPr>
            <w:r w:rsidRPr="00A40F2F">
              <w:t>-</w:t>
            </w:r>
            <w:r w:rsidRPr="00A40F2F">
              <w:tab/>
              <w:t>im Maschinenraum Heizgeräte für flüssigen Brennstoff mit einem Flammpunkt von mehr als 55 °C aufzustellen;</w:t>
            </w:r>
          </w:p>
          <w:p w14:paraId="616948FA" w14:textId="77777777" w:rsidR="00F058FC" w:rsidRPr="00A40F2F" w:rsidRDefault="00F058FC" w:rsidP="000C3CE5">
            <w:pPr>
              <w:spacing w:before="60" w:after="60" w:line="240" w:lineRule="atLeast"/>
              <w:ind w:left="0" w:firstLine="0"/>
              <w:jc w:val="center"/>
            </w:pPr>
            <w:r w:rsidRPr="00A40F2F">
              <w:t>-</w:t>
            </w:r>
            <w:r w:rsidRPr="00A40F2F">
              <w:tab/>
              <w:t>Zentralheizungskessel für festen Brennstoff in einem unter Deck gelegenen und nur von Deck aus zugänglichen Raum aufzustellen.</w:t>
            </w:r>
          </w:p>
        </w:tc>
      </w:tr>
    </w:tbl>
    <w:p w14:paraId="62BCD5F4" w14:textId="57F84288" w:rsidR="00F058FC" w:rsidRPr="00A40F2F" w:rsidRDefault="00F058FC" w:rsidP="00F058FC">
      <w:pPr>
        <w:widowControl/>
        <w:overflowPunct/>
        <w:autoSpaceDE/>
        <w:autoSpaceDN/>
        <w:adjustRightInd/>
        <w:ind w:left="0" w:firstLine="0"/>
        <w:jc w:val="left"/>
        <w:textAlignment w:val="auto"/>
        <w:rPr>
          <w:lang w:eastAsia="de-DE"/>
        </w:rPr>
      </w:pPr>
    </w:p>
    <w:p w14:paraId="6A1D43EE" w14:textId="77777777" w:rsidR="00467F4E" w:rsidRPr="00A40F2F" w:rsidRDefault="00467F4E" w:rsidP="00F058FC">
      <w:pPr>
        <w:widowControl/>
        <w:overflowPunct/>
        <w:autoSpaceDE/>
        <w:autoSpaceDN/>
        <w:adjustRightInd/>
        <w:ind w:left="0" w:firstLine="0"/>
        <w:jc w:val="left"/>
        <w:textAlignment w:val="auto"/>
        <w:rPr>
          <w:lang w:eastAsia="de-DE"/>
        </w:rPr>
      </w:pPr>
    </w:p>
    <w:tbl>
      <w:tblPr>
        <w:tblW w:w="922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3119"/>
        <w:gridCol w:w="4677"/>
        <w:gridCol w:w="9"/>
      </w:tblGrid>
      <w:tr w:rsidR="00F058FC" w:rsidRPr="00A40F2F" w14:paraId="2CC8DA0E" w14:textId="77777777" w:rsidTr="00467F4E">
        <w:trPr>
          <w:cantSplit/>
          <w:tblHeader/>
        </w:trPr>
        <w:tc>
          <w:tcPr>
            <w:tcW w:w="9222" w:type="dxa"/>
            <w:gridSpan w:val="4"/>
          </w:tcPr>
          <w:p w14:paraId="0168CE8E" w14:textId="77777777" w:rsidR="00F058FC" w:rsidRPr="00A40F2F" w:rsidRDefault="00F058FC" w:rsidP="00F058FC">
            <w:pPr>
              <w:tabs>
                <w:tab w:val="left" w:pos="170"/>
              </w:tabs>
              <w:spacing w:before="60" w:after="60" w:line="240" w:lineRule="atLeast"/>
              <w:ind w:left="0" w:firstLine="0"/>
            </w:pPr>
            <w:r w:rsidRPr="00A40F2F">
              <w:t>1.6.7.2.2.2 Tabelle der allgemeinen Übergangsvorschriften: Tankschiffe</w:t>
            </w:r>
          </w:p>
        </w:tc>
      </w:tr>
      <w:tr w:rsidR="00F058FC" w:rsidRPr="00A40F2F" w14:paraId="6101DF38" w14:textId="77777777" w:rsidTr="00467F4E">
        <w:trPr>
          <w:cantSplit/>
          <w:tblHeader/>
        </w:trPr>
        <w:tc>
          <w:tcPr>
            <w:tcW w:w="1417" w:type="dxa"/>
          </w:tcPr>
          <w:p w14:paraId="306214F8" w14:textId="77777777" w:rsidR="00F058FC" w:rsidRPr="00A40F2F" w:rsidRDefault="00F058FC" w:rsidP="00F058FC">
            <w:pPr>
              <w:spacing w:before="60" w:after="60" w:line="240" w:lineRule="atLeast"/>
              <w:ind w:left="0" w:firstLine="0"/>
            </w:pPr>
            <w:r w:rsidRPr="00A40F2F">
              <w:t>Absatz</w:t>
            </w:r>
          </w:p>
        </w:tc>
        <w:tc>
          <w:tcPr>
            <w:tcW w:w="3119" w:type="dxa"/>
          </w:tcPr>
          <w:p w14:paraId="3DCB30D1" w14:textId="77777777" w:rsidR="00F058FC" w:rsidRPr="00A40F2F" w:rsidRDefault="00F058FC" w:rsidP="00F058FC">
            <w:pPr>
              <w:spacing w:before="60" w:after="60" w:line="240" w:lineRule="atLeast"/>
              <w:ind w:left="0" w:firstLine="0"/>
            </w:pPr>
            <w:r w:rsidRPr="00A40F2F">
              <w:t>Inhalt</w:t>
            </w:r>
          </w:p>
        </w:tc>
        <w:tc>
          <w:tcPr>
            <w:tcW w:w="4686" w:type="dxa"/>
            <w:gridSpan w:val="2"/>
          </w:tcPr>
          <w:p w14:paraId="371CA565" w14:textId="77777777" w:rsidR="00F058FC" w:rsidRPr="00A40F2F" w:rsidRDefault="00F058FC" w:rsidP="00F058FC">
            <w:pPr>
              <w:spacing w:before="60" w:after="60" w:line="240" w:lineRule="atLeast"/>
              <w:ind w:left="0" w:firstLine="0"/>
            </w:pPr>
            <w:r w:rsidRPr="00A40F2F">
              <w:t>Frist und Nebenbestimmungen</w:t>
            </w:r>
          </w:p>
        </w:tc>
      </w:tr>
      <w:tr w:rsidR="00F058FC" w:rsidRPr="00A40F2F" w14:paraId="72B39D3F" w14:textId="77777777" w:rsidTr="00467F4E">
        <w:trPr>
          <w:cantSplit/>
        </w:trPr>
        <w:tc>
          <w:tcPr>
            <w:tcW w:w="1417" w:type="dxa"/>
          </w:tcPr>
          <w:p w14:paraId="1FDD44C8" w14:textId="77777777" w:rsidR="00F058FC" w:rsidRPr="00A40F2F" w:rsidRDefault="00F058FC" w:rsidP="00F058FC">
            <w:pPr>
              <w:tabs>
                <w:tab w:val="left" w:pos="170"/>
              </w:tabs>
              <w:spacing w:line="240" w:lineRule="exact"/>
              <w:ind w:left="0" w:firstLine="0"/>
            </w:pPr>
            <w:r w:rsidRPr="00A40F2F">
              <w:t>7.2.4.22.3</w:t>
            </w:r>
          </w:p>
        </w:tc>
        <w:tc>
          <w:tcPr>
            <w:tcW w:w="3119" w:type="dxa"/>
          </w:tcPr>
          <w:p w14:paraId="06A4738B" w14:textId="77777777" w:rsidR="00F058FC" w:rsidRPr="00A40F2F" w:rsidRDefault="00F058FC" w:rsidP="00F058FC">
            <w:pPr>
              <w:tabs>
                <w:tab w:val="left" w:pos="170"/>
              </w:tabs>
              <w:spacing w:line="240" w:lineRule="exact"/>
              <w:ind w:left="0" w:firstLine="0"/>
            </w:pPr>
            <w:r w:rsidRPr="00A40F2F">
              <w:t xml:space="preserve">Probeentnahme </w:t>
            </w:r>
          </w:p>
        </w:tc>
        <w:tc>
          <w:tcPr>
            <w:tcW w:w="4686" w:type="dxa"/>
            <w:gridSpan w:val="2"/>
          </w:tcPr>
          <w:p w14:paraId="6DF14887" w14:textId="77777777" w:rsidR="00F058FC" w:rsidRPr="00A40F2F" w:rsidRDefault="00F058FC" w:rsidP="00F058FC">
            <w:pPr>
              <w:tabs>
                <w:tab w:val="left" w:pos="170"/>
              </w:tabs>
              <w:spacing w:line="240" w:lineRule="exact"/>
              <w:ind w:left="0" w:firstLine="0"/>
            </w:pPr>
            <w:r w:rsidRPr="00A40F2F">
              <w:t>N.E.U. für Schiffe des Typs N offen</w:t>
            </w:r>
          </w:p>
          <w:p w14:paraId="5C784340"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p w14:paraId="0CB8D0C9" w14:textId="77777777" w:rsidR="00F058FC" w:rsidRPr="00A40F2F" w:rsidRDefault="00F058FC" w:rsidP="00F058FC">
            <w:pPr>
              <w:tabs>
                <w:tab w:val="left" w:pos="170"/>
              </w:tabs>
              <w:spacing w:line="240" w:lineRule="exact"/>
              <w:ind w:left="0" w:firstLine="0"/>
            </w:pPr>
            <w:r w:rsidRPr="00A40F2F">
              <w:t>An Bord von in Betrieb befindlichen Schiffen müssen bis dahin folgende Vorschriften eingehalten werden:</w:t>
            </w:r>
          </w:p>
          <w:p w14:paraId="292E5D07" w14:textId="77777777" w:rsidR="00F058FC" w:rsidRPr="00A40F2F" w:rsidRDefault="00F058FC" w:rsidP="00F058FC">
            <w:pPr>
              <w:tabs>
                <w:tab w:val="left" w:pos="170"/>
              </w:tabs>
              <w:spacing w:line="240" w:lineRule="exact"/>
              <w:ind w:left="0" w:firstLine="0"/>
            </w:pPr>
            <w:r w:rsidRPr="00A40F2F">
              <w:t>Die Ladetankluken dürfen zur Kontrolle und Probeentnahme während des Beladens geöffnet werden</w:t>
            </w:r>
          </w:p>
        </w:tc>
      </w:tr>
      <w:tr w:rsidR="00F058FC" w:rsidRPr="00A40F2F" w14:paraId="16B8756A" w14:textId="77777777" w:rsidTr="00467F4E">
        <w:trPr>
          <w:cantSplit/>
          <w:tblHeader/>
        </w:trPr>
        <w:tc>
          <w:tcPr>
            <w:tcW w:w="1417" w:type="dxa"/>
          </w:tcPr>
          <w:p w14:paraId="6FA47391" w14:textId="77777777" w:rsidR="00F058FC" w:rsidRPr="00A40F2F" w:rsidRDefault="00F058FC" w:rsidP="00F058FC">
            <w:pPr>
              <w:tabs>
                <w:tab w:val="left" w:pos="170"/>
              </w:tabs>
              <w:spacing w:line="240" w:lineRule="exact"/>
              <w:ind w:left="0" w:firstLine="0"/>
            </w:pPr>
            <w:r w:rsidRPr="00A40F2F">
              <w:t>8.6.1.3</w:t>
            </w:r>
            <w:r w:rsidRPr="00A40F2F">
              <w:br/>
              <w:t>8.6.1.4</w:t>
            </w:r>
          </w:p>
        </w:tc>
        <w:tc>
          <w:tcPr>
            <w:tcW w:w="3119" w:type="dxa"/>
          </w:tcPr>
          <w:p w14:paraId="12F28148" w14:textId="77777777" w:rsidR="00F058FC" w:rsidRPr="00A40F2F" w:rsidRDefault="00F058FC" w:rsidP="00F058FC">
            <w:pPr>
              <w:spacing w:before="60" w:after="60" w:line="240" w:lineRule="atLeast"/>
              <w:ind w:left="0" w:firstLine="0"/>
            </w:pPr>
            <w:r w:rsidRPr="00A40F2F">
              <w:t>Änderung Zulassungszeugnis</w:t>
            </w:r>
          </w:p>
        </w:tc>
        <w:tc>
          <w:tcPr>
            <w:tcW w:w="4686" w:type="dxa"/>
            <w:gridSpan w:val="2"/>
          </w:tcPr>
          <w:p w14:paraId="7C566784" w14:textId="77777777" w:rsidR="00F058FC" w:rsidRPr="00A40F2F" w:rsidRDefault="00F058FC" w:rsidP="00F058FC">
            <w:pPr>
              <w:tabs>
                <w:tab w:val="left" w:pos="170"/>
              </w:tabs>
              <w:spacing w:line="240" w:lineRule="exact"/>
              <w:ind w:left="0" w:firstLine="0"/>
            </w:pPr>
            <w:r w:rsidRPr="00A40F2F">
              <w:t>N.E.U. ab 1. Januar 2019</w:t>
            </w:r>
          </w:p>
          <w:p w14:paraId="19CE3448" w14:textId="77777777" w:rsidR="00F058FC" w:rsidRPr="00A40F2F" w:rsidRDefault="00F058FC" w:rsidP="00F058FC">
            <w:pPr>
              <w:tabs>
                <w:tab w:val="left" w:pos="170"/>
              </w:tabs>
              <w:spacing w:line="240" w:lineRule="exact"/>
              <w:ind w:left="0" w:firstLine="0"/>
              <w:jc w:val="left"/>
            </w:pPr>
            <w:r w:rsidRPr="00A40F2F">
              <w:t>Erneuerung des Zulassungszeugnisses nach dem 31. Dezember 2018</w:t>
            </w:r>
          </w:p>
        </w:tc>
      </w:tr>
      <w:tr w:rsidR="00F058FC" w:rsidRPr="00A40F2F" w14:paraId="67424B5E" w14:textId="77777777" w:rsidTr="00467F4E">
        <w:trPr>
          <w:cantSplit/>
          <w:tblHeader/>
        </w:trPr>
        <w:tc>
          <w:tcPr>
            <w:tcW w:w="1417" w:type="dxa"/>
          </w:tcPr>
          <w:p w14:paraId="3D7D3362" w14:textId="77777777" w:rsidR="00F058FC" w:rsidRPr="00A40F2F" w:rsidRDefault="00F058FC" w:rsidP="00F058FC">
            <w:pPr>
              <w:tabs>
                <w:tab w:val="left" w:pos="170"/>
              </w:tabs>
              <w:spacing w:line="240" w:lineRule="exact"/>
              <w:ind w:left="0" w:firstLine="0"/>
            </w:pPr>
            <w:r w:rsidRPr="00A40F2F">
              <w:t>9.3.3.11.4</w:t>
            </w:r>
          </w:p>
        </w:tc>
        <w:tc>
          <w:tcPr>
            <w:tcW w:w="3119" w:type="dxa"/>
          </w:tcPr>
          <w:p w14:paraId="07290235" w14:textId="77777777" w:rsidR="00F058FC" w:rsidRPr="00A40F2F" w:rsidRDefault="00F058FC" w:rsidP="00F058FC">
            <w:pPr>
              <w:spacing w:before="60" w:after="60" w:line="240" w:lineRule="atLeast"/>
              <w:ind w:left="0" w:firstLine="0"/>
            </w:pPr>
            <w:r w:rsidRPr="00A40F2F">
              <w:t>Absperrarmaturen von Lade- und Löschleitungen in den Ladetanks, aus denen sie herkommen</w:t>
            </w:r>
          </w:p>
        </w:tc>
        <w:tc>
          <w:tcPr>
            <w:tcW w:w="4686" w:type="dxa"/>
            <w:gridSpan w:val="2"/>
          </w:tcPr>
          <w:p w14:paraId="4B46694B" w14:textId="77777777" w:rsidR="00F058FC" w:rsidRPr="00A40F2F" w:rsidRDefault="00F058FC" w:rsidP="00F058FC">
            <w:pPr>
              <w:tabs>
                <w:tab w:val="left" w:pos="170"/>
              </w:tabs>
              <w:spacing w:line="240" w:lineRule="exact"/>
              <w:ind w:left="0" w:firstLine="0"/>
            </w:pPr>
            <w:r w:rsidRPr="00A40F2F">
              <w:t>N.E.U. ab 1. Januar 2005, Erneuerung des Zulassungszeugnisses nach dem 31. Dezember 2018</w:t>
            </w:r>
          </w:p>
        </w:tc>
      </w:tr>
      <w:tr w:rsidR="00F058FC" w:rsidRPr="00A40F2F" w14:paraId="7982B5E0" w14:textId="77777777" w:rsidTr="00467F4E">
        <w:trPr>
          <w:cantSplit/>
          <w:tblHeader/>
        </w:trPr>
        <w:tc>
          <w:tcPr>
            <w:tcW w:w="1417" w:type="dxa"/>
          </w:tcPr>
          <w:p w14:paraId="75524F47" w14:textId="77777777" w:rsidR="00F058FC" w:rsidRPr="00A40F2F" w:rsidRDefault="00F058FC" w:rsidP="00F058FC">
            <w:pPr>
              <w:tabs>
                <w:tab w:val="left" w:pos="170"/>
              </w:tabs>
              <w:spacing w:line="240" w:lineRule="exact"/>
              <w:ind w:left="0" w:firstLine="0"/>
            </w:pPr>
            <w:r w:rsidRPr="00A40F2F">
              <w:t>9.3.1.11.8</w:t>
            </w:r>
            <w:r w:rsidRPr="00A40F2F">
              <w:br/>
              <w:t>9.3.3.11.9</w:t>
            </w:r>
          </w:p>
        </w:tc>
        <w:tc>
          <w:tcPr>
            <w:tcW w:w="3119" w:type="dxa"/>
          </w:tcPr>
          <w:p w14:paraId="71B859D7" w14:textId="77777777" w:rsidR="00F058FC" w:rsidRPr="00A40F2F" w:rsidRDefault="00F058FC" w:rsidP="00F058FC">
            <w:pPr>
              <w:spacing w:before="60" w:after="60" w:line="240" w:lineRule="atLeast"/>
              <w:ind w:left="0" w:firstLine="0"/>
            </w:pPr>
            <w:r w:rsidRPr="00A40F2F">
              <w:t>Abmessungen von Zugangsöffnungen zu Räumen im Bereich der Ladung</w:t>
            </w:r>
          </w:p>
        </w:tc>
        <w:tc>
          <w:tcPr>
            <w:tcW w:w="4686" w:type="dxa"/>
            <w:gridSpan w:val="2"/>
          </w:tcPr>
          <w:p w14:paraId="485B8178"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0819574C" w14:textId="77777777" w:rsidTr="00467F4E">
        <w:trPr>
          <w:cantSplit/>
          <w:tblHeader/>
        </w:trPr>
        <w:tc>
          <w:tcPr>
            <w:tcW w:w="1417" w:type="dxa"/>
          </w:tcPr>
          <w:p w14:paraId="2688580D" w14:textId="77777777" w:rsidR="00F058FC" w:rsidRPr="00A40F2F" w:rsidRDefault="00F058FC" w:rsidP="00F058FC">
            <w:pPr>
              <w:tabs>
                <w:tab w:val="left" w:pos="170"/>
              </w:tabs>
              <w:spacing w:line="240" w:lineRule="exact"/>
              <w:ind w:left="0" w:firstLine="0"/>
            </w:pPr>
            <w:r w:rsidRPr="00A40F2F">
              <w:t>9.3.2.12.1</w:t>
            </w:r>
            <w:r w:rsidRPr="00A40F2F">
              <w:br/>
              <w:t>9.3.3.12.1</w:t>
            </w:r>
          </w:p>
        </w:tc>
        <w:tc>
          <w:tcPr>
            <w:tcW w:w="3119" w:type="dxa"/>
          </w:tcPr>
          <w:p w14:paraId="57A69FFF" w14:textId="77777777" w:rsidR="00F058FC" w:rsidRPr="00A40F2F" w:rsidRDefault="00F058FC" w:rsidP="00F058FC">
            <w:pPr>
              <w:spacing w:before="60" w:after="60" w:line="240" w:lineRule="atLeast"/>
              <w:ind w:left="0" w:firstLine="0"/>
            </w:pPr>
            <w:r w:rsidRPr="00A40F2F">
              <w:t>Lüftungsöffnungen von Aufstellungsräumen</w:t>
            </w:r>
          </w:p>
        </w:tc>
        <w:tc>
          <w:tcPr>
            <w:tcW w:w="4686" w:type="dxa"/>
            <w:gridSpan w:val="2"/>
          </w:tcPr>
          <w:p w14:paraId="2E54D919" w14:textId="77777777" w:rsidR="00F058FC" w:rsidRPr="00A40F2F" w:rsidRDefault="00F058FC" w:rsidP="00F058FC">
            <w:pPr>
              <w:tabs>
                <w:tab w:val="left" w:pos="170"/>
              </w:tabs>
              <w:spacing w:line="240" w:lineRule="exact"/>
              <w:ind w:left="0" w:firstLine="0"/>
            </w:pPr>
            <w:r w:rsidRPr="00A40F2F">
              <w:t>N.E.U. ab 1. Januar 2003, Erneuerung des Zulassungszeugnisses nach dem 31. Dezember 2018</w:t>
            </w:r>
          </w:p>
        </w:tc>
      </w:tr>
      <w:tr w:rsidR="00F058FC" w:rsidRPr="00A40F2F" w14:paraId="7A12EF14" w14:textId="77777777" w:rsidTr="00467F4E">
        <w:trPr>
          <w:cantSplit/>
          <w:tblHeader/>
        </w:trPr>
        <w:tc>
          <w:tcPr>
            <w:tcW w:w="1417" w:type="dxa"/>
          </w:tcPr>
          <w:p w14:paraId="4F36AF76" w14:textId="77777777" w:rsidR="00F058FC" w:rsidRPr="00A40F2F" w:rsidRDefault="00F058FC" w:rsidP="00F058FC">
            <w:pPr>
              <w:tabs>
                <w:tab w:val="left" w:pos="170"/>
              </w:tabs>
              <w:spacing w:line="240" w:lineRule="exact"/>
              <w:ind w:left="0" w:firstLine="0"/>
            </w:pPr>
            <w:r w:rsidRPr="00A40F2F">
              <w:t>9.3.1.12.2</w:t>
            </w:r>
            <w:r w:rsidRPr="00A40F2F">
              <w:br/>
              <w:t>9.3.3.12.2</w:t>
            </w:r>
          </w:p>
        </w:tc>
        <w:tc>
          <w:tcPr>
            <w:tcW w:w="3119" w:type="dxa"/>
          </w:tcPr>
          <w:p w14:paraId="7FF62C30" w14:textId="77777777" w:rsidR="00F058FC" w:rsidRPr="00A40F2F" w:rsidRDefault="00F058FC" w:rsidP="00F058FC">
            <w:pPr>
              <w:spacing w:before="60" w:after="60" w:line="240" w:lineRule="atLeast"/>
              <w:ind w:left="0" w:firstLine="0"/>
            </w:pPr>
            <w:r w:rsidRPr="00A40F2F">
              <w:t>Lüftung von Wallgängen und Doppelböden durch Vorrichtungen</w:t>
            </w:r>
          </w:p>
        </w:tc>
        <w:tc>
          <w:tcPr>
            <w:tcW w:w="4686" w:type="dxa"/>
            <w:gridSpan w:val="2"/>
          </w:tcPr>
          <w:p w14:paraId="220A23FA"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720B7191" w14:textId="77777777" w:rsidTr="00467F4E">
        <w:trPr>
          <w:cantSplit/>
          <w:tblHeader/>
        </w:trPr>
        <w:tc>
          <w:tcPr>
            <w:tcW w:w="1417" w:type="dxa"/>
          </w:tcPr>
          <w:p w14:paraId="436ADA7C" w14:textId="77777777" w:rsidR="00F058FC" w:rsidRPr="00A40F2F" w:rsidRDefault="00F058FC" w:rsidP="00F058FC">
            <w:pPr>
              <w:tabs>
                <w:tab w:val="left" w:pos="170"/>
              </w:tabs>
              <w:spacing w:line="240" w:lineRule="exact"/>
              <w:ind w:left="0" w:firstLine="0"/>
            </w:pPr>
            <w:r w:rsidRPr="00A40F2F">
              <w:t>9.3.1.12.3</w:t>
            </w:r>
            <w:r w:rsidRPr="00A40F2F">
              <w:br/>
              <w:t>9.3.2.12.3</w:t>
            </w:r>
            <w:r w:rsidRPr="00A40F2F">
              <w:br/>
              <w:t>9.3.3.12.3</w:t>
            </w:r>
          </w:p>
        </w:tc>
        <w:tc>
          <w:tcPr>
            <w:tcW w:w="3119" w:type="dxa"/>
          </w:tcPr>
          <w:p w14:paraId="754CA993" w14:textId="77777777" w:rsidR="00F058FC" w:rsidRPr="00A40F2F" w:rsidRDefault="00F058FC" w:rsidP="00F058FC">
            <w:pPr>
              <w:spacing w:before="60" w:after="60" w:line="240" w:lineRule="atLeast"/>
              <w:ind w:left="0" w:firstLine="0"/>
            </w:pPr>
            <w:r w:rsidRPr="00A40F2F">
              <w:t>Höhe von Zuluftöffnungen über Deck bei Betriebsräumen unter Deck</w:t>
            </w:r>
          </w:p>
        </w:tc>
        <w:tc>
          <w:tcPr>
            <w:tcW w:w="4686" w:type="dxa"/>
            <w:gridSpan w:val="2"/>
          </w:tcPr>
          <w:p w14:paraId="19126723"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05E4AE12" w14:textId="77777777" w:rsidTr="00467F4E">
        <w:trPr>
          <w:cantSplit/>
          <w:tblHeader/>
        </w:trPr>
        <w:tc>
          <w:tcPr>
            <w:tcW w:w="1417" w:type="dxa"/>
          </w:tcPr>
          <w:p w14:paraId="3C10CF4C" w14:textId="77777777" w:rsidR="00F058FC" w:rsidRPr="00A40F2F" w:rsidRDefault="00F058FC" w:rsidP="00F058FC">
            <w:pPr>
              <w:tabs>
                <w:tab w:val="left" w:pos="170"/>
              </w:tabs>
              <w:spacing w:line="240" w:lineRule="exact"/>
              <w:ind w:left="0" w:firstLine="0"/>
            </w:pPr>
            <w:r w:rsidRPr="00A40F2F">
              <w:t>9.3.3.17.5 b), c)</w:t>
            </w:r>
          </w:p>
        </w:tc>
        <w:tc>
          <w:tcPr>
            <w:tcW w:w="3119" w:type="dxa"/>
          </w:tcPr>
          <w:p w14:paraId="6BED67C1" w14:textId="77777777" w:rsidR="00F058FC" w:rsidRPr="00A40F2F" w:rsidRDefault="00F058FC" w:rsidP="00F058FC">
            <w:pPr>
              <w:spacing w:before="60" w:after="60" w:line="240" w:lineRule="atLeast"/>
              <w:ind w:left="0" w:firstLine="0"/>
            </w:pPr>
            <w:r w:rsidRPr="00A40F2F">
              <w:t>Zulassung von Wellendurchführungen und Anschlag der Betriebsanweisungen</w:t>
            </w:r>
          </w:p>
        </w:tc>
        <w:tc>
          <w:tcPr>
            <w:tcW w:w="4686" w:type="dxa"/>
            <w:gridSpan w:val="2"/>
          </w:tcPr>
          <w:p w14:paraId="0DB24C74" w14:textId="77777777" w:rsidR="00F058FC" w:rsidRPr="00A40F2F" w:rsidRDefault="00F058FC" w:rsidP="00F058FC">
            <w:pPr>
              <w:tabs>
                <w:tab w:val="left" w:pos="170"/>
              </w:tabs>
              <w:spacing w:line="240" w:lineRule="exact"/>
              <w:ind w:left="0" w:firstLine="0"/>
            </w:pPr>
            <w:r w:rsidRPr="00A40F2F">
              <w:t>N.E.U. für Schiffe des Typs N offen</w:t>
            </w:r>
          </w:p>
          <w:p w14:paraId="0C2BC301"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tc>
      </w:tr>
      <w:tr w:rsidR="00F058FC" w:rsidRPr="00A40F2F" w14:paraId="0DEF548C" w14:textId="77777777" w:rsidTr="00467F4E">
        <w:trPr>
          <w:cantSplit/>
          <w:tblHeader/>
        </w:trPr>
        <w:tc>
          <w:tcPr>
            <w:tcW w:w="1417" w:type="dxa"/>
          </w:tcPr>
          <w:p w14:paraId="002DD2BB" w14:textId="77777777" w:rsidR="00F058FC" w:rsidRPr="00A40F2F" w:rsidRDefault="00F058FC" w:rsidP="00F058FC">
            <w:pPr>
              <w:tabs>
                <w:tab w:val="left" w:pos="170"/>
              </w:tabs>
              <w:spacing w:line="240" w:lineRule="exact"/>
              <w:ind w:left="0" w:firstLine="0"/>
            </w:pPr>
            <w:r w:rsidRPr="00A40F2F">
              <w:lastRenderedPageBreak/>
              <w:t>9.3.1.17.6</w:t>
            </w:r>
            <w:r w:rsidRPr="00A40F2F">
              <w:br/>
              <w:t>9.3.3.17.6</w:t>
            </w:r>
          </w:p>
        </w:tc>
        <w:tc>
          <w:tcPr>
            <w:tcW w:w="3119" w:type="dxa"/>
          </w:tcPr>
          <w:p w14:paraId="78FA104B" w14:textId="77777777" w:rsidR="00F058FC" w:rsidRPr="00A40F2F" w:rsidRDefault="00F058FC" w:rsidP="00F058FC">
            <w:pPr>
              <w:spacing w:before="60" w:after="60" w:line="240" w:lineRule="atLeast"/>
              <w:ind w:left="0" w:firstLine="0"/>
            </w:pPr>
            <w:r w:rsidRPr="00A40F2F">
              <w:t>Pumpenraum unter Deck</w:t>
            </w:r>
          </w:p>
        </w:tc>
        <w:tc>
          <w:tcPr>
            <w:tcW w:w="4686" w:type="dxa"/>
            <w:gridSpan w:val="2"/>
          </w:tcPr>
          <w:p w14:paraId="2C500E93"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p w14:paraId="164BF2E6" w14:textId="77777777" w:rsidR="00F058FC" w:rsidRPr="00A40F2F" w:rsidRDefault="00F058FC" w:rsidP="00F058FC">
            <w:pPr>
              <w:tabs>
                <w:tab w:val="left" w:pos="170"/>
              </w:tabs>
              <w:spacing w:line="240" w:lineRule="exact"/>
              <w:ind w:left="0" w:firstLine="0"/>
            </w:pPr>
            <w:r w:rsidRPr="00A40F2F">
              <w:t>An Bord von in Betrieb befindlichen Schiffen müssen bis dahin folgende Vorschriften eingehalten werden:</w:t>
            </w:r>
          </w:p>
          <w:p w14:paraId="7AB21EB1" w14:textId="77777777" w:rsidR="00F058FC" w:rsidRPr="00A40F2F" w:rsidRDefault="00F058FC" w:rsidP="00F058FC">
            <w:pPr>
              <w:tabs>
                <w:tab w:val="left" w:pos="170"/>
              </w:tabs>
              <w:spacing w:line="240" w:lineRule="exact"/>
              <w:ind w:left="0" w:firstLine="0"/>
            </w:pPr>
            <w:r w:rsidRPr="00A40F2F">
              <w:t>Die Pumpenräume unter Deck müssen:</w:t>
            </w:r>
          </w:p>
          <w:p w14:paraId="1E5074E6" w14:textId="77777777" w:rsidR="00F058FC" w:rsidRPr="00A40F2F" w:rsidRDefault="00F058FC" w:rsidP="00F058FC">
            <w:pPr>
              <w:tabs>
                <w:tab w:val="left" w:pos="169"/>
              </w:tabs>
              <w:spacing w:line="240" w:lineRule="exact"/>
              <w:ind w:left="0" w:firstLine="0"/>
            </w:pPr>
            <w:r w:rsidRPr="00A40F2F">
              <w:t>-</w:t>
            </w:r>
            <w:r w:rsidRPr="00A40F2F">
              <w:tab/>
              <w:t>den Vorschriften für Betriebsräume entsprechen</w:t>
            </w:r>
          </w:p>
          <w:p w14:paraId="0FA15421" w14:textId="77777777" w:rsidR="00F058FC" w:rsidRPr="00A40F2F" w:rsidRDefault="00F058FC" w:rsidP="00F058FC">
            <w:pPr>
              <w:tabs>
                <w:tab w:val="left" w:pos="169"/>
              </w:tabs>
              <w:spacing w:line="240" w:lineRule="exact"/>
              <w:ind w:left="0" w:firstLine="0"/>
            </w:pPr>
            <w:r w:rsidRPr="00A40F2F">
              <w:tab/>
              <w:t>für Schiffe des Typs G: Absatz 9.3.1.12.3</w:t>
            </w:r>
          </w:p>
          <w:p w14:paraId="3B252EC9" w14:textId="77777777" w:rsidR="00F058FC" w:rsidRPr="00A40F2F" w:rsidRDefault="00F058FC" w:rsidP="00F058FC">
            <w:pPr>
              <w:tabs>
                <w:tab w:val="left" w:pos="169"/>
              </w:tabs>
              <w:spacing w:line="240" w:lineRule="exact"/>
              <w:ind w:left="0" w:firstLine="0"/>
            </w:pPr>
            <w:r w:rsidRPr="00A40F2F">
              <w:tab/>
              <w:t>für Schiffe des Typs N: Absatz 9.3.3.12.3,</w:t>
            </w:r>
          </w:p>
          <w:p w14:paraId="1C80A2B9" w14:textId="77777777" w:rsidR="00F058FC" w:rsidRPr="00A40F2F" w:rsidRDefault="00F058FC" w:rsidP="00F058FC">
            <w:pPr>
              <w:tabs>
                <w:tab w:val="left" w:pos="169"/>
              </w:tabs>
              <w:spacing w:line="240" w:lineRule="exact"/>
              <w:ind w:left="0" w:firstLine="0"/>
            </w:pPr>
            <w:r w:rsidRPr="00A40F2F">
              <w:t>-</w:t>
            </w:r>
            <w:r w:rsidRPr="00A40F2F">
              <w:tab/>
              <w:t>mit einer Gasspüranlage nach Absatz 9.3.1.17.6 oder Absatz 9.3.3.17.6 versehen sein.</w:t>
            </w:r>
          </w:p>
        </w:tc>
      </w:tr>
      <w:tr w:rsidR="00F058FC" w:rsidRPr="00A40F2F" w14:paraId="25B90FD6" w14:textId="77777777" w:rsidTr="00467F4E">
        <w:trPr>
          <w:cantSplit/>
          <w:tblHeader/>
        </w:trPr>
        <w:tc>
          <w:tcPr>
            <w:tcW w:w="1417" w:type="dxa"/>
          </w:tcPr>
          <w:p w14:paraId="318B4152" w14:textId="77777777" w:rsidR="00F058FC" w:rsidRPr="00A40F2F" w:rsidRDefault="00F058FC" w:rsidP="00F058FC">
            <w:pPr>
              <w:tabs>
                <w:tab w:val="left" w:pos="170"/>
              </w:tabs>
              <w:spacing w:line="240" w:lineRule="exact"/>
              <w:ind w:left="0" w:firstLine="0"/>
            </w:pPr>
            <w:r w:rsidRPr="00A40F2F">
              <w:t>9.3.2.20.2</w:t>
            </w:r>
            <w:r w:rsidRPr="00A40F2F">
              <w:br/>
              <w:t>9.3.3.20.2</w:t>
            </w:r>
          </w:p>
        </w:tc>
        <w:tc>
          <w:tcPr>
            <w:tcW w:w="3119" w:type="dxa"/>
          </w:tcPr>
          <w:p w14:paraId="4655C50C" w14:textId="77777777" w:rsidR="00F058FC" w:rsidRPr="00A40F2F" w:rsidRDefault="00F058FC" w:rsidP="00F058FC">
            <w:pPr>
              <w:spacing w:before="60" w:after="60" w:line="240" w:lineRule="atLeast"/>
              <w:ind w:left="0" w:firstLine="0"/>
            </w:pPr>
            <w:r w:rsidRPr="00A40F2F">
              <w:t>Einlassventil</w:t>
            </w:r>
          </w:p>
        </w:tc>
        <w:tc>
          <w:tcPr>
            <w:tcW w:w="4686" w:type="dxa"/>
            <w:gridSpan w:val="2"/>
          </w:tcPr>
          <w:p w14:paraId="63754A87"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7B878413" w14:textId="77777777" w:rsidTr="00467F4E">
        <w:trPr>
          <w:cantSplit/>
          <w:tblHeader/>
        </w:trPr>
        <w:tc>
          <w:tcPr>
            <w:tcW w:w="1417" w:type="dxa"/>
          </w:tcPr>
          <w:p w14:paraId="47A142B5" w14:textId="77777777" w:rsidR="00F058FC" w:rsidRPr="00A40F2F" w:rsidRDefault="00F058FC" w:rsidP="00F058FC">
            <w:pPr>
              <w:tabs>
                <w:tab w:val="left" w:pos="170"/>
              </w:tabs>
              <w:spacing w:line="240" w:lineRule="exact"/>
              <w:ind w:left="0" w:firstLine="0"/>
            </w:pPr>
            <w:r w:rsidRPr="00A40F2F">
              <w:t>9.3.3.20.2</w:t>
            </w:r>
          </w:p>
        </w:tc>
        <w:tc>
          <w:tcPr>
            <w:tcW w:w="3119" w:type="dxa"/>
          </w:tcPr>
          <w:p w14:paraId="1088FBEA" w14:textId="77777777" w:rsidR="00F058FC" w:rsidRPr="00A40F2F" w:rsidRDefault="00F058FC" w:rsidP="00F058FC">
            <w:pPr>
              <w:spacing w:before="60" w:after="60" w:line="240" w:lineRule="atLeast"/>
              <w:ind w:left="0" w:firstLine="0"/>
            </w:pPr>
            <w:r w:rsidRPr="00A40F2F">
              <w:t>Füllen von Kofferdämmen mittels einer Pumpe</w:t>
            </w:r>
          </w:p>
        </w:tc>
        <w:tc>
          <w:tcPr>
            <w:tcW w:w="4686" w:type="dxa"/>
            <w:gridSpan w:val="2"/>
          </w:tcPr>
          <w:p w14:paraId="7234F188" w14:textId="77777777" w:rsidR="00F058FC" w:rsidRPr="00A40F2F" w:rsidRDefault="00F058FC" w:rsidP="00F058FC">
            <w:pPr>
              <w:tabs>
                <w:tab w:val="left" w:pos="170"/>
              </w:tabs>
              <w:spacing w:line="240" w:lineRule="exact"/>
              <w:ind w:left="0" w:firstLine="0"/>
            </w:pPr>
            <w:r w:rsidRPr="00A40F2F">
              <w:t>N.E.U. für Schiffe des Typs N offen</w:t>
            </w:r>
          </w:p>
          <w:p w14:paraId="7422F114"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tc>
      </w:tr>
      <w:tr w:rsidR="00F058FC" w:rsidRPr="00A40F2F" w14:paraId="19B6C56F" w14:textId="77777777" w:rsidTr="00467F4E">
        <w:trPr>
          <w:cantSplit/>
          <w:tblHeader/>
        </w:trPr>
        <w:tc>
          <w:tcPr>
            <w:tcW w:w="1417" w:type="dxa"/>
          </w:tcPr>
          <w:p w14:paraId="18E2B7D4" w14:textId="77777777" w:rsidR="00F058FC" w:rsidRPr="00A40F2F" w:rsidRDefault="00F058FC" w:rsidP="00F058FC">
            <w:pPr>
              <w:tabs>
                <w:tab w:val="left" w:pos="170"/>
              </w:tabs>
              <w:spacing w:line="240" w:lineRule="exact"/>
              <w:ind w:left="0" w:firstLine="0"/>
            </w:pPr>
            <w:r w:rsidRPr="00A40F2F">
              <w:t>9.3.2.20.2</w:t>
            </w:r>
            <w:r w:rsidRPr="00A40F2F">
              <w:br/>
              <w:t>9.3.3.20.2</w:t>
            </w:r>
          </w:p>
        </w:tc>
        <w:tc>
          <w:tcPr>
            <w:tcW w:w="3119" w:type="dxa"/>
          </w:tcPr>
          <w:p w14:paraId="4CB2FB49" w14:textId="77777777" w:rsidR="00F058FC" w:rsidRPr="00A40F2F" w:rsidRDefault="00F058FC" w:rsidP="00F058FC">
            <w:pPr>
              <w:spacing w:before="60" w:after="60" w:line="240" w:lineRule="atLeast"/>
              <w:ind w:left="0" w:firstLine="0"/>
            </w:pPr>
            <w:r w:rsidRPr="00A40F2F">
              <w:t>Füllen von Kofferdämmen in 30 Minuten</w:t>
            </w:r>
          </w:p>
        </w:tc>
        <w:tc>
          <w:tcPr>
            <w:tcW w:w="4686" w:type="dxa"/>
            <w:gridSpan w:val="2"/>
          </w:tcPr>
          <w:p w14:paraId="095EED00"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2AA46EAD" w14:textId="77777777" w:rsidTr="00467F4E">
        <w:trPr>
          <w:cantSplit/>
          <w:tblHeader/>
        </w:trPr>
        <w:tc>
          <w:tcPr>
            <w:tcW w:w="1417" w:type="dxa"/>
          </w:tcPr>
          <w:p w14:paraId="13C10227" w14:textId="77777777" w:rsidR="00F058FC" w:rsidRPr="00A40F2F" w:rsidRDefault="00F058FC" w:rsidP="00F058FC">
            <w:pPr>
              <w:tabs>
                <w:tab w:val="left" w:pos="170"/>
              </w:tabs>
              <w:spacing w:line="240" w:lineRule="exact"/>
              <w:ind w:left="0" w:firstLine="0"/>
            </w:pPr>
            <w:r w:rsidRPr="00A40F2F">
              <w:t>9.3.3.21.1 b)</w:t>
            </w:r>
          </w:p>
        </w:tc>
        <w:tc>
          <w:tcPr>
            <w:tcW w:w="3119" w:type="dxa"/>
          </w:tcPr>
          <w:p w14:paraId="6E7C48F0" w14:textId="77777777" w:rsidR="00F058FC" w:rsidRPr="00A40F2F" w:rsidRDefault="00F058FC" w:rsidP="00F058FC">
            <w:pPr>
              <w:spacing w:before="60" w:after="60" w:line="240" w:lineRule="atLeast"/>
              <w:ind w:left="0" w:firstLine="0"/>
            </w:pPr>
            <w:r w:rsidRPr="00A40F2F">
              <w:t xml:space="preserve">Niveauanzeigegerät </w:t>
            </w:r>
          </w:p>
        </w:tc>
        <w:tc>
          <w:tcPr>
            <w:tcW w:w="4686" w:type="dxa"/>
            <w:gridSpan w:val="2"/>
          </w:tcPr>
          <w:p w14:paraId="310716ED" w14:textId="77777777" w:rsidR="00F058FC" w:rsidRPr="00A40F2F" w:rsidRDefault="00F058FC" w:rsidP="00F058FC">
            <w:pPr>
              <w:tabs>
                <w:tab w:val="left" w:pos="170"/>
              </w:tabs>
              <w:spacing w:line="240" w:lineRule="exact"/>
              <w:ind w:left="0" w:firstLine="0"/>
            </w:pPr>
            <w:r w:rsidRPr="00A40F2F">
              <w:t>N.E.U. ab 1. Januar 2005 für Schiffe des Typs N offen mit Flammendurchschlagsicherung und des Typs N offen</w:t>
            </w:r>
          </w:p>
          <w:p w14:paraId="78073FC3"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p w14:paraId="4926087C" w14:textId="77777777" w:rsidR="00F058FC" w:rsidRPr="00A40F2F" w:rsidRDefault="00F058FC" w:rsidP="00F058FC">
            <w:pPr>
              <w:tabs>
                <w:tab w:val="left" w:pos="170"/>
              </w:tabs>
              <w:spacing w:line="240" w:lineRule="exact"/>
              <w:ind w:left="0" w:firstLine="0"/>
            </w:pPr>
            <w:r w:rsidRPr="00A40F2F">
              <w:t xml:space="preserve">An Bord von in Betrieb befindlichen Schiffen, die mit Peilöffnungen versehen sind, müssen bis dahin diese Peilöffnungen: </w:t>
            </w:r>
          </w:p>
          <w:p w14:paraId="53206592" w14:textId="77777777" w:rsidR="00F058FC" w:rsidRPr="00A40F2F" w:rsidRDefault="00F058FC" w:rsidP="00F058FC">
            <w:pPr>
              <w:tabs>
                <w:tab w:val="left" w:pos="170"/>
              </w:tabs>
              <w:spacing w:line="240" w:lineRule="exact"/>
              <w:ind w:left="0" w:firstLine="0"/>
            </w:pPr>
            <w:r w:rsidRPr="00A40F2F">
              <w:t>-</w:t>
            </w:r>
            <w:r w:rsidRPr="00A40F2F">
              <w:tab/>
              <w:t>so beschaffen sein, dass mit einem Peilstab der Füllungsgrad gemessen werden kann,</w:t>
            </w:r>
          </w:p>
          <w:p w14:paraId="1CE57ACB" w14:textId="77777777" w:rsidR="00F058FC" w:rsidRPr="00A40F2F" w:rsidRDefault="00F058FC" w:rsidP="00F058FC">
            <w:pPr>
              <w:tabs>
                <w:tab w:val="left" w:pos="170"/>
              </w:tabs>
              <w:spacing w:line="240" w:lineRule="exact"/>
              <w:ind w:left="0" w:firstLine="0"/>
            </w:pPr>
            <w:r w:rsidRPr="00A40F2F">
              <w:t>-</w:t>
            </w:r>
            <w:r w:rsidRPr="00A40F2F">
              <w:tab/>
              <w:t>mit einem selbst schließenden Deckel versehen sein.</w:t>
            </w:r>
          </w:p>
        </w:tc>
      </w:tr>
      <w:tr w:rsidR="00F058FC" w:rsidRPr="00A40F2F" w14:paraId="6CA0FC1A" w14:textId="77777777" w:rsidTr="00467F4E">
        <w:tblPrEx>
          <w:tblCellMar>
            <w:left w:w="71" w:type="dxa"/>
            <w:right w:w="71" w:type="dxa"/>
          </w:tblCellMar>
        </w:tblPrEx>
        <w:trPr>
          <w:gridAfter w:val="1"/>
          <w:wAfter w:w="9" w:type="dxa"/>
          <w:cantSplit/>
        </w:trPr>
        <w:tc>
          <w:tcPr>
            <w:tcW w:w="1417" w:type="dxa"/>
          </w:tcPr>
          <w:p w14:paraId="0136ADC8" w14:textId="77777777" w:rsidR="00F058FC" w:rsidRPr="00A40F2F" w:rsidRDefault="00F058FC" w:rsidP="00467F4E">
            <w:pPr>
              <w:spacing w:before="60" w:after="60" w:line="240" w:lineRule="atLeast"/>
              <w:ind w:left="0" w:firstLine="0"/>
              <w:jc w:val="left"/>
            </w:pPr>
            <w:r w:rsidRPr="00A40F2F">
              <w:t>9.3.3.21.1 g)</w:t>
            </w:r>
          </w:p>
        </w:tc>
        <w:tc>
          <w:tcPr>
            <w:tcW w:w="3119" w:type="dxa"/>
          </w:tcPr>
          <w:p w14:paraId="29B57759" w14:textId="77777777" w:rsidR="00F058FC" w:rsidRPr="00A40F2F" w:rsidRDefault="00F058FC" w:rsidP="00F058FC">
            <w:pPr>
              <w:spacing w:before="60" w:after="60" w:line="240" w:lineRule="atLeast"/>
              <w:ind w:left="0" w:firstLine="0"/>
              <w:jc w:val="left"/>
            </w:pPr>
            <w:r w:rsidRPr="00A40F2F">
              <w:t xml:space="preserve">Probeentnahmeöffnung </w:t>
            </w:r>
          </w:p>
        </w:tc>
        <w:tc>
          <w:tcPr>
            <w:tcW w:w="4677" w:type="dxa"/>
          </w:tcPr>
          <w:p w14:paraId="31B052D2" w14:textId="77777777" w:rsidR="00F058FC" w:rsidRPr="00A40F2F" w:rsidRDefault="00F058FC" w:rsidP="00F058FC">
            <w:pPr>
              <w:tabs>
                <w:tab w:val="left" w:pos="170"/>
              </w:tabs>
              <w:spacing w:before="60" w:after="60" w:line="240" w:lineRule="atLeast"/>
              <w:ind w:left="0" w:firstLine="0"/>
              <w:jc w:val="left"/>
            </w:pPr>
            <w:r w:rsidRPr="00A40F2F">
              <w:t>N.E.U. für Schiffe des Typs N offen</w:t>
            </w:r>
          </w:p>
          <w:p w14:paraId="54661E30" w14:textId="77777777" w:rsidR="00F058FC" w:rsidRPr="00A40F2F" w:rsidRDefault="00F058FC" w:rsidP="00F058FC">
            <w:pPr>
              <w:spacing w:before="60" w:after="60" w:line="240" w:lineRule="atLeast"/>
              <w:ind w:left="0" w:firstLine="0"/>
            </w:pPr>
            <w:r w:rsidRPr="00A40F2F">
              <w:t>Erneuerung des Zulassungszeugnisses nach dem 31. Dezember 2018</w:t>
            </w:r>
          </w:p>
        </w:tc>
      </w:tr>
      <w:tr w:rsidR="00F058FC" w:rsidRPr="00A40F2F" w14:paraId="01532342" w14:textId="77777777" w:rsidTr="00467F4E">
        <w:trPr>
          <w:cantSplit/>
          <w:tblHeader/>
        </w:trPr>
        <w:tc>
          <w:tcPr>
            <w:tcW w:w="1417" w:type="dxa"/>
          </w:tcPr>
          <w:p w14:paraId="76F45FBD" w14:textId="77777777" w:rsidR="00F058FC" w:rsidRPr="00A40F2F" w:rsidRDefault="00F058FC" w:rsidP="00F058FC">
            <w:pPr>
              <w:tabs>
                <w:tab w:val="left" w:pos="170"/>
              </w:tabs>
              <w:spacing w:line="240" w:lineRule="exact"/>
              <w:ind w:left="0" w:firstLine="0"/>
            </w:pPr>
            <w:r w:rsidRPr="00A40F2F">
              <w:t>9.3.1.21.3</w:t>
            </w:r>
            <w:r w:rsidRPr="00A40F2F">
              <w:br/>
              <w:t>9.3.2.21.3</w:t>
            </w:r>
            <w:r w:rsidRPr="00A40F2F">
              <w:br/>
              <w:t>9.3.3.21.3</w:t>
            </w:r>
          </w:p>
        </w:tc>
        <w:tc>
          <w:tcPr>
            <w:tcW w:w="3119" w:type="dxa"/>
          </w:tcPr>
          <w:p w14:paraId="1809BDE3" w14:textId="77777777" w:rsidR="00F058FC" w:rsidRPr="00A40F2F" w:rsidRDefault="00F058FC" w:rsidP="00F058FC">
            <w:pPr>
              <w:spacing w:before="60" w:after="60" w:line="240" w:lineRule="atLeast"/>
              <w:ind w:left="0" w:firstLine="0"/>
            </w:pPr>
            <w:r w:rsidRPr="00A40F2F">
              <w:t>Die höchstzulässigen Füllhöhen des Ladetanks an jedem Anzeigegerät kennzeichnen</w:t>
            </w:r>
          </w:p>
        </w:tc>
        <w:tc>
          <w:tcPr>
            <w:tcW w:w="4686" w:type="dxa"/>
            <w:gridSpan w:val="2"/>
          </w:tcPr>
          <w:p w14:paraId="48C67A6A" w14:textId="77777777" w:rsidR="00F058FC" w:rsidRPr="00A40F2F" w:rsidRDefault="00F058FC" w:rsidP="00F058FC">
            <w:pPr>
              <w:tabs>
                <w:tab w:val="left" w:pos="170"/>
              </w:tabs>
              <w:spacing w:line="240" w:lineRule="exact"/>
              <w:ind w:left="0" w:firstLine="0"/>
            </w:pPr>
            <w:r w:rsidRPr="00A40F2F">
              <w:t>N.E.U. ab 1. Januar 2015, Erneuerung des Zulassungszeugnisses nach dem 31. Dezember 2018</w:t>
            </w:r>
          </w:p>
        </w:tc>
      </w:tr>
      <w:tr w:rsidR="00F058FC" w:rsidRPr="00A40F2F" w14:paraId="2A8E3865" w14:textId="77777777" w:rsidTr="00467F4E">
        <w:trPr>
          <w:cantSplit/>
          <w:tblHeader/>
        </w:trPr>
        <w:tc>
          <w:tcPr>
            <w:tcW w:w="1417" w:type="dxa"/>
          </w:tcPr>
          <w:p w14:paraId="6D7C39EB" w14:textId="77777777" w:rsidR="00F058FC" w:rsidRPr="00A40F2F" w:rsidRDefault="00F058FC" w:rsidP="00F058FC">
            <w:pPr>
              <w:tabs>
                <w:tab w:val="left" w:pos="170"/>
              </w:tabs>
              <w:spacing w:line="240" w:lineRule="exact"/>
              <w:ind w:left="0" w:firstLine="0"/>
            </w:pPr>
            <w:r w:rsidRPr="00A40F2F">
              <w:t>9.3.1.21.4</w:t>
            </w:r>
            <w:r w:rsidRPr="00A40F2F">
              <w:br/>
              <w:t>9.3.2.21.4</w:t>
            </w:r>
            <w:r w:rsidRPr="00A40F2F">
              <w:br/>
              <w:t>9.3.3.21.4</w:t>
            </w:r>
          </w:p>
        </w:tc>
        <w:tc>
          <w:tcPr>
            <w:tcW w:w="3119" w:type="dxa"/>
          </w:tcPr>
          <w:p w14:paraId="51C6ED40" w14:textId="77777777" w:rsidR="00F058FC" w:rsidRPr="00A40F2F" w:rsidRDefault="00F058FC" w:rsidP="00F058FC">
            <w:pPr>
              <w:spacing w:before="60" w:after="60" w:line="240" w:lineRule="atLeast"/>
              <w:ind w:left="0" w:firstLine="0"/>
            </w:pPr>
            <w:r w:rsidRPr="00A40F2F">
              <w:t>Niveau-Warngerät unabhängig von dem Niveau-Anzeigegerät</w:t>
            </w:r>
          </w:p>
        </w:tc>
        <w:tc>
          <w:tcPr>
            <w:tcW w:w="4686" w:type="dxa"/>
            <w:gridSpan w:val="2"/>
          </w:tcPr>
          <w:p w14:paraId="57887F73"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36159395" w14:textId="77777777" w:rsidTr="00467F4E">
        <w:trPr>
          <w:cantSplit/>
          <w:tblHeader/>
        </w:trPr>
        <w:tc>
          <w:tcPr>
            <w:tcW w:w="1417" w:type="dxa"/>
          </w:tcPr>
          <w:p w14:paraId="2D163776" w14:textId="77777777" w:rsidR="00F058FC" w:rsidRPr="00A40F2F" w:rsidRDefault="00F058FC" w:rsidP="002011A3">
            <w:pPr>
              <w:tabs>
                <w:tab w:val="left" w:pos="170"/>
              </w:tabs>
              <w:spacing w:line="240" w:lineRule="exact"/>
              <w:ind w:left="0" w:firstLine="0"/>
              <w:jc w:val="left"/>
            </w:pPr>
            <w:r w:rsidRPr="00A40F2F">
              <w:t>9.3.1.21.5 a)</w:t>
            </w:r>
            <w:r w:rsidRPr="00A40F2F">
              <w:br/>
              <w:t>9.3.2.21.5 a)</w:t>
            </w:r>
            <w:r w:rsidRPr="00A40F2F">
              <w:br/>
              <w:t>9.3.3.21.5 a)</w:t>
            </w:r>
          </w:p>
        </w:tc>
        <w:tc>
          <w:tcPr>
            <w:tcW w:w="3119" w:type="dxa"/>
          </w:tcPr>
          <w:p w14:paraId="485A6942" w14:textId="77777777" w:rsidR="00F058FC" w:rsidRPr="00A40F2F" w:rsidRDefault="00F058FC" w:rsidP="00F058FC">
            <w:pPr>
              <w:spacing w:before="60" w:after="60" w:line="240" w:lineRule="atLeast"/>
              <w:ind w:left="0" w:firstLine="0"/>
            </w:pPr>
            <w:r w:rsidRPr="00A40F2F">
              <w:t>Stecker in der Nähe der Landanschlüsse der Lade­ und Löschleitungen und Abschalten der bordeigenen Löschpumpe</w:t>
            </w:r>
          </w:p>
        </w:tc>
        <w:tc>
          <w:tcPr>
            <w:tcW w:w="4686" w:type="dxa"/>
            <w:gridSpan w:val="2"/>
          </w:tcPr>
          <w:p w14:paraId="4F84D614"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391EBE24" w14:textId="77777777" w:rsidTr="00467F4E">
        <w:trPr>
          <w:cantSplit/>
          <w:tblHeader/>
        </w:trPr>
        <w:tc>
          <w:tcPr>
            <w:tcW w:w="1417" w:type="dxa"/>
          </w:tcPr>
          <w:p w14:paraId="74CB9E8E" w14:textId="77777777" w:rsidR="00F058FC" w:rsidRPr="00A40F2F" w:rsidRDefault="00F058FC" w:rsidP="00F058FC">
            <w:pPr>
              <w:tabs>
                <w:tab w:val="left" w:pos="170"/>
              </w:tabs>
              <w:spacing w:line="240" w:lineRule="exact"/>
              <w:ind w:left="0" w:firstLine="0"/>
            </w:pPr>
            <w:r w:rsidRPr="00A40F2F">
              <w:t>9.3.1.21.7</w:t>
            </w:r>
            <w:r w:rsidRPr="00A40F2F">
              <w:br/>
              <w:t>9.3.2.21.7</w:t>
            </w:r>
            <w:r w:rsidRPr="00A40F2F">
              <w:br/>
              <w:t>9.3.3.21.7</w:t>
            </w:r>
          </w:p>
        </w:tc>
        <w:tc>
          <w:tcPr>
            <w:tcW w:w="3119" w:type="dxa"/>
          </w:tcPr>
          <w:p w14:paraId="428EAF36" w14:textId="77777777" w:rsidR="00F058FC" w:rsidRPr="00A40F2F" w:rsidRDefault="00F058FC" w:rsidP="00F058FC">
            <w:pPr>
              <w:tabs>
                <w:tab w:val="left" w:pos="170"/>
              </w:tabs>
              <w:spacing w:line="240" w:lineRule="exact"/>
              <w:ind w:left="0" w:firstLine="0"/>
            </w:pPr>
            <w:r w:rsidRPr="00A40F2F">
              <w:t>Alarme für Unter-, Überdruck in Ladetanks bei Stoffen ohne Bemerkung 5 in Kapitel 3.2 Tabelle C Spalte (20)</w:t>
            </w:r>
          </w:p>
        </w:tc>
        <w:tc>
          <w:tcPr>
            <w:tcW w:w="4686" w:type="dxa"/>
            <w:gridSpan w:val="2"/>
          </w:tcPr>
          <w:p w14:paraId="76E48DBF" w14:textId="77777777" w:rsidR="00F058FC" w:rsidRPr="00A40F2F" w:rsidRDefault="00F058FC" w:rsidP="00F058FC">
            <w:pPr>
              <w:tabs>
                <w:tab w:val="left" w:pos="170"/>
              </w:tabs>
              <w:spacing w:line="240" w:lineRule="exact"/>
              <w:ind w:left="0" w:firstLine="0"/>
            </w:pPr>
            <w:r w:rsidRPr="00A40F2F">
              <w:t>N.E.U. ab Januar 2001, Erneuerung des Zulassungszeugnisses nach dem 31. Dezember 2018</w:t>
            </w:r>
          </w:p>
        </w:tc>
      </w:tr>
      <w:tr w:rsidR="00F058FC" w:rsidRPr="00A40F2F" w14:paraId="086A7D4B" w14:textId="77777777" w:rsidTr="00467F4E">
        <w:trPr>
          <w:cantSplit/>
          <w:tblHeader/>
        </w:trPr>
        <w:tc>
          <w:tcPr>
            <w:tcW w:w="1417" w:type="dxa"/>
          </w:tcPr>
          <w:p w14:paraId="6B713854" w14:textId="77777777" w:rsidR="00F058FC" w:rsidRPr="00A40F2F" w:rsidRDefault="00F058FC" w:rsidP="00F058FC">
            <w:pPr>
              <w:tabs>
                <w:tab w:val="left" w:pos="170"/>
              </w:tabs>
              <w:spacing w:line="240" w:lineRule="exact"/>
              <w:ind w:left="0" w:firstLine="0"/>
            </w:pPr>
            <w:r w:rsidRPr="00A40F2F">
              <w:t>9.3.1.21.7</w:t>
            </w:r>
            <w:r w:rsidRPr="00A40F2F">
              <w:br/>
              <w:t>9.3.2.21.7</w:t>
            </w:r>
            <w:r w:rsidRPr="00A40F2F">
              <w:br/>
              <w:t>9.3.3.21.7</w:t>
            </w:r>
          </w:p>
        </w:tc>
        <w:tc>
          <w:tcPr>
            <w:tcW w:w="3119" w:type="dxa"/>
          </w:tcPr>
          <w:p w14:paraId="718AD2C4" w14:textId="77777777" w:rsidR="00F058FC" w:rsidRPr="00A40F2F" w:rsidRDefault="00F058FC" w:rsidP="00F058FC">
            <w:pPr>
              <w:tabs>
                <w:tab w:val="left" w:pos="170"/>
              </w:tabs>
              <w:spacing w:line="240" w:lineRule="exact"/>
              <w:ind w:left="0" w:firstLine="0"/>
            </w:pPr>
            <w:r w:rsidRPr="00A40F2F">
              <w:t>Alarme für die Temperatur in Ladetanks</w:t>
            </w:r>
          </w:p>
        </w:tc>
        <w:tc>
          <w:tcPr>
            <w:tcW w:w="4686" w:type="dxa"/>
            <w:gridSpan w:val="2"/>
          </w:tcPr>
          <w:p w14:paraId="75C4AAE7" w14:textId="77777777" w:rsidR="00F058FC" w:rsidRPr="00A40F2F" w:rsidRDefault="00F058FC" w:rsidP="00F058FC">
            <w:pPr>
              <w:tabs>
                <w:tab w:val="left" w:pos="170"/>
              </w:tabs>
              <w:spacing w:line="240" w:lineRule="exact"/>
              <w:ind w:left="0" w:firstLine="0"/>
            </w:pPr>
            <w:r w:rsidRPr="00A40F2F">
              <w:t xml:space="preserve">N.E.U. ab 1. Januar 2001, </w:t>
            </w:r>
          </w:p>
          <w:p w14:paraId="14DD49F2"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tc>
      </w:tr>
      <w:tr w:rsidR="00F058FC" w:rsidRPr="00A40F2F" w14:paraId="1E56FA39" w14:textId="77777777" w:rsidTr="00467F4E">
        <w:trPr>
          <w:cantSplit/>
          <w:tblHeader/>
        </w:trPr>
        <w:tc>
          <w:tcPr>
            <w:tcW w:w="1417" w:type="dxa"/>
          </w:tcPr>
          <w:p w14:paraId="78555872" w14:textId="77777777" w:rsidR="00F058FC" w:rsidRPr="00A40F2F" w:rsidRDefault="00F058FC" w:rsidP="00F058FC">
            <w:pPr>
              <w:tabs>
                <w:tab w:val="left" w:pos="170"/>
              </w:tabs>
              <w:spacing w:line="240" w:lineRule="exact"/>
              <w:ind w:left="0" w:firstLine="0"/>
            </w:pPr>
            <w:r w:rsidRPr="00A40F2F">
              <w:t>9.3.1.22.4</w:t>
            </w:r>
          </w:p>
        </w:tc>
        <w:tc>
          <w:tcPr>
            <w:tcW w:w="3119" w:type="dxa"/>
          </w:tcPr>
          <w:p w14:paraId="7D2F0213" w14:textId="77777777" w:rsidR="00F058FC" w:rsidRPr="00A40F2F" w:rsidRDefault="00F058FC" w:rsidP="00F058FC">
            <w:pPr>
              <w:tabs>
                <w:tab w:val="left" w:pos="170"/>
              </w:tabs>
              <w:spacing w:line="240" w:lineRule="exact"/>
              <w:ind w:left="0" w:firstLine="0"/>
            </w:pPr>
            <w:r w:rsidRPr="00A40F2F">
              <w:t>Verhütung der Funkenbildung der Verschlüsse</w:t>
            </w:r>
          </w:p>
        </w:tc>
        <w:tc>
          <w:tcPr>
            <w:tcW w:w="4686" w:type="dxa"/>
            <w:gridSpan w:val="2"/>
          </w:tcPr>
          <w:p w14:paraId="0F6F8C11" w14:textId="77777777" w:rsidR="00F058FC" w:rsidRPr="00A40F2F" w:rsidRDefault="00F058FC" w:rsidP="00F058FC">
            <w:pPr>
              <w:tabs>
                <w:tab w:val="left" w:pos="170"/>
              </w:tabs>
              <w:spacing w:line="240" w:lineRule="exact"/>
              <w:ind w:left="0" w:firstLine="0"/>
            </w:pPr>
            <w:r w:rsidRPr="00A40F2F">
              <w:t xml:space="preserve">N.E.U. ab 1. Januar 2003, </w:t>
            </w:r>
          </w:p>
          <w:p w14:paraId="455D10B6"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tc>
      </w:tr>
      <w:tr w:rsidR="00F058FC" w:rsidRPr="00A40F2F" w14:paraId="5D0D0A45" w14:textId="77777777" w:rsidTr="00467F4E">
        <w:trPr>
          <w:cantSplit/>
          <w:tblHeader/>
        </w:trPr>
        <w:tc>
          <w:tcPr>
            <w:tcW w:w="1417" w:type="dxa"/>
          </w:tcPr>
          <w:p w14:paraId="09CA29F6" w14:textId="77777777" w:rsidR="00F058FC" w:rsidRPr="00A40F2F" w:rsidRDefault="00F058FC" w:rsidP="002011A3">
            <w:pPr>
              <w:tabs>
                <w:tab w:val="left" w:pos="170"/>
              </w:tabs>
              <w:spacing w:line="240" w:lineRule="exact"/>
              <w:ind w:left="0" w:firstLine="0"/>
              <w:jc w:val="left"/>
            </w:pPr>
            <w:r w:rsidRPr="00A40F2F">
              <w:lastRenderedPageBreak/>
              <w:t>9.3.1.22.3</w:t>
            </w:r>
            <w:r w:rsidRPr="00A40F2F">
              <w:br/>
              <w:t>9.3.2.22.4 a)</w:t>
            </w:r>
            <w:r w:rsidRPr="00A40F2F">
              <w:br/>
              <w:t>9.3.3.22.4 a)</w:t>
            </w:r>
          </w:p>
        </w:tc>
        <w:tc>
          <w:tcPr>
            <w:tcW w:w="3119" w:type="dxa"/>
          </w:tcPr>
          <w:p w14:paraId="2BB88042" w14:textId="77777777" w:rsidR="00F058FC" w:rsidRPr="00A40F2F" w:rsidRDefault="00F058FC" w:rsidP="00F058FC">
            <w:pPr>
              <w:tabs>
                <w:tab w:val="left" w:pos="170"/>
              </w:tabs>
              <w:spacing w:line="240" w:lineRule="exact"/>
              <w:ind w:left="0" w:firstLine="0"/>
            </w:pPr>
            <w:r w:rsidRPr="00A40F2F">
              <w:t>Position der Austrittsöffnungen der Überdruck/Hochgeschwindigkeits-ventile über Deck</w:t>
            </w:r>
          </w:p>
        </w:tc>
        <w:tc>
          <w:tcPr>
            <w:tcW w:w="4686" w:type="dxa"/>
            <w:gridSpan w:val="2"/>
          </w:tcPr>
          <w:p w14:paraId="601D3F2A"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7E125FCE" w14:textId="77777777" w:rsidTr="00467F4E">
        <w:trPr>
          <w:cantSplit/>
          <w:tblHeader/>
        </w:trPr>
        <w:tc>
          <w:tcPr>
            <w:tcW w:w="1417" w:type="dxa"/>
          </w:tcPr>
          <w:p w14:paraId="584FD501" w14:textId="77777777" w:rsidR="00F058FC" w:rsidRPr="00A40F2F" w:rsidRDefault="00F058FC" w:rsidP="002011A3">
            <w:pPr>
              <w:tabs>
                <w:tab w:val="left" w:pos="170"/>
              </w:tabs>
              <w:spacing w:line="240" w:lineRule="exact"/>
              <w:ind w:left="0" w:firstLine="0"/>
              <w:jc w:val="left"/>
            </w:pPr>
            <w:r w:rsidRPr="00A40F2F">
              <w:t xml:space="preserve">9.3.2.22.4 a) </w:t>
            </w:r>
            <w:r w:rsidRPr="00A40F2F">
              <w:br/>
              <w:t>9.3.3.22.4 e)</w:t>
            </w:r>
          </w:p>
        </w:tc>
        <w:tc>
          <w:tcPr>
            <w:tcW w:w="3119" w:type="dxa"/>
          </w:tcPr>
          <w:p w14:paraId="09AB5C56" w14:textId="77777777" w:rsidR="00F058FC" w:rsidRPr="00A40F2F" w:rsidRDefault="00F058FC" w:rsidP="00F058FC">
            <w:pPr>
              <w:tabs>
                <w:tab w:val="left" w:pos="170"/>
              </w:tabs>
              <w:spacing w:line="240" w:lineRule="exact"/>
              <w:ind w:left="0" w:firstLine="0"/>
            </w:pPr>
            <w:r w:rsidRPr="00A40F2F">
              <w:t>Einstelldruck des Überdruck-/ Hochgeschwindigkeitsventils</w:t>
            </w:r>
          </w:p>
        </w:tc>
        <w:tc>
          <w:tcPr>
            <w:tcW w:w="4686" w:type="dxa"/>
            <w:gridSpan w:val="2"/>
          </w:tcPr>
          <w:p w14:paraId="0E0201F9"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7A8F6652" w14:textId="77777777" w:rsidTr="00467F4E">
        <w:trPr>
          <w:cantSplit/>
          <w:tblHeader/>
        </w:trPr>
        <w:tc>
          <w:tcPr>
            <w:tcW w:w="1417" w:type="dxa"/>
          </w:tcPr>
          <w:p w14:paraId="21F26470" w14:textId="77777777" w:rsidR="00F058FC" w:rsidRPr="00A40F2F" w:rsidRDefault="00F058FC" w:rsidP="00F058FC">
            <w:pPr>
              <w:tabs>
                <w:tab w:val="left" w:pos="170"/>
              </w:tabs>
              <w:spacing w:line="240" w:lineRule="exact"/>
              <w:ind w:left="0" w:firstLine="0"/>
            </w:pPr>
            <w:r w:rsidRPr="00A40F2F">
              <w:t>9.3.2.25.1</w:t>
            </w:r>
            <w:r w:rsidRPr="00A40F2F">
              <w:br/>
              <w:t>9.3.3.25.1</w:t>
            </w:r>
          </w:p>
        </w:tc>
        <w:tc>
          <w:tcPr>
            <w:tcW w:w="3119" w:type="dxa"/>
          </w:tcPr>
          <w:p w14:paraId="6B03E73D" w14:textId="77777777" w:rsidR="00F058FC" w:rsidRPr="00A40F2F" w:rsidRDefault="00F058FC" w:rsidP="00F058FC">
            <w:pPr>
              <w:tabs>
                <w:tab w:val="left" w:pos="170"/>
              </w:tabs>
              <w:spacing w:line="240" w:lineRule="exact"/>
              <w:ind w:left="0" w:firstLine="0"/>
            </w:pPr>
            <w:r w:rsidRPr="00A40F2F">
              <w:t>Abschalten von Ladepumpen</w:t>
            </w:r>
          </w:p>
        </w:tc>
        <w:tc>
          <w:tcPr>
            <w:tcW w:w="4686" w:type="dxa"/>
            <w:gridSpan w:val="2"/>
          </w:tcPr>
          <w:p w14:paraId="0FCB051A"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54EC2E70" w14:textId="77777777" w:rsidTr="00467F4E">
        <w:trPr>
          <w:cantSplit/>
          <w:tblHeader/>
        </w:trPr>
        <w:tc>
          <w:tcPr>
            <w:tcW w:w="1417" w:type="dxa"/>
          </w:tcPr>
          <w:p w14:paraId="6A555A9D" w14:textId="77777777" w:rsidR="00F058FC" w:rsidRPr="00A40F2F" w:rsidRDefault="00F058FC" w:rsidP="00F058FC">
            <w:pPr>
              <w:tabs>
                <w:tab w:val="left" w:pos="170"/>
              </w:tabs>
              <w:spacing w:line="240" w:lineRule="exact"/>
              <w:ind w:left="0" w:firstLine="0"/>
            </w:pPr>
            <w:r w:rsidRPr="00A40F2F">
              <w:t>9.3.3.25.8 a)</w:t>
            </w:r>
          </w:p>
        </w:tc>
        <w:tc>
          <w:tcPr>
            <w:tcW w:w="3119" w:type="dxa"/>
          </w:tcPr>
          <w:p w14:paraId="67821891" w14:textId="77777777" w:rsidR="00F058FC" w:rsidRPr="00A40F2F" w:rsidRDefault="00F058FC" w:rsidP="00F058FC">
            <w:pPr>
              <w:tabs>
                <w:tab w:val="left" w:pos="170"/>
              </w:tabs>
              <w:spacing w:line="240" w:lineRule="exact"/>
              <w:ind w:left="0" w:firstLine="0"/>
            </w:pPr>
            <w:r w:rsidRPr="00A40F2F">
              <w:t>Ansaugleitung für Ballastzwecke innerhalb des Bereichs der Ladung, aber außerhalb der Ladetanks</w:t>
            </w:r>
          </w:p>
        </w:tc>
        <w:tc>
          <w:tcPr>
            <w:tcW w:w="4686" w:type="dxa"/>
            <w:gridSpan w:val="2"/>
          </w:tcPr>
          <w:p w14:paraId="04F56339"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4F65EBDC" w14:textId="77777777" w:rsidTr="00467F4E">
        <w:trPr>
          <w:cantSplit/>
          <w:tblHeader/>
        </w:trPr>
        <w:tc>
          <w:tcPr>
            <w:tcW w:w="1417" w:type="dxa"/>
          </w:tcPr>
          <w:p w14:paraId="03BE6964" w14:textId="77777777" w:rsidR="00F058FC" w:rsidRPr="00A40F2F" w:rsidRDefault="00F058FC" w:rsidP="00F058FC">
            <w:pPr>
              <w:tabs>
                <w:tab w:val="left" w:pos="170"/>
              </w:tabs>
              <w:spacing w:line="240" w:lineRule="exact"/>
              <w:ind w:left="0" w:firstLine="0"/>
            </w:pPr>
            <w:r w:rsidRPr="00A40F2F">
              <w:t>9.3.2.25.9</w:t>
            </w:r>
            <w:r w:rsidRPr="00A40F2F">
              <w:br/>
              <w:t>9.3.3.25.9</w:t>
            </w:r>
          </w:p>
        </w:tc>
        <w:tc>
          <w:tcPr>
            <w:tcW w:w="3119" w:type="dxa"/>
          </w:tcPr>
          <w:p w14:paraId="3ADDC79E" w14:textId="77777777" w:rsidR="00F058FC" w:rsidRPr="00A40F2F" w:rsidRDefault="00F058FC" w:rsidP="00F058FC">
            <w:pPr>
              <w:tabs>
                <w:tab w:val="left" w:pos="170"/>
              </w:tabs>
              <w:spacing w:line="240" w:lineRule="exact"/>
              <w:ind w:left="0" w:firstLine="0"/>
            </w:pPr>
            <w:r w:rsidRPr="00A40F2F">
              <w:t>Lade- und Löschrate</w:t>
            </w:r>
          </w:p>
        </w:tc>
        <w:tc>
          <w:tcPr>
            <w:tcW w:w="4686" w:type="dxa"/>
            <w:gridSpan w:val="2"/>
          </w:tcPr>
          <w:p w14:paraId="693FCB44" w14:textId="77777777" w:rsidR="00F058FC" w:rsidRPr="00A40F2F" w:rsidRDefault="00F058FC" w:rsidP="00F058FC">
            <w:pPr>
              <w:tabs>
                <w:tab w:val="left" w:pos="170"/>
              </w:tabs>
              <w:spacing w:line="240" w:lineRule="exact"/>
              <w:ind w:left="0" w:firstLine="0"/>
            </w:pPr>
            <w:r w:rsidRPr="00A40F2F">
              <w:t>N.E.U. ab 1. Januar 2003, Erneuerung des Zulassungszeugnisses nach dem 31. Dezember 2018</w:t>
            </w:r>
          </w:p>
        </w:tc>
      </w:tr>
      <w:tr w:rsidR="00F058FC" w:rsidRPr="00A40F2F" w14:paraId="6D0751E9" w14:textId="77777777" w:rsidTr="00467F4E">
        <w:trPr>
          <w:cantSplit/>
          <w:tblHeader/>
        </w:trPr>
        <w:tc>
          <w:tcPr>
            <w:tcW w:w="1417" w:type="dxa"/>
          </w:tcPr>
          <w:p w14:paraId="14162FF1" w14:textId="77777777" w:rsidR="00F058FC" w:rsidRPr="00A40F2F" w:rsidRDefault="00F058FC" w:rsidP="00F058FC">
            <w:pPr>
              <w:tabs>
                <w:tab w:val="left" w:pos="170"/>
              </w:tabs>
              <w:spacing w:line="240" w:lineRule="exact"/>
              <w:ind w:left="0" w:firstLine="0"/>
            </w:pPr>
            <w:r w:rsidRPr="00A40F2F">
              <w:t>9.3.3.25.12</w:t>
            </w:r>
          </w:p>
        </w:tc>
        <w:tc>
          <w:tcPr>
            <w:tcW w:w="3119" w:type="dxa"/>
          </w:tcPr>
          <w:p w14:paraId="3239DBEF" w14:textId="77777777" w:rsidR="00F058FC" w:rsidRPr="00A40F2F" w:rsidRDefault="00F058FC" w:rsidP="00F058FC">
            <w:pPr>
              <w:tabs>
                <w:tab w:val="left" w:pos="170"/>
              </w:tabs>
              <w:spacing w:line="240" w:lineRule="exact"/>
              <w:ind w:left="0" w:firstLine="0"/>
            </w:pPr>
            <w:r w:rsidRPr="00A40F2F">
              <w:t>9.3.3.25.1 a) und c), 9.3.3.25.2 e), 9.3.3.25.3 und 9.3.3.25.4 a) gelten nicht für Typ N offen, mit Ausnahme von Typ N offen, welche Stoffe mit ätzenden Eigenschaften (siehe Kapitel 3.2 Tabelle C Spalte (5) Gefahr 8) befördern</w:t>
            </w:r>
          </w:p>
        </w:tc>
        <w:tc>
          <w:tcPr>
            <w:tcW w:w="4686" w:type="dxa"/>
            <w:gridSpan w:val="2"/>
          </w:tcPr>
          <w:p w14:paraId="70B7402E"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p w14:paraId="4126152E" w14:textId="77777777" w:rsidR="00F058FC" w:rsidRPr="00A40F2F" w:rsidRDefault="00F058FC" w:rsidP="00F058FC">
            <w:pPr>
              <w:tabs>
                <w:tab w:val="left" w:pos="170"/>
              </w:tabs>
              <w:spacing w:line="240" w:lineRule="exact"/>
              <w:ind w:left="0" w:firstLine="0"/>
            </w:pPr>
            <w:r w:rsidRPr="00A40F2F">
              <w:t>Diese Frist bezieht sich nur auf Schiffe des Typs N offen, welche Stoffe mit ätzenden Eigenschaften (siehe Kapitel 3.2 Tabelle C Spalte (5) Gefahr 8) befördern.</w:t>
            </w:r>
          </w:p>
        </w:tc>
      </w:tr>
      <w:tr w:rsidR="00F058FC" w:rsidRPr="00A40F2F" w14:paraId="4EAE50E7" w14:textId="77777777" w:rsidTr="00467F4E">
        <w:trPr>
          <w:cantSplit/>
          <w:tblHeader/>
        </w:trPr>
        <w:tc>
          <w:tcPr>
            <w:tcW w:w="1417" w:type="dxa"/>
          </w:tcPr>
          <w:p w14:paraId="4CDE4D6E" w14:textId="77777777" w:rsidR="00F058FC" w:rsidRPr="00A40F2F" w:rsidRDefault="00F058FC" w:rsidP="00F058FC">
            <w:pPr>
              <w:tabs>
                <w:tab w:val="left" w:pos="170"/>
              </w:tabs>
              <w:spacing w:line="240" w:lineRule="exact"/>
              <w:ind w:left="0" w:firstLine="0"/>
            </w:pPr>
            <w:r w:rsidRPr="00A40F2F">
              <w:t>9.3.1.31.5</w:t>
            </w:r>
            <w:r w:rsidRPr="00A40F2F">
              <w:br/>
              <w:t>9.3.2.31.5</w:t>
            </w:r>
            <w:r w:rsidRPr="00A40F2F">
              <w:br/>
              <w:t>9.3.3.31.5</w:t>
            </w:r>
          </w:p>
        </w:tc>
        <w:tc>
          <w:tcPr>
            <w:tcW w:w="3119" w:type="dxa"/>
          </w:tcPr>
          <w:p w14:paraId="074D637C" w14:textId="77777777" w:rsidR="00F058FC" w:rsidRPr="00A40F2F" w:rsidRDefault="00F058FC" w:rsidP="00F058FC">
            <w:pPr>
              <w:tabs>
                <w:tab w:val="left" w:pos="170"/>
              </w:tabs>
              <w:spacing w:line="240" w:lineRule="exact"/>
              <w:ind w:left="0" w:firstLine="0"/>
            </w:pPr>
            <w:r w:rsidRPr="00A40F2F">
              <w:t>Temperatur im Maschinenraum</w:t>
            </w:r>
          </w:p>
        </w:tc>
        <w:tc>
          <w:tcPr>
            <w:tcW w:w="4686" w:type="dxa"/>
            <w:gridSpan w:val="2"/>
          </w:tcPr>
          <w:p w14:paraId="3EEE3C73"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p w14:paraId="5491EEA7" w14:textId="77777777" w:rsidR="00F058FC" w:rsidRPr="00A40F2F" w:rsidRDefault="00F058FC" w:rsidP="00F058FC">
            <w:pPr>
              <w:tabs>
                <w:tab w:val="left" w:pos="170"/>
              </w:tabs>
              <w:spacing w:line="240" w:lineRule="exact"/>
              <w:ind w:left="0" w:firstLine="0"/>
            </w:pPr>
            <w:r w:rsidRPr="00A40F2F">
              <w:t>An Bord von in Betrieb befindlichen Schiffen müssen bis dahin folgende Vorschriften eingehalten werden:</w:t>
            </w:r>
          </w:p>
          <w:p w14:paraId="7D7D6590" w14:textId="77777777" w:rsidR="00F058FC" w:rsidRPr="00A40F2F" w:rsidRDefault="00F058FC" w:rsidP="00F058FC">
            <w:pPr>
              <w:tabs>
                <w:tab w:val="left" w:pos="170"/>
              </w:tabs>
              <w:spacing w:line="240" w:lineRule="exact"/>
              <w:ind w:left="0" w:firstLine="0"/>
            </w:pPr>
            <w:r w:rsidRPr="00A40F2F">
              <w:t>Die Temperatur im Maschinenraum darf einen Wert von 45 °C nicht überschreiten.</w:t>
            </w:r>
          </w:p>
        </w:tc>
      </w:tr>
      <w:tr w:rsidR="00F058FC" w:rsidRPr="00A40F2F" w14:paraId="3FDF5BC1" w14:textId="77777777" w:rsidTr="00467F4E">
        <w:trPr>
          <w:cantSplit/>
          <w:tblHeader/>
        </w:trPr>
        <w:tc>
          <w:tcPr>
            <w:tcW w:w="1417" w:type="dxa"/>
          </w:tcPr>
          <w:p w14:paraId="1062970C" w14:textId="77777777" w:rsidR="00F058FC" w:rsidRPr="00A40F2F" w:rsidRDefault="00F058FC" w:rsidP="00F058FC">
            <w:pPr>
              <w:tabs>
                <w:tab w:val="left" w:pos="170"/>
              </w:tabs>
              <w:spacing w:line="240" w:lineRule="exact"/>
              <w:ind w:left="0" w:firstLine="0"/>
            </w:pPr>
            <w:r w:rsidRPr="00A40F2F">
              <w:t>9.3.3.34.1</w:t>
            </w:r>
          </w:p>
        </w:tc>
        <w:tc>
          <w:tcPr>
            <w:tcW w:w="3119" w:type="dxa"/>
          </w:tcPr>
          <w:p w14:paraId="314954C4" w14:textId="77777777" w:rsidR="00F058FC" w:rsidRPr="00A40F2F" w:rsidRDefault="00F058FC" w:rsidP="00F058FC">
            <w:pPr>
              <w:tabs>
                <w:tab w:val="left" w:pos="170"/>
              </w:tabs>
              <w:spacing w:line="240" w:lineRule="exact"/>
              <w:ind w:left="0" w:firstLine="0"/>
            </w:pPr>
            <w:r w:rsidRPr="00A40F2F">
              <w:t>Abgasrohre</w:t>
            </w:r>
          </w:p>
        </w:tc>
        <w:tc>
          <w:tcPr>
            <w:tcW w:w="4686" w:type="dxa"/>
            <w:gridSpan w:val="2"/>
          </w:tcPr>
          <w:p w14:paraId="6545BFE3"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5D6DBA5F" w14:textId="77777777" w:rsidTr="00467F4E">
        <w:trPr>
          <w:cantSplit/>
          <w:tblHeader/>
        </w:trPr>
        <w:tc>
          <w:tcPr>
            <w:tcW w:w="1417" w:type="dxa"/>
          </w:tcPr>
          <w:p w14:paraId="76CFD15A" w14:textId="77777777" w:rsidR="00F058FC" w:rsidRPr="00A40F2F" w:rsidRDefault="00F058FC" w:rsidP="00F058FC">
            <w:pPr>
              <w:tabs>
                <w:tab w:val="left" w:pos="170"/>
              </w:tabs>
              <w:spacing w:line="240" w:lineRule="exact"/>
              <w:ind w:left="0" w:firstLine="0"/>
            </w:pPr>
            <w:r w:rsidRPr="00A40F2F">
              <w:t>9.3.3.35.3</w:t>
            </w:r>
          </w:p>
        </w:tc>
        <w:tc>
          <w:tcPr>
            <w:tcW w:w="3119" w:type="dxa"/>
          </w:tcPr>
          <w:p w14:paraId="1D9F6C86" w14:textId="77777777" w:rsidR="00F058FC" w:rsidRPr="00A40F2F" w:rsidRDefault="00F058FC" w:rsidP="00F058FC">
            <w:pPr>
              <w:tabs>
                <w:tab w:val="left" w:pos="170"/>
              </w:tabs>
              <w:spacing w:line="240" w:lineRule="exact"/>
              <w:ind w:left="0" w:firstLine="0"/>
            </w:pPr>
            <w:r w:rsidRPr="00A40F2F">
              <w:t>Ansaugleitung für Ballastzwecke innerhalb des Bereichs der Ladung, aber außerhalb der Ladetanks</w:t>
            </w:r>
          </w:p>
        </w:tc>
        <w:tc>
          <w:tcPr>
            <w:tcW w:w="4686" w:type="dxa"/>
            <w:gridSpan w:val="2"/>
          </w:tcPr>
          <w:p w14:paraId="081309DB"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47900AED" w14:textId="77777777" w:rsidTr="00467F4E">
        <w:trPr>
          <w:cantSplit/>
          <w:tblHeader/>
        </w:trPr>
        <w:tc>
          <w:tcPr>
            <w:tcW w:w="1417" w:type="dxa"/>
          </w:tcPr>
          <w:p w14:paraId="5593C7F8" w14:textId="77777777" w:rsidR="00F058FC" w:rsidRPr="00A40F2F" w:rsidRDefault="00F058FC" w:rsidP="00F058FC">
            <w:pPr>
              <w:tabs>
                <w:tab w:val="left" w:pos="170"/>
              </w:tabs>
              <w:spacing w:line="240" w:lineRule="exact"/>
              <w:ind w:left="0" w:firstLine="0"/>
            </w:pPr>
            <w:r w:rsidRPr="00A40F2F">
              <w:t>9.3.1.35.4</w:t>
            </w:r>
          </w:p>
        </w:tc>
        <w:tc>
          <w:tcPr>
            <w:tcW w:w="3119" w:type="dxa"/>
          </w:tcPr>
          <w:p w14:paraId="216B5FCB" w14:textId="77777777" w:rsidR="00F058FC" w:rsidRPr="00A40F2F" w:rsidRDefault="00F058FC" w:rsidP="00F058FC">
            <w:pPr>
              <w:tabs>
                <w:tab w:val="left" w:pos="170"/>
              </w:tabs>
              <w:spacing w:line="240" w:lineRule="exact"/>
              <w:ind w:left="0" w:firstLine="0"/>
            </w:pPr>
            <w:r w:rsidRPr="00A40F2F">
              <w:t xml:space="preserve">Lenzeinrichtung </w:t>
            </w:r>
            <w:r w:rsidRPr="00A40F2F">
              <w:br/>
              <w:t xml:space="preserve">Pumpenraum außerhalb des Pumpenraums </w:t>
            </w:r>
          </w:p>
        </w:tc>
        <w:tc>
          <w:tcPr>
            <w:tcW w:w="4686" w:type="dxa"/>
            <w:gridSpan w:val="2"/>
          </w:tcPr>
          <w:p w14:paraId="2F46BB66" w14:textId="77777777" w:rsidR="00F058FC" w:rsidRPr="00A40F2F" w:rsidRDefault="00F058FC" w:rsidP="00F058FC">
            <w:pPr>
              <w:tabs>
                <w:tab w:val="left" w:pos="170"/>
              </w:tabs>
              <w:spacing w:line="240" w:lineRule="exact"/>
              <w:ind w:left="0" w:firstLine="0"/>
            </w:pPr>
            <w:r w:rsidRPr="00A40F2F">
              <w:t>N.E.U. ab 1. Januar 2003, Erneuerung des Zulassungszeugnisses nach dem 31. Dezember 2018</w:t>
            </w:r>
          </w:p>
        </w:tc>
      </w:tr>
      <w:tr w:rsidR="00F058FC" w:rsidRPr="00A40F2F" w14:paraId="42D7D057" w14:textId="77777777" w:rsidTr="00467F4E">
        <w:trPr>
          <w:cantSplit/>
          <w:tblHeader/>
        </w:trPr>
        <w:tc>
          <w:tcPr>
            <w:tcW w:w="1417" w:type="dxa"/>
          </w:tcPr>
          <w:p w14:paraId="7BFFFBE3" w14:textId="77777777" w:rsidR="00F058FC" w:rsidRPr="00A40F2F" w:rsidRDefault="00F058FC" w:rsidP="00F058FC">
            <w:pPr>
              <w:tabs>
                <w:tab w:val="left" w:pos="170"/>
              </w:tabs>
              <w:spacing w:line="240" w:lineRule="exact"/>
              <w:ind w:left="0" w:firstLine="0"/>
            </w:pPr>
            <w:r w:rsidRPr="00A40F2F">
              <w:t>9.3.1.40.1</w:t>
            </w:r>
            <w:r w:rsidRPr="00A40F2F">
              <w:br/>
              <w:t>9.3.2.40.1</w:t>
            </w:r>
            <w:r w:rsidRPr="00A40F2F">
              <w:br/>
              <w:t>9.3.3.40.1</w:t>
            </w:r>
          </w:p>
        </w:tc>
        <w:tc>
          <w:tcPr>
            <w:tcW w:w="3119" w:type="dxa"/>
          </w:tcPr>
          <w:p w14:paraId="266F32D8" w14:textId="77777777" w:rsidR="00F058FC" w:rsidRPr="00A40F2F" w:rsidRDefault="00F058FC" w:rsidP="00F058FC">
            <w:pPr>
              <w:tabs>
                <w:tab w:val="left" w:pos="170"/>
              </w:tabs>
              <w:spacing w:line="240" w:lineRule="exact"/>
              <w:ind w:left="0" w:firstLine="0"/>
            </w:pPr>
            <w:r w:rsidRPr="00A40F2F">
              <w:t xml:space="preserve">Feuerlöscheinrichtung, </w:t>
            </w:r>
            <w:r w:rsidRPr="00A40F2F">
              <w:br/>
              <w:t>zwei Pumpen usw.</w:t>
            </w:r>
          </w:p>
        </w:tc>
        <w:tc>
          <w:tcPr>
            <w:tcW w:w="4686" w:type="dxa"/>
            <w:gridSpan w:val="2"/>
          </w:tcPr>
          <w:p w14:paraId="12FE5A38" w14:textId="77777777" w:rsidR="00F058FC" w:rsidRPr="00A40F2F" w:rsidRDefault="00F058FC" w:rsidP="00F058FC">
            <w:pPr>
              <w:tabs>
                <w:tab w:val="left" w:pos="170"/>
              </w:tabs>
              <w:spacing w:line="240" w:lineRule="exact"/>
              <w:ind w:left="0" w:firstLine="0"/>
            </w:pPr>
            <w:r w:rsidRPr="00A40F2F">
              <w:t>N.E.U., Erneuerung des Zulassungszeugnisses nach dem 31. Dezember 2018</w:t>
            </w:r>
          </w:p>
        </w:tc>
      </w:tr>
      <w:tr w:rsidR="00F058FC" w:rsidRPr="00A40F2F" w14:paraId="7A3F4DF0" w14:textId="77777777" w:rsidTr="00467F4E">
        <w:trPr>
          <w:cantSplit/>
          <w:tblHeader/>
        </w:trPr>
        <w:tc>
          <w:tcPr>
            <w:tcW w:w="1417" w:type="dxa"/>
          </w:tcPr>
          <w:p w14:paraId="6C6063B5" w14:textId="77777777" w:rsidR="00F058FC" w:rsidRPr="00A40F2F" w:rsidRDefault="00F058FC" w:rsidP="002011A3">
            <w:pPr>
              <w:tabs>
                <w:tab w:val="left" w:pos="170"/>
              </w:tabs>
              <w:spacing w:line="240" w:lineRule="exact"/>
              <w:ind w:left="0" w:firstLine="0"/>
              <w:jc w:val="left"/>
            </w:pPr>
            <w:r w:rsidRPr="00A40F2F">
              <w:t>9.3.1.51 b)</w:t>
            </w:r>
            <w:r w:rsidRPr="00A40F2F">
              <w:br/>
              <w:t>9.3.2.51 b)</w:t>
            </w:r>
            <w:r w:rsidRPr="00A40F2F">
              <w:br/>
              <w:t>9.3.3.51 b)</w:t>
            </w:r>
          </w:p>
        </w:tc>
        <w:tc>
          <w:tcPr>
            <w:tcW w:w="3119" w:type="dxa"/>
          </w:tcPr>
          <w:p w14:paraId="48DE093E" w14:textId="77777777" w:rsidR="00F058FC" w:rsidRPr="00A40F2F" w:rsidRDefault="00F058FC" w:rsidP="00F058FC">
            <w:pPr>
              <w:tabs>
                <w:tab w:val="left" w:pos="170"/>
              </w:tabs>
              <w:spacing w:line="240" w:lineRule="exact"/>
              <w:ind w:left="0" w:firstLine="0"/>
            </w:pPr>
            <w:r w:rsidRPr="00A40F2F">
              <w:t>Oberflächentemperatur der äußeren Teile von Motoren sowie deren Luft- und Abgasschächten</w:t>
            </w:r>
          </w:p>
        </w:tc>
        <w:tc>
          <w:tcPr>
            <w:tcW w:w="4686" w:type="dxa"/>
            <w:gridSpan w:val="2"/>
          </w:tcPr>
          <w:p w14:paraId="09157E59" w14:textId="77777777" w:rsidR="00F058FC" w:rsidRPr="00A40F2F" w:rsidRDefault="00F058FC" w:rsidP="00F058FC">
            <w:pPr>
              <w:tabs>
                <w:tab w:val="left" w:pos="170"/>
              </w:tabs>
              <w:spacing w:line="240" w:lineRule="exact"/>
              <w:ind w:left="0" w:firstLine="0"/>
            </w:pPr>
            <w:r w:rsidRPr="00A40F2F">
              <w:t>N.E.U.</w:t>
            </w:r>
          </w:p>
          <w:p w14:paraId="189CC240"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p w14:paraId="50D4C147" w14:textId="77777777" w:rsidR="00F058FC" w:rsidRPr="00A40F2F" w:rsidRDefault="00F058FC" w:rsidP="00F058FC">
            <w:pPr>
              <w:tabs>
                <w:tab w:val="left" w:pos="170"/>
              </w:tabs>
              <w:spacing w:line="240" w:lineRule="exact"/>
              <w:ind w:left="0" w:firstLine="0"/>
            </w:pPr>
            <w:r w:rsidRPr="00A40F2F">
              <w:t>An Bord von in Betrieb befindlichen Schiffen müssen bis dahin folgende Vorschriften eingehalten werden:</w:t>
            </w:r>
          </w:p>
          <w:p w14:paraId="0D07AB32" w14:textId="77777777" w:rsidR="00F058FC" w:rsidRPr="00A40F2F" w:rsidRDefault="00F058FC" w:rsidP="00F058FC">
            <w:pPr>
              <w:tabs>
                <w:tab w:val="left" w:pos="170"/>
              </w:tabs>
              <w:spacing w:line="240" w:lineRule="exact"/>
              <w:ind w:left="0" w:firstLine="0"/>
            </w:pPr>
            <w:r w:rsidRPr="00A40F2F">
              <w:t>Die Oberflächentemperatur darf nicht höher als 300 °C sein.</w:t>
            </w:r>
          </w:p>
        </w:tc>
      </w:tr>
      <w:tr w:rsidR="00F058FC" w:rsidRPr="00A40F2F" w14:paraId="3D9EA538" w14:textId="77777777" w:rsidTr="00467F4E">
        <w:trPr>
          <w:cantSplit/>
          <w:tblHeader/>
        </w:trPr>
        <w:tc>
          <w:tcPr>
            <w:tcW w:w="1417" w:type="dxa"/>
          </w:tcPr>
          <w:p w14:paraId="699DF9E7" w14:textId="77777777" w:rsidR="00F058FC" w:rsidRPr="00A40F2F" w:rsidRDefault="00F058FC" w:rsidP="00F058FC">
            <w:pPr>
              <w:tabs>
                <w:tab w:val="left" w:pos="170"/>
              </w:tabs>
              <w:spacing w:line="240" w:lineRule="exact"/>
              <w:ind w:left="0" w:firstLine="0"/>
            </w:pPr>
            <w:r w:rsidRPr="00A40F2F">
              <w:t>9.3.1.60</w:t>
            </w:r>
            <w:r w:rsidRPr="00A40F2F">
              <w:br/>
              <w:t>9.3.2.60</w:t>
            </w:r>
            <w:r w:rsidRPr="00A40F2F">
              <w:br/>
              <w:t>9.3.3.60</w:t>
            </w:r>
          </w:p>
        </w:tc>
        <w:tc>
          <w:tcPr>
            <w:tcW w:w="3119" w:type="dxa"/>
          </w:tcPr>
          <w:p w14:paraId="6C890DB9" w14:textId="77777777" w:rsidR="00F058FC" w:rsidRPr="00A40F2F" w:rsidRDefault="00F058FC" w:rsidP="00F058FC">
            <w:pPr>
              <w:tabs>
                <w:tab w:val="left" w:pos="170"/>
              </w:tabs>
              <w:spacing w:line="240" w:lineRule="exact"/>
              <w:ind w:left="0" w:firstLine="0"/>
            </w:pPr>
            <w:r w:rsidRPr="00A40F2F">
              <w:t>Es muss ein federbelastetes Rückschlagventil montiert sein.</w:t>
            </w:r>
          </w:p>
          <w:p w14:paraId="60E0673E" w14:textId="77777777" w:rsidR="00F058FC" w:rsidRPr="00A40F2F" w:rsidRDefault="00F058FC" w:rsidP="00F058FC">
            <w:pPr>
              <w:tabs>
                <w:tab w:val="left" w:pos="170"/>
              </w:tabs>
              <w:spacing w:line="240" w:lineRule="exact"/>
              <w:ind w:left="0" w:firstLine="0"/>
            </w:pPr>
            <w:r w:rsidRPr="00A40F2F">
              <w:t>Das Wasser muss der Qualität des Trinkwassers an Bord entsprechen.</w:t>
            </w:r>
          </w:p>
        </w:tc>
        <w:tc>
          <w:tcPr>
            <w:tcW w:w="4686" w:type="dxa"/>
            <w:gridSpan w:val="2"/>
          </w:tcPr>
          <w:p w14:paraId="1BE5AB3D" w14:textId="77777777" w:rsidR="00F058FC" w:rsidRPr="00A40F2F" w:rsidRDefault="00F058FC" w:rsidP="00F058FC">
            <w:pPr>
              <w:tabs>
                <w:tab w:val="left" w:pos="170"/>
              </w:tabs>
              <w:spacing w:line="240" w:lineRule="exact"/>
              <w:ind w:left="0" w:firstLine="0"/>
            </w:pPr>
            <w:r w:rsidRPr="00A40F2F">
              <w:t>N.E.U.</w:t>
            </w:r>
          </w:p>
          <w:p w14:paraId="54E70459" w14:textId="77777777" w:rsidR="00F058FC" w:rsidRPr="00A40F2F" w:rsidRDefault="00F058FC" w:rsidP="00F058FC">
            <w:pPr>
              <w:tabs>
                <w:tab w:val="left" w:pos="170"/>
              </w:tabs>
              <w:spacing w:line="240" w:lineRule="exact"/>
              <w:ind w:left="0" w:firstLine="0"/>
            </w:pPr>
            <w:r w:rsidRPr="00A40F2F">
              <w:t>Erneuerung des Zulassungszeugnisses nach dem 31. Dezember 2018</w:t>
            </w:r>
          </w:p>
        </w:tc>
      </w:tr>
    </w:tbl>
    <w:p w14:paraId="0A353BD9" w14:textId="77777777" w:rsidR="00F058FC" w:rsidRPr="00A40F2F" w:rsidRDefault="00F058FC" w:rsidP="00F058FC">
      <w:pPr>
        <w:widowControl/>
        <w:overflowPunct/>
        <w:autoSpaceDE/>
        <w:autoSpaceDN/>
        <w:adjustRightInd/>
        <w:ind w:left="0" w:firstLine="0"/>
        <w:jc w:val="left"/>
        <w:textAlignment w:val="auto"/>
        <w:rPr>
          <w:lang w:eastAsia="de-DE"/>
        </w:rPr>
      </w:pPr>
    </w:p>
    <w:p w14:paraId="7DD87E04" w14:textId="77777777" w:rsidR="002011A3" w:rsidRDefault="002011A3">
      <w:pPr>
        <w:widowControl/>
        <w:overflowPunct/>
        <w:autoSpaceDE/>
        <w:autoSpaceDN/>
        <w:adjustRightInd/>
        <w:ind w:left="0" w:firstLine="0"/>
        <w:jc w:val="left"/>
        <w:textAlignment w:val="auto"/>
        <w:rPr>
          <w:b/>
          <w:lang w:eastAsia="de-DE"/>
        </w:rPr>
      </w:pPr>
      <w:r>
        <w:rPr>
          <w:b/>
          <w:lang w:eastAsia="de-DE"/>
        </w:rPr>
        <w:br w:type="page"/>
      </w:r>
    </w:p>
    <w:p w14:paraId="3745B9E4" w14:textId="4027DAE5" w:rsidR="00F058FC" w:rsidRPr="00A40F2F" w:rsidRDefault="00F058FC" w:rsidP="000C3CE5">
      <w:pPr>
        <w:widowControl/>
        <w:overflowPunct/>
        <w:autoSpaceDE/>
        <w:autoSpaceDN/>
        <w:adjustRightInd/>
        <w:spacing w:before="180" w:line="240" w:lineRule="atLeast"/>
        <w:textAlignment w:val="auto"/>
        <w:rPr>
          <w:bCs/>
          <w:lang w:eastAsia="de-DE"/>
        </w:rPr>
      </w:pPr>
      <w:r w:rsidRPr="002011A3">
        <w:rPr>
          <w:bCs/>
          <w:lang w:eastAsia="de-DE"/>
        </w:rPr>
        <w:lastRenderedPageBreak/>
        <w:t>„1.6.7.2.2.5</w:t>
      </w:r>
      <w:r w:rsidRPr="00A40F2F">
        <w:rPr>
          <w:lang w:eastAsia="de-DE"/>
        </w:rPr>
        <w:tab/>
        <w:t>Bei Schiffen oder Schubleichtern, die vor dem 1. Juli 2017 auf Kiel gelegt worden sind und nicht den Vorschriften des Unterabschnitts 9.3.x.1 betreffend die Schiffsakte entsprechen, muss spätestens bei der nächsten Erneuerung des Zulassungszeugnisses mit der Aufbewahrung der Dokumente für die Schiffsakte begonnen werden.“</w:t>
      </w:r>
      <w:r w:rsidR="00EB72EA">
        <w:rPr>
          <w:lang w:eastAsia="de-DE"/>
        </w:rPr>
        <w:t>.</w:t>
      </w:r>
    </w:p>
    <w:p w14:paraId="2E191841" w14:textId="77777777" w:rsidR="00243C1E" w:rsidRPr="00A40F2F" w:rsidRDefault="00243C1E" w:rsidP="00243C1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szCs w:val="28"/>
        </w:rPr>
      </w:pPr>
      <w:r w:rsidRPr="00A40F2F">
        <w:rPr>
          <w:b/>
          <w:sz w:val="28"/>
          <w:szCs w:val="28"/>
        </w:rPr>
        <w:tab/>
        <w:t>II.</w:t>
      </w:r>
      <w:r w:rsidRPr="00A40F2F">
        <w:rPr>
          <w:b/>
          <w:sz w:val="28"/>
          <w:szCs w:val="28"/>
        </w:rPr>
        <w:tab/>
        <w:t>Begründung</w:t>
      </w:r>
    </w:p>
    <w:p w14:paraId="1978ADF1" w14:textId="77777777" w:rsidR="00F058FC" w:rsidRPr="00A40F2F" w:rsidRDefault="00F058FC" w:rsidP="00243C1E">
      <w:pPr>
        <w:widowControl/>
        <w:tabs>
          <w:tab w:val="left" w:pos="567"/>
          <w:tab w:val="left" w:pos="1701"/>
        </w:tabs>
        <w:suppressAutoHyphens/>
        <w:overflowPunct/>
        <w:autoSpaceDE/>
        <w:autoSpaceDN/>
        <w:adjustRightInd/>
        <w:spacing w:line="240" w:lineRule="atLeast"/>
        <w:ind w:right="1134" w:firstLine="0"/>
        <w:textAlignment w:val="auto"/>
        <w:rPr>
          <w:szCs w:val="24"/>
          <w:lang w:eastAsia="de-DE"/>
        </w:rPr>
      </w:pPr>
      <w:r w:rsidRPr="00A40F2F">
        <w:rPr>
          <w:szCs w:val="24"/>
          <w:lang w:eastAsia="de-DE"/>
        </w:rPr>
        <w:t>2.</w:t>
      </w:r>
      <w:r w:rsidRPr="00A40F2F">
        <w:rPr>
          <w:szCs w:val="24"/>
          <w:lang w:eastAsia="de-DE"/>
        </w:rPr>
        <w:tab/>
        <w:t xml:space="preserve">Die Übergangsfristen laufen am 31. Dezember 2023 ab. Es ist nicht bekannt, dass längere </w:t>
      </w:r>
      <w:r w:rsidRPr="00A40F2F">
        <w:rPr>
          <w:lang w:eastAsia="en-GB"/>
        </w:rPr>
        <w:t>Übergangsvorschriften</w:t>
      </w:r>
      <w:r w:rsidRPr="00A40F2F">
        <w:rPr>
          <w:szCs w:val="24"/>
          <w:lang w:eastAsia="de-DE"/>
        </w:rPr>
        <w:t xml:space="preserve"> zwingend erforderlich sind.</w:t>
      </w:r>
    </w:p>
    <w:p w14:paraId="45B5B544" w14:textId="77777777" w:rsidR="00F058FC" w:rsidRPr="00A40F2F" w:rsidRDefault="00F058FC" w:rsidP="00F058FC">
      <w:pPr>
        <w:widowControl/>
        <w:overflowPunct/>
        <w:autoSpaceDE/>
        <w:autoSpaceDN/>
        <w:adjustRightInd/>
        <w:ind w:left="0" w:firstLine="0"/>
        <w:jc w:val="left"/>
        <w:textAlignment w:val="auto"/>
        <w:rPr>
          <w:rFonts w:ascii="Arial" w:hAnsi="Arial"/>
          <w:sz w:val="24"/>
          <w:szCs w:val="24"/>
          <w:lang w:eastAsia="de-DE"/>
        </w:rPr>
      </w:pPr>
    </w:p>
    <w:p w14:paraId="66F7CCD0" w14:textId="77777777" w:rsidR="00F058FC" w:rsidRPr="00A40F2F" w:rsidRDefault="00F058FC" w:rsidP="00243C1E">
      <w:pPr>
        <w:widowControl/>
        <w:tabs>
          <w:tab w:val="left" w:pos="567"/>
          <w:tab w:val="left" w:pos="1701"/>
        </w:tabs>
        <w:suppressAutoHyphens/>
        <w:overflowPunct/>
        <w:autoSpaceDE/>
        <w:autoSpaceDN/>
        <w:adjustRightInd/>
        <w:spacing w:line="240" w:lineRule="atLeast"/>
        <w:ind w:right="1134" w:firstLine="0"/>
        <w:textAlignment w:val="auto"/>
        <w:rPr>
          <w:szCs w:val="24"/>
          <w:lang w:eastAsia="de-DE"/>
        </w:rPr>
      </w:pPr>
      <w:r w:rsidRPr="00A40F2F">
        <w:rPr>
          <w:szCs w:val="24"/>
          <w:lang w:eastAsia="de-DE"/>
        </w:rPr>
        <w:t>3.</w:t>
      </w:r>
      <w:r w:rsidRPr="00A40F2F">
        <w:rPr>
          <w:szCs w:val="24"/>
          <w:lang w:eastAsia="de-DE"/>
        </w:rPr>
        <w:tab/>
        <w:t>Die Annahme des Antrags bewirkt eine redaktionelle Bereinigung und Verschlankung der dem ADN beigefügten Verordnung.</w:t>
      </w:r>
    </w:p>
    <w:p w14:paraId="548C857A" w14:textId="77777777" w:rsidR="00467F4E" w:rsidRPr="00A40F2F" w:rsidRDefault="00467F4E" w:rsidP="00767C2A">
      <w:pPr>
        <w:widowControl/>
        <w:overflowPunct/>
        <w:autoSpaceDE/>
        <w:autoSpaceDN/>
        <w:adjustRightInd/>
        <w:spacing w:line="240" w:lineRule="atLeast"/>
        <w:ind w:right="1134" w:firstLine="0"/>
        <w:jc w:val="center"/>
        <w:textAlignment w:val="auto"/>
      </w:pPr>
    </w:p>
    <w:p w14:paraId="2329F494" w14:textId="5B1BCCCC" w:rsidR="00751575" w:rsidRPr="00767C2A" w:rsidRDefault="00F8067A" w:rsidP="00767C2A">
      <w:pPr>
        <w:widowControl/>
        <w:overflowPunct/>
        <w:autoSpaceDE/>
        <w:autoSpaceDN/>
        <w:adjustRightInd/>
        <w:spacing w:line="240" w:lineRule="atLeast"/>
        <w:ind w:right="1134" w:firstLine="0"/>
        <w:jc w:val="center"/>
        <w:textAlignment w:val="auto"/>
      </w:pPr>
      <w:r w:rsidRPr="00A40F2F">
        <w:t>***</w:t>
      </w:r>
    </w:p>
    <w:sectPr w:rsidR="00751575" w:rsidRPr="00767C2A"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EFB" w14:textId="77777777" w:rsidR="007A6943" w:rsidRDefault="007A6943" w:rsidP="0011702A">
      <w:r>
        <w:separator/>
      </w:r>
    </w:p>
  </w:endnote>
  <w:endnote w:type="continuationSeparator" w:id="0">
    <w:p w14:paraId="0D2C8873" w14:textId="77777777" w:rsidR="007A6943" w:rsidRDefault="007A6943"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D32" w14:textId="33091B8C" w:rsidR="00E566A7" w:rsidRPr="00E566A7" w:rsidRDefault="00467F4E" w:rsidP="0007608B">
    <w:pPr>
      <w:widowControl/>
      <w:suppressAutoHyphens/>
      <w:overflowPunct/>
      <w:autoSpaceDE/>
      <w:autoSpaceDN/>
      <w:adjustRightInd/>
      <w:ind w:left="0" w:firstLine="0"/>
      <w:jc w:val="right"/>
      <w:textAlignment w:val="auto"/>
      <w:rPr>
        <w:lang w:val="en-GB"/>
      </w:rPr>
    </w:pPr>
    <w:r w:rsidRPr="007F238E">
      <w:rPr>
        <w:rFonts w:ascii="Arial" w:hAnsi="Arial"/>
        <w:noProof/>
        <w:snapToGrid w:val="0"/>
        <w:sz w:val="12"/>
        <w:szCs w:val="24"/>
        <w:lang w:val="fr-FR"/>
      </w:rPr>
      <w:t>mm/adn_wp15_ac2_2022_</w:t>
    </w:r>
    <w:r w:rsidR="002011A3">
      <w:rPr>
        <w:rFonts w:ascii="Arial" w:hAnsi="Arial"/>
        <w:noProof/>
        <w:snapToGrid w:val="0"/>
        <w:sz w:val="12"/>
        <w:szCs w:val="24"/>
        <w:lang w:val="fr-FR"/>
      </w:rPr>
      <w:t>31</w:t>
    </w:r>
    <w:r w:rsidRPr="007F238E">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33DC" w14:textId="0026E7BC" w:rsidR="00F8067A" w:rsidRPr="006C760C" w:rsidRDefault="00467F4E" w:rsidP="00467F4E">
    <w:pPr>
      <w:widowControl/>
      <w:suppressAutoHyphens/>
      <w:overflowPunct/>
      <w:autoSpaceDE/>
      <w:autoSpaceDN/>
      <w:adjustRightInd/>
      <w:ind w:left="0" w:firstLine="0"/>
      <w:jc w:val="right"/>
      <w:textAlignment w:val="auto"/>
      <w:rPr>
        <w:rFonts w:ascii="Arial" w:hAnsi="Arial"/>
        <w:noProof/>
        <w:sz w:val="12"/>
        <w:szCs w:val="24"/>
        <w:lang w:val="en-GB"/>
      </w:rPr>
    </w:pPr>
    <w:r w:rsidRPr="007F238E">
      <w:rPr>
        <w:rFonts w:ascii="Arial" w:hAnsi="Arial"/>
        <w:noProof/>
        <w:snapToGrid w:val="0"/>
        <w:sz w:val="12"/>
        <w:szCs w:val="24"/>
        <w:lang w:val="fr-FR"/>
      </w:rPr>
      <w:t>mm/adn_wp15_ac2_2022_</w:t>
    </w:r>
    <w:r w:rsidR="002011A3">
      <w:rPr>
        <w:rFonts w:ascii="Arial" w:hAnsi="Arial"/>
        <w:noProof/>
        <w:snapToGrid w:val="0"/>
        <w:sz w:val="12"/>
        <w:szCs w:val="24"/>
        <w:lang w:val="fr-FR"/>
      </w:rPr>
      <w:t>31</w:t>
    </w:r>
    <w:r w:rsidRPr="007F238E">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28E" w14:textId="77777777" w:rsidR="007A6943" w:rsidRDefault="007A6943" w:rsidP="0011702A">
      <w:r>
        <w:separator/>
      </w:r>
    </w:p>
  </w:footnote>
  <w:footnote w:type="continuationSeparator" w:id="0">
    <w:p w14:paraId="5A44B45E" w14:textId="77777777" w:rsidR="007A6943" w:rsidRDefault="007A6943" w:rsidP="0011702A">
      <w:r>
        <w:continuationSeparator/>
      </w:r>
    </w:p>
  </w:footnote>
  <w:footnote w:id="1">
    <w:p w14:paraId="4095BF3B" w14:textId="0CB779F8"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Von der UNECE in Englisch, Französisch und Russisch unter dem Aktenzeichen ECE/TRANS/WP.15/AC.2/202</w:t>
      </w:r>
      <w:r>
        <w:rPr>
          <w:sz w:val="16"/>
          <w:szCs w:val="16"/>
        </w:rPr>
        <w:t>2</w:t>
      </w:r>
      <w:r w:rsidRPr="00C951AF">
        <w:rPr>
          <w:sz w:val="16"/>
          <w:szCs w:val="16"/>
        </w:rPr>
        <w:t>/</w:t>
      </w:r>
      <w:r w:rsidR="002011A3">
        <w:rPr>
          <w:sz w:val="16"/>
          <w:szCs w:val="16"/>
        </w:rPr>
        <w:t>31</w:t>
      </w:r>
      <w:r w:rsidRPr="00C951AF">
        <w:rPr>
          <w:sz w:val="16"/>
          <w:szCs w:val="16"/>
        </w:rPr>
        <w:t xml:space="preserve"> verteilt.</w:t>
      </w:r>
    </w:p>
  </w:footnote>
  <w:footnote w:id="2">
    <w:p w14:paraId="4BD609A2" w14:textId="056DCD88" w:rsidR="00767C2A" w:rsidRPr="00C951AF" w:rsidRDefault="00767C2A" w:rsidP="00767C2A">
      <w:pPr>
        <w:pStyle w:val="Notedebasdepage"/>
        <w:rPr>
          <w:sz w:val="16"/>
          <w:szCs w:val="16"/>
        </w:rPr>
      </w:pPr>
      <w:r w:rsidRPr="00D378DC">
        <w:rPr>
          <w:rStyle w:val="Appelnotedebasdep"/>
        </w:rPr>
        <w:tab/>
        <w:t>**</w:t>
      </w:r>
      <w:r w:rsidRPr="00D378DC">
        <w:rPr>
          <w:rStyle w:val="Appelnotedebasdep"/>
        </w:rPr>
        <w:tab/>
      </w:r>
      <w:r w:rsidRPr="00C951AF">
        <w:rPr>
          <w:sz w:val="16"/>
          <w:szCs w:val="16"/>
        </w:rPr>
        <w:t>A/7</w:t>
      </w:r>
      <w:r w:rsidR="002011A3">
        <w:rPr>
          <w:sz w:val="16"/>
          <w:szCs w:val="16"/>
        </w:rPr>
        <w:t>6</w:t>
      </w:r>
      <w:r w:rsidRPr="00C951AF">
        <w:rPr>
          <w:sz w:val="16"/>
          <w:szCs w:val="16"/>
        </w:rPr>
        <w:t>/6 (Kap. 20) Abs. 20.</w:t>
      </w:r>
      <w:r w:rsidR="002011A3">
        <w:rPr>
          <w:sz w:val="16"/>
          <w:szCs w:val="16"/>
        </w:rPr>
        <w:t>76</w:t>
      </w:r>
      <w:r w:rsidRPr="00C951A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91C" w14:textId="67209501" w:rsidR="000C3CE5"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2B61F9">
      <w:rPr>
        <w:rFonts w:ascii="Arial" w:hAnsi="Arial"/>
        <w:snapToGrid w:val="0"/>
        <w:sz w:val="16"/>
        <w:szCs w:val="16"/>
        <w:lang w:val="en-US"/>
      </w:rPr>
      <w:t>20</w:t>
    </w:r>
    <w:r w:rsidR="003A5F4F">
      <w:rPr>
        <w:rFonts w:ascii="Arial" w:hAnsi="Arial"/>
        <w:snapToGrid w:val="0"/>
        <w:sz w:val="16"/>
        <w:szCs w:val="16"/>
        <w:lang w:val="en-US"/>
      </w:rPr>
      <w:t>2</w:t>
    </w:r>
    <w:r w:rsidR="000C3CE5">
      <w:rPr>
        <w:rFonts w:ascii="Arial" w:hAnsi="Arial"/>
        <w:snapToGrid w:val="0"/>
        <w:sz w:val="16"/>
        <w:szCs w:val="16"/>
        <w:lang w:val="en-US"/>
      </w:rPr>
      <w:t>2</w:t>
    </w:r>
    <w:r w:rsidR="002B61F9">
      <w:rPr>
        <w:rFonts w:ascii="Arial" w:hAnsi="Arial"/>
        <w:snapToGrid w:val="0"/>
        <w:sz w:val="16"/>
        <w:szCs w:val="16"/>
        <w:lang w:val="en-US"/>
      </w:rPr>
      <w:t>/</w:t>
    </w:r>
    <w:r w:rsidR="002011A3">
      <w:rPr>
        <w:rFonts w:ascii="Arial" w:hAnsi="Arial"/>
        <w:snapToGrid w:val="0"/>
        <w:sz w:val="16"/>
        <w:szCs w:val="16"/>
        <w:lang w:val="en-US"/>
      </w:rPr>
      <w:t>31</w:t>
    </w:r>
  </w:p>
  <w:p w14:paraId="1AC4CCB1" w14:textId="320D3EC0"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2B61F9">
      <w:rPr>
        <w:rFonts w:ascii="Arial" w:hAnsi="Arial"/>
        <w:snapToGrid w:val="0"/>
        <w:sz w:val="16"/>
        <w:szCs w:val="16"/>
        <w:lang w:val="en-US"/>
      </w:rPr>
      <w:t>Seite</w:t>
    </w:r>
    <w:proofErr w:type="spellEnd"/>
    <w:r w:rsidRPr="002B61F9">
      <w:rPr>
        <w:rFonts w:ascii="Arial" w:hAnsi="Arial"/>
        <w:snapToGrid w:val="0"/>
        <w:sz w:val="16"/>
        <w:szCs w:val="16"/>
        <w:lang w:val="en-US"/>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6</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34E" w14:textId="16D08856"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0C3CE5">
      <w:rPr>
        <w:rFonts w:ascii="Arial" w:hAnsi="Arial"/>
        <w:snapToGrid w:val="0"/>
        <w:sz w:val="16"/>
        <w:szCs w:val="16"/>
        <w:lang w:val="en-US"/>
      </w:rPr>
      <w:t>2022</w:t>
    </w:r>
    <w:r w:rsidR="00B9072B" w:rsidRPr="00F8067A">
      <w:rPr>
        <w:rFonts w:ascii="Arial" w:hAnsi="Arial"/>
        <w:snapToGrid w:val="0"/>
        <w:sz w:val="16"/>
        <w:szCs w:val="16"/>
        <w:lang w:val="en-US"/>
      </w:rPr>
      <w:t>/</w:t>
    </w:r>
    <w:r w:rsidR="002011A3">
      <w:rPr>
        <w:rFonts w:ascii="Arial" w:hAnsi="Arial"/>
        <w:snapToGrid w:val="0"/>
        <w:sz w:val="16"/>
        <w:szCs w:val="16"/>
        <w:lang w:val="en-US"/>
      </w:rPr>
      <w:t>31</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C7E3D">
      <w:rPr>
        <w:rFonts w:ascii="Arial" w:hAnsi="Arial"/>
        <w:noProof/>
        <w:snapToGrid w:val="0"/>
        <w:sz w:val="16"/>
        <w:szCs w:val="16"/>
      </w:rPr>
      <w:t>5</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0B352E8"/>
    <w:multiLevelType w:val="hybridMultilevel"/>
    <w:tmpl w:val="435EE126"/>
    <w:lvl w:ilvl="0" w:tplc="37CA9F5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5"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16cid:durableId="1750955779">
    <w:abstractNumId w:val="0"/>
  </w:num>
  <w:num w:numId="2" w16cid:durableId="901869893">
    <w:abstractNumId w:val="3"/>
  </w:num>
  <w:num w:numId="3" w16cid:durableId="2082485483">
    <w:abstractNumId w:val="4"/>
  </w:num>
  <w:num w:numId="4" w16cid:durableId="347104622">
    <w:abstractNumId w:val="5"/>
  </w:num>
  <w:num w:numId="5" w16cid:durableId="281301303">
    <w:abstractNumId w:val="1"/>
  </w:num>
  <w:num w:numId="6" w16cid:durableId="114539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3ED0"/>
    <w:rsid w:val="00026176"/>
    <w:rsid w:val="0003284B"/>
    <w:rsid w:val="00034828"/>
    <w:rsid w:val="0004134B"/>
    <w:rsid w:val="00043B88"/>
    <w:rsid w:val="000463CE"/>
    <w:rsid w:val="00047E84"/>
    <w:rsid w:val="00052E7E"/>
    <w:rsid w:val="000563D5"/>
    <w:rsid w:val="00056B10"/>
    <w:rsid w:val="000625E5"/>
    <w:rsid w:val="00067CE3"/>
    <w:rsid w:val="0007608B"/>
    <w:rsid w:val="00076F9A"/>
    <w:rsid w:val="00080275"/>
    <w:rsid w:val="00080F60"/>
    <w:rsid w:val="00090A58"/>
    <w:rsid w:val="0009215A"/>
    <w:rsid w:val="00095D13"/>
    <w:rsid w:val="00097410"/>
    <w:rsid w:val="000A1A85"/>
    <w:rsid w:val="000A1AAE"/>
    <w:rsid w:val="000A324C"/>
    <w:rsid w:val="000A46AB"/>
    <w:rsid w:val="000A63ED"/>
    <w:rsid w:val="000A6549"/>
    <w:rsid w:val="000A6D2C"/>
    <w:rsid w:val="000A6E3A"/>
    <w:rsid w:val="000B3573"/>
    <w:rsid w:val="000B53FD"/>
    <w:rsid w:val="000C108A"/>
    <w:rsid w:val="000C3CE5"/>
    <w:rsid w:val="000C6E63"/>
    <w:rsid w:val="000C72ED"/>
    <w:rsid w:val="000C754F"/>
    <w:rsid w:val="000C795B"/>
    <w:rsid w:val="000D3D4C"/>
    <w:rsid w:val="000D4406"/>
    <w:rsid w:val="000D5D27"/>
    <w:rsid w:val="000D6C44"/>
    <w:rsid w:val="000D74F9"/>
    <w:rsid w:val="000D7B15"/>
    <w:rsid w:val="000D7FD6"/>
    <w:rsid w:val="000E4620"/>
    <w:rsid w:val="000E4CDE"/>
    <w:rsid w:val="000E6786"/>
    <w:rsid w:val="000F0250"/>
    <w:rsid w:val="000F6242"/>
    <w:rsid w:val="000F79E4"/>
    <w:rsid w:val="001013D7"/>
    <w:rsid w:val="00106FC3"/>
    <w:rsid w:val="00111E42"/>
    <w:rsid w:val="00113A60"/>
    <w:rsid w:val="00114102"/>
    <w:rsid w:val="001145DA"/>
    <w:rsid w:val="0011545F"/>
    <w:rsid w:val="0011702A"/>
    <w:rsid w:val="0012236C"/>
    <w:rsid w:val="00124B75"/>
    <w:rsid w:val="00126AA9"/>
    <w:rsid w:val="0013062A"/>
    <w:rsid w:val="00130FAA"/>
    <w:rsid w:val="00131CD7"/>
    <w:rsid w:val="0013626E"/>
    <w:rsid w:val="00141392"/>
    <w:rsid w:val="00143354"/>
    <w:rsid w:val="00144FA5"/>
    <w:rsid w:val="00145EB7"/>
    <w:rsid w:val="00156782"/>
    <w:rsid w:val="00156903"/>
    <w:rsid w:val="00156ACE"/>
    <w:rsid w:val="0016790C"/>
    <w:rsid w:val="0017018F"/>
    <w:rsid w:val="001729A2"/>
    <w:rsid w:val="00173438"/>
    <w:rsid w:val="001739E9"/>
    <w:rsid w:val="00176072"/>
    <w:rsid w:val="0017767A"/>
    <w:rsid w:val="00182428"/>
    <w:rsid w:val="00183978"/>
    <w:rsid w:val="00185C47"/>
    <w:rsid w:val="00186E2D"/>
    <w:rsid w:val="001878DE"/>
    <w:rsid w:val="00190390"/>
    <w:rsid w:val="00197D2A"/>
    <w:rsid w:val="001A078E"/>
    <w:rsid w:val="001B4F22"/>
    <w:rsid w:val="001B7B3E"/>
    <w:rsid w:val="001C0E5C"/>
    <w:rsid w:val="001C1D1B"/>
    <w:rsid w:val="001C269B"/>
    <w:rsid w:val="001C4ED8"/>
    <w:rsid w:val="001D1B0A"/>
    <w:rsid w:val="001D6EC2"/>
    <w:rsid w:val="001E133B"/>
    <w:rsid w:val="001E3F55"/>
    <w:rsid w:val="001E4D07"/>
    <w:rsid w:val="001F6ABC"/>
    <w:rsid w:val="002011A3"/>
    <w:rsid w:val="0020240A"/>
    <w:rsid w:val="00202BC9"/>
    <w:rsid w:val="00202E6D"/>
    <w:rsid w:val="0020431D"/>
    <w:rsid w:val="00205465"/>
    <w:rsid w:val="002132D2"/>
    <w:rsid w:val="00215633"/>
    <w:rsid w:val="00223DF9"/>
    <w:rsid w:val="0023288F"/>
    <w:rsid w:val="00234DB6"/>
    <w:rsid w:val="002351FA"/>
    <w:rsid w:val="00235B56"/>
    <w:rsid w:val="00240203"/>
    <w:rsid w:val="00242B4B"/>
    <w:rsid w:val="002431F2"/>
    <w:rsid w:val="00243C1E"/>
    <w:rsid w:val="002473E1"/>
    <w:rsid w:val="00250FDB"/>
    <w:rsid w:val="00255192"/>
    <w:rsid w:val="002568D2"/>
    <w:rsid w:val="00257C39"/>
    <w:rsid w:val="00257C98"/>
    <w:rsid w:val="002629A0"/>
    <w:rsid w:val="0027402D"/>
    <w:rsid w:val="0027414F"/>
    <w:rsid w:val="00274F93"/>
    <w:rsid w:val="00283323"/>
    <w:rsid w:val="00291CB3"/>
    <w:rsid w:val="002A337E"/>
    <w:rsid w:val="002A53A6"/>
    <w:rsid w:val="002B61F9"/>
    <w:rsid w:val="002C0469"/>
    <w:rsid w:val="002C327D"/>
    <w:rsid w:val="002C5F36"/>
    <w:rsid w:val="002D1A01"/>
    <w:rsid w:val="002D1BFB"/>
    <w:rsid w:val="002E024B"/>
    <w:rsid w:val="002E3745"/>
    <w:rsid w:val="002E3EB3"/>
    <w:rsid w:val="002E6A16"/>
    <w:rsid w:val="002E700F"/>
    <w:rsid w:val="002E7227"/>
    <w:rsid w:val="002E754F"/>
    <w:rsid w:val="002F4F1D"/>
    <w:rsid w:val="002F4FC6"/>
    <w:rsid w:val="002F512D"/>
    <w:rsid w:val="00300790"/>
    <w:rsid w:val="003033DD"/>
    <w:rsid w:val="00310312"/>
    <w:rsid w:val="00314B6E"/>
    <w:rsid w:val="00316D5A"/>
    <w:rsid w:val="0032045B"/>
    <w:rsid w:val="003233C8"/>
    <w:rsid w:val="00325D76"/>
    <w:rsid w:val="00326B14"/>
    <w:rsid w:val="00326DE9"/>
    <w:rsid w:val="003317A7"/>
    <w:rsid w:val="00337284"/>
    <w:rsid w:val="003439FC"/>
    <w:rsid w:val="00344C19"/>
    <w:rsid w:val="00357412"/>
    <w:rsid w:val="00361725"/>
    <w:rsid w:val="003634A4"/>
    <w:rsid w:val="00364E68"/>
    <w:rsid w:val="003702C7"/>
    <w:rsid w:val="00370BB8"/>
    <w:rsid w:val="00377CE8"/>
    <w:rsid w:val="0038256E"/>
    <w:rsid w:val="0038428F"/>
    <w:rsid w:val="00387545"/>
    <w:rsid w:val="0039080F"/>
    <w:rsid w:val="00391A11"/>
    <w:rsid w:val="003931FE"/>
    <w:rsid w:val="00394699"/>
    <w:rsid w:val="003958AE"/>
    <w:rsid w:val="00397E52"/>
    <w:rsid w:val="003A2337"/>
    <w:rsid w:val="003A5B18"/>
    <w:rsid w:val="003A5F4F"/>
    <w:rsid w:val="003B0DF4"/>
    <w:rsid w:val="003B23DA"/>
    <w:rsid w:val="003C61C4"/>
    <w:rsid w:val="003D07FF"/>
    <w:rsid w:val="003D0FA5"/>
    <w:rsid w:val="003D2797"/>
    <w:rsid w:val="003D3605"/>
    <w:rsid w:val="003E6E61"/>
    <w:rsid w:val="00400ADD"/>
    <w:rsid w:val="00401179"/>
    <w:rsid w:val="00406965"/>
    <w:rsid w:val="00410285"/>
    <w:rsid w:val="004161D7"/>
    <w:rsid w:val="004176F9"/>
    <w:rsid w:val="00420664"/>
    <w:rsid w:val="00427609"/>
    <w:rsid w:val="00427804"/>
    <w:rsid w:val="00430CD0"/>
    <w:rsid w:val="00432779"/>
    <w:rsid w:val="00432E08"/>
    <w:rsid w:val="00446085"/>
    <w:rsid w:val="00450209"/>
    <w:rsid w:val="00451C85"/>
    <w:rsid w:val="00457BBF"/>
    <w:rsid w:val="00466FB5"/>
    <w:rsid w:val="00467A4B"/>
    <w:rsid w:val="00467F4E"/>
    <w:rsid w:val="00471ED0"/>
    <w:rsid w:val="00472198"/>
    <w:rsid w:val="004750CB"/>
    <w:rsid w:val="00476E9E"/>
    <w:rsid w:val="004819A4"/>
    <w:rsid w:val="0048292C"/>
    <w:rsid w:val="004836F9"/>
    <w:rsid w:val="004847DC"/>
    <w:rsid w:val="00487416"/>
    <w:rsid w:val="004915B6"/>
    <w:rsid w:val="00492FA6"/>
    <w:rsid w:val="00493A8E"/>
    <w:rsid w:val="0049746A"/>
    <w:rsid w:val="004A0752"/>
    <w:rsid w:val="004A3FE7"/>
    <w:rsid w:val="004A46B8"/>
    <w:rsid w:val="004A4CEB"/>
    <w:rsid w:val="004B0D93"/>
    <w:rsid w:val="004B7EA6"/>
    <w:rsid w:val="004C18DE"/>
    <w:rsid w:val="004C4CF9"/>
    <w:rsid w:val="004D4CA5"/>
    <w:rsid w:val="004D4E53"/>
    <w:rsid w:val="004E622A"/>
    <w:rsid w:val="004F0B9C"/>
    <w:rsid w:val="004F3058"/>
    <w:rsid w:val="004F4DE3"/>
    <w:rsid w:val="004F5608"/>
    <w:rsid w:val="005028A2"/>
    <w:rsid w:val="00506DF7"/>
    <w:rsid w:val="00513769"/>
    <w:rsid w:val="0051476B"/>
    <w:rsid w:val="00523BCD"/>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558D"/>
    <w:rsid w:val="005C7246"/>
    <w:rsid w:val="005C7902"/>
    <w:rsid w:val="005D3B31"/>
    <w:rsid w:val="005D6AB5"/>
    <w:rsid w:val="005E1804"/>
    <w:rsid w:val="005E5104"/>
    <w:rsid w:val="005E5EF7"/>
    <w:rsid w:val="005F26AD"/>
    <w:rsid w:val="005F58DF"/>
    <w:rsid w:val="005F5DC4"/>
    <w:rsid w:val="0060269E"/>
    <w:rsid w:val="00603AD9"/>
    <w:rsid w:val="006047AC"/>
    <w:rsid w:val="00605A5E"/>
    <w:rsid w:val="00607B11"/>
    <w:rsid w:val="006111A3"/>
    <w:rsid w:val="00611C20"/>
    <w:rsid w:val="0061668A"/>
    <w:rsid w:val="00620982"/>
    <w:rsid w:val="006256AF"/>
    <w:rsid w:val="00626C86"/>
    <w:rsid w:val="006276DC"/>
    <w:rsid w:val="00630422"/>
    <w:rsid w:val="00632C30"/>
    <w:rsid w:val="006371CE"/>
    <w:rsid w:val="006373FA"/>
    <w:rsid w:val="0064132F"/>
    <w:rsid w:val="00642215"/>
    <w:rsid w:val="00643AEA"/>
    <w:rsid w:val="00650640"/>
    <w:rsid w:val="00651386"/>
    <w:rsid w:val="006518B9"/>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0FBF"/>
    <w:rsid w:val="006C4EA0"/>
    <w:rsid w:val="006C760C"/>
    <w:rsid w:val="006D1972"/>
    <w:rsid w:val="006D78CA"/>
    <w:rsid w:val="006E498C"/>
    <w:rsid w:val="006F3C42"/>
    <w:rsid w:val="00702BE6"/>
    <w:rsid w:val="00702ED0"/>
    <w:rsid w:val="00706883"/>
    <w:rsid w:val="0071433B"/>
    <w:rsid w:val="007225A1"/>
    <w:rsid w:val="007306F5"/>
    <w:rsid w:val="00742299"/>
    <w:rsid w:val="00742BD3"/>
    <w:rsid w:val="00751575"/>
    <w:rsid w:val="00754516"/>
    <w:rsid w:val="0075583E"/>
    <w:rsid w:val="007602F9"/>
    <w:rsid w:val="00760FB2"/>
    <w:rsid w:val="007652AB"/>
    <w:rsid w:val="00767C2A"/>
    <w:rsid w:val="007703A2"/>
    <w:rsid w:val="007705CB"/>
    <w:rsid w:val="00773B7E"/>
    <w:rsid w:val="0079124E"/>
    <w:rsid w:val="00792E94"/>
    <w:rsid w:val="0079694F"/>
    <w:rsid w:val="007A0E7B"/>
    <w:rsid w:val="007A19A7"/>
    <w:rsid w:val="007A31B7"/>
    <w:rsid w:val="007A4B9E"/>
    <w:rsid w:val="007A584D"/>
    <w:rsid w:val="007A6943"/>
    <w:rsid w:val="007A6DDE"/>
    <w:rsid w:val="007B5D5A"/>
    <w:rsid w:val="007C070D"/>
    <w:rsid w:val="007C1AA7"/>
    <w:rsid w:val="007C5305"/>
    <w:rsid w:val="007D1EF9"/>
    <w:rsid w:val="007D2FA0"/>
    <w:rsid w:val="007D6265"/>
    <w:rsid w:val="007D7EEA"/>
    <w:rsid w:val="007E0FB2"/>
    <w:rsid w:val="007E7F2A"/>
    <w:rsid w:val="007F2263"/>
    <w:rsid w:val="007F238E"/>
    <w:rsid w:val="00805AEB"/>
    <w:rsid w:val="00810504"/>
    <w:rsid w:val="0081450F"/>
    <w:rsid w:val="00826787"/>
    <w:rsid w:val="00831771"/>
    <w:rsid w:val="00834438"/>
    <w:rsid w:val="00835551"/>
    <w:rsid w:val="00836AF5"/>
    <w:rsid w:val="00837FB8"/>
    <w:rsid w:val="00841328"/>
    <w:rsid w:val="00852BEF"/>
    <w:rsid w:val="00854070"/>
    <w:rsid w:val="00854209"/>
    <w:rsid w:val="008553E3"/>
    <w:rsid w:val="0085713F"/>
    <w:rsid w:val="0086477D"/>
    <w:rsid w:val="0087272D"/>
    <w:rsid w:val="00876F50"/>
    <w:rsid w:val="00880498"/>
    <w:rsid w:val="00894221"/>
    <w:rsid w:val="008957C7"/>
    <w:rsid w:val="00896081"/>
    <w:rsid w:val="008967B7"/>
    <w:rsid w:val="008A1D67"/>
    <w:rsid w:val="008A721B"/>
    <w:rsid w:val="008B00F1"/>
    <w:rsid w:val="008B3106"/>
    <w:rsid w:val="008B5544"/>
    <w:rsid w:val="008B582D"/>
    <w:rsid w:val="008B7C4B"/>
    <w:rsid w:val="008C325A"/>
    <w:rsid w:val="008D3CEC"/>
    <w:rsid w:val="008E6B36"/>
    <w:rsid w:val="008E7804"/>
    <w:rsid w:val="008F31A9"/>
    <w:rsid w:val="008F3ABC"/>
    <w:rsid w:val="008F4B57"/>
    <w:rsid w:val="00901FCA"/>
    <w:rsid w:val="00902CCD"/>
    <w:rsid w:val="00903D48"/>
    <w:rsid w:val="0090748A"/>
    <w:rsid w:val="00912A46"/>
    <w:rsid w:val="009310E2"/>
    <w:rsid w:val="009422FA"/>
    <w:rsid w:val="00945BEF"/>
    <w:rsid w:val="0094733D"/>
    <w:rsid w:val="00953866"/>
    <w:rsid w:val="00962147"/>
    <w:rsid w:val="00962E31"/>
    <w:rsid w:val="00962E71"/>
    <w:rsid w:val="00965DC5"/>
    <w:rsid w:val="00966C68"/>
    <w:rsid w:val="00966CE6"/>
    <w:rsid w:val="0096789B"/>
    <w:rsid w:val="009706B9"/>
    <w:rsid w:val="009733A6"/>
    <w:rsid w:val="00975941"/>
    <w:rsid w:val="00975B09"/>
    <w:rsid w:val="009771C0"/>
    <w:rsid w:val="009777E8"/>
    <w:rsid w:val="0098158C"/>
    <w:rsid w:val="00981925"/>
    <w:rsid w:val="00982F17"/>
    <w:rsid w:val="009836DC"/>
    <w:rsid w:val="0099031A"/>
    <w:rsid w:val="00991BA0"/>
    <w:rsid w:val="00996F71"/>
    <w:rsid w:val="009A0146"/>
    <w:rsid w:val="009A2C98"/>
    <w:rsid w:val="009A44D2"/>
    <w:rsid w:val="009A4FC8"/>
    <w:rsid w:val="009B64C5"/>
    <w:rsid w:val="009B6F47"/>
    <w:rsid w:val="009C6524"/>
    <w:rsid w:val="009C79C4"/>
    <w:rsid w:val="009D2885"/>
    <w:rsid w:val="009D4F03"/>
    <w:rsid w:val="009E281C"/>
    <w:rsid w:val="009E3E7D"/>
    <w:rsid w:val="009E3EBD"/>
    <w:rsid w:val="009E66A8"/>
    <w:rsid w:val="009E795B"/>
    <w:rsid w:val="009F01B6"/>
    <w:rsid w:val="009F0973"/>
    <w:rsid w:val="009F2DD9"/>
    <w:rsid w:val="00A00168"/>
    <w:rsid w:val="00A005D6"/>
    <w:rsid w:val="00A04A9E"/>
    <w:rsid w:val="00A0723D"/>
    <w:rsid w:val="00A10928"/>
    <w:rsid w:val="00A1389E"/>
    <w:rsid w:val="00A17F67"/>
    <w:rsid w:val="00A21A7D"/>
    <w:rsid w:val="00A2645D"/>
    <w:rsid w:val="00A27409"/>
    <w:rsid w:val="00A315D2"/>
    <w:rsid w:val="00A32928"/>
    <w:rsid w:val="00A349BD"/>
    <w:rsid w:val="00A40F2F"/>
    <w:rsid w:val="00A410D7"/>
    <w:rsid w:val="00A44AF1"/>
    <w:rsid w:val="00A503B5"/>
    <w:rsid w:val="00A57CE8"/>
    <w:rsid w:val="00A60437"/>
    <w:rsid w:val="00A62126"/>
    <w:rsid w:val="00A673A9"/>
    <w:rsid w:val="00A71FAE"/>
    <w:rsid w:val="00A7621C"/>
    <w:rsid w:val="00A7647A"/>
    <w:rsid w:val="00A777AF"/>
    <w:rsid w:val="00A77993"/>
    <w:rsid w:val="00A77C4E"/>
    <w:rsid w:val="00A81D2D"/>
    <w:rsid w:val="00A849B8"/>
    <w:rsid w:val="00A85C93"/>
    <w:rsid w:val="00A917C1"/>
    <w:rsid w:val="00A92623"/>
    <w:rsid w:val="00A94B80"/>
    <w:rsid w:val="00A97821"/>
    <w:rsid w:val="00AA280B"/>
    <w:rsid w:val="00AB0254"/>
    <w:rsid w:val="00AB23F2"/>
    <w:rsid w:val="00AB6055"/>
    <w:rsid w:val="00AC1577"/>
    <w:rsid w:val="00AC3059"/>
    <w:rsid w:val="00AC338A"/>
    <w:rsid w:val="00AD14D7"/>
    <w:rsid w:val="00AD2458"/>
    <w:rsid w:val="00AD59A0"/>
    <w:rsid w:val="00AD68F2"/>
    <w:rsid w:val="00AD69C2"/>
    <w:rsid w:val="00AE0918"/>
    <w:rsid w:val="00AE0C2F"/>
    <w:rsid w:val="00AE32E7"/>
    <w:rsid w:val="00AE33F4"/>
    <w:rsid w:val="00AE50D2"/>
    <w:rsid w:val="00AE73A7"/>
    <w:rsid w:val="00AE7E9E"/>
    <w:rsid w:val="00AF7C57"/>
    <w:rsid w:val="00AF7DC9"/>
    <w:rsid w:val="00B006C6"/>
    <w:rsid w:val="00B02145"/>
    <w:rsid w:val="00B041A6"/>
    <w:rsid w:val="00B12922"/>
    <w:rsid w:val="00B17A75"/>
    <w:rsid w:val="00B2269A"/>
    <w:rsid w:val="00B239F4"/>
    <w:rsid w:val="00B249C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7600"/>
    <w:rsid w:val="00BF6A72"/>
    <w:rsid w:val="00BF7D16"/>
    <w:rsid w:val="00BF7DFC"/>
    <w:rsid w:val="00C01D3D"/>
    <w:rsid w:val="00C03ED4"/>
    <w:rsid w:val="00C04C77"/>
    <w:rsid w:val="00C05CED"/>
    <w:rsid w:val="00C1260A"/>
    <w:rsid w:val="00C161A1"/>
    <w:rsid w:val="00C16233"/>
    <w:rsid w:val="00C24FA8"/>
    <w:rsid w:val="00C27690"/>
    <w:rsid w:val="00C32E06"/>
    <w:rsid w:val="00C350C3"/>
    <w:rsid w:val="00C36A84"/>
    <w:rsid w:val="00C40F25"/>
    <w:rsid w:val="00C41906"/>
    <w:rsid w:val="00C44792"/>
    <w:rsid w:val="00C4703A"/>
    <w:rsid w:val="00C509C1"/>
    <w:rsid w:val="00C532C5"/>
    <w:rsid w:val="00C64A71"/>
    <w:rsid w:val="00C7003A"/>
    <w:rsid w:val="00C70067"/>
    <w:rsid w:val="00C72A39"/>
    <w:rsid w:val="00C75E20"/>
    <w:rsid w:val="00C76410"/>
    <w:rsid w:val="00C8138A"/>
    <w:rsid w:val="00C82985"/>
    <w:rsid w:val="00C84D0A"/>
    <w:rsid w:val="00C90787"/>
    <w:rsid w:val="00C93A09"/>
    <w:rsid w:val="00C93E1E"/>
    <w:rsid w:val="00C945EC"/>
    <w:rsid w:val="00C95218"/>
    <w:rsid w:val="00C95504"/>
    <w:rsid w:val="00CA1DB6"/>
    <w:rsid w:val="00CA2B03"/>
    <w:rsid w:val="00CA3D31"/>
    <w:rsid w:val="00CA71CC"/>
    <w:rsid w:val="00CB17EE"/>
    <w:rsid w:val="00CB257D"/>
    <w:rsid w:val="00CC546D"/>
    <w:rsid w:val="00CC62F9"/>
    <w:rsid w:val="00CD4D0F"/>
    <w:rsid w:val="00CD7A4F"/>
    <w:rsid w:val="00CE14C5"/>
    <w:rsid w:val="00CE1F32"/>
    <w:rsid w:val="00CE6C29"/>
    <w:rsid w:val="00CE77BC"/>
    <w:rsid w:val="00CF2359"/>
    <w:rsid w:val="00CF3E33"/>
    <w:rsid w:val="00CF645B"/>
    <w:rsid w:val="00D02D7E"/>
    <w:rsid w:val="00D03FC5"/>
    <w:rsid w:val="00D04647"/>
    <w:rsid w:val="00D064E0"/>
    <w:rsid w:val="00D103E0"/>
    <w:rsid w:val="00D12EA3"/>
    <w:rsid w:val="00D16A29"/>
    <w:rsid w:val="00D2514D"/>
    <w:rsid w:val="00D33B77"/>
    <w:rsid w:val="00D33C9B"/>
    <w:rsid w:val="00D35074"/>
    <w:rsid w:val="00D4056A"/>
    <w:rsid w:val="00D52AF0"/>
    <w:rsid w:val="00D52F95"/>
    <w:rsid w:val="00D60E96"/>
    <w:rsid w:val="00D6320C"/>
    <w:rsid w:val="00D64560"/>
    <w:rsid w:val="00D65991"/>
    <w:rsid w:val="00D665B2"/>
    <w:rsid w:val="00D66731"/>
    <w:rsid w:val="00D7150D"/>
    <w:rsid w:val="00D80CB1"/>
    <w:rsid w:val="00D8467E"/>
    <w:rsid w:val="00D92E0F"/>
    <w:rsid w:val="00D94CED"/>
    <w:rsid w:val="00D97C9F"/>
    <w:rsid w:val="00DA1F54"/>
    <w:rsid w:val="00DA28E2"/>
    <w:rsid w:val="00DA2CDC"/>
    <w:rsid w:val="00DA312C"/>
    <w:rsid w:val="00DA3AF6"/>
    <w:rsid w:val="00DA54C3"/>
    <w:rsid w:val="00DB57E7"/>
    <w:rsid w:val="00DB6161"/>
    <w:rsid w:val="00DC66D9"/>
    <w:rsid w:val="00DC7E3D"/>
    <w:rsid w:val="00DE5BE0"/>
    <w:rsid w:val="00DF03F9"/>
    <w:rsid w:val="00DF122A"/>
    <w:rsid w:val="00DF3A4A"/>
    <w:rsid w:val="00DF426C"/>
    <w:rsid w:val="00E0074B"/>
    <w:rsid w:val="00E053BA"/>
    <w:rsid w:val="00E07AFA"/>
    <w:rsid w:val="00E1103A"/>
    <w:rsid w:val="00E14568"/>
    <w:rsid w:val="00E20B20"/>
    <w:rsid w:val="00E20DF5"/>
    <w:rsid w:val="00E22556"/>
    <w:rsid w:val="00E236E5"/>
    <w:rsid w:val="00E240AE"/>
    <w:rsid w:val="00E2783C"/>
    <w:rsid w:val="00E30C9D"/>
    <w:rsid w:val="00E30FFB"/>
    <w:rsid w:val="00E31826"/>
    <w:rsid w:val="00E40062"/>
    <w:rsid w:val="00E44452"/>
    <w:rsid w:val="00E45BA1"/>
    <w:rsid w:val="00E521C8"/>
    <w:rsid w:val="00E54A29"/>
    <w:rsid w:val="00E566A7"/>
    <w:rsid w:val="00E568C0"/>
    <w:rsid w:val="00E619C6"/>
    <w:rsid w:val="00E626D1"/>
    <w:rsid w:val="00E66171"/>
    <w:rsid w:val="00E71A53"/>
    <w:rsid w:val="00E749BE"/>
    <w:rsid w:val="00E75433"/>
    <w:rsid w:val="00E75723"/>
    <w:rsid w:val="00E77B16"/>
    <w:rsid w:val="00E82CF7"/>
    <w:rsid w:val="00E85720"/>
    <w:rsid w:val="00E8770E"/>
    <w:rsid w:val="00E93323"/>
    <w:rsid w:val="00E93819"/>
    <w:rsid w:val="00EA0422"/>
    <w:rsid w:val="00EA2C25"/>
    <w:rsid w:val="00EA53C4"/>
    <w:rsid w:val="00EA7A70"/>
    <w:rsid w:val="00EB42F5"/>
    <w:rsid w:val="00EB4ADF"/>
    <w:rsid w:val="00EB4D3D"/>
    <w:rsid w:val="00EB634A"/>
    <w:rsid w:val="00EB72EA"/>
    <w:rsid w:val="00EB782A"/>
    <w:rsid w:val="00EC1F5D"/>
    <w:rsid w:val="00EC5B0D"/>
    <w:rsid w:val="00ED49D7"/>
    <w:rsid w:val="00ED557F"/>
    <w:rsid w:val="00EE4226"/>
    <w:rsid w:val="00EE457F"/>
    <w:rsid w:val="00EE5CAB"/>
    <w:rsid w:val="00EF00ED"/>
    <w:rsid w:val="00EF022A"/>
    <w:rsid w:val="00EF57CD"/>
    <w:rsid w:val="00EF7231"/>
    <w:rsid w:val="00F02C34"/>
    <w:rsid w:val="00F04331"/>
    <w:rsid w:val="00F058FC"/>
    <w:rsid w:val="00F07812"/>
    <w:rsid w:val="00F10631"/>
    <w:rsid w:val="00F10D47"/>
    <w:rsid w:val="00F12E99"/>
    <w:rsid w:val="00F265D6"/>
    <w:rsid w:val="00F31FEF"/>
    <w:rsid w:val="00F330E1"/>
    <w:rsid w:val="00F35A2F"/>
    <w:rsid w:val="00F42407"/>
    <w:rsid w:val="00F42DC0"/>
    <w:rsid w:val="00F46825"/>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4156"/>
    <w:rsid w:val="00F8608C"/>
    <w:rsid w:val="00F87B83"/>
    <w:rsid w:val="00F9235F"/>
    <w:rsid w:val="00F92AB9"/>
    <w:rsid w:val="00F92BF9"/>
    <w:rsid w:val="00F93402"/>
    <w:rsid w:val="00F96420"/>
    <w:rsid w:val="00F9656C"/>
    <w:rsid w:val="00FA33F2"/>
    <w:rsid w:val="00FA532B"/>
    <w:rsid w:val="00FA712F"/>
    <w:rsid w:val="00FA7DE6"/>
    <w:rsid w:val="00FB264C"/>
    <w:rsid w:val="00FB305A"/>
    <w:rsid w:val="00FC032F"/>
    <w:rsid w:val="00FC2D7D"/>
    <w:rsid w:val="00FC5E77"/>
    <w:rsid w:val="00FD17D7"/>
    <w:rsid w:val="00FD3DEA"/>
    <w:rsid w:val="00FD4BC8"/>
    <w:rsid w:val="00FE030A"/>
    <w:rsid w:val="00FE2EF4"/>
    <w:rsid w:val="00FE78E8"/>
    <w:rsid w:val="00FE7C92"/>
    <w:rsid w:val="00FF51F8"/>
    <w:rsid w:val="00FF67BD"/>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614CCB23"/>
  <w15:docId w15:val="{3EDE55C9-F525-4904-B04C-305957F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E3D"/>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uiPriority w:val="99"/>
    <w:rsid w:val="007A19A7"/>
  </w:style>
  <w:style w:type="character" w:customStyle="1" w:styleId="CommentaireCar">
    <w:name w:val="Commentaire Car"/>
    <w:basedOn w:val="Policepardfaut"/>
    <w:link w:val="Commentaire"/>
    <w:uiPriority w:val="99"/>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aliases w:val="3_G"/>
    <w:basedOn w:val="Normal"/>
    <w:link w:val="PieddepageCar"/>
    <w:rsid w:val="0011702A"/>
    <w:pPr>
      <w:tabs>
        <w:tab w:val="center" w:pos="4536"/>
        <w:tab w:val="right" w:pos="9072"/>
      </w:tabs>
    </w:pPr>
  </w:style>
  <w:style w:type="character" w:customStyle="1" w:styleId="PieddepageCar">
    <w:name w:val="Pied de page Car"/>
    <w:aliases w:val="3_G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Grilledutableau">
    <w:name w:val="Table Grid"/>
    <w:basedOn w:val="Tableau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andnummer">
    <w:name w:val="Randnummer"/>
    <w:basedOn w:val="Normal"/>
    <w:rsid w:val="004161D7"/>
    <w:pPr>
      <w:widowControl/>
      <w:tabs>
        <w:tab w:val="left" w:pos="580"/>
        <w:tab w:val="left" w:pos="1100"/>
      </w:tabs>
      <w:overflowPunct/>
      <w:autoSpaceDE/>
      <w:autoSpaceDN/>
      <w:adjustRightInd/>
      <w:ind w:hanging="1080"/>
      <w:textAlignment w:val="auto"/>
    </w:pPr>
    <w:rPr>
      <w:rFonts w:ascii="Arial" w:hAnsi="Arial"/>
      <w:color w:val="000000"/>
    </w:rPr>
  </w:style>
  <w:style w:type="paragraph" w:styleId="Rvision">
    <w:name w:val="Revision"/>
    <w:hidden/>
    <w:uiPriority w:val="99"/>
    <w:semiHidden/>
    <w:rsid w:val="00CE6C29"/>
    <w:rPr>
      <w:lang w:eastAsia="fr-FR"/>
    </w:rPr>
  </w:style>
  <w:style w:type="character" w:styleId="Accentuation">
    <w:name w:val="Emphasis"/>
    <w:basedOn w:val="Policepardfaut"/>
    <w:uiPriority w:val="20"/>
    <w:qFormat/>
    <w:rsid w:val="000A1AAE"/>
    <w:rPr>
      <w:i/>
      <w:iCs/>
    </w:rPr>
  </w:style>
  <w:style w:type="paragraph" w:styleId="NormalWeb">
    <w:name w:val="Normal (Web)"/>
    <w:basedOn w:val="Normal"/>
    <w:uiPriority w:val="99"/>
    <w:semiHidden/>
    <w:unhideWhenUsed/>
    <w:rsid w:val="000A1AAE"/>
    <w:pPr>
      <w:widowControl/>
      <w:overflowPunct/>
      <w:autoSpaceDE/>
      <w:autoSpaceDN/>
      <w:adjustRightInd/>
      <w:spacing w:after="150"/>
      <w:ind w:left="0" w:firstLine="0"/>
      <w:jc w:val="left"/>
      <w:textAlignment w:val="auto"/>
    </w:pPr>
    <w:rPr>
      <w:sz w:val="24"/>
      <w:szCs w:val="24"/>
      <w:lang w:eastAsia="de-DE"/>
    </w:rPr>
  </w:style>
  <w:style w:type="paragraph" w:customStyle="1" w:styleId="hidden">
    <w:name w:val="hidden"/>
    <w:basedOn w:val="Normal"/>
    <w:rsid w:val="000A1AAE"/>
    <w:pPr>
      <w:widowControl/>
      <w:overflowPunct/>
      <w:autoSpaceDE/>
      <w:autoSpaceDN/>
      <w:adjustRightInd/>
      <w:spacing w:after="150"/>
      <w:ind w:left="0" w:firstLine="0"/>
      <w:jc w:val="left"/>
      <w:textAlignment w:val="auto"/>
    </w:pPr>
    <w:rPr>
      <w:vanish/>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252473899">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816604127">
      <w:bodyDiv w:val="1"/>
      <w:marLeft w:val="0"/>
      <w:marRight w:val="0"/>
      <w:marTop w:val="0"/>
      <w:marBottom w:val="0"/>
      <w:divBdr>
        <w:top w:val="none" w:sz="0" w:space="0" w:color="auto"/>
        <w:left w:val="none" w:sz="0" w:space="0" w:color="auto"/>
        <w:bottom w:val="none" w:sz="0" w:space="0" w:color="auto"/>
        <w:right w:val="none" w:sz="0" w:space="0" w:color="auto"/>
      </w:divBdr>
      <w:divsChild>
        <w:div w:id="1576238123">
          <w:marLeft w:val="0"/>
          <w:marRight w:val="0"/>
          <w:marTop w:val="0"/>
          <w:marBottom w:val="0"/>
          <w:divBdr>
            <w:top w:val="none" w:sz="0" w:space="0" w:color="auto"/>
            <w:left w:val="none" w:sz="0" w:space="0" w:color="auto"/>
            <w:bottom w:val="none" w:sz="0" w:space="0" w:color="auto"/>
            <w:right w:val="none" w:sz="0" w:space="0" w:color="auto"/>
          </w:divBdr>
          <w:divsChild>
            <w:div w:id="897671481">
              <w:marLeft w:val="0"/>
              <w:marRight w:val="0"/>
              <w:marTop w:val="0"/>
              <w:marBottom w:val="0"/>
              <w:divBdr>
                <w:top w:val="none" w:sz="0" w:space="0" w:color="auto"/>
                <w:left w:val="none" w:sz="0" w:space="0" w:color="auto"/>
                <w:bottom w:val="none" w:sz="0" w:space="0" w:color="auto"/>
                <w:right w:val="none" w:sz="0" w:space="0" w:color="auto"/>
              </w:divBdr>
              <w:divsChild>
                <w:div w:id="1029792296">
                  <w:marLeft w:val="0"/>
                  <w:marRight w:val="0"/>
                  <w:marTop w:val="0"/>
                  <w:marBottom w:val="0"/>
                  <w:divBdr>
                    <w:top w:val="none" w:sz="0" w:space="0" w:color="auto"/>
                    <w:left w:val="none" w:sz="0" w:space="0" w:color="auto"/>
                    <w:bottom w:val="none" w:sz="0" w:space="0" w:color="auto"/>
                    <w:right w:val="none" w:sz="0" w:space="0" w:color="auto"/>
                  </w:divBdr>
                  <w:divsChild>
                    <w:div w:id="141771742">
                      <w:marLeft w:val="-150"/>
                      <w:marRight w:val="-150"/>
                      <w:marTop w:val="0"/>
                      <w:marBottom w:val="0"/>
                      <w:divBdr>
                        <w:top w:val="none" w:sz="0" w:space="0" w:color="auto"/>
                        <w:left w:val="none" w:sz="0" w:space="0" w:color="auto"/>
                        <w:bottom w:val="none" w:sz="0" w:space="0" w:color="auto"/>
                        <w:right w:val="none" w:sz="0" w:space="0" w:color="auto"/>
                      </w:divBdr>
                      <w:divsChild>
                        <w:div w:id="34737266">
                          <w:marLeft w:val="0"/>
                          <w:marRight w:val="0"/>
                          <w:marTop w:val="0"/>
                          <w:marBottom w:val="0"/>
                          <w:divBdr>
                            <w:top w:val="none" w:sz="0" w:space="0" w:color="auto"/>
                            <w:left w:val="none" w:sz="0" w:space="0" w:color="auto"/>
                            <w:bottom w:val="none" w:sz="0" w:space="0" w:color="auto"/>
                            <w:right w:val="none" w:sz="0" w:space="0" w:color="auto"/>
                          </w:divBdr>
                          <w:divsChild>
                            <w:div w:id="957835401">
                              <w:marLeft w:val="0"/>
                              <w:marRight w:val="0"/>
                              <w:marTop w:val="0"/>
                              <w:marBottom w:val="0"/>
                              <w:divBdr>
                                <w:top w:val="none" w:sz="0" w:space="0" w:color="auto"/>
                                <w:left w:val="none" w:sz="0" w:space="0" w:color="auto"/>
                                <w:bottom w:val="none" w:sz="0" w:space="0" w:color="auto"/>
                                <w:right w:val="none" w:sz="0" w:space="0" w:color="auto"/>
                              </w:divBdr>
                              <w:divsChild>
                                <w:div w:id="1529442560">
                                  <w:marLeft w:val="0"/>
                                  <w:marRight w:val="0"/>
                                  <w:marTop w:val="0"/>
                                  <w:marBottom w:val="300"/>
                                  <w:divBdr>
                                    <w:top w:val="none" w:sz="0" w:space="0" w:color="auto"/>
                                    <w:left w:val="none" w:sz="0" w:space="0" w:color="auto"/>
                                    <w:bottom w:val="none" w:sz="0" w:space="0" w:color="auto"/>
                                    <w:right w:val="none" w:sz="0" w:space="0" w:color="auto"/>
                                  </w:divBdr>
                                  <w:divsChild>
                                    <w:div w:id="1566181893">
                                      <w:marLeft w:val="0"/>
                                      <w:marRight w:val="0"/>
                                      <w:marTop w:val="0"/>
                                      <w:marBottom w:val="0"/>
                                      <w:divBdr>
                                        <w:top w:val="none" w:sz="0" w:space="0" w:color="auto"/>
                                        <w:left w:val="none" w:sz="0" w:space="0" w:color="auto"/>
                                        <w:bottom w:val="none" w:sz="0" w:space="0" w:color="auto"/>
                                        <w:right w:val="none" w:sz="0" w:space="0" w:color="auto"/>
                                      </w:divBdr>
                                      <w:divsChild>
                                        <w:div w:id="2103330933">
                                          <w:marLeft w:val="0"/>
                                          <w:marRight w:val="0"/>
                                          <w:marTop w:val="0"/>
                                          <w:marBottom w:val="0"/>
                                          <w:divBdr>
                                            <w:top w:val="none" w:sz="0" w:space="0" w:color="auto"/>
                                            <w:left w:val="none" w:sz="0" w:space="0" w:color="auto"/>
                                            <w:bottom w:val="none" w:sz="0" w:space="0" w:color="auto"/>
                                            <w:right w:val="none" w:sz="0" w:space="0" w:color="auto"/>
                                          </w:divBdr>
                                          <w:divsChild>
                                            <w:div w:id="815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701929517">
      <w:bodyDiv w:val="1"/>
      <w:marLeft w:val="0"/>
      <w:marRight w:val="0"/>
      <w:marTop w:val="0"/>
      <w:marBottom w:val="0"/>
      <w:divBdr>
        <w:top w:val="none" w:sz="0" w:space="0" w:color="auto"/>
        <w:left w:val="none" w:sz="0" w:space="0" w:color="auto"/>
        <w:bottom w:val="none" w:sz="0" w:space="0" w:color="auto"/>
        <w:right w:val="none" w:sz="0" w:space="0" w:color="auto"/>
      </w:divBdr>
      <w:divsChild>
        <w:div w:id="1347176132">
          <w:marLeft w:val="0"/>
          <w:marRight w:val="0"/>
          <w:marTop w:val="0"/>
          <w:marBottom w:val="0"/>
          <w:divBdr>
            <w:top w:val="none" w:sz="0" w:space="0" w:color="auto"/>
            <w:left w:val="none" w:sz="0" w:space="0" w:color="auto"/>
            <w:bottom w:val="none" w:sz="0" w:space="0" w:color="auto"/>
            <w:right w:val="none" w:sz="0" w:space="0" w:color="auto"/>
          </w:divBdr>
          <w:divsChild>
            <w:div w:id="174928027">
              <w:marLeft w:val="0"/>
              <w:marRight w:val="0"/>
              <w:marTop w:val="0"/>
              <w:marBottom w:val="0"/>
              <w:divBdr>
                <w:top w:val="none" w:sz="0" w:space="0" w:color="auto"/>
                <w:left w:val="none" w:sz="0" w:space="0" w:color="auto"/>
                <w:bottom w:val="none" w:sz="0" w:space="0" w:color="auto"/>
                <w:right w:val="none" w:sz="0" w:space="0" w:color="auto"/>
              </w:divBdr>
              <w:divsChild>
                <w:div w:id="196235210">
                  <w:marLeft w:val="0"/>
                  <w:marRight w:val="0"/>
                  <w:marTop w:val="0"/>
                  <w:marBottom w:val="0"/>
                  <w:divBdr>
                    <w:top w:val="none" w:sz="0" w:space="0" w:color="auto"/>
                    <w:left w:val="none" w:sz="0" w:space="0" w:color="auto"/>
                    <w:bottom w:val="none" w:sz="0" w:space="0" w:color="auto"/>
                    <w:right w:val="none" w:sz="0" w:space="0" w:color="auto"/>
                  </w:divBdr>
                  <w:divsChild>
                    <w:div w:id="1782451311">
                      <w:marLeft w:val="0"/>
                      <w:marRight w:val="0"/>
                      <w:marTop w:val="0"/>
                      <w:marBottom w:val="0"/>
                      <w:divBdr>
                        <w:top w:val="none" w:sz="0" w:space="0" w:color="auto"/>
                        <w:left w:val="none" w:sz="0" w:space="0" w:color="auto"/>
                        <w:bottom w:val="none" w:sz="0" w:space="0" w:color="auto"/>
                        <w:right w:val="none" w:sz="0" w:space="0" w:color="auto"/>
                      </w:divBdr>
                      <w:divsChild>
                        <w:div w:id="76682174">
                          <w:marLeft w:val="0"/>
                          <w:marRight w:val="0"/>
                          <w:marTop w:val="0"/>
                          <w:marBottom w:val="0"/>
                          <w:divBdr>
                            <w:top w:val="none" w:sz="0" w:space="0" w:color="auto"/>
                            <w:left w:val="none" w:sz="0" w:space="0" w:color="auto"/>
                            <w:bottom w:val="none" w:sz="0" w:space="0" w:color="auto"/>
                            <w:right w:val="none" w:sz="0" w:space="0" w:color="auto"/>
                          </w:divBdr>
                          <w:divsChild>
                            <w:div w:id="999651353">
                              <w:marLeft w:val="0"/>
                              <w:marRight w:val="0"/>
                              <w:marTop w:val="0"/>
                              <w:marBottom w:val="0"/>
                              <w:divBdr>
                                <w:top w:val="none" w:sz="0" w:space="0" w:color="auto"/>
                                <w:left w:val="none" w:sz="0" w:space="0" w:color="auto"/>
                                <w:bottom w:val="none" w:sz="0" w:space="0" w:color="auto"/>
                                <w:right w:val="none" w:sz="0" w:space="0" w:color="auto"/>
                              </w:divBdr>
                              <w:divsChild>
                                <w:div w:id="525143916">
                                  <w:marLeft w:val="0"/>
                                  <w:marRight w:val="0"/>
                                  <w:marTop w:val="0"/>
                                  <w:marBottom w:val="0"/>
                                  <w:divBdr>
                                    <w:top w:val="none" w:sz="0" w:space="0" w:color="auto"/>
                                    <w:left w:val="none" w:sz="0" w:space="0" w:color="auto"/>
                                    <w:bottom w:val="none" w:sz="0" w:space="0" w:color="auto"/>
                                    <w:right w:val="none" w:sz="0" w:space="0" w:color="auto"/>
                                  </w:divBdr>
                                  <w:divsChild>
                                    <w:div w:id="1205556227">
                                      <w:marLeft w:val="0"/>
                                      <w:marRight w:val="0"/>
                                      <w:marTop w:val="0"/>
                                      <w:marBottom w:val="0"/>
                                      <w:divBdr>
                                        <w:top w:val="none" w:sz="0" w:space="0" w:color="auto"/>
                                        <w:left w:val="none" w:sz="0" w:space="0" w:color="auto"/>
                                        <w:bottom w:val="none" w:sz="0" w:space="0" w:color="auto"/>
                                        <w:right w:val="none" w:sz="0" w:space="0" w:color="auto"/>
                                      </w:divBdr>
                                      <w:divsChild>
                                        <w:div w:id="1510178263">
                                          <w:marLeft w:val="0"/>
                                          <w:marRight w:val="0"/>
                                          <w:marTop w:val="0"/>
                                          <w:marBottom w:val="0"/>
                                          <w:divBdr>
                                            <w:top w:val="none" w:sz="0" w:space="0" w:color="auto"/>
                                            <w:left w:val="none" w:sz="0" w:space="0" w:color="auto"/>
                                            <w:bottom w:val="none" w:sz="0" w:space="0" w:color="auto"/>
                                            <w:right w:val="none" w:sz="0" w:space="0" w:color="auto"/>
                                          </w:divBdr>
                                        </w:div>
                                      </w:divsChild>
                                    </w:div>
                                    <w:div w:id="532156211">
                                      <w:marLeft w:val="0"/>
                                      <w:marRight w:val="0"/>
                                      <w:marTop w:val="0"/>
                                      <w:marBottom w:val="0"/>
                                      <w:divBdr>
                                        <w:top w:val="none" w:sz="0" w:space="0" w:color="auto"/>
                                        <w:left w:val="none" w:sz="0" w:space="0" w:color="auto"/>
                                        <w:bottom w:val="none" w:sz="0" w:space="0" w:color="auto"/>
                                        <w:right w:val="none" w:sz="0" w:space="0" w:color="auto"/>
                                      </w:divBdr>
                                    </w:div>
                                    <w:div w:id="568149742">
                                      <w:marLeft w:val="0"/>
                                      <w:marRight w:val="0"/>
                                      <w:marTop w:val="0"/>
                                      <w:marBottom w:val="0"/>
                                      <w:divBdr>
                                        <w:top w:val="none" w:sz="0" w:space="0" w:color="auto"/>
                                        <w:left w:val="none" w:sz="0" w:space="0" w:color="auto"/>
                                        <w:bottom w:val="none" w:sz="0" w:space="0" w:color="auto"/>
                                        <w:right w:val="none" w:sz="0" w:space="0" w:color="auto"/>
                                      </w:divBdr>
                                      <w:divsChild>
                                        <w:div w:id="729307287">
                                          <w:marLeft w:val="0"/>
                                          <w:marRight w:val="0"/>
                                          <w:marTop w:val="0"/>
                                          <w:marBottom w:val="0"/>
                                          <w:divBdr>
                                            <w:top w:val="none" w:sz="0" w:space="0" w:color="auto"/>
                                            <w:left w:val="none" w:sz="0" w:space="0" w:color="auto"/>
                                            <w:bottom w:val="none" w:sz="0" w:space="0" w:color="auto"/>
                                            <w:right w:val="none" w:sz="0" w:space="0" w:color="auto"/>
                                          </w:divBdr>
                                        </w:div>
                                        <w:div w:id="1016931932">
                                          <w:marLeft w:val="0"/>
                                          <w:marRight w:val="0"/>
                                          <w:marTop w:val="0"/>
                                          <w:marBottom w:val="0"/>
                                          <w:divBdr>
                                            <w:top w:val="none" w:sz="0" w:space="0" w:color="auto"/>
                                            <w:left w:val="none" w:sz="0" w:space="0" w:color="auto"/>
                                            <w:bottom w:val="none" w:sz="0" w:space="0" w:color="auto"/>
                                            <w:right w:val="none" w:sz="0" w:space="0" w:color="auto"/>
                                          </w:divBdr>
                                        </w:div>
                                        <w:div w:id="500894899">
                                          <w:marLeft w:val="0"/>
                                          <w:marRight w:val="0"/>
                                          <w:marTop w:val="0"/>
                                          <w:marBottom w:val="0"/>
                                          <w:divBdr>
                                            <w:top w:val="none" w:sz="0" w:space="0" w:color="auto"/>
                                            <w:left w:val="none" w:sz="0" w:space="0" w:color="auto"/>
                                            <w:bottom w:val="none" w:sz="0" w:space="0" w:color="auto"/>
                                            <w:right w:val="none" w:sz="0" w:space="0" w:color="auto"/>
                                          </w:divBdr>
                                        </w:div>
                                        <w:div w:id="1083379660">
                                          <w:marLeft w:val="0"/>
                                          <w:marRight w:val="0"/>
                                          <w:marTop w:val="0"/>
                                          <w:marBottom w:val="0"/>
                                          <w:divBdr>
                                            <w:top w:val="none" w:sz="0" w:space="0" w:color="auto"/>
                                            <w:left w:val="none" w:sz="0" w:space="0" w:color="auto"/>
                                            <w:bottom w:val="none" w:sz="0" w:space="0" w:color="auto"/>
                                            <w:right w:val="none" w:sz="0" w:space="0" w:color="auto"/>
                                          </w:divBdr>
                                        </w:div>
                                      </w:divsChild>
                                    </w:div>
                                    <w:div w:id="997615612">
                                      <w:marLeft w:val="0"/>
                                      <w:marRight w:val="0"/>
                                      <w:marTop w:val="0"/>
                                      <w:marBottom w:val="0"/>
                                      <w:divBdr>
                                        <w:top w:val="none" w:sz="0" w:space="0" w:color="auto"/>
                                        <w:left w:val="none" w:sz="0" w:space="0" w:color="auto"/>
                                        <w:bottom w:val="none" w:sz="0" w:space="0" w:color="auto"/>
                                        <w:right w:val="none" w:sz="0" w:space="0" w:color="auto"/>
                                      </w:divBdr>
                                    </w:div>
                                    <w:div w:id="1697928304">
                                      <w:marLeft w:val="0"/>
                                      <w:marRight w:val="0"/>
                                      <w:marTop w:val="0"/>
                                      <w:marBottom w:val="0"/>
                                      <w:divBdr>
                                        <w:top w:val="none" w:sz="0" w:space="0" w:color="auto"/>
                                        <w:left w:val="none" w:sz="0" w:space="0" w:color="auto"/>
                                        <w:bottom w:val="none" w:sz="0" w:space="0" w:color="auto"/>
                                        <w:right w:val="none" w:sz="0" w:space="0" w:color="auto"/>
                                      </w:divBdr>
                                    </w:div>
                                    <w:div w:id="2134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4B341-A930-418D-8CE3-9999D53AED49}">
  <ds:schemaRefs>
    <ds:schemaRef ds:uri="http://schemas.openxmlformats.org/officeDocument/2006/bibliography"/>
  </ds:schemaRefs>
</ds:datastoreItem>
</file>

<file path=customXml/itemProps2.xml><?xml version="1.0" encoding="utf-8"?>
<ds:datastoreItem xmlns:ds="http://schemas.openxmlformats.org/officeDocument/2006/customXml" ds:itemID="{7B5BD6D6-5992-46BD-90F6-E57253F145B4}"/>
</file>

<file path=customXml/itemProps3.xml><?xml version="1.0" encoding="utf-8"?>
<ds:datastoreItem xmlns:ds="http://schemas.openxmlformats.org/officeDocument/2006/customXml" ds:itemID="{0A758BD5-3151-44EF-AB5A-9DAC6F2D8C58}"/>
</file>

<file path=customXml/itemProps4.xml><?xml version="1.0" encoding="utf-8"?>
<ds:datastoreItem xmlns:ds="http://schemas.openxmlformats.org/officeDocument/2006/customXml" ds:itemID="{5B7F09B5-7B77-4985-B339-0736B999682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10785</Characters>
  <Application>Microsoft Office Word</Application>
  <DocSecurity>0</DocSecurity>
  <Lines>89</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MyCompany</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2020-02-14T07:06:00Z</cp:lastPrinted>
  <dcterms:created xsi:type="dcterms:W3CDTF">2022-05-24T07:19:00Z</dcterms:created>
  <dcterms:modified xsi:type="dcterms:W3CDTF">2022-05-24T07:19:00Z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