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41056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21D2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5267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1F0D5" w14:textId="0B1C6C99" w:rsidR="00E52109" w:rsidRDefault="00D61481" w:rsidP="00D61481">
            <w:pPr>
              <w:suppressAutoHyphens w:val="0"/>
              <w:jc w:val="right"/>
            </w:pPr>
            <w:r w:rsidRPr="00D61481">
              <w:rPr>
                <w:sz w:val="40"/>
              </w:rPr>
              <w:t>ST</w:t>
            </w:r>
            <w:r>
              <w:t>/SG/AC.10/C.3/2022/44</w:t>
            </w:r>
          </w:p>
        </w:tc>
      </w:tr>
      <w:tr w:rsidR="00E52109" w14:paraId="67BBC1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791B14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057BF3" wp14:editId="6B70E44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0C63A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4BE5E" w14:textId="77777777" w:rsidR="00D94B05" w:rsidRDefault="00D61481" w:rsidP="00D6148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7C40526" w14:textId="79964E22" w:rsidR="00D61481" w:rsidRDefault="00DE744E" w:rsidP="00D61481">
            <w:pPr>
              <w:suppressAutoHyphens w:val="0"/>
              <w:spacing w:line="240" w:lineRule="exact"/>
            </w:pPr>
            <w:r>
              <w:t>12</w:t>
            </w:r>
            <w:r w:rsidR="00D61481">
              <w:t xml:space="preserve"> April 2022</w:t>
            </w:r>
          </w:p>
          <w:p w14:paraId="47E173E1" w14:textId="77777777" w:rsidR="00D61481" w:rsidRDefault="00D61481" w:rsidP="00D61481">
            <w:pPr>
              <w:suppressAutoHyphens w:val="0"/>
              <w:spacing w:line="240" w:lineRule="exact"/>
            </w:pPr>
          </w:p>
          <w:p w14:paraId="7591717D" w14:textId="2F275A60" w:rsidR="00D61481" w:rsidRDefault="00D61481" w:rsidP="00D61481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B16998F" w14:textId="77777777" w:rsidR="00DB4FA1" w:rsidRPr="006500BA" w:rsidRDefault="00DB4FA1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4D0DCABB" w14:textId="77777777" w:rsidR="00DB4FA1" w:rsidRPr="006500BA" w:rsidRDefault="00DB4FA1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F544B" w:rsidRPr="00302456" w14:paraId="4511C579" w14:textId="77777777" w:rsidTr="00E304AC">
        <w:tc>
          <w:tcPr>
            <w:tcW w:w="4593" w:type="dxa"/>
            <w:shd w:val="clear" w:color="auto" w:fill="auto"/>
          </w:tcPr>
          <w:p w14:paraId="5BA787CE" w14:textId="77777777" w:rsidR="007F544B" w:rsidRPr="00302456" w:rsidRDefault="007F544B" w:rsidP="00E304A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Sixtieth </w:t>
            </w:r>
            <w:r w:rsidRPr="00302456">
              <w:rPr>
                <w:b/>
              </w:rPr>
              <w:t>session</w:t>
            </w:r>
          </w:p>
        </w:tc>
      </w:tr>
      <w:tr w:rsidR="007F544B" w:rsidRPr="00302456" w14:paraId="63EAD614" w14:textId="77777777" w:rsidTr="00E304AC">
        <w:tc>
          <w:tcPr>
            <w:tcW w:w="4593" w:type="dxa"/>
            <w:shd w:val="clear" w:color="auto" w:fill="auto"/>
          </w:tcPr>
          <w:p w14:paraId="55D1926A" w14:textId="77777777" w:rsidR="007F544B" w:rsidRPr="00302456" w:rsidRDefault="007F544B" w:rsidP="00E304AC">
            <w:pPr>
              <w:rPr>
                <w:b/>
              </w:rPr>
            </w:pPr>
            <w:r w:rsidRPr="006500BA">
              <w:t xml:space="preserve">Geneva, </w:t>
            </w:r>
            <w:r>
              <w:t>27 June-6 July 2022</w:t>
            </w:r>
          </w:p>
        </w:tc>
      </w:tr>
    </w:tbl>
    <w:p w14:paraId="4323BAD8" w14:textId="77777777" w:rsidR="007F544B" w:rsidRPr="006500BA" w:rsidRDefault="007F544B" w:rsidP="007F544B">
      <w:r w:rsidRPr="006500BA">
        <w:t xml:space="preserve">Item </w:t>
      </w:r>
      <w:r>
        <w:t>3</w:t>
      </w:r>
      <w:r w:rsidRPr="006500BA">
        <w:t xml:space="preserve"> of the provisional agenda</w:t>
      </w:r>
    </w:p>
    <w:p w14:paraId="4CC3DACB" w14:textId="77777777" w:rsidR="007F544B" w:rsidRDefault="007F544B" w:rsidP="007F544B">
      <w:pPr>
        <w:rPr>
          <w:b/>
          <w:bCs/>
        </w:rPr>
      </w:pPr>
      <w:r w:rsidRPr="00FE4F6F">
        <w:rPr>
          <w:b/>
          <w:bCs/>
        </w:rPr>
        <w:t xml:space="preserve">Listing, </w:t>
      </w:r>
      <w:proofErr w:type="gramStart"/>
      <w:r w:rsidRPr="00FE4F6F">
        <w:rPr>
          <w:b/>
          <w:bCs/>
        </w:rPr>
        <w:t>classification</w:t>
      </w:r>
      <w:proofErr w:type="gramEnd"/>
      <w:r w:rsidRPr="00FE4F6F">
        <w:rPr>
          <w:b/>
          <w:bCs/>
        </w:rPr>
        <w:t xml:space="preserve"> and packing</w:t>
      </w:r>
    </w:p>
    <w:p w14:paraId="53CD3A29" w14:textId="375189D1" w:rsidR="00555068" w:rsidRPr="008F4901" w:rsidRDefault="00555068" w:rsidP="00555068">
      <w:pPr>
        <w:pStyle w:val="HChG"/>
        <w:ind w:leftChars="587" w:left="1182" w:hangingChars="3" w:hanging="8"/>
        <w:jc w:val="both"/>
      </w:pPr>
      <w:r w:rsidRPr="00687C8A">
        <w:t xml:space="preserve">Proposal for </w:t>
      </w:r>
      <w:r w:rsidR="00FB064E">
        <w:t xml:space="preserve">an </w:t>
      </w:r>
      <w:r w:rsidR="00DE744E">
        <w:t>e</w:t>
      </w:r>
      <w:r w:rsidRPr="00687C8A">
        <w:t xml:space="preserve">xemption of </w:t>
      </w:r>
      <w:r w:rsidR="00DE744E">
        <w:t>m</w:t>
      </w:r>
      <w:r>
        <w:t xml:space="preserve">anufactured </w:t>
      </w:r>
      <w:r w:rsidR="00DE744E">
        <w:t>a</w:t>
      </w:r>
      <w:r>
        <w:t>rticles</w:t>
      </w:r>
      <w:r w:rsidRPr="00687C8A">
        <w:t xml:space="preserve"> </w:t>
      </w:r>
      <w:r w:rsidR="00DE744E">
        <w:t>c</w:t>
      </w:r>
      <w:r w:rsidRPr="00687C8A">
        <w:t xml:space="preserve">ontaining </w:t>
      </w:r>
      <w:r w:rsidR="00DE744E">
        <w:t>s</w:t>
      </w:r>
      <w:r w:rsidRPr="00687C8A">
        <w:t xml:space="preserve">mall </w:t>
      </w:r>
      <w:r w:rsidR="00DE744E">
        <w:t>a</w:t>
      </w:r>
      <w:r w:rsidRPr="00687C8A">
        <w:t xml:space="preserve">mounts of </w:t>
      </w:r>
      <w:r w:rsidR="00FB064E">
        <w:t>g</w:t>
      </w:r>
      <w:r w:rsidRPr="00687C8A">
        <w:t>allium</w:t>
      </w:r>
      <w:r>
        <w:t xml:space="preserve"> (</w:t>
      </w:r>
      <w:r w:rsidR="00C125CA">
        <w:t>u</w:t>
      </w:r>
      <w:r>
        <w:t xml:space="preserve">pdate of </w:t>
      </w:r>
      <w:r w:rsidR="00214668">
        <w:t xml:space="preserve">document </w:t>
      </w:r>
      <w:r>
        <w:t>ST/SG/AC.10/C.3/2021/53)</w:t>
      </w:r>
    </w:p>
    <w:p w14:paraId="033D07F9" w14:textId="1DCB41E5" w:rsidR="00555068" w:rsidRPr="00040A46" w:rsidRDefault="007F544B" w:rsidP="007F544B">
      <w:pPr>
        <w:pStyle w:val="H1G"/>
        <w:rPr>
          <w:sz w:val="20"/>
        </w:rPr>
      </w:pPr>
      <w:r>
        <w:tab/>
      </w:r>
      <w:r>
        <w:tab/>
      </w:r>
      <w:r w:rsidR="00555068" w:rsidRPr="00040A46">
        <w:t>Transmitted by the expert from China</w:t>
      </w:r>
      <w:r>
        <w:rPr>
          <w:rStyle w:val="FootnoteReference"/>
        </w:rPr>
        <w:footnoteReference w:id="2"/>
      </w:r>
    </w:p>
    <w:p w14:paraId="57677D19" w14:textId="636B2B64" w:rsidR="00555068" w:rsidRPr="005801E9" w:rsidRDefault="002E7980" w:rsidP="002E7980">
      <w:pPr>
        <w:pStyle w:val="HChG"/>
      </w:pPr>
      <w:r>
        <w:tab/>
      </w:r>
      <w:r>
        <w:tab/>
      </w:r>
      <w:r w:rsidR="00555068">
        <w:t>Introduction</w:t>
      </w:r>
    </w:p>
    <w:p w14:paraId="38371747" w14:textId="4D2368B2" w:rsidR="00555068" w:rsidRDefault="00F323E6" w:rsidP="002E7980">
      <w:pPr>
        <w:pStyle w:val="SingleTxtG"/>
      </w:pPr>
      <w:r>
        <w:t>1.</w:t>
      </w:r>
      <w:r w:rsidR="002E7980">
        <w:tab/>
      </w:r>
      <w:r w:rsidR="00555068">
        <w:t>At</w:t>
      </w:r>
      <w:r w:rsidR="00555068" w:rsidRPr="009352B5">
        <w:t xml:space="preserve"> the </w:t>
      </w:r>
      <w:r>
        <w:t>fifty-eighth</w:t>
      </w:r>
      <w:r w:rsidR="00555068" w:rsidRPr="009352B5">
        <w:t xml:space="preserve"> </w:t>
      </w:r>
      <w:r w:rsidR="00555068">
        <w:t>session</w:t>
      </w:r>
      <w:r w:rsidR="00555068" w:rsidRPr="009352B5">
        <w:t xml:space="preserve"> of </w:t>
      </w:r>
      <w:r w:rsidR="00555068">
        <w:t>S</w:t>
      </w:r>
      <w:r w:rsidR="00555068" w:rsidRPr="009352B5">
        <w:t>ub</w:t>
      </w:r>
      <w:r w:rsidR="00555068">
        <w:t>-C</w:t>
      </w:r>
      <w:r w:rsidR="00555068" w:rsidRPr="009352B5">
        <w:t xml:space="preserve">ommittee, experts </w:t>
      </w:r>
      <w:r w:rsidR="00555068">
        <w:t xml:space="preserve">from China </w:t>
      </w:r>
      <w:r w:rsidR="00555068" w:rsidRPr="009352B5">
        <w:t xml:space="preserve">submitted </w:t>
      </w:r>
      <w:r w:rsidR="00555068">
        <w:t xml:space="preserve">working </w:t>
      </w:r>
      <w:r w:rsidR="00555068" w:rsidRPr="002E7980">
        <w:t>document</w:t>
      </w:r>
      <w:r w:rsidR="00555068" w:rsidRPr="009352B5">
        <w:t xml:space="preserve"> ST/SG/AC.10/C.3/2021/17, proposing to </w:t>
      </w:r>
      <w:r w:rsidR="00555068">
        <w:t>amend</w:t>
      </w:r>
      <w:r w:rsidR="00555068" w:rsidRPr="009352B5">
        <w:t xml:space="preserve"> </w:t>
      </w:r>
      <w:r w:rsidR="00DB6B3A">
        <w:t xml:space="preserve">special provision </w:t>
      </w:r>
      <w:r w:rsidR="00555068">
        <w:t xml:space="preserve">SP366 to make it </w:t>
      </w:r>
      <w:r w:rsidR="00555068" w:rsidRPr="009352B5">
        <w:t xml:space="preserve">also adjust to </w:t>
      </w:r>
      <w:r w:rsidR="00555068">
        <w:t>“g</w:t>
      </w:r>
      <w:r w:rsidR="00555068" w:rsidRPr="009352B5">
        <w:t>allium contained in manufactured articles</w:t>
      </w:r>
      <w:r w:rsidR="00555068">
        <w:t xml:space="preserve">”, so that articles containing gallium and meeting relevant requirements </w:t>
      </w:r>
      <w:r w:rsidR="00840E72">
        <w:t>may</w:t>
      </w:r>
      <w:r w:rsidR="00555068">
        <w:t xml:space="preserve"> be </w:t>
      </w:r>
      <w:r w:rsidR="00555068" w:rsidRPr="000A003A">
        <w:t>not subject to the</w:t>
      </w:r>
      <w:r w:rsidR="00555068">
        <w:t xml:space="preserve"> </w:t>
      </w:r>
      <w:r w:rsidR="00555068" w:rsidRPr="009352B5">
        <w:rPr>
          <w:i/>
        </w:rPr>
        <w:t>Model Regulations</w:t>
      </w:r>
      <w:r w:rsidR="00555068">
        <w:t xml:space="preserve">. </w:t>
      </w:r>
      <w:r w:rsidR="00555068" w:rsidRPr="00817385">
        <w:t>Although one delegation expressed the view that the proposed amendment was not necessary, the Sub</w:t>
      </w:r>
      <w:r w:rsidR="00555068">
        <w:t>-C</w:t>
      </w:r>
      <w:r w:rsidR="00555068">
        <w:rPr>
          <w:rFonts w:hint="eastAsia"/>
        </w:rPr>
        <w:t>o</w:t>
      </w:r>
      <w:r w:rsidR="00555068">
        <w:t>mmittee</w:t>
      </w:r>
      <w:r w:rsidR="00555068" w:rsidRPr="00817385">
        <w:t xml:space="preserve"> generally supported the principle of th</w:t>
      </w:r>
      <w:r w:rsidR="00555068">
        <w:t>at</w:t>
      </w:r>
      <w:r w:rsidR="00555068" w:rsidRPr="00817385">
        <w:t xml:space="preserve"> proposal.</w:t>
      </w:r>
    </w:p>
    <w:p w14:paraId="3484DE8D" w14:textId="042C6B2D" w:rsidR="00555068" w:rsidRPr="002E7980" w:rsidRDefault="002E7980" w:rsidP="002E7980">
      <w:pPr>
        <w:pStyle w:val="SingleTxtG"/>
      </w:pPr>
      <w:r>
        <w:tab/>
      </w:r>
      <w:r w:rsidR="00F323E6">
        <w:t>2.</w:t>
      </w:r>
      <w:r>
        <w:tab/>
      </w:r>
      <w:r w:rsidR="00555068" w:rsidRPr="002E7980">
        <w:t xml:space="preserve">Since no consensus was reached on how to revise the texts at the </w:t>
      </w:r>
      <w:r w:rsidR="00F323E6">
        <w:t>fifty-eighth</w:t>
      </w:r>
      <w:r w:rsidR="00555068" w:rsidRPr="002E7980">
        <w:t xml:space="preserve"> session, experts from China submitted another working document </w:t>
      </w:r>
      <w:r w:rsidR="00F857F6">
        <w:t>(</w:t>
      </w:r>
      <w:r w:rsidR="00555068" w:rsidRPr="002E7980">
        <w:t>ST/SG/AC.10/C.3/2021/53</w:t>
      </w:r>
      <w:r w:rsidR="00F857F6">
        <w:t>)</w:t>
      </w:r>
      <w:r w:rsidR="00555068" w:rsidRPr="002E7980">
        <w:t xml:space="preserve"> to the </w:t>
      </w:r>
      <w:r w:rsidR="00F323E6">
        <w:t>fifty-ninth</w:t>
      </w:r>
      <w:r w:rsidR="00555068" w:rsidRPr="002E7980">
        <w:t xml:space="preserve"> session. Unfortunately, the Sub-Committee still did not come to an agreement on which </w:t>
      </w:r>
      <w:r w:rsidR="003D1071">
        <w:t xml:space="preserve">of </w:t>
      </w:r>
      <w:r w:rsidR="00555068" w:rsidRPr="002E7980">
        <w:t>proposed option</w:t>
      </w:r>
      <w:r w:rsidR="003D1071">
        <w:t>s</w:t>
      </w:r>
      <w:r w:rsidR="00555068" w:rsidRPr="002E7980">
        <w:t xml:space="preserve"> should be adopted. </w:t>
      </w:r>
      <w:r w:rsidR="00212A8E">
        <w:t>T</w:t>
      </w:r>
      <w:r w:rsidR="00212A8E" w:rsidRPr="002E7980">
        <w:t>o achieve better clarity</w:t>
      </w:r>
      <w:r w:rsidR="00212A8E">
        <w:t>,</w:t>
      </w:r>
      <w:r w:rsidR="00212A8E" w:rsidRPr="002E7980">
        <w:t xml:space="preserve"> </w:t>
      </w:r>
      <w:r w:rsidR="00212A8E">
        <w:t>s</w:t>
      </w:r>
      <w:r w:rsidR="00555068" w:rsidRPr="002E7980">
        <w:t xml:space="preserve">ome experts believed that a new entry should be created as </w:t>
      </w:r>
      <w:r w:rsidR="00555068" w:rsidRPr="002E7980">
        <w:rPr>
          <w:rFonts w:hint="eastAsia"/>
        </w:rPr>
        <w:t>in</w:t>
      </w:r>
      <w:r w:rsidR="00555068" w:rsidRPr="002E7980">
        <w:t xml:space="preserve"> the case of UN</w:t>
      </w:r>
      <w:r w:rsidR="005E7B85">
        <w:t xml:space="preserve"> </w:t>
      </w:r>
      <w:r w:rsidR="00555068" w:rsidRPr="002E7980">
        <w:t>3506 (MERCURY CONTAINED IN</w:t>
      </w:r>
      <w:r w:rsidR="00555068" w:rsidRPr="002E7980">
        <w:rPr>
          <w:rFonts w:hint="eastAsia"/>
        </w:rPr>
        <w:t xml:space="preserve"> </w:t>
      </w:r>
      <w:r w:rsidR="00555068" w:rsidRPr="002E7980">
        <w:t>MANUFACTURED ARTICLES), while some other experts believed that</w:t>
      </w:r>
      <w:r w:rsidR="00555068" w:rsidRPr="002E7980">
        <w:rPr>
          <w:rFonts w:hint="eastAsia"/>
        </w:rPr>
        <w:t>,</w:t>
      </w:r>
      <w:r w:rsidR="00555068" w:rsidRPr="002E7980">
        <w:t xml:space="preserve"> to achieve better conciseness, </w:t>
      </w:r>
      <w:r w:rsidR="0096026B">
        <w:t xml:space="preserve">only </w:t>
      </w:r>
      <w:r w:rsidR="00555068" w:rsidRPr="002E7980">
        <w:t>minor changes should be made as far as possible.</w:t>
      </w:r>
    </w:p>
    <w:p w14:paraId="685AA64E" w14:textId="7C6A7066" w:rsidR="00555068" w:rsidRPr="00054802" w:rsidRDefault="002E7980" w:rsidP="002E7980">
      <w:pPr>
        <w:pStyle w:val="SingleTxtG"/>
      </w:pPr>
      <w:r>
        <w:tab/>
      </w:r>
      <w:r w:rsidR="00F323E6">
        <w:t>3.</w:t>
      </w:r>
      <w:r>
        <w:tab/>
      </w:r>
      <w:r w:rsidR="00555068" w:rsidRPr="002E7980">
        <w:t xml:space="preserve">During the </w:t>
      </w:r>
      <w:r w:rsidR="00555068" w:rsidRPr="002E7980">
        <w:rPr>
          <w:rFonts w:hint="eastAsia"/>
        </w:rPr>
        <w:t>inter</w:t>
      </w:r>
      <w:r w:rsidR="00555068" w:rsidRPr="002E7980">
        <w:t>session</w:t>
      </w:r>
      <w:r w:rsidR="005D01D2">
        <w:t>al</w:t>
      </w:r>
      <w:r w:rsidR="00555068" w:rsidRPr="002E7980">
        <w:t xml:space="preserve"> period, experts from China carefully considered all the comments received, and finally decided to submit this working </w:t>
      </w:r>
      <w:r w:rsidR="005D01D2">
        <w:t>document</w:t>
      </w:r>
      <w:r w:rsidR="00555068" w:rsidRPr="002E7980">
        <w:t xml:space="preserve"> to the Sub-Committee, proposing to introduce the exemption for products containing small amounts of gallium by creating a new entry, consistent with mercury contained in manufactured articles. </w:t>
      </w:r>
      <w:r w:rsidR="00E75831">
        <w:t>A</w:t>
      </w:r>
      <w:r w:rsidR="00E75831" w:rsidRPr="002E7980">
        <w:t xml:space="preserve">lthough </w:t>
      </w:r>
      <w:r w:rsidR="00E75831" w:rsidRPr="002E7980">
        <w:rPr>
          <w:rFonts w:hint="eastAsia"/>
        </w:rPr>
        <w:t>it</w:t>
      </w:r>
      <w:r w:rsidR="00E75831" w:rsidRPr="002E7980">
        <w:t xml:space="preserve"> will </w:t>
      </w:r>
      <w:r w:rsidR="00E75831" w:rsidRPr="002E7980">
        <w:rPr>
          <w:rFonts w:hint="eastAsia"/>
        </w:rPr>
        <w:t>cause</w:t>
      </w:r>
      <w:r w:rsidR="00E75831" w:rsidRPr="002E7980">
        <w:t xml:space="preserve"> relatively larger changes to the Model Regulations</w:t>
      </w:r>
      <w:r w:rsidR="00077DDC">
        <w:t>,</w:t>
      </w:r>
      <w:r w:rsidR="00E75831" w:rsidRPr="002E7980">
        <w:t xml:space="preserve"> </w:t>
      </w:r>
      <w:r w:rsidR="00077DDC">
        <w:t>w</w:t>
      </w:r>
      <w:r w:rsidR="00555068" w:rsidRPr="002E7980">
        <w:t>e believe the new entry can not only make the text the clearest</w:t>
      </w:r>
      <w:r w:rsidR="00F0326F">
        <w:t xml:space="preserve"> and </w:t>
      </w:r>
      <w:r w:rsidR="00555068" w:rsidRPr="002E7980">
        <w:t xml:space="preserve">minimize possible misunderstandings, but also be conducive for potential amendments in the future. On the contrary, the other option of adding a special provision to </w:t>
      </w:r>
      <w:r w:rsidR="002549DD">
        <w:t xml:space="preserve">the </w:t>
      </w:r>
      <w:r w:rsidR="00555068" w:rsidRPr="002E7980">
        <w:t>existing UN</w:t>
      </w:r>
      <w:r w:rsidR="002549DD">
        <w:t xml:space="preserve"> </w:t>
      </w:r>
      <w:r w:rsidR="00555068" w:rsidRPr="002E7980">
        <w:t>2809 entry, though causing smaller changes, may be less convenient for readers, and to achieve</w:t>
      </w:r>
      <w:r w:rsidR="00555068" w:rsidRPr="00054802">
        <w:t xml:space="preserve"> better clarity, the content of the add</w:t>
      </w:r>
      <w:r w:rsidR="00115F79">
        <w:t>ed</w:t>
      </w:r>
      <w:r w:rsidR="00555068" w:rsidRPr="00054802">
        <w:t xml:space="preserve"> </w:t>
      </w:r>
      <w:r w:rsidR="00555068" w:rsidRPr="00054802">
        <w:lastRenderedPageBreak/>
        <w:t xml:space="preserve">special provision will be very complicated, confusing readers, so we </w:t>
      </w:r>
      <w:r w:rsidR="003E3E4A">
        <w:t>dis</w:t>
      </w:r>
      <w:r w:rsidR="00555068" w:rsidRPr="00054802">
        <w:t>regard</w:t>
      </w:r>
      <w:r w:rsidR="003E3E4A">
        <w:t>ed</w:t>
      </w:r>
      <w:r w:rsidR="00555068" w:rsidRPr="00054802">
        <w:t xml:space="preserve"> it as the most </w:t>
      </w:r>
      <w:r w:rsidR="00555068" w:rsidRPr="00054802">
        <w:rPr>
          <w:rFonts w:hint="eastAsia"/>
        </w:rPr>
        <w:t>suitable</w:t>
      </w:r>
      <w:r w:rsidR="00555068" w:rsidRPr="00054802">
        <w:t xml:space="preserve"> option.</w:t>
      </w:r>
    </w:p>
    <w:p w14:paraId="78AAEB6E" w14:textId="18923FEC" w:rsidR="00555068" w:rsidRDefault="00F323E6" w:rsidP="00F323E6">
      <w:pPr>
        <w:pStyle w:val="SingleTxtG"/>
      </w:pPr>
      <w:r>
        <w:tab/>
        <w:t>4.</w:t>
      </w:r>
      <w:r>
        <w:tab/>
      </w:r>
      <w:r w:rsidR="00555068" w:rsidRPr="00271D52">
        <w:t xml:space="preserve">In addition, at </w:t>
      </w:r>
      <w:r w:rsidR="00CC1C93">
        <w:t xml:space="preserve">the </w:t>
      </w:r>
      <w:r w:rsidR="00555068" w:rsidRPr="00271D52">
        <w:t xml:space="preserve">last </w:t>
      </w:r>
      <w:r w:rsidR="00555068">
        <w:t>session</w:t>
      </w:r>
      <w:r w:rsidR="00555068" w:rsidRPr="00271D52">
        <w:t xml:space="preserve">, an expert raised </w:t>
      </w:r>
      <w:r w:rsidR="00555068">
        <w:t xml:space="preserve">the </w:t>
      </w:r>
      <w:r w:rsidR="00555068" w:rsidRPr="00271D52">
        <w:t>question</w:t>
      </w:r>
      <w:r w:rsidR="00555068">
        <w:t xml:space="preserve"> whether it is reasonable to </w:t>
      </w:r>
      <w:r w:rsidR="00FD000F">
        <w:t>adjust</w:t>
      </w:r>
      <w:r w:rsidR="00555068">
        <w:t xml:space="preserve"> the</w:t>
      </w:r>
      <w:r w:rsidR="00555068" w:rsidRPr="00271D52">
        <w:t xml:space="preserve"> exemption</w:t>
      </w:r>
      <w:r w:rsidR="00555068">
        <w:t xml:space="preserve"> </w:t>
      </w:r>
      <w:r w:rsidR="00555068" w:rsidRPr="00F323E6">
        <w:t>quantity</w:t>
      </w:r>
      <w:r w:rsidR="00555068" w:rsidRPr="00271D52">
        <w:t xml:space="preserve"> </w:t>
      </w:r>
      <w:r w:rsidR="00555068">
        <w:t xml:space="preserve">of </w:t>
      </w:r>
      <w:r w:rsidR="00555068" w:rsidRPr="00271D52">
        <w:t xml:space="preserve">gallium contained in products </w:t>
      </w:r>
      <w:proofErr w:type="gramStart"/>
      <w:r w:rsidR="00555068" w:rsidRPr="00271D52">
        <w:t>exactly the same</w:t>
      </w:r>
      <w:proofErr w:type="gramEnd"/>
      <w:r w:rsidR="00555068" w:rsidRPr="00271D52">
        <w:t xml:space="preserve"> as </w:t>
      </w:r>
      <w:r w:rsidR="00555068">
        <w:t xml:space="preserve">that of </w:t>
      </w:r>
      <w:r w:rsidR="00555068" w:rsidRPr="00271D52">
        <w:t xml:space="preserve">mercury </w:t>
      </w:r>
      <w:r w:rsidR="00555068">
        <w:t xml:space="preserve">in mass, considering the huge difference between the density of </w:t>
      </w:r>
      <w:r w:rsidR="00555068" w:rsidRPr="00271D52">
        <w:t xml:space="preserve">gallium and mercury. </w:t>
      </w:r>
      <w:r w:rsidR="00555068">
        <w:t xml:space="preserve">Currently, </w:t>
      </w:r>
      <w:r w:rsidR="00555068" w:rsidRPr="00271D52">
        <w:t>the limited quantit</w:t>
      </w:r>
      <w:r w:rsidR="00555068">
        <w:t>ies</w:t>
      </w:r>
      <w:r w:rsidR="00555068" w:rsidRPr="00271D52">
        <w:t xml:space="preserve"> </w:t>
      </w:r>
      <w:r w:rsidR="00555068">
        <w:t xml:space="preserve">in </w:t>
      </w:r>
      <w:r w:rsidR="00555068" w:rsidRPr="00271D52">
        <w:t xml:space="preserve">column 7 (a) of </w:t>
      </w:r>
      <w:r w:rsidR="00555068">
        <w:t>UN</w:t>
      </w:r>
      <w:r w:rsidR="00836DB9">
        <w:t xml:space="preserve"> </w:t>
      </w:r>
      <w:r w:rsidR="00555068" w:rsidRPr="00271D52">
        <w:t>2803 (</w:t>
      </w:r>
      <w:r w:rsidR="00555068">
        <w:t>GALLIUM</w:t>
      </w:r>
      <w:r w:rsidR="00555068" w:rsidRPr="00271D52">
        <w:t xml:space="preserve">) and </w:t>
      </w:r>
      <w:r w:rsidR="00555068">
        <w:t>UN</w:t>
      </w:r>
      <w:r w:rsidR="00BE4D44">
        <w:rPr>
          <w:lang w:val="de-CH"/>
        </w:rPr>
        <w:t> </w:t>
      </w:r>
      <w:r w:rsidR="00555068" w:rsidRPr="00271D52">
        <w:t xml:space="preserve">2809 </w:t>
      </w:r>
      <w:r w:rsidR="00555068">
        <w:t>(MERCURY</w:t>
      </w:r>
      <w:r w:rsidR="00555068" w:rsidRPr="00271D52">
        <w:t>) in Chapter 3.2</w:t>
      </w:r>
      <w:r w:rsidR="00555068">
        <w:t>, D</w:t>
      </w:r>
      <w:r w:rsidR="00555068" w:rsidRPr="00271D52">
        <w:t xml:space="preserve">angerous </w:t>
      </w:r>
      <w:r w:rsidR="00555068">
        <w:t>G</w:t>
      </w:r>
      <w:r w:rsidR="00555068" w:rsidRPr="00271D52">
        <w:t xml:space="preserve">oods </w:t>
      </w:r>
      <w:r w:rsidR="00555068">
        <w:t>L</w:t>
      </w:r>
      <w:r w:rsidR="00555068" w:rsidRPr="00271D52">
        <w:t>ist</w:t>
      </w:r>
      <w:r w:rsidR="00555068">
        <w:t>,</w:t>
      </w:r>
      <w:r w:rsidR="00555068" w:rsidRPr="00271D52">
        <w:t xml:space="preserve"> </w:t>
      </w:r>
      <w:r w:rsidR="00555068">
        <w:t>are both</w:t>
      </w:r>
      <w:r w:rsidR="00555068" w:rsidRPr="00271D52">
        <w:t xml:space="preserve"> 5</w:t>
      </w:r>
      <w:r w:rsidR="00BE4D44">
        <w:t xml:space="preserve"> </w:t>
      </w:r>
      <w:r w:rsidR="00555068" w:rsidRPr="00271D52">
        <w:t>kg, and the exemption amount</w:t>
      </w:r>
      <w:r w:rsidR="00555068">
        <w:t>s</w:t>
      </w:r>
      <w:r w:rsidR="00555068" w:rsidRPr="00271D52">
        <w:t xml:space="preserve"> for gallium and mercury in</w:t>
      </w:r>
      <w:r w:rsidR="00555068">
        <w:t xml:space="preserve"> </w:t>
      </w:r>
      <w:r w:rsidR="00551642">
        <w:t>s</w:t>
      </w:r>
      <w:r w:rsidR="00555068">
        <w:t xml:space="preserve">pecial </w:t>
      </w:r>
      <w:r w:rsidR="00551642">
        <w:t>p</w:t>
      </w:r>
      <w:r w:rsidR="00555068">
        <w:t>rovision A</w:t>
      </w:r>
      <w:r w:rsidR="00555068" w:rsidRPr="00271D52">
        <w:t xml:space="preserve">69 (b) of </w:t>
      </w:r>
      <w:r w:rsidR="00D5149D">
        <w:t xml:space="preserve">the </w:t>
      </w:r>
      <w:r w:rsidR="00D5149D" w:rsidRPr="00D5149D">
        <w:t>International Civil Aviation Organization</w:t>
      </w:r>
      <w:r w:rsidR="00D5149D">
        <w:t xml:space="preserve"> (</w:t>
      </w:r>
      <w:r w:rsidR="00555068" w:rsidRPr="00271D52">
        <w:t>ICAO</w:t>
      </w:r>
      <w:r w:rsidR="00D5149D">
        <w:t>)</w:t>
      </w:r>
      <w:r w:rsidR="00555068" w:rsidRPr="00271D52">
        <w:t xml:space="preserve"> </w:t>
      </w:r>
      <w:r w:rsidR="00555068">
        <w:t>Technical Instructions</w:t>
      </w:r>
      <w:r w:rsidR="00555068" w:rsidRPr="00271D52">
        <w:t xml:space="preserve"> </w:t>
      </w:r>
      <w:r w:rsidR="00555068">
        <w:t>are</w:t>
      </w:r>
      <w:r w:rsidR="00555068" w:rsidRPr="00271D52">
        <w:t xml:space="preserve"> </w:t>
      </w:r>
      <w:r w:rsidR="00555068">
        <w:t>both</w:t>
      </w:r>
      <w:r w:rsidR="00555068" w:rsidRPr="00271D52">
        <w:t xml:space="preserve"> 100</w:t>
      </w:r>
      <w:r w:rsidR="00551642">
        <w:t xml:space="preserve"> </w:t>
      </w:r>
      <w:r w:rsidR="00555068" w:rsidRPr="00271D52">
        <w:t>mg</w:t>
      </w:r>
      <w:r w:rsidR="00555068">
        <w:t>. Thus,</w:t>
      </w:r>
      <w:r w:rsidR="00555068" w:rsidRPr="00271D52">
        <w:t xml:space="preserve"> experts </w:t>
      </w:r>
      <w:r w:rsidR="00555068">
        <w:t xml:space="preserve">from China </w:t>
      </w:r>
      <w:r w:rsidR="00555068" w:rsidRPr="00271D52">
        <w:t xml:space="preserve">believe that the exemption amount for gallium contained in </w:t>
      </w:r>
      <w:r w:rsidR="00555068">
        <w:t>manufactured articles</w:t>
      </w:r>
      <w:r w:rsidR="00555068" w:rsidRPr="00271D52">
        <w:t xml:space="preserve"> can be </w:t>
      </w:r>
      <w:r w:rsidR="00555068">
        <w:t>the same as that of</w:t>
      </w:r>
      <w:r w:rsidR="00555068" w:rsidRPr="00271D52">
        <w:t xml:space="preserve"> mercury</w:t>
      </w:r>
      <w:r w:rsidR="00555068">
        <w:t xml:space="preserve"> (15</w:t>
      </w:r>
      <w:r w:rsidR="001A18B6">
        <w:t xml:space="preserve"> </w:t>
      </w:r>
      <w:r w:rsidR="00555068">
        <w:t>g</w:t>
      </w:r>
      <w:r w:rsidR="001A18B6">
        <w:t xml:space="preserve"> </w:t>
      </w:r>
      <w:r w:rsidR="00555068">
        <w:t>/ 1</w:t>
      </w:r>
      <w:r w:rsidR="001A18B6">
        <w:t xml:space="preserve"> </w:t>
      </w:r>
      <w:r w:rsidR="00555068">
        <w:t>kg)</w:t>
      </w:r>
      <w:r w:rsidR="00555068" w:rsidRPr="00271D52">
        <w:t>.</w:t>
      </w:r>
    </w:p>
    <w:p w14:paraId="14D4CF2F" w14:textId="132BB4F4" w:rsidR="00555068" w:rsidRDefault="00F323E6" w:rsidP="00555068">
      <w:pPr>
        <w:pStyle w:val="HChG"/>
      </w:pPr>
      <w:r>
        <w:tab/>
      </w:r>
      <w:r>
        <w:tab/>
      </w:r>
      <w:r w:rsidR="00555068">
        <w:rPr>
          <w:rFonts w:hint="eastAsia"/>
        </w:rPr>
        <w:t>P</w:t>
      </w:r>
      <w:r w:rsidR="00555068">
        <w:t xml:space="preserve">roposal </w:t>
      </w:r>
    </w:p>
    <w:p w14:paraId="431D0076" w14:textId="30AF1E30" w:rsidR="00555068" w:rsidRPr="004534D2" w:rsidRDefault="00F323E6" w:rsidP="00F323E6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555068">
        <w:rPr>
          <w:lang w:val="en-US"/>
        </w:rPr>
        <w:t xml:space="preserve">It is </w:t>
      </w:r>
      <w:r w:rsidR="00555068" w:rsidRPr="00F323E6">
        <w:t>proposed</w:t>
      </w:r>
      <w:r w:rsidR="00555068" w:rsidRPr="004534D2">
        <w:rPr>
          <w:lang w:val="en-US"/>
        </w:rPr>
        <w:t xml:space="preserve"> to add in Chapter 3.2 </w:t>
      </w:r>
      <w:r w:rsidR="00555068" w:rsidRPr="00956F52">
        <w:t>Dangerous</w:t>
      </w:r>
      <w:r w:rsidR="00555068" w:rsidRPr="004534D2">
        <w:rPr>
          <w:lang w:val="en-US"/>
        </w:rPr>
        <w:t xml:space="preserve"> Goods List a new entry for gallium contained in manufactured articles and </w:t>
      </w:r>
      <w:r w:rsidR="00555068">
        <w:rPr>
          <w:lang w:val="en-US"/>
        </w:rPr>
        <w:t xml:space="preserve">to </w:t>
      </w:r>
      <w:r w:rsidR="00555068" w:rsidRPr="004534D2">
        <w:rPr>
          <w:lang w:val="en-US"/>
        </w:rPr>
        <w:t>in</w:t>
      </w:r>
      <w:r w:rsidR="00555068">
        <w:rPr>
          <w:lang w:val="en-US"/>
        </w:rPr>
        <w:t>sert</w:t>
      </w:r>
      <w:r w:rsidR="00555068" w:rsidRPr="004534D2">
        <w:rPr>
          <w:lang w:val="en-US"/>
        </w:rPr>
        <w:t xml:space="preserve"> </w:t>
      </w:r>
      <w:r w:rsidR="00555068">
        <w:rPr>
          <w:lang w:val="en-US"/>
        </w:rPr>
        <w:t>in</w:t>
      </w:r>
      <w:r w:rsidR="00555068" w:rsidRPr="004534D2">
        <w:rPr>
          <w:lang w:val="en-US"/>
        </w:rPr>
        <w:t xml:space="preserve"> th</w:t>
      </w:r>
      <w:r w:rsidR="00555068">
        <w:rPr>
          <w:lang w:val="en-US"/>
        </w:rPr>
        <w:t>e</w:t>
      </w:r>
      <w:r w:rsidR="00555068" w:rsidRPr="004534D2">
        <w:rPr>
          <w:lang w:val="en-US"/>
        </w:rPr>
        <w:t xml:space="preserve"> new entry </w:t>
      </w:r>
      <w:r w:rsidR="00555068">
        <w:rPr>
          <w:lang w:val="en-US"/>
        </w:rPr>
        <w:t xml:space="preserve">the </w:t>
      </w:r>
      <w:r w:rsidR="00555068" w:rsidRPr="004534D2">
        <w:rPr>
          <w:lang w:val="en-US"/>
        </w:rPr>
        <w:t xml:space="preserve">modified </w:t>
      </w:r>
      <w:r w:rsidR="00555068">
        <w:rPr>
          <w:lang w:val="en-US"/>
        </w:rPr>
        <w:t xml:space="preserve">special provision </w:t>
      </w:r>
      <w:r w:rsidR="00555068" w:rsidRPr="004534D2">
        <w:rPr>
          <w:lang w:val="en-US"/>
        </w:rPr>
        <w:t>366</w:t>
      </w:r>
      <w:r w:rsidR="00555068" w:rsidRPr="001C3869">
        <w:rPr>
          <w:lang w:val="en-US"/>
        </w:rPr>
        <w:t xml:space="preserve"> </w:t>
      </w:r>
      <w:r w:rsidR="00555068" w:rsidRPr="004534D2">
        <w:rPr>
          <w:lang w:val="en-US"/>
        </w:rPr>
        <w:t xml:space="preserve">as follows </w:t>
      </w:r>
      <w:r w:rsidR="00555068" w:rsidRPr="006E2F42">
        <w:rPr>
          <w:lang w:val="en-US"/>
        </w:rPr>
        <w:t>(</w:t>
      </w:r>
      <w:r w:rsidR="006D3C0F" w:rsidRPr="006E2F42">
        <w:t>new text</w:t>
      </w:r>
      <w:r w:rsidR="00555068" w:rsidRPr="006E2F42">
        <w:t xml:space="preserve"> i</w:t>
      </w:r>
      <w:r w:rsidR="006D3C0F" w:rsidRPr="006E2F42">
        <w:t>s</w:t>
      </w:r>
      <w:r w:rsidRPr="006E2F42">
        <w:t xml:space="preserve"> </w:t>
      </w:r>
      <w:r w:rsidR="00555068" w:rsidRPr="006E2F42">
        <w:rPr>
          <w:u w:val="single"/>
        </w:rPr>
        <w:t>underlined</w:t>
      </w:r>
      <w:r w:rsidR="00555068" w:rsidRPr="006E2F42">
        <w:t xml:space="preserve">, </w:t>
      </w:r>
      <w:r w:rsidR="006D3C0F" w:rsidRPr="006E2F42">
        <w:t xml:space="preserve">deleted </w:t>
      </w:r>
      <w:r w:rsidR="00555068" w:rsidRPr="006E2F42">
        <w:t xml:space="preserve">text in </w:t>
      </w:r>
      <w:r w:rsidR="00555068" w:rsidRPr="006E2F42">
        <w:rPr>
          <w:bCs/>
          <w:strike/>
        </w:rPr>
        <w:t>strikethrough</w:t>
      </w:r>
      <w:r w:rsidR="00555068" w:rsidRPr="006E2F42">
        <w:t>)</w:t>
      </w:r>
      <w:r w:rsidR="00F05BD9">
        <w:rPr>
          <w:lang w:val="en-US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74"/>
        <w:gridCol w:w="1677"/>
        <w:gridCol w:w="768"/>
        <w:gridCol w:w="864"/>
        <w:gridCol w:w="773"/>
        <w:gridCol w:w="850"/>
        <w:gridCol w:w="435"/>
        <w:gridCol w:w="400"/>
        <w:gridCol w:w="735"/>
        <w:gridCol w:w="22"/>
        <w:gridCol w:w="713"/>
        <w:gridCol w:w="899"/>
        <w:gridCol w:w="782"/>
      </w:tblGrid>
      <w:tr w:rsidR="00555068" w14:paraId="14B31C09" w14:textId="77777777" w:rsidTr="006E2F42">
        <w:tc>
          <w:tcPr>
            <w:tcW w:w="574" w:type="dxa"/>
            <w:vMerge w:val="restart"/>
            <w:vAlign w:val="center"/>
          </w:tcPr>
          <w:p w14:paraId="17D29DD3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UN No.</w:t>
            </w:r>
          </w:p>
        </w:tc>
        <w:tc>
          <w:tcPr>
            <w:tcW w:w="1677" w:type="dxa"/>
            <w:vMerge w:val="restart"/>
            <w:vAlign w:val="center"/>
          </w:tcPr>
          <w:p w14:paraId="05FD73B5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Name and description</w:t>
            </w:r>
          </w:p>
        </w:tc>
        <w:tc>
          <w:tcPr>
            <w:tcW w:w="768" w:type="dxa"/>
            <w:vMerge w:val="restart"/>
            <w:vAlign w:val="center"/>
          </w:tcPr>
          <w:p w14:paraId="674CA83D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Class or division</w:t>
            </w:r>
          </w:p>
        </w:tc>
        <w:tc>
          <w:tcPr>
            <w:tcW w:w="864" w:type="dxa"/>
            <w:vMerge w:val="restart"/>
            <w:vAlign w:val="center"/>
          </w:tcPr>
          <w:p w14:paraId="02DF22ED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Subsidiary hazard</w:t>
            </w:r>
          </w:p>
        </w:tc>
        <w:tc>
          <w:tcPr>
            <w:tcW w:w="773" w:type="dxa"/>
            <w:vMerge w:val="restart"/>
            <w:vAlign w:val="center"/>
          </w:tcPr>
          <w:p w14:paraId="454B8DC1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UN packing group</w:t>
            </w:r>
          </w:p>
        </w:tc>
        <w:tc>
          <w:tcPr>
            <w:tcW w:w="850" w:type="dxa"/>
            <w:vMerge w:val="restart"/>
            <w:vAlign w:val="center"/>
          </w:tcPr>
          <w:p w14:paraId="7E89ECAB" w14:textId="77777777" w:rsidR="00555068" w:rsidRDefault="00555068" w:rsidP="00E304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Special </w:t>
            </w:r>
          </w:p>
          <w:p w14:paraId="0C495EE0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14:paraId="75C96980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Limited and excepted quantities</w:t>
            </w:r>
          </w:p>
        </w:tc>
        <w:tc>
          <w:tcPr>
            <w:tcW w:w="1470" w:type="dxa"/>
            <w:gridSpan w:val="3"/>
            <w:vAlign w:val="center"/>
          </w:tcPr>
          <w:p w14:paraId="4AE14132" w14:textId="77777777" w:rsidR="00555068" w:rsidRDefault="00555068" w:rsidP="00E304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Packagings </w:t>
            </w:r>
          </w:p>
          <w:p w14:paraId="3E8EF202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and IBCs</w:t>
            </w:r>
          </w:p>
        </w:tc>
        <w:tc>
          <w:tcPr>
            <w:tcW w:w="1681" w:type="dxa"/>
            <w:gridSpan w:val="2"/>
            <w:vAlign w:val="center"/>
          </w:tcPr>
          <w:p w14:paraId="0CE6FE36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Portable tanks and bulk containers</w:t>
            </w:r>
          </w:p>
        </w:tc>
      </w:tr>
      <w:tr w:rsidR="00555068" w14:paraId="6E971F04" w14:textId="77777777" w:rsidTr="006E2F42">
        <w:tc>
          <w:tcPr>
            <w:tcW w:w="574" w:type="dxa"/>
            <w:vMerge/>
            <w:vAlign w:val="center"/>
          </w:tcPr>
          <w:p w14:paraId="36474483" w14:textId="77777777" w:rsidR="00555068" w:rsidRDefault="00555068" w:rsidP="00E304AC"/>
        </w:tc>
        <w:tc>
          <w:tcPr>
            <w:tcW w:w="1677" w:type="dxa"/>
            <w:vMerge/>
            <w:vAlign w:val="center"/>
          </w:tcPr>
          <w:p w14:paraId="671C14C1" w14:textId="77777777" w:rsidR="00555068" w:rsidRDefault="00555068" w:rsidP="00E304AC"/>
        </w:tc>
        <w:tc>
          <w:tcPr>
            <w:tcW w:w="768" w:type="dxa"/>
            <w:vMerge/>
            <w:vAlign w:val="center"/>
          </w:tcPr>
          <w:p w14:paraId="3B550EAC" w14:textId="77777777" w:rsidR="00555068" w:rsidRDefault="00555068" w:rsidP="00E304AC"/>
        </w:tc>
        <w:tc>
          <w:tcPr>
            <w:tcW w:w="864" w:type="dxa"/>
            <w:vMerge/>
            <w:vAlign w:val="center"/>
          </w:tcPr>
          <w:p w14:paraId="4920BF2A" w14:textId="77777777" w:rsidR="00555068" w:rsidRDefault="00555068" w:rsidP="00E304AC"/>
        </w:tc>
        <w:tc>
          <w:tcPr>
            <w:tcW w:w="773" w:type="dxa"/>
            <w:vMerge/>
            <w:vAlign w:val="center"/>
          </w:tcPr>
          <w:p w14:paraId="08529091" w14:textId="77777777" w:rsidR="00555068" w:rsidRDefault="00555068" w:rsidP="00E304AC"/>
        </w:tc>
        <w:tc>
          <w:tcPr>
            <w:tcW w:w="850" w:type="dxa"/>
            <w:vMerge/>
            <w:vAlign w:val="center"/>
          </w:tcPr>
          <w:p w14:paraId="6280CA23" w14:textId="77777777" w:rsidR="00555068" w:rsidRDefault="00555068" w:rsidP="00E304AC"/>
        </w:tc>
        <w:tc>
          <w:tcPr>
            <w:tcW w:w="835" w:type="dxa"/>
            <w:gridSpan w:val="2"/>
            <w:vMerge/>
            <w:vAlign w:val="center"/>
          </w:tcPr>
          <w:p w14:paraId="01D79B27" w14:textId="77777777" w:rsidR="00555068" w:rsidRDefault="00555068" w:rsidP="00E304AC"/>
        </w:tc>
        <w:tc>
          <w:tcPr>
            <w:tcW w:w="757" w:type="dxa"/>
            <w:gridSpan w:val="2"/>
            <w:vAlign w:val="center"/>
          </w:tcPr>
          <w:p w14:paraId="4767D300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Packing instruction</w:t>
            </w:r>
          </w:p>
        </w:tc>
        <w:tc>
          <w:tcPr>
            <w:tcW w:w="713" w:type="dxa"/>
            <w:vAlign w:val="center"/>
          </w:tcPr>
          <w:p w14:paraId="75168ACE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Special packing provisions</w:t>
            </w:r>
          </w:p>
        </w:tc>
        <w:tc>
          <w:tcPr>
            <w:tcW w:w="899" w:type="dxa"/>
            <w:vAlign w:val="center"/>
          </w:tcPr>
          <w:p w14:paraId="7CD7EF94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Instructions</w:t>
            </w:r>
          </w:p>
        </w:tc>
        <w:tc>
          <w:tcPr>
            <w:tcW w:w="782" w:type="dxa"/>
            <w:vAlign w:val="center"/>
          </w:tcPr>
          <w:p w14:paraId="030EEC97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Special provisions</w:t>
            </w:r>
          </w:p>
        </w:tc>
      </w:tr>
      <w:tr w:rsidR="00555068" w:rsidRPr="00F323E6" w14:paraId="262B371C" w14:textId="77777777" w:rsidTr="006E2F42">
        <w:tc>
          <w:tcPr>
            <w:tcW w:w="574" w:type="dxa"/>
          </w:tcPr>
          <w:p w14:paraId="368DC535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  <w:r w:rsidRPr="00F323E6">
              <w:rPr>
                <w:bCs/>
                <w:u w:val="single"/>
              </w:rPr>
              <w:t>35XX</w:t>
            </w:r>
          </w:p>
        </w:tc>
        <w:tc>
          <w:tcPr>
            <w:tcW w:w="1677" w:type="dxa"/>
          </w:tcPr>
          <w:p w14:paraId="77D34A42" w14:textId="77777777" w:rsidR="00555068" w:rsidRPr="00F323E6" w:rsidRDefault="00555068" w:rsidP="00E304AC">
            <w:pPr>
              <w:rPr>
                <w:rFonts w:eastAsiaTheme="minorEastAsia"/>
                <w:bCs/>
                <w:u w:val="single"/>
                <w:lang w:eastAsia="zh-CN"/>
              </w:rPr>
            </w:pPr>
            <w:r w:rsidRPr="00F323E6">
              <w:rPr>
                <w:rFonts w:eastAsiaTheme="minorEastAsia"/>
                <w:bCs/>
                <w:u w:val="single"/>
              </w:rPr>
              <w:t>GALLIUM CONTAINED IN MANUFACTURED ARTICLES</w:t>
            </w:r>
            <w:r w:rsidRPr="00F323E6">
              <w:rPr>
                <w:rFonts w:eastAsiaTheme="minorEastAsia"/>
                <w:bCs/>
                <w:u w:val="single"/>
                <w:lang w:eastAsia="zh-CN"/>
              </w:rPr>
              <w:t xml:space="preserve"> </w:t>
            </w:r>
          </w:p>
        </w:tc>
        <w:tc>
          <w:tcPr>
            <w:tcW w:w="768" w:type="dxa"/>
          </w:tcPr>
          <w:p w14:paraId="7FD4B52B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  <w:r w:rsidRPr="00F323E6">
              <w:rPr>
                <w:bCs/>
                <w:u w:val="single"/>
              </w:rPr>
              <w:t>8</w:t>
            </w:r>
          </w:p>
        </w:tc>
        <w:tc>
          <w:tcPr>
            <w:tcW w:w="864" w:type="dxa"/>
          </w:tcPr>
          <w:p w14:paraId="1E3721BE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773" w:type="dxa"/>
          </w:tcPr>
          <w:p w14:paraId="441637E3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850" w:type="dxa"/>
          </w:tcPr>
          <w:p w14:paraId="236ACC58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  <w:r w:rsidRPr="00F323E6">
              <w:rPr>
                <w:bCs/>
                <w:u w:val="single"/>
              </w:rPr>
              <w:t>366</w:t>
            </w:r>
          </w:p>
        </w:tc>
        <w:tc>
          <w:tcPr>
            <w:tcW w:w="435" w:type="dxa"/>
          </w:tcPr>
          <w:p w14:paraId="532E0D61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  <w:r w:rsidRPr="00F323E6">
              <w:rPr>
                <w:bCs/>
                <w:u w:val="single"/>
              </w:rPr>
              <w:t>5kg</w:t>
            </w:r>
          </w:p>
        </w:tc>
        <w:tc>
          <w:tcPr>
            <w:tcW w:w="400" w:type="dxa"/>
          </w:tcPr>
          <w:p w14:paraId="28C43208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  <w:r w:rsidRPr="00F323E6">
              <w:rPr>
                <w:bCs/>
                <w:u w:val="single"/>
              </w:rPr>
              <w:t>E0</w:t>
            </w:r>
          </w:p>
        </w:tc>
        <w:tc>
          <w:tcPr>
            <w:tcW w:w="735" w:type="dxa"/>
          </w:tcPr>
          <w:p w14:paraId="09C0370C" w14:textId="77777777" w:rsidR="00555068" w:rsidRPr="00F323E6" w:rsidRDefault="00555068" w:rsidP="00E304AC">
            <w:pPr>
              <w:jc w:val="center"/>
              <w:rPr>
                <w:bCs/>
                <w:u w:val="single"/>
              </w:rPr>
            </w:pPr>
            <w:r w:rsidRPr="00F323E6">
              <w:rPr>
                <w:bCs/>
                <w:u w:val="single"/>
              </w:rPr>
              <w:t>P003</w:t>
            </w:r>
          </w:p>
        </w:tc>
        <w:tc>
          <w:tcPr>
            <w:tcW w:w="735" w:type="dxa"/>
            <w:gridSpan w:val="2"/>
          </w:tcPr>
          <w:p w14:paraId="2E0C8E8B" w14:textId="77777777" w:rsidR="00555068" w:rsidRPr="00F323E6" w:rsidRDefault="00555068" w:rsidP="00E304AC">
            <w:pPr>
              <w:jc w:val="center"/>
              <w:rPr>
                <w:bCs/>
                <w:color w:val="000000" w:themeColor="text1"/>
                <w:u w:val="single"/>
              </w:rPr>
            </w:pPr>
            <w:r w:rsidRPr="00F323E6">
              <w:rPr>
                <w:bCs/>
                <w:color w:val="000000" w:themeColor="text1"/>
                <w:u w:val="single"/>
              </w:rPr>
              <w:t>PP90</w:t>
            </w:r>
          </w:p>
        </w:tc>
        <w:tc>
          <w:tcPr>
            <w:tcW w:w="899" w:type="dxa"/>
          </w:tcPr>
          <w:p w14:paraId="32C53367" w14:textId="77777777" w:rsidR="00555068" w:rsidRPr="00F323E6" w:rsidRDefault="00555068" w:rsidP="00E304AC">
            <w:pPr>
              <w:jc w:val="center"/>
              <w:rPr>
                <w:bCs/>
              </w:rPr>
            </w:pPr>
          </w:p>
        </w:tc>
        <w:tc>
          <w:tcPr>
            <w:tcW w:w="782" w:type="dxa"/>
          </w:tcPr>
          <w:p w14:paraId="5251C624" w14:textId="77777777" w:rsidR="00555068" w:rsidRPr="00F323E6" w:rsidRDefault="00555068" w:rsidP="00E304AC">
            <w:pPr>
              <w:jc w:val="center"/>
              <w:rPr>
                <w:bCs/>
              </w:rPr>
            </w:pPr>
          </w:p>
        </w:tc>
      </w:tr>
    </w:tbl>
    <w:p w14:paraId="1A584FC5" w14:textId="50A2F715" w:rsidR="00555068" w:rsidRPr="00F323E6" w:rsidRDefault="00F323E6" w:rsidP="00F323E6">
      <w:pPr>
        <w:pStyle w:val="SingleTxtG"/>
        <w:spacing w:before="240"/>
        <w:rPr>
          <w:lang w:val="en-US"/>
        </w:rPr>
      </w:pPr>
      <w:r>
        <w:rPr>
          <w:lang w:val="en-US"/>
        </w:rPr>
        <w:tab/>
        <w:t>6.</w:t>
      </w:r>
      <w:r>
        <w:rPr>
          <w:lang w:val="en-US"/>
        </w:rPr>
        <w:tab/>
      </w:r>
      <w:r w:rsidR="00555068" w:rsidRPr="00A36E4C">
        <w:rPr>
          <w:lang w:val="en-US"/>
        </w:rPr>
        <w:t xml:space="preserve">In 4.1.4.1 amend in packing instruction P003, special packaging provision PP90 to read as follows </w:t>
      </w:r>
      <w:r w:rsidR="00F05BD9" w:rsidRPr="006E2F42">
        <w:rPr>
          <w:lang w:val="en-US"/>
        </w:rPr>
        <w:t>(</w:t>
      </w:r>
      <w:r w:rsidR="00F05BD9" w:rsidRPr="006E2F42">
        <w:t xml:space="preserve">new text is </w:t>
      </w:r>
      <w:r w:rsidR="00F05BD9" w:rsidRPr="006E2F42">
        <w:rPr>
          <w:u w:val="single"/>
        </w:rPr>
        <w:t>underlined</w:t>
      </w:r>
      <w:r w:rsidR="00F05BD9" w:rsidRPr="006E2F42">
        <w:t xml:space="preserve">, deleted text in </w:t>
      </w:r>
      <w:r w:rsidR="00F05BD9" w:rsidRPr="006E2F42">
        <w:rPr>
          <w:bCs/>
          <w:strike/>
        </w:rPr>
        <w:t>strikethrough</w:t>
      </w:r>
      <w:r w:rsidR="00F05BD9" w:rsidRPr="006E2F42">
        <w:t>)</w:t>
      </w:r>
      <w:r w:rsidR="00F05BD9">
        <w:rPr>
          <w:lang w:val="en-US"/>
        </w:rPr>
        <w:t>:</w:t>
      </w:r>
    </w:p>
    <w:tbl>
      <w:tblPr>
        <w:tblStyle w:val="TableGrid"/>
        <w:tblW w:w="0" w:type="auto"/>
        <w:tblInd w:w="991" w:type="dxa"/>
        <w:tblLook w:val="04A0" w:firstRow="1" w:lastRow="0" w:firstColumn="1" w:lastColumn="0" w:noHBand="0" w:noVBand="1"/>
      </w:tblPr>
      <w:tblGrid>
        <w:gridCol w:w="7793"/>
      </w:tblGrid>
      <w:tr w:rsidR="00555068" w:rsidRPr="00954BE3" w14:paraId="115EA9D8" w14:textId="77777777" w:rsidTr="00543DFE">
        <w:trPr>
          <w:trHeight w:val="340"/>
        </w:trPr>
        <w:tc>
          <w:tcPr>
            <w:tcW w:w="7793" w:type="dxa"/>
          </w:tcPr>
          <w:p w14:paraId="48F8F1BD" w14:textId="77777777" w:rsidR="00555068" w:rsidRPr="008E203E" w:rsidRDefault="00555068" w:rsidP="00E304AC">
            <w:pPr>
              <w:pStyle w:val="ListParagraph"/>
              <w:ind w:firstLineChars="0" w:firstLine="0"/>
              <w:jc w:val="both"/>
              <w:rPr>
                <w:b/>
              </w:rPr>
            </w:pPr>
            <w:r w:rsidRPr="008E203E">
              <w:rPr>
                <w:b/>
              </w:rPr>
              <w:t xml:space="preserve">P003                                                       </w:t>
            </w:r>
            <w:r w:rsidRPr="008E203E">
              <w:rPr>
                <w:rFonts w:eastAsiaTheme="minorEastAsia"/>
                <w:b/>
                <w:lang w:eastAsia="zh-CN"/>
              </w:rPr>
              <w:t xml:space="preserve">PACKING INSTRUCTION </w:t>
            </w:r>
            <w:r w:rsidRPr="008E203E">
              <w:rPr>
                <w:b/>
              </w:rPr>
              <w:t xml:space="preserve">                                                P003</w:t>
            </w:r>
          </w:p>
        </w:tc>
      </w:tr>
      <w:tr w:rsidR="00555068" w14:paraId="472B3F3A" w14:textId="77777777" w:rsidTr="00543DFE">
        <w:trPr>
          <w:trHeight w:val="340"/>
        </w:trPr>
        <w:tc>
          <w:tcPr>
            <w:tcW w:w="7793" w:type="dxa"/>
          </w:tcPr>
          <w:p w14:paraId="77A67033" w14:textId="2B78F254" w:rsidR="00555068" w:rsidRPr="00F05BD9" w:rsidRDefault="00F05BD9" w:rsidP="00F05BD9">
            <w:pPr>
              <w:rPr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</w:tc>
      </w:tr>
      <w:tr w:rsidR="00555068" w:rsidRPr="00954BE3" w14:paraId="4F131BF0" w14:textId="77777777" w:rsidTr="00543DFE">
        <w:trPr>
          <w:trHeight w:val="340"/>
        </w:trPr>
        <w:tc>
          <w:tcPr>
            <w:tcW w:w="7793" w:type="dxa"/>
            <w:tcBorders>
              <w:bottom w:val="single" w:sz="4" w:space="0" w:color="auto"/>
            </w:tcBorders>
          </w:tcPr>
          <w:p w14:paraId="7A2A97EB" w14:textId="3E0C8EA6" w:rsidR="00646742" w:rsidRPr="00954BE3" w:rsidRDefault="00555068" w:rsidP="00543DFE">
            <w:pPr>
              <w:tabs>
                <w:tab w:val="left" w:pos="565"/>
              </w:tabs>
              <w:spacing w:beforeLines="50" w:before="120" w:after="120"/>
              <w:ind w:left="565" w:right="133" w:hanging="565"/>
              <w:jc w:val="both"/>
              <w:rPr>
                <w:rFonts w:eastAsiaTheme="minorEastAsia"/>
                <w:lang w:eastAsia="zh-CN"/>
              </w:rPr>
            </w:pPr>
            <w:r w:rsidRPr="000A0229">
              <w:rPr>
                <w:rFonts w:hint="eastAsia"/>
                <w:b/>
                <w:lang w:eastAsia="zh-CN"/>
              </w:rPr>
              <w:t>P</w:t>
            </w:r>
            <w:r w:rsidRPr="000A0229">
              <w:rPr>
                <w:b/>
                <w:lang w:eastAsia="zh-CN"/>
              </w:rPr>
              <w:t>P90</w:t>
            </w:r>
            <w:r w:rsidR="00543DFE">
              <w:rPr>
                <w:b/>
                <w:lang w:eastAsia="zh-CN"/>
              </w:rPr>
              <w:tab/>
            </w:r>
            <w:r w:rsidRPr="00C74F7E">
              <w:rPr>
                <w:lang w:eastAsia="zh-CN"/>
              </w:rPr>
              <w:t>For UN 3506</w:t>
            </w:r>
            <w:r>
              <w:rPr>
                <w:lang w:eastAsia="zh-CN"/>
              </w:rPr>
              <w:t xml:space="preserve"> </w:t>
            </w:r>
            <w:r w:rsidRPr="00F323E6">
              <w:rPr>
                <w:bCs/>
                <w:u w:val="single"/>
                <w:lang w:eastAsia="zh-CN"/>
              </w:rPr>
              <w:t>and UN</w:t>
            </w:r>
            <w:r w:rsidR="00F05BD9">
              <w:rPr>
                <w:bCs/>
                <w:u w:val="single"/>
                <w:lang w:eastAsia="zh-CN"/>
              </w:rPr>
              <w:t xml:space="preserve"> </w:t>
            </w:r>
            <w:r w:rsidRPr="00F323E6">
              <w:rPr>
                <w:bCs/>
                <w:u w:val="single"/>
                <w:lang w:eastAsia="zh-CN"/>
              </w:rPr>
              <w:t>35XX</w:t>
            </w:r>
            <w:r w:rsidRPr="00C74F7E">
              <w:rPr>
                <w:lang w:eastAsia="zh-CN"/>
              </w:rPr>
              <w:t>, sealed inner liners or bags of strong leak-proof and puncture resistant material impervious</w:t>
            </w:r>
            <w:r>
              <w:rPr>
                <w:lang w:eastAsia="zh-CN"/>
              </w:rPr>
              <w:t xml:space="preserve"> </w:t>
            </w:r>
            <w:r w:rsidRPr="00C74F7E">
              <w:rPr>
                <w:lang w:eastAsia="zh-CN"/>
              </w:rPr>
              <w:t>to mercury</w:t>
            </w:r>
            <w:r>
              <w:rPr>
                <w:lang w:eastAsia="zh-CN"/>
              </w:rPr>
              <w:t xml:space="preserve"> </w:t>
            </w:r>
            <w:r w:rsidRPr="00F323E6">
              <w:rPr>
                <w:bCs/>
                <w:u w:val="single"/>
                <w:lang w:eastAsia="zh-CN"/>
              </w:rPr>
              <w:t>or gallium</w:t>
            </w:r>
            <w:r w:rsidRPr="00C74F7E">
              <w:rPr>
                <w:lang w:eastAsia="zh-CN"/>
              </w:rPr>
              <w:t xml:space="preserve"> which will prevent escape of the substance from the package irrespective of the position or the</w:t>
            </w:r>
            <w:r>
              <w:rPr>
                <w:lang w:eastAsia="zh-CN"/>
              </w:rPr>
              <w:t xml:space="preserve"> </w:t>
            </w:r>
            <w:r w:rsidRPr="00C74F7E">
              <w:rPr>
                <w:lang w:eastAsia="zh-CN"/>
              </w:rPr>
              <w:t xml:space="preserve">orientation of the package shall be used. </w:t>
            </w:r>
            <w:r w:rsidRPr="00C74F7E">
              <w:t>For air transport additional requirements may apply.</w:t>
            </w:r>
          </w:p>
        </w:tc>
      </w:tr>
    </w:tbl>
    <w:p w14:paraId="13935DA1" w14:textId="44D723CC" w:rsidR="00555068" w:rsidRDefault="00F323E6" w:rsidP="00F323E6">
      <w:pPr>
        <w:pStyle w:val="SingleTxtG"/>
        <w:spacing w:before="240"/>
      </w:pPr>
      <w:r>
        <w:rPr>
          <w:lang w:val="en-US"/>
        </w:rPr>
        <w:tab/>
        <w:t>7.</w:t>
      </w:r>
      <w:r>
        <w:rPr>
          <w:lang w:val="en-US"/>
        </w:rPr>
        <w:tab/>
      </w:r>
      <w:r w:rsidR="00555068" w:rsidRPr="00A36E4C">
        <w:rPr>
          <w:lang w:val="en-US"/>
        </w:rPr>
        <w:t>In Chapter 3.3 amend special provision 366 to read as follows</w:t>
      </w:r>
      <w:r w:rsidR="00555068">
        <w:t xml:space="preserve"> </w:t>
      </w:r>
      <w:r w:rsidR="00555068" w:rsidRPr="004534D2">
        <w:rPr>
          <w:lang w:val="en-US"/>
        </w:rPr>
        <w:t>(</w:t>
      </w:r>
      <w:r w:rsidR="00120301" w:rsidRPr="006E2F42">
        <w:t xml:space="preserve">new text is </w:t>
      </w:r>
      <w:r w:rsidR="00120301" w:rsidRPr="006E2F42">
        <w:rPr>
          <w:u w:val="single"/>
        </w:rPr>
        <w:t>underlined</w:t>
      </w:r>
      <w:r w:rsidR="00120301" w:rsidRPr="006E2F42">
        <w:t xml:space="preserve">, deleted text in </w:t>
      </w:r>
      <w:r w:rsidR="00120301" w:rsidRPr="006E2F42">
        <w:rPr>
          <w:bCs/>
          <w:strike/>
        </w:rPr>
        <w:t>strikethrough</w:t>
      </w:r>
      <w:r w:rsidR="00555068" w:rsidRPr="004534D2">
        <w:t>)</w:t>
      </w:r>
      <w:r w:rsidR="00555068" w:rsidRPr="004534D2">
        <w:rPr>
          <w:lang w:val="en-US"/>
        </w:rPr>
        <w:t>:</w:t>
      </w:r>
    </w:p>
    <w:p w14:paraId="7BC8C6D5" w14:textId="33215C44" w:rsidR="00555068" w:rsidRDefault="008844AE" w:rsidP="008844AE">
      <w:pPr>
        <w:pStyle w:val="SingleTxtG"/>
        <w:tabs>
          <w:tab w:val="left" w:pos="1701"/>
        </w:tabs>
        <w:ind w:left="1701" w:hanging="567"/>
      </w:pPr>
      <w:r w:rsidRPr="008844AE">
        <w:rPr>
          <w:bCs/>
        </w:rPr>
        <w:t>“</w:t>
      </w:r>
      <w:r w:rsidR="00555068" w:rsidRPr="00221482">
        <w:rPr>
          <w:b/>
        </w:rPr>
        <w:t>366</w:t>
      </w:r>
      <w:r>
        <w:tab/>
      </w:r>
      <w:r w:rsidR="00555068" w:rsidRPr="00AC242F">
        <w:t>For land and sea transport, manufactured instruments and articles containing not more</w:t>
      </w:r>
      <w:r w:rsidR="00555068">
        <w:t xml:space="preserve"> </w:t>
      </w:r>
      <w:r w:rsidR="00555068" w:rsidRPr="00AC242F">
        <w:t xml:space="preserve">than 1 kg of </w:t>
      </w:r>
      <w:r w:rsidR="00555068" w:rsidRPr="00F323E6">
        <w:t>mercury</w:t>
      </w:r>
      <w:r w:rsidR="00555068" w:rsidRPr="00F323E6">
        <w:rPr>
          <w:u w:val="single"/>
        </w:rPr>
        <w:t xml:space="preserve"> or gallium</w:t>
      </w:r>
      <w:r w:rsidR="00555068">
        <w:t xml:space="preserve"> </w:t>
      </w:r>
      <w:r w:rsidR="00555068" w:rsidRPr="00AC242F">
        <w:t xml:space="preserve">are not subject to these </w:t>
      </w:r>
      <w:r w:rsidR="00555068" w:rsidRPr="00F323E6">
        <w:t>Regulations</w:t>
      </w:r>
      <w:r w:rsidR="00555068" w:rsidRPr="00AC242F">
        <w:t>. For air transport, articles</w:t>
      </w:r>
      <w:r w:rsidR="00555068">
        <w:t xml:space="preserve"> </w:t>
      </w:r>
      <w:r w:rsidR="00555068" w:rsidRPr="00AC242F">
        <w:t xml:space="preserve">containing not more than 15 g of mercury </w:t>
      </w:r>
      <w:r w:rsidR="00555068" w:rsidRPr="00F323E6">
        <w:rPr>
          <w:bCs/>
          <w:u w:val="single"/>
        </w:rPr>
        <w:t>or gallium</w:t>
      </w:r>
      <w:r w:rsidR="00555068">
        <w:rPr>
          <w:b/>
          <w:u w:val="single"/>
        </w:rPr>
        <w:t xml:space="preserve"> </w:t>
      </w:r>
      <w:r w:rsidR="00555068" w:rsidRPr="00AC242F">
        <w:t>are not subject to these Regulations.</w:t>
      </w:r>
      <w:r>
        <w:t>”</w:t>
      </w:r>
    </w:p>
    <w:p w14:paraId="47481BFC" w14:textId="346FCD3A" w:rsidR="00555068" w:rsidRPr="004534D2" w:rsidRDefault="00F323E6" w:rsidP="00F323E6">
      <w:pPr>
        <w:pStyle w:val="SingleTxtG"/>
        <w:rPr>
          <w:lang w:val="en-US"/>
        </w:rPr>
      </w:pPr>
      <w:r>
        <w:rPr>
          <w:lang w:val="en-US"/>
        </w:rPr>
        <w:tab/>
        <w:t>8.</w:t>
      </w:r>
      <w:r>
        <w:rPr>
          <w:lang w:val="en-US"/>
        </w:rPr>
        <w:tab/>
      </w:r>
      <w:r w:rsidR="00555068" w:rsidRPr="00A36E4C">
        <w:rPr>
          <w:lang w:val="en-US"/>
        </w:rPr>
        <w:t>And amend special provision 365 to read as follows</w:t>
      </w:r>
      <w:r w:rsidR="00555068" w:rsidRPr="004534D2">
        <w:rPr>
          <w:lang w:val="en-US"/>
        </w:rPr>
        <w:t xml:space="preserve"> (</w:t>
      </w:r>
      <w:r w:rsidR="00120301" w:rsidRPr="006E2F42">
        <w:t xml:space="preserve">new text is </w:t>
      </w:r>
      <w:r w:rsidR="00120301" w:rsidRPr="006E2F42">
        <w:rPr>
          <w:u w:val="single"/>
        </w:rPr>
        <w:t>underlined</w:t>
      </w:r>
      <w:r w:rsidR="00120301" w:rsidRPr="006E2F42">
        <w:t xml:space="preserve">, deleted text in </w:t>
      </w:r>
      <w:r w:rsidR="00120301" w:rsidRPr="006E2F42">
        <w:rPr>
          <w:bCs/>
          <w:strike/>
        </w:rPr>
        <w:t>strikethrough</w:t>
      </w:r>
      <w:r w:rsidR="00555068" w:rsidRPr="004534D2">
        <w:t>)</w:t>
      </w:r>
      <w:r w:rsidR="00120301">
        <w:rPr>
          <w:lang w:val="en-US"/>
        </w:rPr>
        <w:t>:</w:t>
      </w:r>
    </w:p>
    <w:p w14:paraId="5673197E" w14:textId="325D2237" w:rsidR="00555068" w:rsidRPr="00CA1483" w:rsidRDefault="00120301" w:rsidP="00120301">
      <w:pPr>
        <w:pStyle w:val="SingleTxtG"/>
        <w:tabs>
          <w:tab w:val="left" w:pos="1701"/>
        </w:tabs>
        <w:ind w:left="1701" w:hanging="567"/>
      </w:pPr>
      <w:r w:rsidRPr="00120301">
        <w:rPr>
          <w:bCs/>
        </w:rPr>
        <w:t>“</w:t>
      </w:r>
      <w:r w:rsidR="00555068" w:rsidRPr="00646D20">
        <w:rPr>
          <w:b/>
        </w:rPr>
        <w:t>365</w:t>
      </w:r>
      <w:r>
        <w:rPr>
          <w:b/>
        </w:rPr>
        <w:tab/>
      </w:r>
      <w:r w:rsidR="00555068" w:rsidRPr="0032319A">
        <w:t>For manufactured instruments and articles containing mercury</w:t>
      </w:r>
      <w:r w:rsidR="00555068">
        <w:t xml:space="preserve"> </w:t>
      </w:r>
      <w:r w:rsidR="00555068" w:rsidRPr="00F323E6">
        <w:rPr>
          <w:bCs/>
          <w:u w:val="single"/>
        </w:rPr>
        <w:t>or gallium</w:t>
      </w:r>
      <w:r w:rsidR="00555068" w:rsidRPr="0032319A">
        <w:t>, see UN</w:t>
      </w:r>
      <w:r w:rsidR="00F03C0F">
        <w:t> </w:t>
      </w:r>
      <w:r w:rsidR="00555068" w:rsidRPr="0032319A">
        <w:t>3506</w:t>
      </w:r>
      <w:r w:rsidR="00555068">
        <w:t xml:space="preserve"> </w:t>
      </w:r>
      <w:r w:rsidR="00555068" w:rsidRPr="00F323E6">
        <w:rPr>
          <w:bCs/>
          <w:u w:val="single"/>
        </w:rPr>
        <w:t>or UN</w:t>
      </w:r>
      <w:r w:rsidR="00CA1483">
        <w:rPr>
          <w:bCs/>
          <w:u w:val="single"/>
        </w:rPr>
        <w:t xml:space="preserve"> </w:t>
      </w:r>
      <w:r w:rsidR="00555068" w:rsidRPr="00F323E6">
        <w:rPr>
          <w:bCs/>
          <w:u w:val="single"/>
        </w:rPr>
        <w:t>35XX</w:t>
      </w:r>
      <w:r w:rsidR="00CA1483" w:rsidRPr="00CA1483">
        <w:rPr>
          <w:bCs/>
        </w:rPr>
        <w:t>.</w:t>
      </w:r>
      <w:r w:rsidRPr="00CA1483">
        <w:rPr>
          <w:bCs/>
        </w:rPr>
        <w:t>”</w:t>
      </w:r>
    </w:p>
    <w:p w14:paraId="7C47B199" w14:textId="77777777" w:rsidR="00320500" w:rsidRDefault="0032050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D12BF45" w14:textId="1A4C4D8C" w:rsidR="00555068" w:rsidRDefault="00320500" w:rsidP="00320500">
      <w:pPr>
        <w:pStyle w:val="SingleTxtG"/>
      </w:pPr>
      <w:r>
        <w:rPr>
          <w:lang w:val="en-US"/>
        </w:rPr>
        <w:lastRenderedPageBreak/>
        <w:tab/>
        <w:t>9.</w:t>
      </w:r>
      <w:r>
        <w:rPr>
          <w:lang w:val="en-US"/>
        </w:rPr>
        <w:tab/>
      </w:r>
      <w:r w:rsidR="00555068">
        <w:rPr>
          <w:lang w:val="en-US"/>
        </w:rPr>
        <w:t>In addition</w:t>
      </w:r>
      <w:r w:rsidR="00555068" w:rsidRPr="004534D2">
        <w:rPr>
          <w:lang w:val="en-US"/>
        </w:rPr>
        <w:t xml:space="preserve">, </w:t>
      </w:r>
      <w:r w:rsidR="00555068">
        <w:rPr>
          <w:lang w:val="en-US"/>
        </w:rPr>
        <w:t xml:space="preserve">amend in 3.2.2 the existing entry UN No. 2803 GALLIUM to </w:t>
      </w:r>
      <w:r w:rsidR="00555068" w:rsidRPr="004534D2">
        <w:rPr>
          <w:lang w:val="en-US"/>
        </w:rPr>
        <w:t>appl</w:t>
      </w:r>
      <w:r w:rsidR="00555068">
        <w:rPr>
          <w:lang w:val="en-US"/>
        </w:rPr>
        <w:t>y special provision 365: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93"/>
        <w:gridCol w:w="807"/>
        <w:gridCol w:w="752"/>
        <w:gridCol w:w="709"/>
        <w:gridCol w:w="902"/>
        <w:gridCol w:w="448"/>
        <w:gridCol w:w="448"/>
        <w:gridCol w:w="735"/>
        <w:gridCol w:w="22"/>
        <w:gridCol w:w="713"/>
        <w:gridCol w:w="924"/>
        <w:gridCol w:w="810"/>
      </w:tblGrid>
      <w:tr w:rsidR="00555068" w14:paraId="05B2892A" w14:textId="77777777" w:rsidTr="00A1719A">
        <w:tc>
          <w:tcPr>
            <w:tcW w:w="708" w:type="dxa"/>
            <w:vMerge w:val="restart"/>
            <w:vAlign w:val="center"/>
          </w:tcPr>
          <w:p w14:paraId="1A8ED579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UN No.</w:t>
            </w:r>
          </w:p>
        </w:tc>
        <w:tc>
          <w:tcPr>
            <w:tcW w:w="993" w:type="dxa"/>
            <w:vMerge w:val="restart"/>
            <w:vAlign w:val="center"/>
          </w:tcPr>
          <w:p w14:paraId="74A033CF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Name and description</w:t>
            </w:r>
          </w:p>
        </w:tc>
        <w:tc>
          <w:tcPr>
            <w:tcW w:w="807" w:type="dxa"/>
            <w:vMerge w:val="restart"/>
            <w:vAlign w:val="center"/>
          </w:tcPr>
          <w:p w14:paraId="40F07686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Class or division</w:t>
            </w:r>
          </w:p>
        </w:tc>
        <w:tc>
          <w:tcPr>
            <w:tcW w:w="752" w:type="dxa"/>
            <w:vMerge w:val="restart"/>
            <w:vAlign w:val="center"/>
          </w:tcPr>
          <w:p w14:paraId="63FFC2ED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Subsidiary hazard</w:t>
            </w:r>
          </w:p>
        </w:tc>
        <w:tc>
          <w:tcPr>
            <w:tcW w:w="709" w:type="dxa"/>
            <w:vMerge w:val="restart"/>
            <w:vAlign w:val="center"/>
          </w:tcPr>
          <w:p w14:paraId="65E5EC8A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UN packing group</w:t>
            </w:r>
          </w:p>
        </w:tc>
        <w:tc>
          <w:tcPr>
            <w:tcW w:w="902" w:type="dxa"/>
            <w:vMerge w:val="restart"/>
            <w:vAlign w:val="center"/>
          </w:tcPr>
          <w:p w14:paraId="496B083E" w14:textId="111C83E6" w:rsidR="00555068" w:rsidRPr="00F00104" w:rsidRDefault="00555068" w:rsidP="00F03C0F">
            <w:pPr>
              <w:rPr>
                <w:b/>
                <w:u w:val="single"/>
              </w:rPr>
            </w:pPr>
            <w:r w:rsidRPr="00B15BAC">
              <w:rPr>
                <w:b/>
                <w:bCs/>
                <w:sz w:val="16"/>
                <w:szCs w:val="16"/>
              </w:rPr>
              <w:t>Special Provisions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14:paraId="2A281B0D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Limited and excepted quantities</w:t>
            </w:r>
          </w:p>
        </w:tc>
        <w:tc>
          <w:tcPr>
            <w:tcW w:w="1470" w:type="dxa"/>
            <w:gridSpan w:val="3"/>
            <w:vAlign w:val="center"/>
          </w:tcPr>
          <w:p w14:paraId="5FA2841C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Packagings and IBCs</w:t>
            </w:r>
          </w:p>
        </w:tc>
        <w:tc>
          <w:tcPr>
            <w:tcW w:w="1734" w:type="dxa"/>
            <w:gridSpan w:val="2"/>
            <w:vAlign w:val="center"/>
          </w:tcPr>
          <w:p w14:paraId="78B2FD76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Portable tanks and bulk containers</w:t>
            </w:r>
          </w:p>
        </w:tc>
      </w:tr>
      <w:tr w:rsidR="00555068" w14:paraId="18FB08FE" w14:textId="77777777" w:rsidTr="00A1719A">
        <w:tc>
          <w:tcPr>
            <w:tcW w:w="708" w:type="dxa"/>
            <w:vMerge/>
            <w:vAlign w:val="center"/>
          </w:tcPr>
          <w:p w14:paraId="2D44B5F3" w14:textId="77777777" w:rsidR="00555068" w:rsidRDefault="00555068" w:rsidP="00E304AC"/>
        </w:tc>
        <w:tc>
          <w:tcPr>
            <w:tcW w:w="993" w:type="dxa"/>
            <w:vMerge/>
            <w:vAlign w:val="center"/>
          </w:tcPr>
          <w:p w14:paraId="4004ECC4" w14:textId="77777777" w:rsidR="00555068" w:rsidRDefault="00555068" w:rsidP="00E304AC"/>
        </w:tc>
        <w:tc>
          <w:tcPr>
            <w:tcW w:w="807" w:type="dxa"/>
            <w:vMerge/>
            <w:vAlign w:val="center"/>
          </w:tcPr>
          <w:p w14:paraId="17FBEB9B" w14:textId="77777777" w:rsidR="00555068" w:rsidRDefault="00555068" w:rsidP="00E304AC"/>
        </w:tc>
        <w:tc>
          <w:tcPr>
            <w:tcW w:w="752" w:type="dxa"/>
            <w:vMerge/>
            <w:vAlign w:val="center"/>
          </w:tcPr>
          <w:p w14:paraId="368A48F7" w14:textId="77777777" w:rsidR="00555068" w:rsidRDefault="00555068" w:rsidP="00E304AC"/>
        </w:tc>
        <w:tc>
          <w:tcPr>
            <w:tcW w:w="709" w:type="dxa"/>
            <w:vMerge/>
            <w:vAlign w:val="center"/>
          </w:tcPr>
          <w:p w14:paraId="721DF349" w14:textId="77777777" w:rsidR="00555068" w:rsidRDefault="00555068" w:rsidP="00E304AC"/>
        </w:tc>
        <w:tc>
          <w:tcPr>
            <w:tcW w:w="902" w:type="dxa"/>
            <w:vMerge/>
            <w:vAlign w:val="center"/>
          </w:tcPr>
          <w:p w14:paraId="020B2345" w14:textId="77777777" w:rsidR="00555068" w:rsidRPr="00F00104" w:rsidRDefault="00555068" w:rsidP="00E304AC">
            <w:pPr>
              <w:rPr>
                <w:b/>
                <w:u w:val="single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14:paraId="0054C957" w14:textId="77777777" w:rsidR="00555068" w:rsidRDefault="00555068" w:rsidP="00E304AC"/>
        </w:tc>
        <w:tc>
          <w:tcPr>
            <w:tcW w:w="757" w:type="dxa"/>
            <w:gridSpan w:val="2"/>
            <w:vAlign w:val="center"/>
          </w:tcPr>
          <w:p w14:paraId="4FBCB5B8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Packing instruction</w:t>
            </w:r>
          </w:p>
        </w:tc>
        <w:tc>
          <w:tcPr>
            <w:tcW w:w="713" w:type="dxa"/>
            <w:vAlign w:val="center"/>
          </w:tcPr>
          <w:p w14:paraId="15943DA4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Special packing provisions</w:t>
            </w:r>
          </w:p>
        </w:tc>
        <w:tc>
          <w:tcPr>
            <w:tcW w:w="924" w:type="dxa"/>
            <w:vAlign w:val="center"/>
          </w:tcPr>
          <w:p w14:paraId="730D7213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Instructions</w:t>
            </w:r>
          </w:p>
        </w:tc>
        <w:tc>
          <w:tcPr>
            <w:tcW w:w="810" w:type="dxa"/>
            <w:vAlign w:val="center"/>
          </w:tcPr>
          <w:p w14:paraId="65DE3744" w14:textId="77777777" w:rsidR="00555068" w:rsidRDefault="00555068" w:rsidP="00E304AC">
            <w:r>
              <w:rPr>
                <w:b/>
                <w:bCs/>
                <w:sz w:val="16"/>
                <w:szCs w:val="16"/>
              </w:rPr>
              <w:t>Special provisions</w:t>
            </w:r>
          </w:p>
        </w:tc>
      </w:tr>
      <w:tr w:rsidR="00555068" w14:paraId="3F9BEE64" w14:textId="77777777" w:rsidTr="00A1719A">
        <w:tc>
          <w:tcPr>
            <w:tcW w:w="708" w:type="dxa"/>
          </w:tcPr>
          <w:p w14:paraId="7194B137" w14:textId="77777777" w:rsidR="00555068" w:rsidRDefault="00555068" w:rsidP="00F30BC3">
            <w:pPr>
              <w:spacing w:before="120" w:after="120"/>
              <w:jc w:val="center"/>
            </w:pPr>
            <w:r>
              <w:t>2803</w:t>
            </w:r>
          </w:p>
        </w:tc>
        <w:tc>
          <w:tcPr>
            <w:tcW w:w="993" w:type="dxa"/>
          </w:tcPr>
          <w:p w14:paraId="705F8CFA" w14:textId="77777777" w:rsidR="00555068" w:rsidRPr="0050407E" w:rsidRDefault="00555068" w:rsidP="00F30BC3">
            <w:pPr>
              <w:spacing w:before="120" w:after="120"/>
              <w:jc w:val="center"/>
              <w:rPr>
                <w:lang w:eastAsia="zh-CN"/>
              </w:rPr>
            </w:pPr>
            <w:r w:rsidRPr="0050407E">
              <w:rPr>
                <w:rFonts w:eastAsiaTheme="minorEastAsia"/>
                <w:lang w:eastAsia="zh-CN"/>
              </w:rPr>
              <w:t>GALLIUM</w:t>
            </w:r>
          </w:p>
        </w:tc>
        <w:tc>
          <w:tcPr>
            <w:tcW w:w="807" w:type="dxa"/>
          </w:tcPr>
          <w:p w14:paraId="1CB058B8" w14:textId="77777777" w:rsidR="00555068" w:rsidRDefault="00555068" w:rsidP="00F30BC3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752" w:type="dxa"/>
          </w:tcPr>
          <w:p w14:paraId="34485519" w14:textId="77777777" w:rsidR="00555068" w:rsidRDefault="00555068" w:rsidP="00F30BC3">
            <w:pPr>
              <w:spacing w:before="120" w:after="120"/>
              <w:jc w:val="center"/>
            </w:pPr>
          </w:p>
        </w:tc>
        <w:tc>
          <w:tcPr>
            <w:tcW w:w="709" w:type="dxa"/>
          </w:tcPr>
          <w:p w14:paraId="55F57A25" w14:textId="77777777" w:rsidR="00555068" w:rsidRDefault="00555068" w:rsidP="00F30BC3">
            <w:pPr>
              <w:spacing w:before="120" w:after="120"/>
              <w:jc w:val="center"/>
            </w:pPr>
            <w:r>
              <w:rPr>
                <w:rFonts w:ascii="FangSong" w:eastAsia="FangSong" w:hAnsi="FangSong" w:hint="eastAsia"/>
              </w:rPr>
              <w:t>Ⅲ</w:t>
            </w:r>
          </w:p>
        </w:tc>
        <w:tc>
          <w:tcPr>
            <w:tcW w:w="902" w:type="dxa"/>
          </w:tcPr>
          <w:p w14:paraId="455BC405" w14:textId="77777777" w:rsidR="00555068" w:rsidRPr="00320500" w:rsidRDefault="00555068" w:rsidP="00F30BC3">
            <w:pPr>
              <w:spacing w:before="120" w:after="120"/>
              <w:jc w:val="center"/>
              <w:rPr>
                <w:bCs/>
                <w:u w:val="single"/>
              </w:rPr>
            </w:pPr>
            <w:r w:rsidRPr="00320500">
              <w:rPr>
                <w:bCs/>
                <w:u w:val="single"/>
              </w:rPr>
              <w:t>365</w:t>
            </w:r>
          </w:p>
        </w:tc>
        <w:tc>
          <w:tcPr>
            <w:tcW w:w="448" w:type="dxa"/>
          </w:tcPr>
          <w:p w14:paraId="6C7BC0D7" w14:textId="3A90C4F1" w:rsidR="00555068" w:rsidRDefault="00555068" w:rsidP="00F30BC3">
            <w:pPr>
              <w:spacing w:before="120" w:after="120"/>
              <w:jc w:val="center"/>
            </w:pPr>
            <w:r>
              <w:t>5</w:t>
            </w:r>
            <w:r w:rsidR="0034045E">
              <w:t xml:space="preserve"> </w:t>
            </w:r>
            <w:r>
              <w:t>kg</w:t>
            </w:r>
          </w:p>
        </w:tc>
        <w:tc>
          <w:tcPr>
            <w:tcW w:w="448" w:type="dxa"/>
          </w:tcPr>
          <w:p w14:paraId="62A1EDD1" w14:textId="77777777" w:rsidR="00555068" w:rsidRDefault="00555068" w:rsidP="00F30BC3">
            <w:pPr>
              <w:spacing w:before="120" w:after="120"/>
              <w:jc w:val="center"/>
            </w:pPr>
            <w:r>
              <w:t>E0</w:t>
            </w:r>
          </w:p>
        </w:tc>
        <w:tc>
          <w:tcPr>
            <w:tcW w:w="735" w:type="dxa"/>
          </w:tcPr>
          <w:p w14:paraId="792D528C" w14:textId="77777777" w:rsidR="00555068" w:rsidRDefault="00555068" w:rsidP="00F30BC3">
            <w:pPr>
              <w:spacing w:before="120" w:after="120"/>
              <w:jc w:val="center"/>
            </w:pPr>
            <w:r>
              <w:t>P800</w:t>
            </w:r>
          </w:p>
        </w:tc>
        <w:tc>
          <w:tcPr>
            <w:tcW w:w="735" w:type="dxa"/>
            <w:gridSpan w:val="2"/>
          </w:tcPr>
          <w:p w14:paraId="5AC4CD14" w14:textId="77777777" w:rsidR="00555068" w:rsidRDefault="00555068" w:rsidP="00F30BC3">
            <w:pPr>
              <w:spacing w:before="120" w:after="120"/>
              <w:jc w:val="center"/>
            </w:pPr>
            <w:r>
              <w:t>PP41</w:t>
            </w:r>
          </w:p>
        </w:tc>
        <w:tc>
          <w:tcPr>
            <w:tcW w:w="924" w:type="dxa"/>
          </w:tcPr>
          <w:p w14:paraId="4AFC5ACC" w14:textId="77777777" w:rsidR="00555068" w:rsidRPr="0050407E" w:rsidRDefault="00555068" w:rsidP="00F30BC3">
            <w:pPr>
              <w:spacing w:before="120" w:after="120"/>
              <w:jc w:val="center"/>
            </w:pPr>
            <w:r w:rsidRPr="0050407E">
              <w:rPr>
                <w:rFonts w:eastAsiaTheme="minorEastAsia"/>
              </w:rPr>
              <w:t>T1</w:t>
            </w:r>
          </w:p>
        </w:tc>
        <w:tc>
          <w:tcPr>
            <w:tcW w:w="810" w:type="dxa"/>
          </w:tcPr>
          <w:p w14:paraId="4E34187A" w14:textId="77777777" w:rsidR="00555068" w:rsidRDefault="00555068" w:rsidP="00F30BC3">
            <w:pPr>
              <w:spacing w:before="120" w:after="120"/>
              <w:jc w:val="center"/>
            </w:pPr>
            <w:r>
              <w:t>TP33</w:t>
            </w:r>
          </w:p>
        </w:tc>
      </w:tr>
    </w:tbl>
    <w:p w14:paraId="1DA3D7A5" w14:textId="4D2013D6" w:rsidR="00DB4FA1" w:rsidRPr="00183DD8" w:rsidRDefault="00183DD8" w:rsidP="00183D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FA1" w:rsidRPr="00183DD8" w:rsidSect="00D6148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A9A1" w14:textId="77777777" w:rsidR="006874A5" w:rsidRPr="00C47B2E" w:rsidRDefault="006874A5" w:rsidP="00C47B2E">
      <w:pPr>
        <w:pStyle w:val="Footer"/>
      </w:pPr>
    </w:p>
  </w:endnote>
  <w:endnote w:type="continuationSeparator" w:id="0">
    <w:p w14:paraId="6578DCC7" w14:textId="77777777" w:rsidR="006874A5" w:rsidRPr="00C47B2E" w:rsidRDefault="006874A5" w:rsidP="00C47B2E">
      <w:pPr>
        <w:pStyle w:val="Footer"/>
      </w:pPr>
    </w:p>
  </w:endnote>
  <w:endnote w:type="continuationNotice" w:id="1">
    <w:p w14:paraId="5A3738D7" w14:textId="77777777" w:rsidR="006874A5" w:rsidRPr="00C47B2E" w:rsidRDefault="006874A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72A" w14:textId="182F4558" w:rsidR="00D94B05" w:rsidRPr="00D61481" w:rsidRDefault="00D61481" w:rsidP="00D61481">
    <w:pPr>
      <w:pStyle w:val="Footer"/>
      <w:tabs>
        <w:tab w:val="right" w:pos="9598"/>
        <w:tab w:val="right" w:pos="9638"/>
      </w:tabs>
      <w:rPr>
        <w:sz w:val="18"/>
      </w:rPr>
    </w:pPr>
    <w:r w:rsidRPr="00D61481">
      <w:rPr>
        <w:b/>
        <w:sz w:val="18"/>
      </w:rPr>
      <w:fldChar w:fldCharType="begin"/>
    </w:r>
    <w:r w:rsidRPr="00D61481">
      <w:rPr>
        <w:b/>
        <w:sz w:val="18"/>
      </w:rPr>
      <w:instrText xml:space="preserve"> PAGE  \* MERGEFORMAT </w:instrText>
    </w:r>
    <w:r w:rsidRPr="00D61481">
      <w:rPr>
        <w:b/>
        <w:sz w:val="18"/>
      </w:rPr>
      <w:fldChar w:fldCharType="separate"/>
    </w:r>
    <w:r w:rsidRPr="00D61481">
      <w:rPr>
        <w:b/>
        <w:noProof/>
        <w:sz w:val="18"/>
      </w:rPr>
      <w:t>2</w:t>
    </w:r>
    <w:r w:rsidRPr="00D6148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749D" w14:textId="1A893241" w:rsidR="00D94B05" w:rsidRPr="00D61481" w:rsidRDefault="00D61481" w:rsidP="00D61481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61481">
      <w:rPr>
        <w:sz w:val="18"/>
      </w:rPr>
      <w:fldChar w:fldCharType="begin"/>
    </w:r>
    <w:r w:rsidRPr="00D61481">
      <w:rPr>
        <w:sz w:val="18"/>
      </w:rPr>
      <w:instrText xml:space="preserve"> PAGE  \* MERGEFORMAT </w:instrText>
    </w:r>
    <w:r w:rsidRPr="00D61481">
      <w:rPr>
        <w:sz w:val="18"/>
      </w:rPr>
      <w:fldChar w:fldCharType="separate"/>
    </w:r>
    <w:r w:rsidRPr="00D61481">
      <w:rPr>
        <w:noProof/>
        <w:sz w:val="18"/>
      </w:rPr>
      <w:t>3</w:t>
    </w:r>
    <w:r w:rsidRPr="00D6148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B286" w14:textId="77777777" w:rsidR="00D94B05" w:rsidRPr="00D61481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34842EB" wp14:editId="063BEE7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C5DE" w14:textId="77777777" w:rsidR="006874A5" w:rsidRPr="00C47B2E" w:rsidRDefault="006874A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542227" w14:textId="77777777" w:rsidR="006874A5" w:rsidRPr="00C47B2E" w:rsidRDefault="006874A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DC30D8B" w14:textId="77777777" w:rsidR="006874A5" w:rsidRPr="00C47B2E" w:rsidRDefault="006874A5" w:rsidP="00C47B2E">
      <w:pPr>
        <w:pStyle w:val="Footer"/>
      </w:pPr>
    </w:p>
  </w:footnote>
  <w:footnote w:id="2">
    <w:p w14:paraId="19ABA38B" w14:textId="6FED9B7F" w:rsidR="007F544B" w:rsidRPr="007F544B" w:rsidRDefault="007F544B" w:rsidP="002E7980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2E7980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873" w14:textId="63FC64BB" w:rsidR="00D61481" w:rsidRPr="00D61481" w:rsidRDefault="0034045E">
    <w:pPr>
      <w:pStyle w:val="Header"/>
    </w:pPr>
    <w:fldSimple w:instr=" TITLE  \* MERGEFORMAT ">
      <w:r w:rsidR="00670C1B">
        <w:t>ST/SG/AC.10/C.3/2022/44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0BD" w14:textId="029105C1" w:rsidR="00D94B05" w:rsidRPr="00D61481" w:rsidRDefault="0034045E" w:rsidP="00D61481">
    <w:pPr>
      <w:pStyle w:val="Header"/>
      <w:jc w:val="right"/>
    </w:pPr>
    <w:fldSimple w:instr=" TITLE  \* MERGEFORMAT ">
      <w:r w:rsidR="00670C1B">
        <w:t>ST/SG/AC.10/C.3/2022/44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1A2E"/>
    <w:multiLevelType w:val="hybridMultilevel"/>
    <w:tmpl w:val="9B22E924"/>
    <w:lvl w:ilvl="0" w:tplc="6B76E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81"/>
    <w:rsid w:val="00046E92"/>
    <w:rsid w:val="00063C90"/>
    <w:rsid w:val="00077DDC"/>
    <w:rsid w:val="00101B98"/>
    <w:rsid w:val="00115F79"/>
    <w:rsid w:val="00120301"/>
    <w:rsid w:val="001514D1"/>
    <w:rsid w:val="00183DD8"/>
    <w:rsid w:val="001A18B6"/>
    <w:rsid w:val="001D6FD1"/>
    <w:rsid w:val="00212A8E"/>
    <w:rsid w:val="00214668"/>
    <w:rsid w:val="00247E2C"/>
    <w:rsid w:val="002549DD"/>
    <w:rsid w:val="0026719B"/>
    <w:rsid w:val="002A32CB"/>
    <w:rsid w:val="002C7E5A"/>
    <w:rsid w:val="002D5B2C"/>
    <w:rsid w:val="002D6C53"/>
    <w:rsid w:val="002E7980"/>
    <w:rsid w:val="002F5595"/>
    <w:rsid w:val="00320500"/>
    <w:rsid w:val="00334F6A"/>
    <w:rsid w:val="0034045E"/>
    <w:rsid w:val="00342AC8"/>
    <w:rsid w:val="00343302"/>
    <w:rsid w:val="003979DE"/>
    <w:rsid w:val="003B4550"/>
    <w:rsid w:val="003D1071"/>
    <w:rsid w:val="003D2A18"/>
    <w:rsid w:val="003E3E4A"/>
    <w:rsid w:val="00413386"/>
    <w:rsid w:val="00461253"/>
    <w:rsid w:val="004858F5"/>
    <w:rsid w:val="004A2814"/>
    <w:rsid w:val="004C0622"/>
    <w:rsid w:val="005042C2"/>
    <w:rsid w:val="00543DFE"/>
    <w:rsid w:val="00551642"/>
    <w:rsid w:val="00555068"/>
    <w:rsid w:val="005D01D2"/>
    <w:rsid w:val="005E716E"/>
    <w:rsid w:val="005E7B85"/>
    <w:rsid w:val="00646742"/>
    <w:rsid w:val="006476E1"/>
    <w:rsid w:val="00652C08"/>
    <w:rsid w:val="006604DF"/>
    <w:rsid w:val="00670C1B"/>
    <w:rsid w:val="00671529"/>
    <w:rsid w:val="006874A5"/>
    <w:rsid w:val="006D3C0F"/>
    <w:rsid w:val="006E2F42"/>
    <w:rsid w:val="0070489D"/>
    <w:rsid w:val="007268F9"/>
    <w:rsid w:val="00750282"/>
    <w:rsid w:val="00764440"/>
    <w:rsid w:val="0077101B"/>
    <w:rsid w:val="007C52B0"/>
    <w:rsid w:val="007C6033"/>
    <w:rsid w:val="007F544B"/>
    <w:rsid w:val="008147C8"/>
    <w:rsid w:val="0081753A"/>
    <w:rsid w:val="00836DB9"/>
    <w:rsid w:val="00840E72"/>
    <w:rsid w:val="00857D23"/>
    <w:rsid w:val="008844AE"/>
    <w:rsid w:val="009411B4"/>
    <w:rsid w:val="00946F1D"/>
    <w:rsid w:val="0096026B"/>
    <w:rsid w:val="009D0139"/>
    <w:rsid w:val="009D717D"/>
    <w:rsid w:val="009F5CDC"/>
    <w:rsid w:val="00A072D7"/>
    <w:rsid w:val="00A1719A"/>
    <w:rsid w:val="00A27B0D"/>
    <w:rsid w:val="00A775CF"/>
    <w:rsid w:val="00AD1A9C"/>
    <w:rsid w:val="00AF5DE1"/>
    <w:rsid w:val="00B06045"/>
    <w:rsid w:val="00B206DD"/>
    <w:rsid w:val="00B52EF4"/>
    <w:rsid w:val="00B777AD"/>
    <w:rsid w:val="00BE4D44"/>
    <w:rsid w:val="00C03015"/>
    <w:rsid w:val="00C0358D"/>
    <w:rsid w:val="00C125CA"/>
    <w:rsid w:val="00C35A27"/>
    <w:rsid w:val="00C47B2E"/>
    <w:rsid w:val="00CA1483"/>
    <w:rsid w:val="00CC1C93"/>
    <w:rsid w:val="00D5149D"/>
    <w:rsid w:val="00D61481"/>
    <w:rsid w:val="00D63CD2"/>
    <w:rsid w:val="00D87DC2"/>
    <w:rsid w:val="00D94B05"/>
    <w:rsid w:val="00DB4FA1"/>
    <w:rsid w:val="00DB6B3A"/>
    <w:rsid w:val="00DE744E"/>
    <w:rsid w:val="00E02C2B"/>
    <w:rsid w:val="00E21C27"/>
    <w:rsid w:val="00E26BCF"/>
    <w:rsid w:val="00E52109"/>
    <w:rsid w:val="00E75317"/>
    <w:rsid w:val="00E75831"/>
    <w:rsid w:val="00EC0CE6"/>
    <w:rsid w:val="00EC7C1D"/>
    <w:rsid w:val="00ED6C48"/>
    <w:rsid w:val="00EE3045"/>
    <w:rsid w:val="00F0326F"/>
    <w:rsid w:val="00F03C0F"/>
    <w:rsid w:val="00F05BD9"/>
    <w:rsid w:val="00F30BC3"/>
    <w:rsid w:val="00F323E6"/>
    <w:rsid w:val="00F65F5D"/>
    <w:rsid w:val="00F857F6"/>
    <w:rsid w:val="00F86A3A"/>
    <w:rsid w:val="00FB064E"/>
    <w:rsid w:val="00FD000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EB7941"/>
  <w15:docId w15:val="{706F8642-CC6A-4C4C-86DD-554D9B2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D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39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555068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555068"/>
  </w:style>
  <w:style w:type="paragraph" w:styleId="ListParagraph">
    <w:name w:val="List Paragraph"/>
    <w:basedOn w:val="Normal"/>
    <w:uiPriority w:val="34"/>
    <w:rsid w:val="005550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993FF-4B2C-4CF3-9283-040A9840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7280A-6D59-4190-B5B1-D774E4803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58B93-DBC5-4047-904F-97C0A21A270A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52</TotalTime>
  <Pages>3</Pages>
  <Words>849</Words>
  <Characters>4689</Characters>
  <Application>Microsoft Office Word</Application>
  <DocSecurity>0</DocSecurity>
  <Lines>175</Lines>
  <Paragraphs>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ST/SG/AC.10/C.3/2022/44</dc:title>
  <dc:subject/>
  <dc:creator>Laurence BERTHET</dc:creator>
  <cp:lastModifiedBy>Laurence Berthet</cp:lastModifiedBy>
  <cp:revision>52</cp:revision>
  <cp:lastPrinted>2022-04-12T12:41:00Z</cp:lastPrinted>
  <dcterms:created xsi:type="dcterms:W3CDTF">2022-04-04T14:19:00Z</dcterms:created>
  <dcterms:modified xsi:type="dcterms:W3CDTF">2022-04-12T12:43:00Z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